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管线辅助检修服务）</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eastAsiaTheme="minorEastAsia"/>
          <w:color w:val="000000" w:themeColor="text1"/>
          <w:spacing w:val="-3"/>
          <w:highlight w:val="none"/>
          <w:u w:val="single"/>
          <w14:textFill>
            <w14:solidFill>
              <w14:schemeClr w14:val="tx1"/>
            </w14:solidFill>
          </w14:textFill>
        </w:rPr>
        <w:t>GKXJ-2024-JN-2360</w:t>
      </w:r>
      <w:r>
        <w:rPr>
          <w:rFonts w:asciiTheme="minorEastAsia" w:hAnsiTheme="minorEastAsia" w:eastAsiaTheme="minorEastAsia"/>
          <w:color w:val="000000" w:themeColor="text1"/>
          <w:highlight w:val="none"/>
          <w14:textFill>
            <w14:solidFill>
              <w14:schemeClr w14:val="tx1"/>
            </w14:solidFill>
          </w14:textFill>
        </w:rPr>
        <w:t>）</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jc w:val="center"/>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高日飞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9</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10</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6"/>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微软雅黑" w:hAnsi="微软雅黑" w:eastAsia="微软雅黑" w:cs="微软雅黑"/>
          <w:i w:val="0"/>
          <w:iCs w:val="0"/>
          <w:caps w:val="0"/>
          <w:spacing w:val="0"/>
          <w:sz w:val="21"/>
          <w:szCs w:val="21"/>
          <w:u w:val="single"/>
          <w:lang w:eastAsia="zh-CN"/>
        </w:rPr>
        <w:t>管线辅助检修服务</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23</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23</w:t>
      </w:r>
      <w:r>
        <w:rPr>
          <w:rFonts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14</w:t>
      </w:r>
      <w:bookmarkStart w:id="139" w:name="_GoBack"/>
      <w:bookmarkEnd w:id="139"/>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6"/>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7"/>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6"/>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采办共享中心/XX分中心</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p>
    <w:p>
      <w:pPr>
        <w:pStyle w:val="2"/>
        <w:ind w:left="415" w:leftChars="135" w:right="10" w:hanging="132" w:hangingChars="63"/>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6"/>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3"/>
        <w:tblW w:w="5547" w:type="pct"/>
        <w:jc w:val="center"/>
        <w:tblLayout w:type="autofit"/>
        <w:tblCellMar>
          <w:top w:w="0" w:type="dxa"/>
          <w:left w:w="0" w:type="dxa"/>
          <w:bottom w:w="0" w:type="dxa"/>
          <w:right w:w="0" w:type="dxa"/>
        </w:tblCellMar>
      </w:tblPr>
      <w:tblGrid>
        <w:gridCol w:w="618"/>
        <w:gridCol w:w="528"/>
        <w:gridCol w:w="2269"/>
        <w:gridCol w:w="5811"/>
      </w:tblGrid>
      <w:tr>
        <w:tblPrEx>
          <w:tblCellMar>
            <w:top w:w="0" w:type="dxa"/>
            <w:left w:w="0" w:type="dxa"/>
            <w:bottom w:w="0" w:type="dxa"/>
            <w:right w:w="0" w:type="dxa"/>
          </w:tblCellMar>
        </w:tblPrEx>
        <w:trPr>
          <w:trHeight w:val="454" w:hRule="atLeast"/>
          <w:jc w:val="center"/>
        </w:trPr>
        <w:tc>
          <w:tcPr>
            <w:tcW w:w="621" w:type="pct"/>
            <w:gridSpan w:val="2"/>
            <w:tcBorders>
              <w:top w:val="single" w:color="000000" w:sz="4" w:space="0"/>
              <w:left w:val="single" w:color="000000" w:sz="4" w:space="0"/>
              <w:bottom w:val="single" w:color="000000" w:sz="4" w:space="0"/>
              <w:right w:val="single" w:color="000000" w:sz="4" w:space="0"/>
            </w:tcBorders>
            <w:vAlign w:val="center"/>
          </w:tcPr>
          <w:p>
            <w:pPr>
              <w:pStyle w:val="47"/>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29" w:type="pct"/>
            <w:tcBorders>
              <w:top w:val="single" w:color="000000" w:sz="4" w:space="0"/>
              <w:left w:val="nil"/>
              <w:bottom w:val="single" w:color="000000" w:sz="4" w:space="0"/>
              <w:right w:val="single" w:color="000000" w:sz="4" w:space="0"/>
            </w:tcBorders>
            <w:vAlign w:val="center"/>
          </w:tcPr>
          <w:p>
            <w:pPr>
              <w:pStyle w:val="47"/>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8" w:type="pct"/>
            <w:tcBorders>
              <w:top w:val="single" w:color="000000" w:sz="4" w:space="0"/>
              <w:left w:val="nil"/>
              <w:bottom w:val="single" w:color="000000" w:sz="4" w:space="0"/>
              <w:right w:val="single" w:color="000000" w:sz="4" w:space="0"/>
            </w:tcBorders>
            <w:vAlign w:val="center"/>
          </w:tcPr>
          <w:p>
            <w:pPr>
              <w:pStyle w:val="47"/>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5" w:type="pct"/>
            <w:vMerge w:val="restart"/>
            <w:tcBorders>
              <w:top w:val="nil"/>
              <w:left w:val="single" w:color="000000" w:sz="6" w:space="0"/>
              <w:right w:val="single" w:color="000000" w:sz="6" w:space="0"/>
            </w:tcBorders>
            <w:vAlign w:val="center"/>
          </w:tcPr>
          <w:p>
            <w:pPr>
              <w:pStyle w:val="47"/>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5" w:type="pct"/>
            <w:vMerge w:val="restart"/>
            <w:tcBorders>
              <w:top w:val="nil"/>
              <w:left w:val="nil"/>
              <w:right w:val="single" w:color="000000" w:sz="6" w:space="0"/>
            </w:tcBorders>
            <w:textDirection w:val="tbRlV"/>
            <w:vAlign w:val="center"/>
          </w:tcPr>
          <w:p>
            <w:pPr>
              <w:pStyle w:val="47"/>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29" w:type="pct"/>
            <w:tcBorders>
              <w:top w:val="single" w:color="000000" w:sz="4" w:space="0"/>
              <w:left w:val="nil"/>
              <w:bottom w:val="single" w:color="000000" w:sz="4" w:space="0"/>
              <w:right w:val="single" w:color="000000" w:sz="4" w:space="0"/>
            </w:tcBorders>
            <w:vAlign w:val="center"/>
          </w:tcPr>
          <w:p>
            <w:pPr>
              <w:pStyle w:val="47"/>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8" w:type="pct"/>
            <w:tcBorders>
              <w:top w:val="single" w:color="000000" w:sz="4" w:space="0"/>
              <w:left w:val="nil"/>
              <w:bottom w:val="single" w:color="000000" w:sz="4" w:space="0"/>
              <w:right w:val="single" w:color="000000" w:sz="4" w:space="0"/>
            </w:tcBorders>
            <w:vAlign w:val="center"/>
          </w:tcPr>
          <w:p>
            <w:pPr>
              <w:pStyle w:val="47"/>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nil"/>
              <w:right w:val="single" w:color="000000" w:sz="4" w:space="0"/>
            </w:tcBorders>
            <w:vAlign w:val="center"/>
          </w:tcPr>
          <w:p>
            <w:pPr>
              <w:pStyle w:val="47"/>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8" w:type="pct"/>
            <w:tcBorders>
              <w:top w:val="single" w:color="000000" w:sz="4" w:space="0"/>
              <w:left w:val="nil"/>
              <w:bottom w:val="nil"/>
              <w:right w:val="single" w:color="000000" w:sz="4" w:space="0"/>
            </w:tcBorders>
            <w:vAlign w:val="center"/>
          </w:tcPr>
          <w:p>
            <w:pPr>
              <w:pStyle w:val="47"/>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pPr>
              <w:pStyle w:val="47"/>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8"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pPr>
              <w:pStyle w:val="47"/>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8" w:type="pct"/>
            <w:tcBorders>
              <w:top w:val="single" w:color="000000" w:sz="4" w:space="0"/>
              <w:left w:val="nil"/>
              <w:bottom w:val="single" w:color="000000" w:sz="4" w:space="0"/>
              <w:right w:val="single" w:color="000000" w:sz="4" w:space="0"/>
            </w:tcBorders>
            <w:vAlign w:val="center"/>
          </w:tcPr>
          <w:p>
            <w:pPr>
              <w:pStyle w:val="47"/>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single" w:color="000000" w:sz="6" w:space="0"/>
              <w:right w:val="single" w:color="000000" w:sz="6" w:space="0"/>
            </w:tcBorders>
            <w:vAlign w:val="center"/>
          </w:tcPr>
          <w:p>
            <w:pPr>
              <w:pStyle w:val="47"/>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7"/>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8"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696"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single" w:color="000000" w:sz="6" w:space="0"/>
              <w:right w:val="single" w:color="000000" w:sz="6" w:space="0"/>
            </w:tcBorders>
            <w:vAlign w:val="center"/>
          </w:tcPr>
          <w:p>
            <w:pPr>
              <w:pStyle w:val="47"/>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7"/>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3148"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石油化工工程施工总承包三级以上资质，特 种设备生产许可证，许可项目范围包括承压类特种设备（含GC2类管道）的安装、修理、改造。</w:t>
            </w:r>
          </w:p>
        </w:tc>
      </w:tr>
      <w:tr>
        <w:tblPrEx>
          <w:tblCellMar>
            <w:top w:w="0" w:type="dxa"/>
            <w:left w:w="0" w:type="dxa"/>
            <w:bottom w:w="0" w:type="dxa"/>
            <w:right w:w="0" w:type="dxa"/>
          </w:tblCellMar>
        </w:tblPrEx>
        <w:trPr>
          <w:trHeight w:val="696"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single" w:color="000000" w:sz="6" w:space="0"/>
              <w:right w:val="single" w:color="000000" w:sz="6" w:space="0"/>
            </w:tcBorders>
            <w:vAlign w:val="center"/>
          </w:tcPr>
          <w:p>
            <w:pPr>
              <w:pStyle w:val="47"/>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7"/>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pPr>
              <w:pStyle w:val="47"/>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（不涉及）</w:t>
            </w:r>
          </w:p>
        </w:tc>
        <w:tc>
          <w:tcPr>
            <w:tcW w:w="3148" w:type="pct"/>
            <w:tcBorders>
              <w:top w:val="single" w:color="000000" w:sz="4" w:space="0"/>
              <w:left w:val="nil"/>
              <w:bottom w:val="single" w:color="auto" w:sz="4" w:space="0"/>
              <w:right w:val="single" w:color="000000" w:sz="4" w:space="0"/>
            </w:tcBorders>
            <w:vAlign w:val="center"/>
          </w:tcPr>
          <w:p>
            <w:pPr>
              <w:pStyle w:val="47"/>
              <w:jc w:val="both"/>
              <w:rPr>
                <w:rFonts w:hint="eastAsia"/>
                <w:lang w:val="en-US" w:eastAsia="zh-CN"/>
              </w:rPr>
            </w:pPr>
          </w:p>
        </w:tc>
      </w:tr>
      <w:tr>
        <w:tblPrEx>
          <w:tblCellMar>
            <w:top w:w="0" w:type="dxa"/>
            <w:left w:w="0" w:type="dxa"/>
            <w:bottom w:w="0" w:type="dxa"/>
            <w:right w:w="0" w:type="dxa"/>
          </w:tblCellMar>
        </w:tblPrEx>
        <w:trPr>
          <w:trHeight w:val="1427"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7"/>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000000" w:sz="6" w:space="0"/>
              <w:bottom w:val="single" w:color="000000" w:sz="4" w:space="0"/>
              <w:right w:val="single" w:color="000000" w:sz="4" w:space="0"/>
            </w:tcBorders>
            <w:vAlign w:val="center"/>
          </w:tcPr>
          <w:p>
            <w:pPr>
              <w:pStyle w:val="47"/>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8"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7"/>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7"/>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7"/>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8" w:type="pct"/>
            <w:tcBorders>
              <w:top w:val="single" w:color="000000" w:sz="4" w:space="0"/>
              <w:left w:val="nil"/>
              <w:bottom w:val="single" w:color="000000" w:sz="4" w:space="0"/>
              <w:right w:val="single" w:color="000000" w:sz="4" w:space="0"/>
            </w:tcBorders>
            <w:vAlign w:val="center"/>
          </w:tcPr>
          <w:p>
            <w:pPr>
              <w:pStyle w:val="47"/>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7"/>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7"/>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755"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7"/>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r>
              <w:rPr>
                <w:rFonts w:hint="eastAsia" w:ascii="仿宋" w:hAnsi="仿宋" w:eastAsia="仿宋" w:cs="仿宋"/>
                <w:color w:val="auto"/>
                <w:kern w:val="2"/>
                <w:sz w:val="21"/>
                <w:szCs w:val="21"/>
                <w:highlight w:val="none"/>
                <w:lang w:val="en-US" w:eastAsia="zh-CN" w:bidi="ar-SA"/>
              </w:rPr>
              <w:t>（如涉及）</w:t>
            </w:r>
          </w:p>
        </w:tc>
        <w:tc>
          <w:tcPr>
            <w:tcW w:w="3148" w:type="pct"/>
            <w:tcBorders>
              <w:top w:val="single" w:color="000000" w:sz="4" w:space="0"/>
              <w:left w:val="nil"/>
              <w:bottom w:val="single" w:color="000000" w:sz="4" w:space="0"/>
              <w:right w:val="single" w:color="000000" w:sz="4" w:space="0"/>
            </w:tcBorders>
            <w:vAlign w:val="center"/>
          </w:tcPr>
          <w:p>
            <w:pPr>
              <w:ind w:firstLine="0" w:firstLineChars="0"/>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不涉及</w:t>
            </w:r>
          </w:p>
        </w:tc>
      </w:tr>
      <w:tr>
        <w:tblPrEx>
          <w:tblCellMar>
            <w:top w:w="0" w:type="dxa"/>
            <w:left w:w="0" w:type="dxa"/>
            <w:bottom w:w="0" w:type="dxa"/>
            <w:right w:w="0" w:type="dxa"/>
          </w:tblCellMar>
        </w:tblPrEx>
        <w:trPr>
          <w:trHeight w:val="479"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7"/>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48"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color w:val="auto"/>
                <w:sz w:val="21"/>
                <w:szCs w:val="21"/>
                <w:highlight w:val="none"/>
                <w:lang w:val="en-US" w:eastAsia="zh-CN"/>
              </w:rPr>
              <w:t>1.服务商需满足：1</w:t>
            </w:r>
            <w:r>
              <w:rPr>
                <w:rFonts w:hint="eastAsia" w:ascii="仿宋" w:hAnsi="仿宋" w:eastAsia="仿宋" w:cs="仿宋"/>
                <w:color w:val="auto"/>
                <w:sz w:val="21"/>
                <w:szCs w:val="21"/>
                <w:highlight w:val="none"/>
                <w:lang w:eastAsia="zh-CN"/>
              </w:rPr>
              <w:t>）不得将中国海油作为唯一服务客户，承诺中国海油非其唯一服务客户并提供支持性材料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）自有社保人数≥</w:t>
            </w: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 w:val="21"/>
                <w:szCs w:val="21"/>
                <w:highlight w:val="none"/>
                <w:lang w:eastAsia="zh-CN"/>
              </w:rPr>
              <w:t>人，须提供近三月社保证明</w:t>
            </w:r>
            <w:r>
              <w:rPr>
                <w:rFonts w:hint="eastAsia" w:ascii="仿宋" w:hAnsi="仿宋" w:eastAsia="仿宋" w:cs="仿宋"/>
                <w:b w:val="0"/>
                <w:bCs w:val="0"/>
                <w:color w:val="auto"/>
                <w:szCs w:val="21"/>
                <w:highlight w:val="none"/>
                <w:lang w:val="en-US" w:eastAsia="zh-CN"/>
              </w:rPr>
              <w:t>（退休返聘人员不在自有社保人数内，大学、事业单位可不提供社保证明）</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如适用</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color w:val="auto"/>
                <w:sz w:val="21"/>
                <w:szCs w:val="21"/>
                <w:highlight w:val="none"/>
                <w:lang w:eastAsia="zh-CN"/>
              </w:rPr>
              <w:t>；3）实缴注册资本金不能为零，</w:t>
            </w:r>
            <w:r>
              <w:rPr>
                <w:rFonts w:hint="eastAsia" w:ascii="仿宋" w:hAnsi="仿宋" w:eastAsia="仿宋" w:cs="仿宋"/>
                <w:b w:val="0"/>
                <w:bCs w:val="0"/>
                <w:color w:val="auto"/>
                <w:szCs w:val="21"/>
                <w:highlight w:val="none"/>
                <w:lang w:val="en-US" w:eastAsia="zh-CN"/>
              </w:rPr>
              <w:t xml:space="preserve">须提供注册资本缴纳证明， 注册资本金缴纳证明可提供银行转账记录、企业主管部门出具的相关文件、国家企业信用信息公示系统、第三方网站（包括但不 限于天眼查、企查查）截图、第三方机构出具的验资报告等。大 学、事业单位可不提供实缴注册资本缴纳证明。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如适用</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服务商实缴注册资金要求:</w:t>
            </w:r>
            <w:r>
              <w:rPr>
                <w:rFonts w:hint="eastAsia" w:ascii="仿宋" w:hAnsi="仿宋" w:eastAsia="仿宋" w:cs="仿宋"/>
                <w:b w:val="0"/>
                <w:bCs w:val="0"/>
                <w:color w:val="auto"/>
                <w:kern w:val="2"/>
                <w:sz w:val="21"/>
                <w:szCs w:val="21"/>
                <w:highlight w:val="none"/>
                <w:lang w:val="en-US" w:eastAsia="zh-CN" w:bidi="ar-SA"/>
              </w:rPr>
              <w:t>应答人实缴注册资本金不能为零，应答时需提供相关证明文件。</w:t>
            </w:r>
          </w:p>
          <w:p>
            <w:pPr>
              <w:ind w:firstLine="0" w:firstLineChars="0"/>
              <w:rPr>
                <w:rFonts w:hint="eastAsia"/>
                <w:color w:val="auto"/>
                <w:highlight w:val="none"/>
                <w:lang w:eastAsia="zh-CN"/>
              </w:rPr>
            </w:pPr>
          </w:p>
        </w:tc>
      </w:tr>
      <w:tr>
        <w:tblPrEx>
          <w:tblCellMar>
            <w:top w:w="0" w:type="dxa"/>
            <w:left w:w="0" w:type="dxa"/>
            <w:bottom w:w="0" w:type="dxa"/>
            <w:right w:w="0" w:type="dxa"/>
          </w:tblCellMar>
        </w:tblPrEx>
        <w:trPr>
          <w:trHeight w:val="1316"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7"/>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7"/>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47"/>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48"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应答人2021年1月1日至2024年6月30日（以发票结算时间为准），至少具有1项特种设备（含GC2类管道）的安装、修理、改造的业绩，并提供相关的证明文件（业绩合同、验收材料或其他有效证明文件），并提供相应业绩证明文件。业绩证明文件包括但不限于：①合同复印件（含相关技术附件）；②结算发票。2)业绩证明文件包括：1）合同复印件（含相关技术附件）和2）服务验收材料。业绩合同应至少体现涵盖合同首页、合同签署页（具有签字或盖章）、合同签署时间、服务内容等；服务验收材料应为：服务验收单或结算清单或结算发票，服务验收单或结算清单应有合同双方签字或盖章，以及确认时间。结算发票须体现合同编号或发票中服务名称数量与业绩合同保持一致。结算清单或结算发票须是合同金额下全部的明细和发票。</w:t>
            </w:r>
          </w:p>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(3)若业绩合同为年度协议，还应至少提供1个完成订单（订单编号或内容与年度协议关联）的订单页、及订单相应的服务验收单或结算清单或结算发票，同一个年协合同1个订单算1个有效业绩。</w:t>
            </w:r>
          </w:p>
          <w:p>
            <w:pPr>
              <w:keepNext w:val="0"/>
              <w:keepLines w:val="0"/>
              <w:pageBreakBefore w:val="0"/>
              <w:widowControl w:val="0"/>
              <w:kinsoku/>
              <w:wordWrap/>
              <w:overflowPunct/>
              <w:topLinePunct w:val="0"/>
              <w:autoSpaceDE/>
              <w:autoSpaceDN/>
              <w:bidi w:val="0"/>
              <w:adjustRightInd/>
              <w:snapToGrid/>
              <w:spacing w:line="240" w:lineRule="auto"/>
              <w:ind w:right="10" w:firstLine="420" w:firstLineChars="20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(4)未提供业绩证明文件或提供的业绩证明文件无法认定上述业绩要求的，视为无效业绩。</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auto" w:sz="4" w:space="0"/>
              <w:left w:val="single" w:color="000000" w:sz="6" w:space="0"/>
              <w:bottom w:val="nil"/>
              <w:right w:val="single" w:color="000000" w:sz="4" w:space="0"/>
            </w:tcBorders>
            <w:vAlign w:val="center"/>
          </w:tcPr>
          <w:p>
            <w:pPr>
              <w:pStyle w:val="47"/>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8" w:type="pct"/>
            <w:tcBorders>
              <w:top w:val="single" w:color="auto" w:sz="4" w:space="0"/>
              <w:left w:val="nil"/>
              <w:bottom w:val="nil"/>
              <w:right w:val="single" w:color="000000" w:sz="4" w:space="0"/>
            </w:tcBorders>
            <w:vAlign w:val="center"/>
          </w:tcPr>
          <w:p>
            <w:pPr>
              <w:pStyle w:val="57"/>
              <w:pageBreakBefore w:val="0"/>
              <w:widowControl w:val="0"/>
              <w:numPr>
                <w:ilvl w:val="-1"/>
                <w:numId w:val="0"/>
              </w:numPr>
              <w:kinsoku/>
              <w:wordWrap/>
              <w:overflowPunct/>
              <w:topLinePunct w:val="0"/>
              <w:bidi w:val="0"/>
              <w:snapToGrid/>
              <w:spacing w:before="120" w:after="120"/>
              <w:ind w:left="0" w:leftChars="0" w:firstLine="0" w:firstLineChars="0"/>
              <w:textAlignment w:val="auto"/>
              <w:outlineLvl w:val="0"/>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rPr>
              <w:t>卖方在合同规定的期限内将货物运至交货地点，双方开箱检验正常，卖方</w:t>
            </w:r>
            <w:r>
              <w:rPr>
                <w:rFonts w:hint="eastAsia" w:ascii="仿宋" w:hAnsi="仿宋" w:eastAsia="仿宋" w:cs="仿宋"/>
                <w:sz w:val="21"/>
                <w:szCs w:val="21"/>
                <w:lang w:val="en-US" w:eastAsia="zh-CN"/>
              </w:rPr>
              <w:t>提供</w:t>
            </w:r>
            <w:r>
              <w:rPr>
                <w:rFonts w:hint="eastAsia" w:ascii="仿宋" w:hAnsi="仿宋" w:eastAsia="仿宋" w:cs="仿宋"/>
                <w:color w:val="000000"/>
                <w:sz w:val="21"/>
                <w:szCs w:val="21"/>
                <w:lang w:val="en-US" w:eastAsia="zh-CN"/>
              </w:rPr>
              <w:t>远程技术指导协助</w:t>
            </w:r>
            <w:r>
              <w:rPr>
                <w:rFonts w:hint="eastAsia" w:ascii="仿宋" w:hAnsi="仿宋" w:eastAsia="仿宋" w:cs="仿宋"/>
                <w:sz w:val="21"/>
                <w:szCs w:val="21"/>
              </w:rPr>
              <w:t>完成货物安装调试经买方验收合格签字确认后，买方支付合同含税总价的【95%】。</w:t>
            </w:r>
          </w:p>
          <w:p>
            <w:pPr>
              <w:pStyle w:val="57"/>
              <w:pageBreakBefore w:val="0"/>
              <w:widowControl w:val="0"/>
              <w:numPr>
                <w:ilvl w:val="-1"/>
                <w:numId w:val="0"/>
              </w:numPr>
              <w:kinsoku/>
              <w:wordWrap/>
              <w:overflowPunct/>
              <w:topLinePunct w:val="0"/>
              <w:bidi w:val="0"/>
              <w:snapToGrid/>
              <w:spacing w:before="120" w:after="120"/>
              <w:ind w:left="0" w:leftChars="0" w:firstLine="0" w:firstLineChars="0"/>
              <w:textAlignment w:val="auto"/>
              <w:outlineLvl w:val="0"/>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rPr>
              <w:t>自全部货物安装调试验收合格之日起，质保期满后，卖方需提出付款申请并经买方技术部门项目负责人做质量审核无误签字后，买方支付合同含税总价的【5%】</w:t>
            </w:r>
          </w:p>
          <w:p>
            <w:pPr>
              <w:pStyle w:val="8"/>
              <w:ind w:right="11"/>
              <w:rPr>
                <w:rFonts w:hint="eastAsia" w:ascii="仿宋" w:hAnsi="仿宋" w:eastAsia="仿宋" w:cs="仿宋"/>
                <w:bCs/>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tc>
        <w:tc>
          <w:tcPr>
            <w:tcW w:w="285" w:type="pct"/>
            <w:vMerge w:val="continue"/>
            <w:tcBorders>
              <w:left w:val="single" w:color="000000" w:sz="6" w:space="0"/>
              <w:right w:val="single" w:color="000000" w:sz="6" w:space="0"/>
            </w:tcBorders>
            <w:vAlign w:val="center"/>
          </w:tcPr>
          <w:p/>
        </w:tc>
        <w:tc>
          <w:tcPr>
            <w:tcW w:w="1229"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财务要求</w:t>
            </w:r>
          </w:p>
        </w:tc>
        <w:tc>
          <w:tcPr>
            <w:tcW w:w="3148"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color w:val="000000"/>
                <w:kern w:val="0"/>
                <w:sz w:val="21"/>
                <w:szCs w:val="21"/>
                <w:lang w:val="en-US" w:eastAsia="zh-CN" w:bidi="ar-SA"/>
              </w:rPr>
            </w:pPr>
            <w:r>
              <w:rPr>
                <w:rFonts w:hint="eastAsia" w:ascii="仿宋" w:hAnsi="仿宋" w:eastAsia="仿宋" w:cs="仿宋"/>
                <w:b/>
                <w:bCs/>
                <w:color w:val="000000"/>
                <w:kern w:val="0"/>
                <w:sz w:val="21"/>
                <w:szCs w:val="21"/>
                <w:lang w:val="en-US" w:eastAsia="zh-CN" w:bidi="ar-SA"/>
              </w:rPr>
              <w:t>提供近三年经会计师事务所或审计机构审计的无保留意见的财务会计报告，包括资产负债表、现金流量表、利润表和财务情况说明书的复印件（成立时间短于三年的投标人，应提供自成立时起的财务相关报表）。</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tc>
        <w:tc>
          <w:tcPr>
            <w:tcW w:w="285" w:type="pct"/>
            <w:vMerge w:val="continue"/>
            <w:tcBorders>
              <w:left w:val="single" w:color="000000" w:sz="6" w:space="0"/>
              <w:right w:val="single" w:color="000000" w:sz="6" w:space="0"/>
            </w:tcBorders>
            <w:vAlign w:val="center"/>
          </w:tcPr>
          <w:p/>
        </w:tc>
        <w:tc>
          <w:tcPr>
            <w:tcW w:w="1229"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8"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textAlignment w:val="auto"/>
              <w:outlineLvl w:val="9"/>
            </w:pPr>
            <w:r>
              <w:rPr>
                <w:rFonts w:hint="eastAsia" w:ascii="仿宋" w:hAnsi="仿宋" w:eastAsia="仿宋" w:cs="仿宋"/>
                <w:b/>
                <w:bCs/>
                <w:color w:val="000000"/>
                <w:kern w:val="0"/>
                <w:sz w:val="21"/>
                <w:szCs w:val="21"/>
                <w:lang w:val="en-US" w:eastAsia="zh-CN" w:bidi="ar-SA"/>
              </w:rPr>
              <w:t>详见附件3： 合同文本</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7"/>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8" w:type="pct"/>
            <w:tcBorders>
              <w:top w:val="single" w:color="000000" w:sz="4" w:space="0"/>
              <w:left w:val="nil"/>
              <w:bottom w:val="single" w:color="000000" w:sz="4" w:space="0"/>
              <w:right w:val="single" w:color="000000" w:sz="4" w:space="0"/>
            </w:tcBorders>
            <w:vAlign w:val="center"/>
          </w:tcPr>
          <w:p>
            <w:pPr>
              <w:pStyle w:val="47"/>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1.一般商务指标偏离超过**项，则评议不合格。</w:t>
            </w:r>
          </w:p>
          <w:p>
            <w:pPr>
              <w:pStyle w:val="47"/>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7"/>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7"/>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8"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5" w:type="pct"/>
            <w:vMerge w:val="restart"/>
            <w:tcBorders>
              <w:top w:val="single" w:color="auto" w:sz="4" w:space="0"/>
              <w:left w:val="single" w:color="auto" w:sz="4" w:space="0"/>
              <w:bottom w:val="single" w:color="auto" w:sz="4" w:space="0"/>
              <w:right w:val="single" w:color="auto" w:sz="4" w:space="0"/>
            </w:tcBorders>
            <w:vAlign w:val="center"/>
          </w:tcPr>
          <w:p>
            <w:pPr>
              <w:pStyle w:val="47"/>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5"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7"/>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48"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kern w:val="0"/>
                <w:sz w:val="21"/>
                <w:szCs w:val="21"/>
                <w:lang w:val="en-US" w:eastAsia="zh-CN"/>
              </w:rPr>
              <w:t>详见询价文件附件二</w:t>
            </w:r>
          </w:p>
        </w:tc>
      </w:tr>
      <w:tr>
        <w:tblPrEx>
          <w:tblCellMar>
            <w:top w:w="0" w:type="dxa"/>
            <w:left w:w="0" w:type="dxa"/>
            <w:bottom w:w="0" w:type="dxa"/>
            <w:right w:w="0" w:type="dxa"/>
          </w:tblCellMar>
        </w:tblPrEx>
        <w:trPr>
          <w:trHeight w:val="454" w:hRule="atLeast"/>
          <w:jc w:val="center"/>
        </w:trPr>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7"/>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48"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kern w:val="0"/>
                <w:sz w:val="21"/>
                <w:szCs w:val="21"/>
                <w:lang w:val="en-US" w:eastAsia="zh-CN"/>
              </w:rPr>
              <w:t>详见询价文件附件二</w:t>
            </w:r>
          </w:p>
        </w:tc>
      </w:tr>
      <w:tr>
        <w:tblPrEx>
          <w:tblCellMar>
            <w:top w:w="0" w:type="dxa"/>
            <w:left w:w="0" w:type="dxa"/>
            <w:bottom w:w="0" w:type="dxa"/>
            <w:right w:w="0" w:type="dxa"/>
          </w:tblCellMar>
        </w:tblPrEx>
        <w:trPr>
          <w:trHeight w:val="454" w:hRule="atLeast"/>
          <w:jc w:val="center"/>
        </w:trPr>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7"/>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48"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kern w:val="0"/>
                <w:sz w:val="21"/>
                <w:szCs w:val="21"/>
                <w:lang w:val="en-US" w:eastAsia="zh-CN"/>
              </w:rPr>
              <w:t>详见询价文件附件二</w:t>
            </w:r>
          </w:p>
        </w:tc>
      </w:tr>
      <w:tr>
        <w:tblPrEx>
          <w:tblCellMar>
            <w:top w:w="0" w:type="dxa"/>
            <w:left w:w="0" w:type="dxa"/>
            <w:bottom w:w="0" w:type="dxa"/>
            <w:right w:w="0" w:type="dxa"/>
          </w:tblCellMar>
        </w:tblPrEx>
        <w:trPr>
          <w:trHeight w:val="454" w:hRule="atLeast"/>
          <w:jc w:val="center"/>
        </w:trPr>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7"/>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8" w:type="pct"/>
            <w:tcBorders>
              <w:top w:val="single" w:color="000000" w:sz="4" w:space="0"/>
              <w:left w:val="single" w:color="auto" w:sz="4" w:space="0"/>
              <w:bottom w:val="single" w:color="000000" w:sz="4" w:space="0"/>
              <w:right w:val="single" w:color="000000" w:sz="4" w:space="0"/>
            </w:tcBorders>
            <w:vAlign w:val="center"/>
          </w:tcPr>
          <w:p>
            <w:pPr>
              <w:pStyle w:val="47"/>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6"/>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54" w:hRule="atLeast"/>
          <w:jc w:val="center"/>
        </w:trPr>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ab/>
            </w:r>
          </w:p>
        </w:tc>
        <w:tc>
          <w:tcPr>
            <w:tcW w:w="3148"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blPrEx>
          <w:tblCellMar>
            <w:top w:w="0" w:type="dxa"/>
            <w:left w:w="0" w:type="dxa"/>
            <w:bottom w:w="0" w:type="dxa"/>
            <w:right w:w="0" w:type="dxa"/>
          </w:tblCellMar>
        </w:tblPrEx>
        <w:trPr>
          <w:trHeight w:val="2401" w:hRule="atLeast"/>
          <w:jc w:val="center"/>
        </w:trPr>
        <w:tc>
          <w:tcPr>
            <w:tcW w:w="335" w:type="pct"/>
            <w:tcBorders>
              <w:top w:val="single" w:color="auto" w:sz="4" w:space="0"/>
              <w:left w:val="single" w:color="auto" w:sz="4" w:space="0"/>
              <w:bottom w:val="single" w:color="auto" w:sz="4" w:space="0"/>
              <w:right w:val="single" w:color="auto" w:sz="4" w:space="0"/>
            </w:tcBorders>
            <w:vAlign w:val="center"/>
          </w:tcPr>
          <w:p>
            <w:pPr>
              <w:pStyle w:val="47"/>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5" w:type="pct"/>
            <w:tcBorders>
              <w:top w:val="single" w:color="auto" w:sz="4" w:space="0"/>
              <w:left w:val="single" w:color="auto" w:sz="4" w:space="0"/>
              <w:bottom w:val="single" w:color="auto" w:sz="4" w:space="0"/>
              <w:right w:val="single" w:color="auto" w:sz="4" w:space="0"/>
            </w:tcBorders>
            <w:vAlign w:val="center"/>
          </w:tcPr>
          <w:p>
            <w:pPr>
              <w:pStyle w:val="47"/>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7"/>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7"/>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7"/>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8"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5" w:type="pct"/>
            <w:gridSpan w:val="2"/>
            <w:tcBorders>
              <w:top w:val="single" w:color="auto" w:sz="4" w:space="0"/>
              <w:left w:val="single" w:color="auto" w:sz="4" w:space="0"/>
              <w:bottom w:val="single" w:color="auto" w:sz="4" w:space="0"/>
              <w:right w:val="single" w:color="000000" w:sz="4" w:space="0"/>
            </w:tcBorders>
            <w:vAlign w:val="center"/>
          </w:tcPr>
          <w:p>
            <w:pPr>
              <w:pStyle w:val="47"/>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47"/>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8" w:type="pct"/>
            <w:tcBorders>
              <w:top w:val="single" w:color="000000" w:sz="4" w:space="0"/>
              <w:left w:val="nil"/>
              <w:bottom w:val="single" w:color="000000" w:sz="4" w:space="0"/>
              <w:right w:val="single" w:color="000000" w:sz="4" w:space="0"/>
            </w:tcBorders>
            <w:vAlign w:val="center"/>
          </w:tcPr>
          <w:p>
            <w:pPr>
              <w:pStyle w:val="8"/>
              <w:ind w:right="11" w:firstLine="420"/>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无</w:t>
            </w:r>
          </w:p>
        </w:tc>
      </w:tr>
    </w:tbl>
    <w:p/>
    <w:p>
      <w:pPr>
        <w:pStyle w:val="6"/>
      </w:pPr>
    </w:p>
    <w:p/>
    <w:p>
      <w:pPr>
        <w:pStyle w:val="6"/>
      </w:pPr>
    </w:p>
    <w:p>
      <w:pPr>
        <w:rPr>
          <w:lang w:val="en-US" w:eastAsia="zh-CN"/>
        </w:rPr>
      </w:pPr>
    </w:p>
    <w:p>
      <w:pPr>
        <w:pStyle w:val="6"/>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pStyle w:val="3"/>
      </w:pPr>
      <w:bookmarkStart w:id="0" w:name="_Toc13249324"/>
      <w:bookmarkStart w:id="1" w:name="_Toc13248927"/>
      <w:r>
        <w:t>一、项目概况及总体要求</w:t>
      </w:r>
      <w:bookmarkEnd w:id="0"/>
      <w:bookmarkEnd w:id="1"/>
    </w:p>
    <w:p>
      <w:pPr>
        <w:spacing w:before="2" w:line="100" w:lineRule="exact"/>
        <w:rPr>
          <w:rFonts w:ascii="微软雅黑" w:hAnsi="微软雅黑" w:eastAsia="微软雅黑"/>
          <w:sz w:val="10"/>
          <w:szCs w:val="10"/>
          <w:lang w:eastAsia="zh-CN"/>
        </w:rPr>
      </w:pPr>
    </w:p>
    <w:p>
      <w:pPr>
        <w:pStyle w:val="2"/>
        <w:spacing w:line="257" w:lineRule="auto"/>
        <w:ind w:left="220" w:right="122" w:firstLine="420"/>
        <w:rPr>
          <w:rFonts w:hint="eastAsia" w:ascii="微软雅黑" w:hAnsi="微软雅黑" w:eastAsia="微软雅黑"/>
          <w:lang w:val="en-US" w:eastAsia="zh-CN"/>
        </w:rPr>
      </w:pPr>
      <w:bookmarkStart w:id="2" w:name="_Toc13248928"/>
      <w:bookmarkStart w:id="3" w:name="_Toc13249325"/>
      <w:r>
        <w:rPr>
          <w:rFonts w:ascii="微软雅黑" w:hAnsi="微软雅黑" w:eastAsia="微软雅黑"/>
          <w:lang w:eastAsia="zh-CN"/>
        </w:rPr>
        <w:t>根据</w:t>
      </w:r>
      <w:r>
        <w:rPr>
          <w:rFonts w:hint="eastAsia" w:ascii="微软雅黑" w:hAnsi="微软雅黑" w:eastAsia="微软雅黑"/>
          <w:lang w:val="en-US" w:eastAsia="zh-CN"/>
        </w:rPr>
        <w:t>珠海管道公司压力管道维保业务需要，对压力管道维保服务进行采购。</w:t>
      </w:r>
    </w:p>
    <w:p>
      <w:pPr>
        <w:rPr>
          <w:rFonts w:hint="eastAsia" w:ascii="微软雅黑" w:hAnsi="微软雅黑" w:eastAsia="微软雅黑"/>
          <w:lang w:val="en-US" w:eastAsia="zh-CN"/>
        </w:rPr>
      </w:pP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479" w:lineRule="exact"/>
        <w:ind w:firstLine="642" w:firstLineChars="300"/>
        <w:textAlignment w:val="auto"/>
        <w:rPr>
          <w:rFonts w:hint="eastAsia"/>
          <w:kern w:val="0"/>
          <w:szCs w:val="32"/>
          <w:lang w:val="en-US" w:eastAsia="zh-CN" w:bidi="ar-SA"/>
        </w:rPr>
      </w:pPr>
      <w:r>
        <w:rPr>
          <w:rFonts w:hint="eastAsia" w:ascii="微软雅黑" w:hAnsi="微软雅黑" w:eastAsia="微软雅黑" w:cstheme="minorBidi"/>
          <w:spacing w:val="2"/>
          <w:kern w:val="0"/>
          <w:sz w:val="21"/>
          <w:szCs w:val="21"/>
          <w:lang w:val="en-US" w:eastAsia="zh-CN" w:bidi="ar-SA"/>
        </w:rPr>
        <w:t>本服务内容包括常规搭设脚手架、防腐、计划维修维护、应急抢修以及阀门、改造等。</w:t>
      </w:r>
    </w:p>
    <w:p>
      <w:pPr>
        <w:pStyle w:val="3"/>
      </w:pPr>
      <w:r>
        <w:t>二、</w:t>
      </w:r>
      <w:r>
        <w:rPr>
          <w:rFonts w:hint="eastAsia"/>
        </w:rPr>
        <w:t>服务</w:t>
      </w:r>
      <w:r>
        <w:t>内容和范围</w:t>
      </w:r>
      <w:bookmarkEnd w:id="2"/>
      <w:bookmarkEnd w:id="3"/>
    </w:p>
    <w:p>
      <w:pPr>
        <w:pStyle w:val="2"/>
        <w:spacing w:line="257" w:lineRule="auto"/>
        <w:ind w:right="115" w:rightChars="55" w:firstLine="199" w:firstLineChars="95"/>
        <w:rPr>
          <w:rFonts w:hint="eastAsia"/>
          <w:lang w:eastAsia="zh-CN"/>
        </w:rPr>
      </w:pPr>
      <w:r>
        <w:rPr>
          <w:rFonts w:hint="eastAsia"/>
          <w:lang w:eastAsia="zh-CN"/>
        </w:rPr>
        <w:t>1、服务内容</w:t>
      </w:r>
    </w:p>
    <w:p>
      <w:pPr>
        <w:ind w:firstLine="428" w:firstLineChars="200"/>
        <w:rPr>
          <w:lang w:eastAsia="zh-CN"/>
        </w:rPr>
      </w:pPr>
      <w:r>
        <w:rPr>
          <w:rFonts w:hint="eastAsia" w:ascii="微软雅黑" w:hAnsi="微软雅黑" w:eastAsia="微软雅黑" w:cstheme="minorBidi"/>
          <w:spacing w:val="2"/>
          <w:kern w:val="0"/>
          <w:sz w:val="21"/>
          <w:szCs w:val="21"/>
          <w:lang w:val="en-US" w:eastAsia="zh-CN" w:bidi="ar-SA"/>
        </w:rPr>
        <w:t>压力管道基本维护、防腐、应急抢修等</w:t>
      </w:r>
    </w:p>
    <w:p>
      <w:pPr>
        <w:pStyle w:val="2"/>
        <w:numPr>
          <w:ilvl w:val="0"/>
          <w:numId w:val="2"/>
        </w:numPr>
        <w:spacing w:line="257" w:lineRule="auto"/>
        <w:ind w:right="115" w:rightChars="55" w:firstLine="199" w:firstLineChars="95"/>
        <w:rPr>
          <w:rFonts w:hint="eastAsia"/>
          <w:lang w:eastAsia="zh-CN"/>
        </w:rPr>
      </w:pPr>
      <w:r>
        <w:rPr>
          <w:rFonts w:hint="eastAsia"/>
          <w:lang w:eastAsia="zh-CN"/>
        </w:rPr>
        <w:t>工作量清单</w:t>
      </w:r>
    </w:p>
    <w:p>
      <w:pPr>
        <w:rPr>
          <w:rFonts w:hint="default"/>
          <w:lang w:val="en-US" w:eastAsia="zh-CN"/>
        </w:rPr>
      </w:pPr>
      <w:r>
        <w:rPr>
          <w:rFonts w:hint="eastAsia"/>
          <w:lang w:val="en-US" w:eastAsia="zh-CN"/>
        </w:rPr>
        <w:t>2.1</w:t>
      </w:r>
    </w:p>
    <w:tbl>
      <w:tblPr>
        <w:tblStyle w:val="24"/>
        <w:tblW w:w="881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81"/>
        <w:gridCol w:w="5002"/>
        <w:gridCol w:w="90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1"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81" w:type="dxa"/>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服务项目</w:t>
            </w:r>
          </w:p>
        </w:tc>
        <w:tc>
          <w:tcPr>
            <w:tcW w:w="5002" w:type="dxa"/>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服务内容</w:t>
            </w:r>
          </w:p>
        </w:tc>
        <w:tc>
          <w:tcPr>
            <w:tcW w:w="900" w:type="dxa"/>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969" w:type="dxa"/>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61"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w:t>
            </w:r>
          </w:p>
        </w:tc>
        <w:tc>
          <w:tcPr>
            <w:tcW w:w="1281"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静电接地、跨接维修加固更换</w:t>
            </w:r>
          </w:p>
        </w:tc>
        <w:tc>
          <w:tcPr>
            <w:tcW w:w="5002"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静电接地接头更换加固，跨接线更换加固</w:t>
            </w:r>
          </w:p>
        </w:tc>
        <w:tc>
          <w:tcPr>
            <w:tcW w:w="900"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根 </w:t>
            </w:r>
          </w:p>
        </w:tc>
        <w:tc>
          <w:tcPr>
            <w:tcW w:w="969"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61"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w:t>
            </w:r>
          </w:p>
        </w:tc>
        <w:tc>
          <w:tcPr>
            <w:tcW w:w="1281"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增加管托</w:t>
            </w:r>
          </w:p>
        </w:tc>
        <w:tc>
          <w:tcPr>
            <w:tcW w:w="5002"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增加管道与管廊之间的管托，支撑管道、降低与管廊之间的摩擦系数 </w:t>
            </w:r>
          </w:p>
        </w:tc>
        <w:tc>
          <w:tcPr>
            <w:tcW w:w="900"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块 </w:t>
            </w:r>
          </w:p>
        </w:tc>
        <w:tc>
          <w:tcPr>
            <w:tcW w:w="969"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1"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w:t>
            </w:r>
          </w:p>
        </w:tc>
        <w:tc>
          <w:tcPr>
            <w:tcW w:w="1281"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更换管道标识</w:t>
            </w:r>
          </w:p>
        </w:tc>
        <w:tc>
          <w:tcPr>
            <w:tcW w:w="5002"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将旧的或者损坏的管道标识换成新标识，更好的识别管道介质和走向 </w:t>
            </w:r>
          </w:p>
        </w:tc>
        <w:tc>
          <w:tcPr>
            <w:tcW w:w="900"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张 </w:t>
            </w:r>
          </w:p>
        </w:tc>
        <w:tc>
          <w:tcPr>
            <w:tcW w:w="969"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1"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w:t>
            </w:r>
          </w:p>
        </w:tc>
        <w:tc>
          <w:tcPr>
            <w:tcW w:w="1281"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盲板拆装和换垫</w:t>
            </w:r>
          </w:p>
        </w:tc>
        <w:tc>
          <w:tcPr>
            <w:tcW w:w="5002"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拆开法兰螺栓，抽出盲板和垫片，更换合格垫片，安装盲板，回装法兰螺栓，保证无泄漏 </w:t>
            </w:r>
          </w:p>
        </w:tc>
        <w:tc>
          <w:tcPr>
            <w:tcW w:w="900"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次 </w:t>
            </w:r>
          </w:p>
        </w:tc>
        <w:tc>
          <w:tcPr>
            <w:tcW w:w="969"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1"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5</w:t>
            </w:r>
          </w:p>
        </w:tc>
        <w:tc>
          <w:tcPr>
            <w:tcW w:w="1281"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阀门拆装和换垫</w:t>
            </w:r>
          </w:p>
        </w:tc>
        <w:tc>
          <w:tcPr>
            <w:tcW w:w="5002"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拆开阀门两侧法兰螺栓，取出阀门和垫片，更换合格阀门和垫片，安装阀门，回装法兰螺栓，保证无泄漏 </w:t>
            </w:r>
          </w:p>
        </w:tc>
        <w:tc>
          <w:tcPr>
            <w:tcW w:w="900"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次 </w:t>
            </w:r>
          </w:p>
        </w:tc>
        <w:tc>
          <w:tcPr>
            <w:tcW w:w="969" w:type="dxa"/>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6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6</w:t>
            </w:r>
          </w:p>
        </w:tc>
        <w:tc>
          <w:tcPr>
            <w:tcW w:w="128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管道、阀门和管件在线消漏</w:t>
            </w:r>
          </w:p>
        </w:tc>
        <w:tc>
          <w:tcPr>
            <w:tcW w:w="5002"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通过加固法兰、增加管卡法兰卡以及压紧增加填料等手段进行在线消漏 </w:t>
            </w:r>
          </w:p>
        </w:tc>
        <w:tc>
          <w:tcPr>
            <w:tcW w:w="90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处 </w:t>
            </w:r>
          </w:p>
        </w:tc>
        <w:tc>
          <w:tcPr>
            <w:tcW w:w="96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w:t>
            </w:r>
          </w:p>
        </w:tc>
        <w:tc>
          <w:tcPr>
            <w:tcW w:w="128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紧急补漏</w:t>
            </w:r>
          </w:p>
        </w:tc>
        <w:tc>
          <w:tcPr>
            <w:tcW w:w="5002"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对管道突发泄露进行应急抢修、补漏 </w:t>
            </w:r>
          </w:p>
        </w:tc>
        <w:tc>
          <w:tcPr>
            <w:tcW w:w="90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处 </w:t>
            </w:r>
          </w:p>
        </w:tc>
        <w:tc>
          <w:tcPr>
            <w:tcW w:w="96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8</w:t>
            </w:r>
          </w:p>
        </w:tc>
        <w:tc>
          <w:tcPr>
            <w:tcW w:w="128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管道清理</w:t>
            </w:r>
          </w:p>
        </w:tc>
        <w:tc>
          <w:tcPr>
            <w:tcW w:w="5002"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包括阀门法兰拆除、接管，准备介质，提压，清理以及污物回收，管道恢复 </w:t>
            </w:r>
          </w:p>
        </w:tc>
        <w:tc>
          <w:tcPr>
            <w:tcW w:w="90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米 </w:t>
            </w:r>
          </w:p>
        </w:tc>
        <w:tc>
          <w:tcPr>
            <w:tcW w:w="96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6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9</w:t>
            </w:r>
          </w:p>
        </w:tc>
        <w:tc>
          <w:tcPr>
            <w:tcW w:w="128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打磨</w:t>
            </w:r>
          </w:p>
        </w:tc>
        <w:tc>
          <w:tcPr>
            <w:tcW w:w="5002"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检测时的焊缝打磨，焊缝两侧各100mm。管道锈蚀打磨 </w:t>
            </w:r>
          </w:p>
        </w:tc>
        <w:tc>
          <w:tcPr>
            <w:tcW w:w="90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平方米 </w:t>
            </w:r>
          </w:p>
        </w:tc>
        <w:tc>
          <w:tcPr>
            <w:tcW w:w="96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380.00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6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10</w:t>
            </w:r>
          </w:p>
        </w:tc>
        <w:tc>
          <w:tcPr>
            <w:tcW w:w="128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焊接 </w:t>
            </w:r>
          </w:p>
        </w:tc>
        <w:tc>
          <w:tcPr>
            <w:tcW w:w="5002"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管道、管件更换，加装改造 </w:t>
            </w:r>
          </w:p>
        </w:tc>
        <w:tc>
          <w:tcPr>
            <w:tcW w:w="90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道 </w:t>
            </w:r>
          </w:p>
        </w:tc>
        <w:tc>
          <w:tcPr>
            <w:tcW w:w="96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11</w:t>
            </w:r>
          </w:p>
        </w:tc>
        <w:tc>
          <w:tcPr>
            <w:tcW w:w="128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废物接收与处置 </w:t>
            </w:r>
          </w:p>
        </w:tc>
        <w:tc>
          <w:tcPr>
            <w:tcW w:w="5002"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所有施工过程中产生的污水、生活垃圾、固体废物等接收与处置，以及地面和绿化恢复，接收过程中涉及的特种车辆和工器具由服务方提供 </w:t>
            </w:r>
          </w:p>
        </w:tc>
        <w:tc>
          <w:tcPr>
            <w:tcW w:w="90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吨 </w:t>
            </w:r>
          </w:p>
        </w:tc>
        <w:tc>
          <w:tcPr>
            <w:tcW w:w="96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6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12</w:t>
            </w:r>
          </w:p>
        </w:tc>
        <w:tc>
          <w:tcPr>
            <w:tcW w:w="1281"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脚手架搭设和拆除 </w:t>
            </w:r>
          </w:p>
        </w:tc>
        <w:tc>
          <w:tcPr>
            <w:tcW w:w="5002"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施工过程中使用脚手架的搭设和拆除，脚手架的规格和施工方法应遵照国家规范 </w:t>
            </w:r>
          </w:p>
        </w:tc>
        <w:tc>
          <w:tcPr>
            <w:tcW w:w="90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立方米 </w:t>
            </w:r>
          </w:p>
        </w:tc>
        <w:tc>
          <w:tcPr>
            <w:tcW w:w="96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1985.00 </w:t>
            </w:r>
          </w:p>
        </w:tc>
      </w:tr>
    </w:tbl>
    <w:p>
      <w:pPr>
        <w:numPr>
          <w:ilvl w:val="0"/>
          <w:numId w:val="0"/>
        </w:numPr>
        <w:rPr>
          <w:lang w:eastAsia="zh-CN"/>
        </w:rPr>
      </w:pPr>
      <w:r>
        <w:rPr>
          <w:rFonts w:hint="eastAsia" w:ascii="宋体" w:hAnsi="宋体" w:eastAsia="宋体"/>
          <w:b/>
          <w:sz w:val="24"/>
          <w:lang w:val="en-US" w:eastAsia="zh-CN"/>
        </w:rPr>
        <w:t>备注：上述常规维修和抽检强检的所有材料及人员机具由乙方提供，突发应急维修、抢修所需的备品备</w:t>
      </w:r>
      <w:r>
        <w:rPr>
          <w:rFonts w:hint="eastAsia" w:ascii="宋体" w:hAnsi="宋体" w:eastAsia="宋体"/>
          <w:b/>
          <w:sz w:val="24"/>
          <w:highlight w:val="none"/>
          <w:lang w:val="en-US" w:eastAsia="zh-CN"/>
        </w:rPr>
        <w:t>件</w:t>
      </w:r>
      <w:r>
        <w:rPr>
          <w:rFonts w:hint="eastAsia" w:ascii="宋体" w:hAnsi="宋体" w:eastAsia="宋体"/>
          <w:b/>
          <w:sz w:val="24"/>
          <w:lang w:val="en-US" w:eastAsia="zh-CN"/>
        </w:rPr>
        <w:t>由乙方提供。</w:t>
      </w:r>
    </w:p>
    <w:p>
      <w:pPr>
        <w:pStyle w:val="2"/>
        <w:spacing w:line="257" w:lineRule="auto"/>
        <w:ind w:right="115" w:rightChars="55" w:firstLine="199" w:firstLineChars="95"/>
        <w:rPr>
          <w:rFonts w:hint="eastAsia"/>
          <w:lang w:eastAsia="zh-CN"/>
        </w:rPr>
      </w:pPr>
      <w:r>
        <w:rPr>
          <w:rFonts w:hint="eastAsia"/>
          <w:lang w:eastAsia="zh-CN"/>
        </w:rPr>
        <w:t>3、服务地点</w:t>
      </w:r>
    </w:p>
    <w:p>
      <w:pPr>
        <w:pStyle w:val="2"/>
        <w:numPr>
          <w:ilvl w:val="0"/>
          <w:numId w:val="0"/>
        </w:numPr>
        <w:spacing w:line="257" w:lineRule="auto"/>
        <w:ind w:right="115" w:rightChars="55"/>
        <w:rPr>
          <w:lang w:eastAsia="zh-CN"/>
        </w:rPr>
      </w:pPr>
      <w:r>
        <w:rPr>
          <w:rFonts w:hint="eastAsia"/>
          <w:lang w:val="en-US" w:eastAsia="zh-CN"/>
        </w:rPr>
        <w:t>广东省珠海市金湾区南水镇高栏港经济区三虎大道346号 海油发展珠海管道工程有限公司及</w:t>
      </w:r>
      <w:r>
        <w:rPr>
          <w:rFonts w:hint="eastAsia" w:ascii="微软雅黑" w:hAnsi="微软雅黑" w:eastAsia="微软雅黑" w:cstheme="minorBidi"/>
          <w:spacing w:val="2"/>
          <w:kern w:val="0"/>
          <w:sz w:val="21"/>
          <w:szCs w:val="21"/>
          <w:lang w:val="en-US" w:eastAsia="zh-CN" w:bidi="ar-SA"/>
        </w:rPr>
        <w:t>高栏仓储区。</w:t>
      </w:r>
    </w:p>
    <w:p>
      <w:pPr>
        <w:pStyle w:val="2"/>
        <w:numPr>
          <w:ilvl w:val="0"/>
          <w:numId w:val="0"/>
        </w:numPr>
        <w:spacing w:line="257" w:lineRule="auto"/>
        <w:ind w:leftChars="95" w:right="115" w:rightChars="55"/>
        <w:rPr>
          <w:rFonts w:hint="eastAsia"/>
          <w:lang w:eastAsia="zh-CN"/>
        </w:rPr>
      </w:pPr>
      <w:r>
        <w:rPr>
          <w:rFonts w:hint="eastAsia"/>
          <w:lang w:val="en-US" w:eastAsia="zh-CN"/>
        </w:rPr>
        <w:t>4、</w:t>
      </w:r>
      <w:r>
        <w:rPr>
          <w:rFonts w:hint="eastAsia"/>
          <w:lang w:eastAsia="zh-CN"/>
        </w:rPr>
        <w:t>服务期限</w:t>
      </w:r>
    </w:p>
    <w:p>
      <w:pPr>
        <w:numPr>
          <w:ilvl w:val="0"/>
          <w:numId w:val="0"/>
        </w:numPr>
        <w:ind w:leftChars="95"/>
        <w:rPr>
          <w:lang w:eastAsia="zh-CN"/>
        </w:rPr>
      </w:pPr>
      <w:r>
        <w:rPr>
          <w:rFonts w:hint="eastAsia" w:ascii="微软雅黑" w:hAnsi="微软雅黑" w:eastAsia="微软雅黑"/>
          <w:lang w:val="en-US" w:eastAsia="zh-CN"/>
        </w:rPr>
        <w:t>2024-2025年度珠海管道公司</w:t>
      </w:r>
      <w:r>
        <w:rPr>
          <w:rFonts w:hint="eastAsia" w:ascii="微软雅黑" w:hAnsi="微软雅黑" w:eastAsia="微软雅黑" w:cstheme="minorBidi"/>
          <w:spacing w:val="2"/>
          <w:kern w:val="0"/>
          <w:sz w:val="21"/>
          <w:szCs w:val="21"/>
          <w:lang w:val="en-US" w:eastAsia="zh-CN" w:bidi="ar-SA"/>
        </w:rPr>
        <w:t>压力管道维保</w:t>
      </w:r>
    </w:p>
    <w:p>
      <w:pPr>
        <w:pStyle w:val="3"/>
      </w:pPr>
      <w:bookmarkStart w:id="4" w:name="_Toc13248929"/>
      <w:bookmarkStart w:id="5" w:name="_Toc13249326"/>
      <w:r>
        <w:t>三、执行标准</w:t>
      </w:r>
      <w:r>
        <w:rPr>
          <w:rFonts w:hint="eastAsia"/>
        </w:rPr>
        <w:t>/规范</w:t>
      </w:r>
    </w:p>
    <w:p>
      <w:pPr>
        <w:pStyle w:val="2"/>
        <w:spacing w:line="257" w:lineRule="auto"/>
        <w:ind w:right="115" w:rightChars="55" w:firstLine="199" w:firstLineChars="95"/>
        <w:jc w:val="both"/>
        <w:rPr>
          <w:rFonts w:hint="eastAsia" w:ascii="微软雅黑" w:hAnsi="微软雅黑" w:eastAsia="微软雅黑" w:cs="微软雅黑"/>
          <w:kern w:val="0"/>
          <w:szCs w:val="21"/>
          <w:lang w:val="en-US" w:eastAsia="zh-CN" w:bidi="ar-SA"/>
        </w:rPr>
      </w:pPr>
      <w:r>
        <w:rPr>
          <w:rFonts w:hint="eastAsia" w:ascii="微软雅黑" w:hAnsi="微软雅黑" w:eastAsia="微软雅黑" w:cs="微软雅黑"/>
          <w:kern w:val="0"/>
          <w:szCs w:val="21"/>
          <w:lang w:val="en-US" w:eastAsia="zh-CN" w:bidi="ar-SA"/>
        </w:rPr>
        <w:t>《石油化工设备维护检修规程》</w:t>
      </w:r>
    </w:p>
    <w:p>
      <w:pPr>
        <w:pStyle w:val="2"/>
        <w:spacing w:line="257" w:lineRule="auto"/>
        <w:ind w:right="115" w:rightChars="55" w:firstLine="199" w:firstLineChars="95"/>
        <w:jc w:val="both"/>
        <w:rPr>
          <w:rFonts w:hint="eastAsia" w:ascii="微软雅黑" w:hAnsi="微软雅黑" w:eastAsia="微软雅黑" w:cs="微软雅黑"/>
          <w:kern w:val="0"/>
          <w:szCs w:val="21"/>
          <w:lang w:val="en-US" w:eastAsia="zh-CN" w:bidi="ar-SA"/>
        </w:rPr>
      </w:pPr>
      <w:r>
        <w:rPr>
          <w:rFonts w:hint="eastAsia" w:ascii="微软雅黑" w:hAnsi="微软雅黑" w:eastAsia="微软雅黑" w:cs="微软雅黑"/>
          <w:kern w:val="0"/>
          <w:szCs w:val="21"/>
          <w:lang w:val="en-US" w:eastAsia="zh-CN" w:bidi="ar-SA"/>
        </w:rPr>
        <w:t>《油气输送管道完整性管理规范》</w:t>
      </w:r>
    </w:p>
    <w:p>
      <w:pPr>
        <w:pStyle w:val="2"/>
        <w:spacing w:line="257" w:lineRule="auto"/>
        <w:ind w:right="115" w:rightChars="55" w:firstLine="199" w:firstLineChars="95"/>
        <w:jc w:val="both"/>
        <w:rPr>
          <w:rFonts w:hint="eastAsia" w:ascii="微软雅黑" w:hAnsi="微软雅黑" w:eastAsia="微软雅黑" w:cs="微软雅黑"/>
          <w:kern w:val="0"/>
          <w:szCs w:val="21"/>
          <w:lang w:val="en-US" w:eastAsia="zh-CN" w:bidi="ar-SA"/>
        </w:rPr>
      </w:pPr>
      <w:r>
        <w:rPr>
          <w:rFonts w:hint="eastAsia" w:ascii="微软雅黑" w:hAnsi="微软雅黑" w:eastAsia="微软雅黑" w:cs="微软雅黑"/>
          <w:kern w:val="0"/>
          <w:szCs w:val="21"/>
          <w:lang w:val="en-US" w:eastAsia="zh-CN" w:bidi="ar-SA"/>
        </w:rPr>
        <w:t xml:space="preserve">《石油化工工程钢脚手架搭设安全技术规范》SH/T 3555-2014 </w:t>
      </w:r>
    </w:p>
    <w:p>
      <w:pPr>
        <w:pStyle w:val="2"/>
        <w:spacing w:line="257" w:lineRule="auto"/>
        <w:ind w:right="115" w:rightChars="55" w:firstLine="199" w:firstLineChars="95"/>
        <w:jc w:val="both"/>
        <w:rPr>
          <w:rFonts w:hint="eastAsia" w:ascii="微软雅黑" w:hAnsi="微软雅黑" w:eastAsia="微软雅黑" w:cs="微软雅黑"/>
          <w:kern w:val="0"/>
          <w:szCs w:val="21"/>
          <w:lang w:val="en-US" w:eastAsia="zh-CN" w:bidi="ar-SA"/>
        </w:rPr>
      </w:pPr>
      <w:r>
        <w:rPr>
          <w:rFonts w:hint="eastAsia" w:ascii="微软雅黑" w:hAnsi="微软雅黑" w:eastAsia="微软雅黑" w:cs="微软雅黑"/>
          <w:kern w:val="0"/>
          <w:szCs w:val="21"/>
          <w:lang w:val="en-US" w:eastAsia="zh-CN" w:bidi="ar-SA"/>
        </w:rPr>
        <w:t>《现场设备、工业管道焊接工程施工规范》GB50236</w:t>
      </w:r>
    </w:p>
    <w:p>
      <w:pPr>
        <w:pStyle w:val="2"/>
        <w:spacing w:line="257" w:lineRule="auto"/>
        <w:ind w:right="115" w:rightChars="55" w:firstLine="199" w:firstLineChars="95"/>
        <w:jc w:val="both"/>
        <w:rPr>
          <w:rFonts w:hint="eastAsia" w:ascii="微软雅黑" w:hAnsi="微软雅黑" w:eastAsia="微软雅黑" w:cs="微软雅黑"/>
          <w:kern w:val="0"/>
          <w:szCs w:val="21"/>
          <w:lang w:val="en-US" w:eastAsia="zh-CN" w:bidi="ar-SA"/>
        </w:rPr>
      </w:pPr>
      <w:r>
        <w:rPr>
          <w:rFonts w:hint="eastAsia" w:ascii="微软雅黑" w:hAnsi="微软雅黑" w:eastAsia="微软雅黑" w:cs="微软雅黑"/>
          <w:kern w:val="0"/>
          <w:szCs w:val="21"/>
          <w:lang w:val="en-US" w:eastAsia="zh-CN" w:bidi="ar-SA"/>
        </w:rPr>
        <w:t>《接地装置安装》03D501-4</w:t>
      </w:r>
    </w:p>
    <w:p>
      <w:pPr>
        <w:pStyle w:val="2"/>
        <w:spacing w:line="257" w:lineRule="auto"/>
        <w:ind w:right="115" w:rightChars="55" w:firstLine="199" w:firstLineChars="95"/>
        <w:jc w:val="both"/>
        <w:rPr>
          <w:rFonts w:hint="eastAsia" w:ascii="微软雅黑" w:hAnsi="微软雅黑" w:eastAsia="微软雅黑" w:cs="微软雅黑"/>
          <w:kern w:val="0"/>
          <w:szCs w:val="21"/>
          <w:lang w:val="en-US" w:eastAsia="zh-CN" w:bidi="ar-SA"/>
        </w:rPr>
      </w:pPr>
      <w:r>
        <w:rPr>
          <w:rFonts w:hint="eastAsia" w:ascii="微软雅黑" w:hAnsi="微软雅黑" w:eastAsia="微软雅黑" w:cs="微软雅黑"/>
          <w:kern w:val="0"/>
          <w:szCs w:val="21"/>
          <w:lang w:val="en-US" w:eastAsia="zh-CN" w:bidi="ar-SA"/>
        </w:rPr>
        <w:t>《石油化工静电接地设计规范》SH3097</w:t>
      </w:r>
    </w:p>
    <w:p>
      <w:pPr>
        <w:pStyle w:val="2"/>
        <w:spacing w:line="257" w:lineRule="auto"/>
        <w:ind w:right="115" w:rightChars="55" w:firstLine="199" w:firstLineChars="95"/>
        <w:jc w:val="both"/>
        <w:rPr>
          <w:rFonts w:hint="eastAsia" w:ascii="微软雅黑" w:hAnsi="微软雅黑" w:eastAsia="微软雅黑" w:cs="微软雅黑"/>
          <w:kern w:val="0"/>
          <w:szCs w:val="21"/>
          <w:lang w:val="en-US" w:eastAsia="zh-CN" w:bidi="ar-SA"/>
        </w:rPr>
      </w:pPr>
      <w:r>
        <w:rPr>
          <w:rFonts w:hint="eastAsia" w:ascii="微软雅黑" w:hAnsi="微软雅黑" w:eastAsia="微软雅黑" w:cs="微软雅黑"/>
          <w:kern w:val="0"/>
          <w:szCs w:val="21"/>
          <w:lang w:val="en-US" w:eastAsia="zh-CN" w:bidi="ar-SA"/>
        </w:rPr>
        <w:t>《压力管道定期检验规则——工业管道》TSG D7005-2018</w:t>
      </w:r>
    </w:p>
    <w:p>
      <w:pPr>
        <w:pStyle w:val="2"/>
        <w:spacing w:line="257" w:lineRule="auto"/>
        <w:ind w:right="115" w:rightChars="55" w:firstLine="199" w:firstLineChars="95"/>
        <w:jc w:val="both"/>
        <w:rPr>
          <w:rFonts w:hint="eastAsia"/>
          <w:lang w:val="en-US" w:eastAsia="zh-CN"/>
        </w:rPr>
      </w:pPr>
      <w:r>
        <w:rPr>
          <w:rFonts w:hint="eastAsia" w:ascii="微软雅黑" w:hAnsi="微软雅黑" w:eastAsia="微软雅黑" w:cs="微软雅黑"/>
          <w:kern w:val="0"/>
          <w:szCs w:val="21"/>
          <w:lang w:val="en-US" w:eastAsia="zh-CN" w:bidi="ar-SA"/>
        </w:rPr>
        <w:t>《压力管道监督检验规则》TSG D7006-2020</w:t>
      </w:r>
    </w:p>
    <w:p>
      <w:pPr>
        <w:pStyle w:val="3"/>
      </w:pPr>
      <w:r>
        <w:rPr>
          <w:rFonts w:hint="eastAsia"/>
        </w:rPr>
        <w:t>四、服务要求</w:t>
      </w:r>
    </w:p>
    <w:p>
      <w:pPr>
        <w:pStyle w:val="2"/>
        <w:spacing w:line="257" w:lineRule="auto"/>
        <w:ind w:right="115" w:rightChars="55" w:firstLine="199" w:firstLineChars="95"/>
        <w:rPr>
          <w:rFonts w:hint="eastAsia"/>
          <w:lang w:eastAsia="zh-CN"/>
        </w:rPr>
      </w:pPr>
      <w:r>
        <w:rPr>
          <w:rFonts w:hint="eastAsia"/>
          <w:lang w:val="en-US" w:eastAsia="zh-CN"/>
        </w:rPr>
        <w:t>1</w:t>
      </w:r>
      <w:r>
        <w:rPr>
          <w:rFonts w:hint="eastAsia"/>
          <w:lang w:eastAsia="zh-CN"/>
        </w:rPr>
        <w:t>、</w:t>
      </w:r>
      <w:r>
        <w:rPr>
          <w:lang w:eastAsia="zh-CN"/>
        </w:rPr>
        <w:t>设计</w:t>
      </w:r>
      <w:r>
        <w:rPr>
          <w:rFonts w:hint="eastAsia"/>
          <w:lang w:eastAsia="zh-CN"/>
        </w:rPr>
        <w:t>/施工方案要求：</w:t>
      </w:r>
    </w:p>
    <w:p>
      <w:pPr>
        <w:pStyle w:val="2"/>
        <w:spacing w:line="257" w:lineRule="auto"/>
        <w:ind w:left="0" w:leftChars="0" w:right="115" w:rightChars="55" w:firstLine="0" w:firstLineChars="0"/>
        <w:rPr>
          <w:rFonts w:hint="eastAsia" w:ascii="微软雅黑" w:hAnsi="微软雅黑" w:eastAsia="微软雅黑" w:cs="微软雅黑"/>
          <w:lang w:eastAsia="zh-CN"/>
        </w:rPr>
      </w:pPr>
      <w:r>
        <w:rPr>
          <w:rFonts w:hint="eastAsia" w:ascii="微软雅黑" w:hAnsi="微软雅黑" w:eastAsia="微软雅黑" w:cs="微软雅黑"/>
          <w:lang w:val="en-US" w:eastAsia="zh-CN"/>
        </w:rPr>
        <w:t>1</w:t>
      </w:r>
      <w:r>
        <w:rPr>
          <w:rFonts w:hint="eastAsia" w:ascii="微软雅黑" w:hAnsi="微软雅黑" w:eastAsia="微软雅黑" w:cs="微软雅黑"/>
          <w:lang w:eastAsia="zh-CN"/>
        </w:rPr>
        <w:t xml:space="preserve">.1 </w:t>
      </w:r>
      <w:r>
        <w:rPr>
          <w:rFonts w:hint="eastAsia" w:ascii="微软雅黑" w:hAnsi="微软雅黑" w:eastAsia="微软雅黑" w:cs="微软雅黑"/>
          <w:lang w:val="en-US" w:eastAsia="zh-CN"/>
        </w:rPr>
        <w:t>应编写管道维修检修、漏油抢修、管道设施防腐、管道油污清理、搭设脚手架、高空车辆等服务方案，服务</w:t>
      </w:r>
      <w:r>
        <w:rPr>
          <w:rFonts w:hint="eastAsia" w:ascii="微软雅黑" w:hAnsi="微软雅黑" w:eastAsia="微软雅黑" w:cs="微软雅黑"/>
          <w:lang w:eastAsia="zh-CN"/>
        </w:rPr>
        <w:t>方案里应包括但不限于</w:t>
      </w:r>
      <w:r>
        <w:rPr>
          <w:rFonts w:hint="eastAsia" w:ascii="微软雅黑" w:hAnsi="微软雅黑" w:eastAsia="微软雅黑" w:cstheme="minorBidi"/>
          <w:spacing w:val="2"/>
          <w:kern w:val="0"/>
          <w:sz w:val="21"/>
          <w:szCs w:val="21"/>
          <w:lang w:val="en-US" w:eastAsia="zh-CN" w:bidi="ar-SA"/>
        </w:rPr>
        <w:t>管道简介、服务的工作范围及内容、检维修内容和管理规定、服务工作的质量标准和要求、保运组织机构设置与人员配置，管道及附件维护维修主要机械、设备、工器具配置，管道及附件维护维修文明施工管理、维护维修程序</w:t>
      </w:r>
      <w:r>
        <w:rPr>
          <w:rFonts w:hint="eastAsia" w:ascii="微软雅黑" w:hAnsi="微软雅黑" w:eastAsia="微软雅黑" w:cs="微软雅黑"/>
          <w:lang w:val="en-US" w:eastAsia="zh-CN"/>
        </w:rPr>
        <w:t>（分为日常维护、计划维修、应急抢修等）</w:t>
      </w:r>
      <w:r>
        <w:rPr>
          <w:rFonts w:hint="eastAsia" w:ascii="微软雅黑" w:hAnsi="微软雅黑" w:eastAsia="微软雅黑" w:cstheme="minorBidi"/>
          <w:spacing w:val="2"/>
          <w:kern w:val="0"/>
          <w:sz w:val="21"/>
          <w:szCs w:val="21"/>
          <w:lang w:val="en-US" w:eastAsia="zh-CN" w:bidi="ar-SA"/>
        </w:rPr>
        <w:t>及HSE的管理等</w:t>
      </w:r>
      <w:r>
        <w:rPr>
          <w:rFonts w:hint="eastAsia" w:ascii="微软雅黑" w:hAnsi="微软雅黑" w:eastAsia="微软雅黑" w:cs="微软雅黑"/>
          <w:lang w:eastAsia="zh-CN"/>
        </w:rPr>
        <w:t>。</w:t>
      </w:r>
    </w:p>
    <w:p>
      <w:pPr>
        <w:pStyle w:val="2"/>
        <w:spacing w:line="257" w:lineRule="auto"/>
        <w:ind w:left="0" w:leftChars="0" w:right="115" w:rightChars="55" w:firstLine="0" w:firstLineChars="0"/>
        <w:rPr>
          <w:rFonts w:hint="eastAsia" w:ascii="微软雅黑" w:hAnsi="微软雅黑" w:eastAsia="微软雅黑" w:cs="微软雅黑"/>
          <w:lang w:eastAsia="zh-CN"/>
        </w:rPr>
      </w:pPr>
      <w:r>
        <w:rPr>
          <w:rFonts w:hint="eastAsia" w:ascii="微软雅黑" w:hAnsi="微软雅黑" w:eastAsia="微软雅黑" w:cs="微软雅黑"/>
          <w:lang w:val="en-US" w:eastAsia="zh-CN"/>
        </w:rPr>
        <w:t>1</w:t>
      </w:r>
      <w:r>
        <w:rPr>
          <w:rFonts w:hint="eastAsia" w:ascii="微软雅黑" w:hAnsi="微软雅黑" w:eastAsia="微软雅黑" w:cs="微软雅黑"/>
          <w:lang w:eastAsia="zh-CN"/>
        </w:rPr>
        <w:t>.2 管理措施内容</w:t>
      </w:r>
      <w:r>
        <w:rPr>
          <w:rFonts w:hint="eastAsia" w:ascii="微软雅黑" w:hAnsi="微软雅黑" w:eastAsia="微软雅黑" w:cs="微软雅黑"/>
          <w:lang w:val="en-US" w:eastAsia="zh-CN"/>
        </w:rPr>
        <w:t>应</w:t>
      </w:r>
      <w:r>
        <w:rPr>
          <w:rFonts w:hint="eastAsia" w:ascii="微软雅黑" w:hAnsi="微软雅黑" w:eastAsia="微软雅黑" w:cs="微软雅黑"/>
          <w:lang w:eastAsia="zh-CN"/>
        </w:rPr>
        <w:t>包括</w:t>
      </w:r>
      <w:r>
        <w:rPr>
          <w:rFonts w:hint="eastAsia" w:ascii="微软雅黑" w:hAnsi="微软雅黑" w:eastAsia="微软雅黑" w:cs="微软雅黑"/>
          <w:lang w:val="en-US" w:eastAsia="zh-CN"/>
        </w:rPr>
        <w:t>维护维修</w:t>
      </w:r>
      <w:r>
        <w:rPr>
          <w:rFonts w:hint="eastAsia" w:ascii="微软雅黑" w:hAnsi="微软雅黑" w:eastAsia="微软雅黑" w:cs="微软雅黑"/>
          <w:lang w:eastAsia="zh-CN"/>
        </w:rPr>
        <w:t>管理措施、安全</w:t>
      </w:r>
      <w:r>
        <w:rPr>
          <w:rFonts w:hint="eastAsia" w:ascii="微软雅黑" w:hAnsi="微软雅黑" w:eastAsia="微软雅黑" w:cs="微软雅黑"/>
          <w:lang w:val="en-US" w:eastAsia="zh-CN"/>
        </w:rPr>
        <w:t>环保</w:t>
      </w:r>
      <w:r>
        <w:rPr>
          <w:rFonts w:hint="eastAsia" w:ascii="微软雅黑" w:hAnsi="微软雅黑" w:eastAsia="微软雅黑" w:cs="微软雅黑"/>
          <w:lang w:eastAsia="zh-CN"/>
        </w:rPr>
        <w:t>保证措施以及应急管理措施。</w:t>
      </w:r>
    </w:p>
    <w:p>
      <w:pPr>
        <w:rPr>
          <w:lang w:eastAsia="zh-CN"/>
        </w:rPr>
      </w:pPr>
      <w:r>
        <w:rPr>
          <w:rFonts w:hint="eastAsia" w:ascii="微软雅黑" w:hAnsi="微软雅黑" w:eastAsia="微软雅黑" w:cs="微软雅黑"/>
          <w:lang w:val="en-US" w:eastAsia="zh-CN"/>
        </w:rPr>
        <w:t>1</w:t>
      </w:r>
      <w:r>
        <w:rPr>
          <w:rFonts w:hint="eastAsia" w:ascii="微软雅黑" w:hAnsi="微软雅黑" w:eastAsia="微软雅黑" w:cs="微软雅黑"/>
          <w:lang w:eastAsia="zh-CN"/>
        </w:rPr>
        <w:t>.3 应明确具体的质量管理措施、工期保证</w:t>
      </w:r>
      <w:r>
        <w:rPr>
          <w:rFonts w:hint="eastAsia" w:ascii="微软雅黑" w:hAnsi="微软雅黑" w:eastAsia="微软雅黑" w:cs="微软雅黑"/>
          <w:lang w:val="en-US" w:eastAsia="zh-CN"/>
        </w:rPr>
        <w:t>及考核</w:t>
      </w:r>
      <w:r>
        <w:rPr>
          <w:rFonts w:hint="eastAsia" w:ascii="微软雅黑" w:hAnsi="微软雅黑" w:eastAsia="微软雅黑" w:cs="微软雅黑"/>
          <w:lang w:eastAsia="zh-CN"/>
        </w:rPr>
        <w:t>措施。</w:t>
      </w:r>
    </w:p>
    <w:p>
      <w:pPr>
        <w:pStyle w:val="2"/>
        <w:spacing w:line="257" w:lineRule="auto"/>
        <w:ind w:right="115" w:rightChars="55" w:firstLine="210" w:firstLineChars="100"/>
        <w:rPr>
          <w:rFonts w:hint="eastAsia"/>
          <w:lang w:eastAsia="zh-CN"/>
        </w:rPr>
      </w:pPr>
      <w:r>
        <w:rPr>
          <w:rFonts w:hint="eastAsia"/>
          <w:lang w:val="en-US" w:eastAsia="zh-CN"/>
        </w:rPr>
        <w:t>2</w:t>
      </w:r>
      <w:r>
        <w:rPr>
          <w:rFonts w:hint="eastAsia"/>
          <w:lang w:eastAsia="zh-CN"/>
        </w:rPr>
        <w:t>、</w:t>
      </w:r>
      <w:r>
        <w:rPr>
          <w:lang w:eastAsia="zh-CN"/>
        </w:rPr>
        <w:t>服务具体要求</w:t>
      </w:r>
      <w:r>
        <w:rPr>
          <w:rFonts w:hint="eastAsia"/>
          <w:lang w:eastAsia="zh-CN"/>
        </w:rPr>
        <w:t>：</w:t>
      </w:r>
    </w:p>
    <w:p>
      <w:pPr>
        <w:pStyle w:val="2"/>
        <w:spacing w:line="257" w:lineRule="auto"/>
        <w:ind w:right="115" w:rightChars="55" w:firstLine="210" w:firstLineChars="100"/>
        <w:rPr>
          <w:rFonts w:hint="eastAsia"/>
          <w:lang w:eastAsia="zh-CN"/>
        </w:rPr>
      </w:pPr>
      <w:r>
        <w:rPr>
          <w:rFonts w:hint="eastAsia"/>
          <w:lang w:eastAsia="zh-CN"/>
        </w:rPr>
        <w:t>服务需要达到的技术参数和具体要求，如人员要求、技术要求、现场管理要求、质量要求、HSE要求。</w:t>
      </w:r>
    </w:p>
    <w:p>
      <w:pPr>
        <w:pStyle w:val="2"/>
        <w:spacing w:line="257" w:lineRule="auto"/>
        <w:ind w:left="0"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r>
        <w:rPr>
          <w:rFonts w:hint="eastAsia" w:ascii="微软雅黑" w:hAnsi="微软雅黑" w:eastAsia="微软雅黑" w:cs="微软雅黑"/>
          <w:lang w:eastAsia="zh-CN"/>
        </w:rPr>
        <w:t>.1 人员</w:t>
      </w:r>
      <w:r>
        <w:rPr>
          <w:rFonts w:hint="eastAsia" w:ascii="微软雅黑" w:hAnsi="微软雅黑" w:eastAsia="微软雅黑" w:cs="微软雅黑"/>
          <w:lang w:val="en-US" w:eastAsia="zh-CN"/>
        </w:rPr>
        <w:t>要求：</w:t>
      </w:r>
    </w:p>
    <w:p>
      <w:pPr>
        <w:pStyle w:val="2"/>
        <w:spacing w:line="257" w:lineRule="auto"/>
        <w:ind w:left="0"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2.1.1现场施工人员应取得相应的资格证书；</w:t>
      </w:r>
    </w:p>
    <w:p>
      <w:pPr>
        <w:pStyle w:val="2"/>
        <w:spacing w:line="257" w:lineRule="auto"/>
        <w:ind w:left="0"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2.1.2身体健康无基础疾病；</w:t>
      </w:r>
    </w:p>
    <w:p>
      <w:pPr>
        <w:pStyle w:val="2"/>
        <w:spacing w:line="257" w:lineRule="auto"/>
        <w:ind w:left="0"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 技术要求：</w:t>
      </w:r>
    </w:p>
    <w:p>
      <w:pPr>
        <w:pStyle w:val="2"/>
        <w:spacing w:line="257" w:lineRule="auto"/>
        <w:ind w:left="0"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2.2.1日常维护维修要求：</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2.2.1.1建立24小时值班制度。接到维修任务后，维护人员应在30分钟内携带常用检修工具到达现场进行诊断分析，并根据工作量按规定办理库区相关手续、开好作业许可和做好检修准备工作；同时，维保负责人接到工作量较大维护维修任务后，根据实际情况，60分钟内组织人员机具到达现场，开始接手处理现场维护人员没处理完成的问题。    </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2.2.1.2对重要故障处理，维保须提供故障处理方案并经</w:t>
      </w:r>
      <w:r>
        <w:rPr>
          <w:rFonts w:hint="eastAsia" w:ascii="微软雅黑" w:hAnsi="微软雅黑" w:eastAsia="微软雅黑" w:cs="微软雅黑"/>
          <w:highlight w:val="none"/>
          <w:lang w:val="en-US" w:eastAsia="zh-CN"/>
        </w:rPr>
        <w:t>甲方、设施归属方</w:t>
      </w:r>
      <w:r>
        <w:rPr>
          <w:rFonts w:hint="eastAsia" w:ascii="微软雅黑" w:hAnsi="微软雅黑" w:eastAsia="微软雅黑" w:cs="微软雅黑"/>
          <w:lang w:val="en-US" w:eastAsia="zh-CN"/>
        </w:rPr>
        <w:t>及相关部门审批后方可进行作业。</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2.2.1.3维保对故障处理必须统一调度、合理安排，按规定时间完成任务，能保证24小时连续维修作业。</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2.2.1.4故障处理完后，要及时清理现场，污水及被污染的土壤要收集处理，做到“工完料尽场地清”。</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2.2.1.5管道相关密封点泄漏率经常保持在0.03%以下，完好率在98%以上。</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2.2.1.6采取有效措施，保证管道主体整洁，管件及附件齐全好用。</w:t>
      </w:r>
    </w:p>
    <w:p>
      <w:pPr>
        <w:pStyle w:val="2"/>
        <w:numPr>
          <w:ilvl w:val="0"/>
          <w:numId w:val="0"/>
        </w:numPr>
        <w:spacing w:line="257" w:lineRule="auto"/>
        <w:ind w:leftChars="0" w:right="115" w:rightChars="55"/>
        <w:rPr>
          <w:rFonts w:hint="default" w:ascii="微软雅黑" w:hAnsi="微软雅黑" w:eastAsia="微软雅黑" w:cs="微软雅黑"/>
          <w:b/>
          <w:bCs/>
          <w:lang w:val="en-US" w:eastAsia="zh-CN"/>
        </w:rPr>
      </w:pPr>
      <w:r>
        <w:rPr>
          <w:rFonts w:hint="eastAsia" w:ascii="微软雅黑" w:hAnsi="微软雅黑" w:eastAsia="微软雅黑" w:cs="微软雅黑"/>
          <w:lang w:val="en-US" w:eastAsia="zh-CN"/>
        </w:rPr>
        <w:t>2.2.1.7乙方应配合高栏港经济区指定的第三方（繁安安全技术服务（珠海）有限公司，（以下简称：“繁安公司”））监管管理的安全要求，同时乙方应支付繁安公司本项目安全管理及资料审核费用5000元，及提交押金（押金5000元）（押金由乙方自行提交和申请退回）。</w:t>
      </w:r>
    </w:p>
    <w:p>
      <w:pPr>
        <w:pStyle w:val="2"/>
        <w:spacing w:line="257" w:lineRule="auto"/>
        <w:ind w:left="0" w:leftChars="0" w:right="115" w:rightChars="55" w:firstLine="0" w:firstLineChars="0"/>
        <w:rPr>
          <w:rFonts w:hint="eastAsia" w:ascii="微软雅黑" w:hAnsi="微软雅黑" w:eastAsia="微软雅黑" w:cs="微软雅黑"/>
          <w:strike w:val="0"/>
          <w:dstrike w:val="0"/>
          <w:color w:val="0000FF"/>
          <w:lang w:val="en-US" w:eastAsia="zh-CN"/>
        </w:rPr>
      </w:pPr>
      <w:r>
        <w:rPr>
          <w:rFonts w:hint="eastAsia" w:ascii="微软雅黑" w:hAnsi="微软雅黑" w:eastAsia="微软雅黑" w:cs="微软雅黑"/>
          <w:strike w:val="0"/>
          <w:dstrike w:val="0"/>
          <w:color w:val="auto"/>
          <w:lang w:val="en-US" w:eastAsia="zh-CN"/>
        </w:rPr>
        <w:t>2.2.2搭设脚手架要求</w:t>
      </w:r>
      <w:r>
        <w:rPr>
          <w:rFonts w:hint="eastAsia" w:ascii="微软雅黑" w:hAnsi="微软雅黑" w:eastAsia="微软雅黑" w:cs="微软雅黑"/>
          <w:strike w:val="0"/>
          <w:dstrike w:val="0"/>
          <w:color w:val="0000FF"/>
          <w:lang w:val="en-US" w:eastAsia="zh-CN"/>
        </w:rPr>
        <w:t>：</w:t>
      </w:r>
    </w:p>
    <w:p>
      <w:pPr>
        <w:pStyle w:val="67"/>
        <w:spacing w:line="420" w:lineRule="auto"/>
        <w:ind w:firstLine="315" w:firstLineChars="150"/>
        <w:rPr>
          <w:rFonts w:ascii="Microsoft YaHei UI" w:hAnsi="Microsoft YaHei UI" w:eastAsia="Microsoft YaHei UI" w:cstheme="minorBidi"/>
          <w:kern w:val="0"/>
          <w:szCs w:val="21"/>
        </w:rPr>
      </w:pPr>
      <w:r>
        <w:rPr>
          <w:rFonts w:hint="eastAsia" w:ascii="Microsoft YaHei UI" w:hAnsi="Microsoft YaHei UI" w:eastAsia="Microsoft YaHei UI" w:cstheme="minorBidi"/>
          <w:kern w:val="0"/>
          <w:szCs w:val="21"/>
          <w:lang w:val="en-US" w:eastAsia="zh-CN"/>
        </w:rPr>
        <w:t>2.2.2.1</w:t>
      </w:r>
      <w:r>
        <w:rPr>
          <w:rFonts w:hint="eastAsia" w:ascii="Microsoft YaHei UI" w:hAnsi="Microsoft YaHei UI" w:eastAsia="Microsoft YaHei UI" w:cstheme="minorBidi"/>
          <w:kern w:val="0"/>
          <w:szCs w:val="21"/>
        </w:rPr>
        <w:t>鉴于管廊地面不平，本次脚手架搭设工序，对于原来管廊地面进行平整，清理后进行脚手架搭设，需按照施工方案进行。　　</w:t>
      </w:r>
    </w:p>
    <w:p>
      <w:pPr>
        <w:pStyle w:val="67"/>
        <w:spacing w:line="420" w:lineRule="auto"/>
        <w:ind w:firstLine="315" w:firstLineChars="150"/>
        <w:rPr>
          <w:rFonts w:ascii="Microsoft YaHei UI" w:hAnsi="Microsoft YaHei UI" w:eastAsia="Microsoft YaHei UI" w:cstheme="minorBidi"/>
          <w:kern w:val="0"/>
          <w:szCs w:val="21"/>
        </w:rPr>
      </w:pPr>
      <w:r>
        <w:rPr>
          <w:rFonts w:hint="eastAsia" w:ascii="Microsoft YaHei UI" w:hAnsi="Microsoft YaHei UI" w:eastAsia="Microsoft YaHei UI" w:cstheme="minorBidi"/>
          <w:kern w:val="0"/>
          <w:szCs w:val="21"/>
          <w:lang w:val="en-US" w:eastAsia="zh-CN"/>
        </w:rPr>
        <w:t>2.2.2.2</w:t>
      </w:r>
      <w:r>
        <w:rPr>
          <w:rFonts w:hint="eastAsia" w:ascii="Microsoft YaHei UI" w:hAnsi="Microsoft YaHei UI" w:eastAsia="Microsoft YaHei UI" w:cstheme="minorBidi"/>
          <w:kern w:val="0"/>
          <w:szCs w:val="21"/>
        </w:rPr>
        <w:t xml:space="preserve">脚手架搭设前需确定施工区域需甲方确认，搭设脚手架需安全牢固及辅助施工要求。 </w:t>
      </w:r>
    </w:p>
    <w:p>
      <w:pPr>
        <w:pStyle w:val="67"/>
        <w:spacing w:line="420" w:lineRule="auto"/>
        <w:ind w:firstLine="315" w:firstLineChars="150"/>
        <w:rPr>
          <w:rFonts w:ascii="Microsoft YaHei UI" w:hAnsi="Microsoft YaHei UI" w:eastAsia="Microsoft YaHei UI" w:cstheme="minorBidi"/>
          <w:kern w:val="0"/>
          <w:szCs w:val="21"/>
        </w:rPr>
      </w:pPr>
      <w:r>
        <w:rPr>
          <w:rFonts w:hint="eastAsia" w:ascii="Microsoft YaHei UI" w:hAnsi="Microsoft YaHei UI" w:eastAsia="Microsoft YaHei UI" w:cstheme="minorBidi"/>
          <w:kern w:val="0"/>
          <w:szCs w:val="21"/>
          <w:lang w:val="en-US" w:eastAsia="zh-CN"/>
        </w:rPr>
        <w:t>2.2.2.3</w:t>
      </w:r>
      <w:r>
        <w:rPr>
          <w:rFonts w:hint="eastAsia" w:ascii="Microsoft YaHei UI" w:hAnsi="Microsoft YaHei UI" w:eastAsia="Microsoft YaHei UI" w:cstheme="minorBidi"/>
          <w:kern w:val="0"/>
          <w:szCs w:val="21"/>
        </w:rPr>
        <w:t>施工材料由施工乙方方自行采购、合格证、检验报告、经建设单位认可合格后方可使用。</w:t>
      </w:r>
    </w:p>
    <w:p>
      <w:pPr>
        <w:pStyle w:val="67"/>
        <w:spacing w:line="420" w:lineRule="auto"/>
        <w:ind w:firstLine="315" w:firstLineChars="150"/>
        <w:rPr>
          <w:rFonts w:ascii="Microsoft YaHei UI" w:hAnsi="Microsoft YaHei UI" w:eastAsia="Microsoft YaHei UI" w:cstheme="minorBidi"/>
          <w:kern w:val="0"/>
          <w:szCs w:val="21"/>
        </w:rPr>
      </w:pPr>
      <w:r>
        <w:rPr>
          <w:rFonts w:hint="eastAsia" w:ascii="Microsoft YaHei UI" w:hAnsi="Microsoft YaHei UI" w:eastAsia="Microsoft YaHei UI" w:cstheme="minorBidi"/>
          <w:kern w:val="0"/>
          <w:szCs w:val="21"/>
          <w:lang w:val="en-US" w:eastAsia="zh-CN"/>
        </w:rPr>
        <w:t>2.2.2.4</w:t>
      </w:r>
      <w:r>
        <w:rPr>
          <w:rFonts w:hint="eastAsia" w:ascii="Microsoft YaHei UI" w:hAnsi="Microsoft YaHei UI" w:eastAsia="Microsoft YaHei UI" w:cstheme="minorBidi"/>
          <w:kern w:val="0"/>
          <w:szCs w:val="21"/>
        </w:rPr>
        <w:t>乙方应提交施工方案，并经甲方批准后方可实施。</w:t>
      </w:r>
    </w:p>
    <w:p>
      <w:pPr>
        <w:pStyle w:val="67"/>
        <w:spacing w:line="420" w:lineRule="auto"/>
        <w:ind w:firstLine="315" w:firstLineChars="150"/>
        <w:rPr>
          <w:rFonts w:ascii="Microsoft YaHei UI" w:hAnsi="Microsoft YaHei UI" w:eastAsia="Microsoft YaHei UI" w:cstheme="minorBidi"/>
          <w:kern w:val="0"/>
          <w:szCs w:val="21"/>
        </w:rPr>
      </w:pPr>
      <w:r>
        <w:rPr>
          <w:rFonts w:hint="eastAsia" w:ascii="Microsoft YaHei UI" w:hAnsi="Microsoft YaHei UI" w:eastAsia="Microsoft YaHei UI" w:cstheme="minorBidi"/>
          <w:kern w:val="0"/>
          <w:szCs w:val="21"/>
          <w:lang w:val="en-US" w:eastAsia="zh-CN"/>
        </w:rPr>
        <w:t>2.2.2.5</w:t>
      </w:r>
      <w:r>
        <w:rPr>
          <w:rFonts w:hint="eastAsia" w:ascii="Microsoft YaHei UI" w:hAnsi="Microsoft YaHei UI" w:eastAsia="Microsoft YaHei UI" w:cstheme="minorBidi"/>
          <w:kern w:val="0"/>
          <w:szCs w:val="21"/>
        </w:rPr>
        <w:t>作业前应对脚手架进行严格的检查，禁止使用不合格的脚手架及辅件。</w:t>
      </w:r>
    </w:p>
    <w:p>
      <w:pPr>
        <w:pStyle w:val="67"/>
        <w:spacing w:line="420" w:lineRule="auto"/>
        <w:ind w:firstLine="315" w:firstLineChars="150"/>
        <w:rPr>
          <w:rFonts w:ascii="Microsoft YaHei UI" w:hAnsi="Microsoft YaHei UI" w:eastAsia="Microsoft YaHei UI" w:cstheme="minorBidi"/>
          <w:kern w:val="0"/>
          <w:szCs w:val="21"/>
        </w:rPr>
      </w:pPr>
      <w:r>
        <w:rPr>
          <w:rFonts w:hint="eastAsia" w:ascii="Microsoft YaHei UI" w:hAnsi="Microsoft YaHei UI" w:eastAsia="Microsoft YaHei UI" w:cstheme="minorBidi"/>
          <w:kern w:val="0"/>
          <w:szCs w:val="21"/>
          <w:lang w:val="en-US" w:eastAsia="zh-CN"/>
        </w:rPr>
        <w:t>2.2.2.6</w:t>
      </w:r>
      <w:r>
        <w:rPr>
          <w:rFonts w:hint="eastAsia" w:ascii="Microsoft YaHei UI" w:hAnsi="Microsoft YaHei UI" w:eastAsia="Microsoft YaHei UI" w:cstheme="minorBidi"/>
          <w:kern w:val="0"/>
          <w:szCs w:val="21"/>
        </w:rPr>
        <w:t>脚手架脚踏板应全面铺设，禁止在脚踏活动区域存在空洞。</w:t>
      </w:r>
    </w:p>
    <w:p>
      <w:pPr>
        <w:pStyle w:val="67"/>
        <w:spacing w:line="420" w:lineRule="auto"/>
        <w:ind w:firstLine="315" w:firstLineChars="150"/>
        <w:rPr>
          <w:rFonts w:ascii="Microsoft YaHei UI" w:hAnsi="Microsoft YaHei UI" w:eastAsia="Microsoft YaHei UI" w:cstheme="minorBidi"/>
          <w:kern w:val="0"/>
          <w:szCs w:val="21"/>
        </w:rPr>
      </w:pPr>
      <w:r>
        <w:rPr>
          <w:rFonts w:hint="eastAsia" w:ascii="Microsoft YaHei UI" w:hAnsi="Microsoft YaHei UI" w:eastAsia="Microsoft YaHei UI" w:cstheme="minorBidi"/>
          <w:kern w:val="0"/>
          <w:szCs w:val="21"/>
          <w:lang w:val="en-US" w:eastAsia="zh-CN"/>
        </w:rPr>
        <w:t>2.2.2.7</w:t>
      </w:r>
      <w:r>
        <w:rPr>
          <w:rFonts w:hint="eastAsia" w:ascii="Microsoft YaHei UI" w:hAnsi="Microsoft YaHei UI" w:eastAsia="Microsoft YaHei UI" w:cstheme="minorBidi"/>
          <w:kern w:val="0"/>
          <w:szCs w:val="21"/>
        </w:rPr>
        <w:t>作业时应保持脚手架固定，如有带轮子的脚手架，应进行刹车，确保脚手架稳定。</w:t>
      </w:r>
    </w:p>
    <w:p>
      <w:pPr>
        <w:pStyle w:val="67"/>
        <w:spacing w:line="420" w:lineRule="auto"/>
        <w:ind w:firstLine="315" w:firstLineChars="150"/>
        <w:rPr>
          <w:rFonts w:ascii="Microsoft YaHei UI" w:hAnsi="Microsoft YaHei UI" w:eastAsia="Microsoft YaHei UI" w:cstheme="minorBidi"/>
          <w:kern w:val="0"/>
          <w:szCs w:val="21"/>
        </w:rPr>
      </w:pPr>
      <w:r>
        <w:rPr>
          <w:rFonts w:hint="eastAsia" w:ascii="Microsoft YaHei UI" w:hAnsi="Microsoft YaHei UI" w:eastAsia="Microsoft YaHei UI" w:cstheme="minorBidi"/>
          <w:kern w:val="0"/>
          <w:szCs w:val="21"/>
          <w:lang w:val="en-US" w:eastAsia="zh-CN"/>
        </w:rPr>
        <w:t>2.2.2.8</w:t>
      </w:r>
      <w:r>
        <w:rPr>
          <w:rFonts w:hint="eastAsia" w:ascii="Microsoft YaHei UI" w:hAnsi="Microsoft YaHei UI" w:eastAsia="Microsoft YaHei UI" w:cstheme="minorBidi"/>
          <w:kern w:val="0"/>
          <w:szCs w:val="21"/>
        </w:rPr>
        <w:t>作业过程中，人员站立区应有不低于1.2米的防护栏杆。</w:t>
      </w:r>
    </w:p>
    <w:p>
      <w:pPr>
        <w:pStyle w:val="67"/>
        <w:spacing w:line="420" w:lineRule="auto"/>
        <w:ind w:firstLine="315" w:firstLineChars="150"/>
        <w:rPr>
          <w:rFonts w:ascii="Microsoft YaHei UI" w:hAnsi="Microsoft YaHei UI" w:eastAsia="Microsoft YaHei UI" w:cstheme="minorBidi"/>
          <w:kern w:val="0"/>
          <w:szCs w:val="21"/>
        </w:rPr>
      </w:pPr>
      <w:r>
        <w:rPr>
          <w:rFonts w:hint="eastAsia" w:ascii="Microsoft YaHei UI" w:hAnsi="Microsoft YaHei UI" w:eastAsia="Microsoft YaHei UI" w:cstheme="minorBidi"/>
          <w:kern w:val="0"/>
          <w:szCs w:val="21"/>
          <w:lang w:val="en-US" w:eastAsia="zh-CN"/>
        </w:rPr>
        <w:t>2.2.2.9</w:t>
      </w:r>
      <w:r>
        <w:rPr>
          <w:rFonts w:hint="eastAsia" w:ascii="Microsoft YaHei UI" w:hAnsi="Microsoft YaHei UI" w:eastAsia="Microsoft YaHei UI" w:cstheme="minorBidi"/>
          <w:kern w:val="0"/>
          <w:szCs w:val="21"/>
        </w:rPr>
        <w:t>禁止人员站立在脚手架上移动。</w:t>
      </w:r>
    </w:p>
    <w:p>
      <w:pPr>
        <w:pStyle w:val="67"/>
        <w:spacing w:line="420" w:lineRule="auto"/>
        <w:ind w:firstLine="315" w:firstLineChars="150"/>
        <w:rPr>
          <w:rFonts w:hint="eastAsia" w:ascii="Microsoft YaHei UI" w:hAnsi="Microsoft YaHei UI" w:eastAsia="Microsoft YaHei UI" w:cstheme="minorBidi"/>
          <w:kern w:val="0"/>
          <w:szCs w:val="21"/>
        </w:rPr>
      </w:pPr>
      <w:r>
        <w:rPr>
          <w:rFonts w:hint="eastAsia" w:ascii="Microsoft YaHei UI" w:hAnsi="Microsoft YaHei UI" w:eastAsia="Microsoft YaHei UI" w:cstheme="minorBidi"/>
          <w:kern w:val="0"/>
          <w:szCs w:val="21"/>
          <w:lang w:val="en-US" w:eastAsia="zh-CN"/>
        </w:rPr>
        <w:t>2.2.2.10</w:t>
      </w:r>
      <w:r>
        <w:rPr>
          <w:rFonts w:hint="eastAsia" w:ascii="Microsoft YaHei UI" w:hAnsi="Microsoft YaHei UI" w:eastAsia="Microsoft YaHei UI" w:cstheme="minorBidi"/>
          <w:kern w:val="0"/>
          <w:szCs w:val="21"/>
        </w:rPr>
        <w:t>作业时超过2米时应按照“高处作业安全要求”进行作业。</w:t>
      </w:r>
    </w:p>
    <w:p>
      <w:pPr>
        <w:pStyle w:val="2"/>
        <w:spacing w:line="257" w:lineRule="auto"/>
        <w:ind w:left="0" w:leftChars="0" w:right="115" w:rightChars="55" w:firstLine="0" w:firstLineChars="0"/>
        <w:rPr>
          <w:rFonts w:hint="eastAsia" w:ascii="Microsoft YaHei UI" w:hAnsi="Microsoft YaHei UI" w:eastAsia="Microsoft YaHei UI" w:cstheme="minorBidi"/>
          <w:kern w:val="0"/>
          <w:szCs w:val="21"/>
          <w:lang w:val="en-US" w:eastAsia="zh-CN"/>
        </w:rPr>
      </w:pPr>
      <w:r>
        <w:rPr>
          <w:rFonts w:hint="eastAsia" w:cstheme="minorBidi"/>
          <w:kern w:val="0"/>
          <w:szCs w:val="21"/>
          <w:lang w:val="en-US" w:eastAsia="zh-CN"/>
        </w:rPr>
        <w:t>2</w:t>
      </w:r>
      <w:r>
        <w:rPr>
          <w:rFonts w:hint="eastAsia" w:ascii="Microsoft YaHei UI" w:hAnsi="Microsoft YaHei UI" w:eastAsia="Microsoft YaHei UI" w:cstheme="minorBidi"/>
          <w:kern w:val="0"/>
          <w:szCs w:val="21"/>
          <w:lang w:val="en-US" w:eastAsia="zh-CN"/>
        </w:rPr>
        <w:t>.2.2.1</w:t>
      </w:r>
      <w:r>
        <w:rPr>
          <w:rFonts w:hint="eastAsia" w:cstheme="minorBidi"/>
          <w:kern w:val="0"/>
          <w:szCs w:val="21"/>
          <w:lang w:val="en-US" w:eastAsia="zh-CN"/>
        </w:rPr>
        <w:t>1</w:t>
      </w:r>
      <w:r>
        <w:rPr>
          <w:rFonts w:hint="eastAsia" w:ascii="Microsoft YaHei UI" w:hAnsi="Microsoft YaHei UI" w:eastAsia="Microsoft YaHei UI" w:cstheme="minorBidi"/>
          <w:kern w:val="0"/>
          <w:szCs w:val="21"/>
          <w:lang w:val="en-US" w:eastAsia="zh-CN"/>
        </w:rPr>
        <w:t>该脚手架搭设施工按5+5模式，即5个工作点先搭设脚手架，另5个工作点准备状态</w:t>
      </w:r>
    </w:p>
    <w:p>
      <w:pPr>
        <w:pStyle w:val="2"/>
        <w:spacing w:line="257" w:lineRule="auto"/>
        <w:ind w:left="0"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2.2.3打磨除锈要求：</w:t>
      </w:r>
    </w:p>
    <w:p>
      <w:pPr>
        <w:pStyle w:val="2"/>
        <w:spacing w:line="257" w:lineRule="auto"/>
        <w:ind w:left="0" w:leftChars="0" w:right="115" w:rightChars="55" w:firstLine="0" w:firstLineChars="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2.2.3 除绣</w:t>
      </w:r>
    </w:p>
    <w:p>
      <w:pPr>
        <w:pStyle w:val="2"/>
        <w:numPr>
          <w:ilvl w:val="0"/>
          <w:numId w:val="0"/>
        </w:numPr>
        <w:spacing w:line="257" w:lineRule="auto"/>
        <w:ind w:leftChars="0" w:right="115" w:rightChars="55"/>
        <w:rPr>
          <w:rFonts w:hint="eastAsia" w:ascii="微软雅黑" w:hAnsi="微软雅黑" w:eastAsia="微软雅黑" w:cs="微软雅黑"/>
          <w:lang w:val="en-GB" w:eastAsia="zh-CN"/>
        </w:rPr>
      </w:pPr>
      <w:r>
        <w:rPr>
          <w:rFonts w:hint="eastAsia" w:ascii="微软雅黑" w:hAnsi="微软雅黑" w:eastAsia="微软雅黑" w:cs="微软雅黑"/>
          <w:lang w:val="en-US" w:eastAsia="zh-CN"/>
        </w:rPr>
        <w:t xml:space="preserve">2.2.3.1除锈工具采用φ100/200气动式角磨机或手推式除锈机，钢丝碗刷、笔型刷、T形刷等，电源插座应为橡胶外壳。 </w:t>
      </w:r>
    </w:p>
    <w:p>
      <w:pPr>
        <w:pStyle w:val="2"/>
        <w:numPr>
          <w:ilvl w:val="0"/>
          <w:numId w:val="0"/>
        </w:numPr>
        <w:spacing w:line="257" w:lineRule="auto"/>
        <w:ind w:leftChars="0" w:right="115" w:rightChars="55"/>
        <w:rPr>
          <w:rFonts w:hint="eastAsia" w:ascii="微软雅黑" w:hAnsi="微软雅黑" w:eastAsia="微软雅黑" w:cs="微软雅黑"/>
          <w:lang w:val="en-GB" w:eastAsia="zh-CN"/>
        </w:rPr>
      </w:pPr>
      <w:r>
        <w:rPr>
          <w:rFonts w:hint="eastAsia" w:ascii="微软雅黑" w:hAnsi="微软雅黑" w:eastAsia="微软雅黑" w:cs="微软雅黑"/>
          <w:lang w:val="en-US" w:eastAsia="zh-CN"/>
        </w:rPr>
        <w:t xml:space="preserve">2.2.3.2使用砂轮机除锈施工时，施工人员用力要合适。不得使劲适度以免破坏机械，棱角部位施工时，必须握牢角磨机，以防脱手伤人。施工人员必须戴上口罩、护目镜及其他劳保用品。 </w:t>
      </w:r>
    </w:p>
    <w:p>
      <w:pPr>
        <w:pStyle w:val="2"/>
        <w:numPr>
          <w:ilvl w:val="0"/>
          <w:numId w:val="0"/>
        </w:numPr>
        <w:spacing w:line="257" w:lineRule="auto"/>
        <w:ind w:leftChars="0" w:right="115" w:rightChars="55"/>
        <w:rPr>
          <w:rFonts w:hint="eastAsia" w:ascii="微软雅黑" w:hAnsi="微软雅黑" w:eastAsia="微软雅黑" w:cs="微软雅黑"/>
          <w:lang w:val="en-GB" w:eastAsia="zh-CN"/>
        </w:rPr>
      </w:pPr>
      <w:r>
        <w:rPr>
          <w:rFonts w:hint="eastAsia" w:ascii="微软雅黑" w:hAnsi="微软雅黑" w:eastAsia="微软雅黑" w:cs="微软雅黑"/>
          <w:lang w:val="en-US" w:eastAsia="zh-CN"/>
        </w:rPr>
        <w:t xml:space="preserve">2.2.3.3采用手工或能源工具处置时，不得使用金属表面受损或使之变形的工具和手腕。 </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2.2.3.4除锈标准达到St3.0级，清除表面的锈蚀、油污、浮土等杂物，使金属表面浮现比较显明的金属光泽。</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2.2.3.5</w:t>
      </w:r>
      <w:r>
        <w:rPr>
          <w:rFonts w:hint="eastAsia" w:ascii="微软雅黑" w:hAnsi="微软雅黑" w:eastAsia="微软雅黑" w:cs="微软雅黑"/>
          <w:lang w:val="en-GB" w:eastAsia="zh-CN"/>
        </w:rPr>
        <w:t>金属表面的锐角、棱角、毛边、铸造残留物，必须彻底清理，表面应光滑平整，圆弧过渡。</w:t>
      </w:r>
    </w:p>
    <w:p>
      <w:pPr>
        <w:pStyle w:val="2"/>
        <w:spacing w:line="257" w:lineRule="auto"/>
        <w:ind w:left="0"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2.2.4防腐涂漆要求：</w:t>
      </w:r>
    </w:p>
    <w:p>
      <w:pPr>
        <w:pStyle w:val="2"/>
        <w:spacing w:line="257" w:lineRule="auto"/>
        <w:ind w:left="0"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2.2.4.1进行涂料施工时，应先进行试涂；使用涂料时，应搅拌均匀，如有结皮或其他杂质，必须过滤清除后，方可使用。</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2.2.4.2每次涂刷应从被涂物表面左上方开始，先将涂料均匀涂刷在物面上，再用刷子展开，要横竖交错使展开的涂膜达到均匀一致，最后用刷子先左后右、先内后外、先次后主地分段进行。垂直方向最后一次应自上而下，水平表面最后一次应沿光线照射方向涂刷。</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2.2.4.3涂刷均应均匀，不得漏涂。涂层表面应平滑无痕，颜色一致、无针孔、气泡、流坠和破损等现象。</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2.2.4.4涂刷施工作业环境温度宜为15-30℃，相对湿度不宜大于85%，被涂覆表面温度要比露点温度高3℃以上。</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2.2.4.5不应在风沙，雨天进行室外喷涂施工。</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2.2.4.6清理后的表面在潮湿气候条件下，底层涂料应在4小时内完成涂装；在晴天和正常大气条件下，涂装时间最长也不得超过11小时。</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2.2.4.7涂刷底漆，中间漆和面漆时，其他除锈作业不能影响油漆的涂刷质量。</w:t>
      </w:r>
    </w:p>
    <w:p>
      <w:pPr>
        <w:pStyle w:val="2"/>
        <w:numPr>
          <w:ilvl w:val="0"/>
          <w:numId w:val="0"/>
        </w:numPr>
        <w:spacing w:line="257" w:lineRule="auto"/>
        <w:ind w:leftChars="0" w:right="115" w:rightChars="5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2.2.4.8除漆、除绣作业过程中不能伤及钢管母材。</w:t>
      </w:r>
    </w:p>
    <w:tbl>
      <w:tblPr>
        <w:tblStyle w:val="2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499"/>
        <w:gridCol w:w="713"/>
        <w:gridCol w:w="4187"/>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油漆</w:t>
            </w:r>
          </w:p>
        </w:tc>
        <w:tc>
          <w:tcPr>
            <w:tcW w:w="14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规格</w:t>
            </w:r>
          </w:p>
        </w:tc>
        <w:tc>
          <w:tcPr>
            <w:tcW w:w="7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道数</w:t>
            </w:r>
          </w:p>
        </w:tc>
        <w:tc>
          <w:tcPr>
            <w:tcW w:w="418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油漆型号、涂刷厚度（目标值）</w:t>
            </w:r>
          </w:p>
        </w:tc>
        <w:tc>
          <w:tcPr>
            <w:tcW w:w="13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 xml:space="preserve">稀释剂型号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底漆</w:t>
            </w:r>
          </w:p>
        </w:tc>
        <w:tc>
          <w:tcPr>
            <w:tcW w:w="14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铁红环氧酯漆</w:t>
            </w:r>
          </w:p>
        </w:tc>
        <w:tc>
          <w:tcPr>
            <w:tcW w:w="7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418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MC-EP-1环氧富锌底漆，厚度70μm</w:t>
            </w:r>
          </w:p>
        </w:tc>
        <w:tc>
          <w:tcPr>
            <w:tcW w:w="1333"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MC-EX-1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中间漆</w:t>
            </w:r>
          </w:p>
        </w:tc>
        <w:tc>
          <w:tcPr>
            <w:tcW w:w="14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云铁环氧漆</w:t>
            </w:r>
          </w:p>
        </w:tc>
        <w:tc>
          <w:tcPr>
            <w:tcW w:w="7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418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MC-EI-1环氧云铁漆，厚度200μm</w:t>
            </w:r>
          </w:p>
        </w:tc>
        <w:tc>
          <w:tcPr>
            <w:tcW w:w="133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2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面漆</w:t>
            </w:r>
          </w:p>
        </w:tc>
        <w:tc>
          <w:tcPr>
            <w:tcW w:w="14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丙烯酸聚氨酯</w:t>
            </w:r>
          </w:p>
        </w:tc>
        <w:tc>
          <w:tcPr>
            <w:tcW w:w="7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418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MC-AT-1丙烯酸聚氨酯面漆，厚度80μm</w:t>
            </w:r>
          </w:p>
        </w:tc>
        <w:tc>
          <w:tcPr>
            <w:tcW w:w="13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MC-AX-1 </w:t>
            </w:r>
          </w:p>
        </w:tc>
      </w:tr>
    </w:tbl>
    <w:p>
      <w:pPr>
        <w:pStyle w:val="2"/>
        <w:spacing w:line="257" w:lineRule="auto"/>
        <w:ind w:left="0"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2.2.5常见故障与处理要求：</w:t>
      </w:r>
    </w:p>
    <w:p>
      <w:pPr>
        <w:pStyle w:val="2"/>
        <w:spacing w:line="257" w:lineRule="auto"/>
        <w:ind w:left="0" w:leftChars="0" w:right="115" w:rightChars="55" w:firstLine="0" w:firstLineChars="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2.2.5.1 常见故障与处理</w:t>
      </w:r>
    </w:p>
    <w:tbl>
      <w:tblPr>
        <w:tblStyle w:val="23"/>
        <w:tblW w:w="865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78"/>
        <w:gridCol w:w="1325"/>
        <w:gridCol w:w="3300"/>
        <w:gridCol w:w="33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2" w:hRule="atLeast"/>
          <w:jc w:val="center"/>
        </w:trPr>
        <w:tc>
          <w:tcPr>
            <w:tcW w:w="678" w:type="dxa"/>
            <w:noWrap w:val="0"/>
            <w:tcMar>
              <w:top w:w="113" w:type="dxa"/>
              <w:bottom w:w="2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1325" w:type="dxa"/>
            <w:noWrap w:val="0"/>
            <w:tcMar>
              <w:top w:w="113"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故障现象</w:t>
            </w:r>
          </w:p>
        </w:tc>
        <w:tc>
          <w:tcPr>
            <w:tcW w:w="3300" w:type="dxa"/>
            <w:noWrap w:val="0"/>
            <w:tcMar>
              <w:top w:w="113"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故 障 原 因</w:t>
            </w:r>
          </w:p>
        </w:tc>
        <w:tc>
          <w:tcPr>
            <w:tcW w:w="3353" w:type="dxa"/>
            <w:noWrap w:val="0"/>
            <w:tcMar>
              <w:top w:w="113"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处  理  方  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7" w:hRule="atLeast"/>
          <w:jc w:val="center"/>
        </w:trPr>
        <w:tc>
          <w:tcPr>
            <w:tcW w:w="678" w:type="dxa"/>
            <w:noWrap w:val="0"/>
            <w:tcMar>
              <w:top w:w="113" w:type="dxa"/>
              <w:bottom w:w="2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325" w:type="dxa"/>
            <w:noWrap w:val="0"/>
            <w:tcMar>
              <w:top w:w="113"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法兰泄漏</w:t>
            </w:r>
          </w:p>
        </w:tc>
        <w:tc>
          <w:tcPr>
            <w:tcW w:w="3300" w:type="dxa"/>
            <w:noWrap w:val="0"/>
            <w:tcMar>
              <w:top w:w="113"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螺栓上紧力不够法兰密封面损坏法兰密封垫失效</w:t>
            </w:r>
          </w:p>
          <w:p>
            <w:pPr>
              <w:keepNext w:val="0"/>
              <w:keepLines w:val="0"/>
              <w:pageBreakBefore w:val="0"/>
              <w:widowControl w:val="0"/>
              <w:kinsoku/>
              <w:wordWrap/>
              <w:overflowPunct/>
              <w:topLinePunct w:val="0"/>
              <w:autoSpaceDE/>
              <w:autoSpaceDN w:val="0"/>
              <w:bidi w:val="0"/>
              <w:adjustRightInd w:val="0"/>
              <w:snapToGrid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法兰上紧不平衡或错位</w:t>
            </w:r>
          </w:p>
        </w:tc>
        <w:tc>
          <w:tcPr>
            <w:tcW w:w="3353" w:type="dxa"/>
            <w:noWrap w:val="0"/>
            <w:tcMar>
              <w:top w:w="113"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上紧螺栓修复密封面或更换法兰更换密封垫拆松后重新调整、紧固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5" w:hRule="atLeast"/>
          <w:jc w:val="center"/>
        </w:trPr>
        <w:tc>
          <w:tcPr>
            <w:tcW w:w="678" w:type="dxa"/>
            <w:noWrap w:val="0"/>
            <w:tcMar>
              <w:top w:w="113" w:type="dxa"/>
              <w:bottom w:w="2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325" w:type="dxa"/>
            <w:noWrap w:val="0"/>
            <w:tcMar>
              <w:top w:w="113"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焊缝泄漏</w:t>
            </w:r>
          </w:p>
        </w:tc>
        <w:tc>
          <w:tcPr>
            <w:tcW w:w="3300" w:type="dxa"/>
            <w:noWrap w:val="0"/>
            <w:tcMar>
              <w:top w:w="113"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焊缝有砂眼、裂纹、腐蚀减薄</w:t>
            </w:r>
          </w:p>
        </w:tc>
        <w:tc>
          <w:tcPr>
            <w:tcW w:w="3353" w:type="dxa"/>
            <w:noWrap w:val="0"/>
            <w:tcMar>
              <w:top w:w="113"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补焊修复</w:t>
            </w:r>
            <w:r>
              <w:rPr>
                <w:rFonts w:hint="eastAsia" w:ascii="微软雅黑" w:hAnsi="微软雅黑" w:eastAsia="微软雅黑" w:cs="微软雅黑"/>
                <w:sz w:val="21"/>
                <w:szCs w:val="21"/>
                <w:lang w:val="en-US" w:eastAsia="zh-CN"/>
              </w:rPr>
              <w:t>或其它被审批的修复方式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7" w:hRule="atLeast"/>
          <w:jc w:val="center"/>
        </w:trPr>
        <w:tc>
          <w:tcPr>
            <w:tcW w:w="678" w:type="dxa"/>
            <w:noWrap w:val="0"/>
            <w:tcMar>
              <w:top w:w="113" w:type="dxa"/>
              <w:bottom w:w="2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325" w:type="dxa"/>
            <w:noWrap w:val="0"/>
            <w:tcMar>
              <w:top w:w="113"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管子泄漏</w:t>
            </w:r>
          </w:p>
        </w:tc>
        <w:tc>
          <w:tcPr>
            <w:tcW w:w="3300" w:type="dxa"/>
            <w:noWrap w:val="0"/>
            <w:tcMar>
              <w:top w:w="113"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管子腐蚀穿孔</w:t>
            </w:r>
          </w:p>
        </w:tc>
        <w:tc>
          <w:tcPr>
            <w:tcW w:w="3353" w:type="dxa"/>
            <w:noWrap w:val="0"/>
            <w:tcMar>
              <w:top w:w="113"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补焊修复/更换管段</w:t>
            </w:r>
            <w:r>
              <w:rPr>
                <w:rFonts w:hint="eastAsia" w:ascii="微软雅黑" w:hAnsi="微软雅黑" w:eastAsia="微软雅黑" w:cs="微软雅黑"/>
                <w:sz w:val="21"/>
                <w:szCs w:val="21"/>
                <w:lang w:val="en-US" w:eastAsia="zh-CN"/>
              </w:rPr>
              <w:t>/其它被审批的修复方式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71" w:hRule="atLeast"/>
          <w:jc w:val="center"/>
        </w:trPr>
        <w:tc>
          <w:tcPr>
            <w:tcW w:w="678" w:type="dxa"/>
            <w:noWrap w:val="0"/>
            <w:tcMar>
              <w:top w:w="113" w:type="dxa"/>
              <w:bottom w:w="2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w:t>
            </w:r>
          </w:p>
        </w:tc>
        <w:tc>
          <w:tcPr>
            <w:tcW w:w="1325" w:type="dxa"/>
            <w:noWrap w:val="0"/>
            <w:tcMar>
              <w:top w:w="113" w:type="dxa"/>
            </w:tcMar>
            <w:vAlign w:val="center"/>
          </w:tcPr>
          <w:p>
            <w:pPr>
              <w:keepNext w:val="0"/>
              <w:keepLines w:val="0"/>
              <w:pageBreakBefore w:val="0"/>
              <w:widowControl w:val="0"/>
              <w:kinsoku/>
              <w:wordWrap/>
              <w:overflowPunct/>
              <w:topLinePunct w:val="0"/>
              <w:autoSpaceDE/>
              <w:autoSpaceDN w:val="0"/>
              <w:bidi w:val="0"/>
              <w:spacing w:line="24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阀门启</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闭</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失效</w:t>
            </w:r>
          </w:p>
        </w:tc>
        <w:tc>
          <w:tcPr>
            <w:tcW w:w="3300" w:type="dxa"/>
            <w:noWrap w:val="0"/>
            <w:tcMar>
              <w:top w:w="113" w:type="dxa"/>
            </w:tcMar>
            <w:vAlign w:val="center"/>
          </w:tcPr>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填料过紧，压盖偏斜</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启闭件脱落</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阀杆弯曲，阀杆螺纹损坏，积垢</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闸阀关闭力太大或阀杆受热膨胀</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支架轴承松脱顶住手轮</w:t>
            </w:r>
          </w:p>
        </w:tc>
        <w:tc>
          <w:tcPr>
            <w:tcW w:w="3353" w:type="dxa"/>
            <w:noWrap w:val="0"/>
            <w:tcMar>
              <w:top w:w="113" w:type="dxa"/>
            </w:tcMar>
            <w:vAlign w:val="center"/>
          </w:tcPr>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调整填料函螺栓的松紧，压盖压正</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更换阀门</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矫正阀杆，修理阀杆螺纹，并除垢</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边敲击阀体法兰，边旋手轮</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重新固定轴承压盖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25" w:hRule="atLeast"/>
          <w:jc w:val="center"/>
        </w:trPr>
        <w:tc>
          <w:tcPr>
            <w:tcW w:w="678" w:type="dxa"/>
            <w:noWrap w:val="0"/>
            <w:tcMar>
              <w:top w:w="113" w:type="dxa"/>
              <w:bottom w:w="2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w:t>
            </w:r>
          </w:p>
        </w:tc>
        <w:tc>
          <w:tcPr>
            <w:tcW w:w="1325" w:type="dxa"/>
            <w:noWrap w:val="0"/>
            <w:tcMar>
              <w:top w:w="113" w:type="dxa"/>
            </w:tcMar>
            <w:vAlign w:val="center"/>
          </w:tcPr>
          <w:p>
            <w:pPr>
              <w:keepNext w:val="0"/>
              <w:keepLines w:val="0"/>
              <w:pageBreakBefore w:val="0"/>
              <w:widowControl w:val="0"/>
              <w:kinsoku/>
              <w:wordWrap/>
              <w:overflowPunct/>
              <w:topLinePunct w:val="0"/>
              <w:autoSpaceDE/>
              <w:autoSpaceDN w:val="0"/>
              <w:bidi w:val="0"/>
              <w:spacing w:line="24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填料泄漏</w:t>
            </w:r>
          </w:p>
        </w:tc>
        <w:tc>
          <w:tcPr>
            <w:tcW w:w="3300" w:type="dxa"/>
            <w:noWrap w:val="0"/>
            <w:tcMar>
              <w:top w:w="113" w:type="dxa"/>
            </w:tcMar>
            <w:vAlign w:val="center"/>
          </w:tcPr>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填料压盖松</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填料不足</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填料技术性能不符</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阀杆粗糙、弯曲、有轴向沟纹</w:t>
            </w:r>
          </w:p>
        </w:tc>
        <w:tc>
          <w:tcPr>
            <w:tcW w:w="3353" w:type="dxa"/>
            <w:noWrap w:val="0"/>
            <w:tcMar>
              <w:top w:w="113" w:type="dxa"/>
            </w:tcMar>
            <w:vAlign w:val="center"/>
          </w:tcPr>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压紧填料压盖</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增加填料</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更换填料</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提高表面光洁度，矫直阀杆，修复沟纹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1" w:hRule="atLeast"/>
          <w:jc w:val="center"/>
        </w:trPr>
        <w:tc>
          <w:tcPr>
            <w:tcW w:w="678" w:type="dxa"/>
            <w:noWrap w:val="0"/>
            <w:tcMar>
              <w:top w:w="113" w:type="dxa"/>
              <w:bottom w:w="2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w:t>
            </w:r>
          </w:p>
        </w:tc>
        <w:tc>
          <w:tcPr>
            <w:tcW w:w="1325" w:type="dxa"/>
            <w:noWrap w:val="0"/>
            <w:tcMar>
              <w:top w:w="113" w:type="dxa"/>
            </w:tcMar>
            <w:vAlign w:val="center"/>
          </w:tcPr>
          <w:p>
            <w:pPr>
              <w:keepNext w:val="0"/>
              <w:keepLines w:val="0"/>
              <w:pageBreakBefore w:val="0"/>
              <w:widowControl w:val="0"/>
              <w:kinsoku/>
              <w:wordWrap/>
              <w:overflowPunct/>
              <w:topLinePunct w:val="0"/>
              <w:autoSpaceDE/>
              <w:autoSpaceDN w:val="0"/>
              <w:bidi w:val="0"/>
              <w:spacing w:line="24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中法兰泄漏</w:t>
            </w:r>
          </w:p>
        </w:tc>
        <w:tc>
          <w:tcPr>
            <w:tcW w:w="3300" w:type="dxa"/>
            <w:noWrap w:val="0"/>
            <w:tcMar>
              <w:top w:w="113" w:type="dxa"/>
            </w:tcMar>
            <w:vAlign w:val="center"/>
          </w:tcPr>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阀兰螺栓紧固示均</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垫料技术性能不符</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法兰密封面有缺陷</w:t>
            </w:r>
          </w:p>
        </w:tc>
        <w:tc>
          <w:tcPr>
            <w:tcW w:w="3353" w:type="dxa"/>
            <w:noWrap w:val="0"/>
            <w:tcMar>
              <w:top w:w="113" w:type="dxa"/>
            </w:tcMar>
            <w:vAlign w:val="center"/>
          </w:tcPr>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螺栓扭矩一致</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更换垫料</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修理密封面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7" w:hRule="atLeast"/>
          <w:jc w:val="center"/>
        </w:trPr>
        <w:tc>
          <w:tcPr>
            <w:tcW w:w="678" w:type="dxa"/>
            <w:noWrap w:val="0"/>
            <w:tcMar>
              <w:top w:w="113" w:type="dxa"/>
              <w:bottom w:w="28" w:type="dxa"/>
            </w:tcMar>
            <w:vAlign w:val="center"/>
          </w:tcPr>
          <w:p>
            <w:pPr>
              <w:keepNext w:val="0"/>
              <w:keepLines w:val="0"/>
              <w:pageBreakBefore w:val="0"/>
              <w:widowControl w:val="0"/>
              <w:kinsoku/>
              <w:wordWrap/>
              <w:overflowPunct/>
              <w:topLinePunct w:val="0"/>
              <w:autoSpaceDE/>
              <w:autoSpaceDN w:val="0"/>
              <w:bidi w:val="0"/>
              <w:adjustRightInd w:val="0"/>
              <w:snapToGrid w:val="0"/>
              <w:spacing w:line="240" w:lineRule="exact"/>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w:t>
            </w:r>
          </w:p>
        </w:tc>
        <w:tc>
          <w:tcPr>
            <w:tcW w:w="1325" w:type="dxa"/>
            <w:noWrap w:val="0"/>
            <w:tcMar>
              <w:top w:w="113" w:type="dxa"/>
            </w:tcMar>
            <w:vAlign w:val="center"/>
          </w:tcPr>
          <w:p>
            <w:pPr>
              <w:keepNext w:val="0"/>
              <w:keepLines w:val="0"/>
              <w:pageBreakBefore w:val="0"/>
              <w:widowControl w:val="0"/>
              <w:kinsoku/>
              <w:wordWrap/>
              <w:overflowPunct/>
              <w:topLinePunct w:val="0"/>
              <w:autoSpaceDE/>
              <w:autoSpaceDN w:val="0"/>
              <w:bidi w:val="0"/>
              <w:spacing w:line="24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阀门内漏</w:t>
            </w:r>
          </w:p>
        </w:tc>
        <w:tc>
          <w:tcPr>
            <w:tcW w:w="3300" w:type="dxa"/>
            <w:noWrap w:val="0"/>
            <w:tcMar>
              <w:top w:w="113" w:type="dxa"/>
            </w:tcMar>
            <w:vAlign w:val="center"/>
          </w:tcPr>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阀内掉进异物，密封面粘异物</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阀杆端部的球面变形悬空</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双闸板闸阀的撑开机构磨损</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密封面损坏</w:t>
            </w:r>
          </w:p>
        </w:tc>
        <w:tc>
          <w:tcPr>
            <w:tcW w:w="3353" w:type="dxa"/>
            <w:noWrap w:val="0"/>
            <w:tcMar>
              <w:top w:w="113" w:type="dxa"/>
            </w:tcMar>
            <w:vAlign w:val="center"/>
          </w:tcPr>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清除异物</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修理球面</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修复撑开机构</w:t>
            </w:r>
          </w:p>
          <w:p>
            <w:pPr>
              <w:keepNext w:val="0"/>
              <w:keepLines w:val="0"/>
              <w:pageBreakBefore w:val="0"/>
              <w:widowControl w:val="0"/>
              <w:kinsoku/>
              <w:wordWrap/>
              <w:overflowPunct/>
              <w:topLinePunct w:val="0"/>
              <w:autoSpaceDE/>
              <w:autoSpaceDN w:val="0"/>
              <w:bidi w:val="0"/>
              <w:spacing w:line="240" w:lineRule="exact"/>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研修</w:t>
            </w:r>
          </w:p>
        </w:tc>
      </w:tr>
    </w:tbl>
    <w:p>
      <w:pPr>
        <w:pStyle w:val="2"/>
        <w:spacing w:line="257" w:lineRule="auto"/>
        <w:ind w:left="0" w:leftChars="0" w:right="115" w:rightChars="55" w:firstLine="0" w:firstLineChars="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2.2.5.2 法兰拆卸、泄漏油等事故处理</w:t>
      </w:r>
    </w:p>
    <w:p>
      <w:pPr>
        <w:spacing w:line="480" w:lineRule="exact"/>
        <w:ind w:firstLine="420" w:firstLineChars="20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准备接收介质车辆以及消防车辆，划出警戒区域并设置警戒线，准备尺寸为1*1*0.2米的接油盘，作业人员穿戴好劳保用品及安全带，携带防爆工具；配备灭火器，灭火毯等消防器具。消防、废物、油污等接收与处置应接收过程中涉及的特种车辆和工器具由乙方提供和处置。</w:t>
      </w:r>
    </w:p>
    <w:p>
      <w:pPr>
        <w:pStyle w:val="2"/>
        <w:spacing w:line="257" w:lineRule="auto"/>
        <w:ind w:left="0" w:leftChars="0" w:right="115" w:rightChars="55" w:firstLine="0" w:firstLineChars="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 管道、阀门及法兰等故障产生的废物以及维保维修过程中产生的废物、生活垃圾应按园区相关要求进行转移和处置，场地恢复至原有状态，验收时应保持清洁。</w:t>
      </w:r>
    </w:p>
    <w:p>
      <w:pPr>
        <w:pStyle w:val="2"/>
        <w:spacing w:line="257" w:lineRule="auto"/>
        <w:ind w:left="0" w:leftChars="0" w:right="115" w:rightChars="55" w:firstLine="0" w:firstLineChars="0"/>
        <w:rPr>
          <w:rFonts w:hint="eastAsia" w:ascii="微软雅黑" w:hAnsi="微软雅黑" w:eastAsia="微软雅黑" w:cs="微软雅黑"/>
          <w:lang w:eastAsia="zh-CN"/>
        </w:rPr>
      </w:pPr>
      <w:r>
        <w:rPr>
          <w:rFonts w:hint="eastAsia" w:ascii="微软雅黑" w:hAnsi="微软雅黑" w:eastAsia="微软雅黑" w:cs="微软雅黑"/>
          <w:lang w:val="en-US" w:eastAsia="zh-CN"/>
        </w:rPr>
        <w:t>2</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 xml:space="preserve"> </w:t>
      </w:r>
      <w:r>
        <w:rPr>
          <w:rFonts w:hint="eastAsia" w:ascii="微软雅黑" w:hAnsi="微软雅黑" w:eastAsia="微软雅黑" w:cs="微软雅黑"/>
          <w:lang w:val="en-US" w:eastAsia="zh-CN"/>
        </w:rPr>
        <w:t>维修服务</w:t>
      </w:r>
      <w:r>
        <w:rPr>
          <w:rFonts w:hint="eastAsia" w:ascii="微软雅黑" w:hAnsi="微软雅黑" w:eastAsia="微软雅黑" w:cs="微软雅黑"/>
          <w:lang w:eastAsia="zh-CN"/>
        </w:rPr>
        <w:t>能满足</w:t>
      </w:r>
      <w:r>
        <w:rPr>
          <w:rFonts w:hint="eastAsia" w:ascii="微软雅黑" w:hAnsi="微软雅黑" w:eastAsia="微软雅黑" w:cs="微软雅黑"/>
          <w:bCs/>
          <w:szCs w:val="20"/>
          <w:lang w:eastAsia="zh-CN"/>
        </w:rPr>
        <w:t>相应施工标准和验收规范要求</w:t>
      </w:r>
    </w:p>
    <w:p>
      <w:pPr>
        <w:pStyle w:val="2"/>
        <w:spacing w:line="257" w:lineRule="auto"/>
        <w:ind w:left="0"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5</w:t>
      </w:r>
      <w:r>
        <w:rPr>
          <w:rFonts w:hint="eastAsia" w:ascii="微软雅黑" w:hAnsi="微软雅黑" w:eastAsia="微软雅黑" w:cs="微软雅黑"/>
          <w:lang w:eastAsia="zh-CN"/>
        </w:rPr>
        <w:t xml:space="preserve"> </w:t>
      </w:r>
      <w:r>
        <w:rPr>
          <w:rFonts w:hint="eastAsia" w:ascii="微软雅黑" w:hAnsi="微软雅黑" w:eastAsia="微软雅黑" w:cs="微软雅黑"/>
          <w:lang w:val="en-US" w:eastAsia="zh-CN"/>
        </w:rPr>
        <w:t>库区公共管廊要求如下，其他HSE要求见附件安全管理协议。</w:t>
      </w:r>
    </w:p>
    <w:p>
      <w:pPr>
        <w:numPr>
          <w:ilvl w:val="0"/>
          <w:numId w:val="0"/>
        </w:numPr>
        <w:tabs>
          <w:tab w:val="left" w:pos="1080"/>
        </w:tabs>
        <w:adjustRightInd w:val="0"/>
        <w:snapToGrid w:val="0"/>
        <w:spacing w:line="360" w:lineRule="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2.5.1未经许可严禁随意进入公共管廊区域；</w:t>
      </w:r>
    </w:p>
    <w:p>
      <w:pPr>
        <w:numPr>
          <w:ilvl w:val="0"/>
          <w:numId w:val="0"/>
        </w:numPr>
        <w:tabs>
          <w:tab w:val="left" w:pos="1080"/>
        </w:tabs>
        <w:adjustRightInd w:val="0"/>
        <w:snapToGrid w:val="0"/>
        <w:spacing w:line="360" w:lineRule="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2.5.2未经许可严禁在管廊区域进行开挖施工作业；</w:t>
      </w:r>
    </w:p>
    <w:p>
      <w:pPr>
        <w:numPr>
          <w:ilvl w:val="0"/>
          <w:numId w:val="0"/>
        </w:numPr>
        <w:tabs>
          <w:tab w:val="left" w:pos="1080"/>
        </w:tabs>
        <w:adjustRightInd w:val="0"/>
        <w:snapToGrid w:val="0"/>
        <w:spacing w:line="360" w:lineRule="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2.5.3管廊区域严禁烟火，严禁攀爬，严禁停车，严禁搭建临时设施等；</w:t>
      </w:r>
    </w:p>
    <w:p>
      <w:pPr>
        <w:numPr>
          <w:ilvl w:val="0"/>
          <w:numId w:val="0"/>
        </w:numPr>
        <w:tabs>
          <w:tab w:val="left" w:pos="1080"/>
        </w:tabs>
        <w:adjustRightInd w:val="0"/>
        <w:snapToGrid w:val="0"/>
        <w:spacing w:line="360" w:lineRule="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2.5.4严禁损坏公共管廊上的所有设施；</w:t>
      </w:r>
    </w:p>
    <w:p>
      <w:pPr>
        <w:numPr>
          <w:ilvl w:val="0"/>
          <w:numId w:val="0"/>
        </w:numPr>
        <w:tabs>
          <w:tab w:val="left" w:pos="1080"/>
        </w:tabs>
        <w:adjustRightInd w:val="0"/>
        <w:snapToGrid w:val="0"/>
        <w:spacing w:line="360" w:lineRule="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2.5.5进入公共管廊区域内施工必须办理相关手续，机械、材料进入公共管廊区域必须先告知获得许可；从事登高、吊装、动火等危险性极高的作业必须应预先书面办理许可手续，并在有关部门、机构备案，须与周边企业做好告知和范围警戒工作；</w:t>
      </w:r>
    </w:p>
    <w:p>
      <w:pPr>
        <w:numPr>
          <w:ilvl w:val="0"/>
          <w:numId w:val="0"/>
        </w:numPr>
        <w:tabs>
          <w:tab w:val="left" w:pos="1080"/>
        </w:tabs>
        <w:adjustRightInd w:val="0"/>
        <w:snapToGrid w:val="0"/>
        <w:spacing w:line="360" w:lineRule="auto"/>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2.5.6进入公共管廊区域，施工保护用品必须按规范穿戴，并携带经批准的施工作业票；</w:t>
      </w:r>
    </w:p>
    <w:p>
      <w:pPr>
        <w:numPr>
          <w:ilvl w:val="0"/>
          <w:numId w:val="0"/>
        </w:numPr>
        <w:tabs>
          <w:tab w:val="left" w:pos="1080"/>
        </w:tabs>
        <w:adjustRightInd w:val="0"/>
        <w:snapToGrid w:val="0"/>
        <w:spacing w:line="360" w:lineRule="auto"/>
        <w:rPr>
          <w:rFonts w:hint="default"/>
          <w:lang w:val="en-US" w:eastAsia="zh-CN"/>
        </w:rPr>
      </w:pPr>
      <w:r>
        <w:rPr>
          <w:rFonts w:hint="eastAsia" w:ascii="微软雅黑" w:hAnsi="微软雅黑" w:eastAsia="微软雅黑" w:cs="微软雅黑"/>
          <w:kern w:val="0"/>
          <w:sz w:val="21"/>
          <w:szCs w:val="21"/>
          <w:lang w:val="en-US" w:eastAsia="zh-CN"/>
        </w:rPr>
        <w:t>2.5</w:t>
      </w:r>
      <w:r>
        <w:rPr>
          <w:rFonts w:hint="eastAsia" w:ascii="微软雅黑" w:hAnsi="微软雅黑" w:eastAsia="微软雅黑" w:cs="微软雅黑"/>
          <w:b w:val="0"/>
          <w:bCs w:val="0"/>
          <w:kern w:val="0"/>
          <w:sz w:val="21"/>
          <w:szCs w:val="21"/>
          <w:lang w:val="en-US" w:eastAsia="zh-CN"/>
        </w:rPr>
        <w:t>.7</w:t>
      </w:r>
      <w:r>
        <w:rPr>
          <w:rFonts w:hint="eastAsia" w:ascii="微软雅黑" w:hAnsi="微软雅黑" w:eastAsia="微软雅黑" w:cs="微软雅黑"/>
          <w:kern w:val="0"/>
          <w:sz w:val="21"/>
          <w:szCs w:val="21"/>
          <w:lang w:val="en-US" w:eastAsia="zh-CN"/>
        </w:rPr>
        <w:t xml:space="preserve">检维修作业应当经由甲方确认后，具备资质的第三方安全服务机构定期进行安全检查和技术服务；提供危险作业现场安全条件确认和安全技术服务，提高专业化安全监管水平； </w:t>
      </w:r>
    </w:p>
    <w:p>
      <w:pPr>
        <w:pStyle w:val="2"/>
        <w:numPr>
          <w:ilvl w:val="0"/>
          <w:numId w:val="0"/>
        </w:numPr>
        <w:spacing w:line="257" w:lineRule="auto"/>
        <w:ind w:leftChars="95" w:right="115" w:rightChars="55"/>
        <w:rPr>
          <w:rFonts w:hint="eastAsia"/>
          <w:lang w:eastAsia="zh-CN"/>
        </w:rPr>
      </w:pPr>
      <w:r>
        <w:rPr>
          <w:rFonts w:hint="eastAsia"/>
          <w:lang w:val="en-US" w:eastAsia="zh-CN"/>
        </w:rPr>
        <w:t>3、</w:t>
      </w:r>
      <w:r>
        <w:rPr>
          <w:lang w:eastAsia="zh-CN"/>
        </w:rPr>
        <w:t>工作界面要求</w:t>
      </w:r>
      <w:r>
        <w:rPr>
          <w:rFonts w:hint="eastAsia"/>
          <w:lang w:eastAsia="zh-CN"/>
        </w:rPr>
        <w:t>：</w:t>
      </w:r>
    </w:p>
    <w:p>
      <w:pPr>
        <w:pStyle w:val="2"/>
        <w:numPr>
          <w:ilvl w:val="0"/>
          <w:numId w:val="0"/>
        </w:numPr>
        <w:spacing w:line="257" w:lineRule="auto"/>
        <w:ind w:leftChars="0" w:right="115" w:rightChars="55" w:firstLine="0" w:firstLineChars="0"/>
        <w:rPr>
          <w:rFonts w:hint="eastAsia" w:ascii="微软雅黑" w:hAnsi="微软雅黑" w:eastAsia="微软雅黑" w:cs="微软雅黑"/>
          <w:lang w:eastAsia="zh-CN"/>
        </w:rPr>
      </w:pPr>
      <w:r>
        <w:rPr>
          <w:rFonts w:hint="eastAsia" w:ascii="微软雅黑" w:hAnsi="微软雅黑" w:eastAsia="微软雅黑" w:cs="微软雅黑"/>
          <w:lang w:val="en-US" w:eastAsia="zh-CN"/>
        </w:rPr>
        <w:t>3.1维护维修范围为高栏港仓储区3.7公里凝析油转输管道</w:t>
      </w:r>
      <w:r>
        <w:rPr>
          <w:rFonts w:hint="eastAsia" w:ascii="微软雅黑" w:hAnsi="微软雅黑" w:eastAsia="微软雅黑" w:cs="微软雅黑"/>
          <w:lang w:eastAsia="zh-CN"/>
        </w:rPr>
        <w:t>。</w:t>
      </w:r>
    </w:p>
    <w:p>
      <w:pPr>
        <w:pStyle w:val="2"/>
        <w:numPr>
          <w:ilvl w:val="0"/>
          <w:numId w:val="0"/>
        </w:numPr>
        <w:spacing w:line="257" w:lineRule="auto"/>
        <w:ind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3.2施工过程中造成的绿化等公共设施损毁恢复由乙方负责。</w:t>
      </w:r>
    </w:p>
    <w:p>
      <w:pPr>
        <w:pStyle w:val="2"/>
        <w:numPr>
          <w:ilvl w:val="0"/>
          <w:numId w:val="0"/>
        </w:numPr>
        <w:spacing w:line="257" w:lineRule="auto"/>
        <w:ind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3.3乙方需按相关管理要求提交准入资料、进行培训及缴纳押金（押金由乙方自行提交及申请退回）。</w:t>
      </w:r>
    </w:p>
    <w:p>
      <w:pPr>
        <w:pStyle w:val="2"/>
        <w:numPr>
          <w:ilvl w:val="0"/>
          <w:numId w:val="0"/>
        </w:numPr>
        <w:spacing w:line="257" w:lineRule="auto"/>
        <w:ind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3.4报价含税费包含项目实施过程中的安全措施费、安全管理费、动复员费等一切费用。</w:t>
      </w:r>
    </w:p>
    <w:p>
      <w:pPr>
        <w:pStyle w:val="2"/>
        <w:numPr>
          <w:ilvl w:val="0"/>
          <w:numId w:val="0"/>
        </w:numPr>
        <w:spacing w:line="257" w:lineRule="auto"/>
        <w:ind w:leftChars="0" w:right="115" w:rightChars="55" w:firstLine="0" w:firstLineChars="0"/>
        <w:rPr>
          <w:rFonts w:hint="eastAsia"/>
          <w:lang w:eastAsia="zh-CN"/>
        </w:rPr>
      </w:pPr>
      <w:r>
        <w:rPr>
          <w:rFonts w:hint="eastAsia" w:ascii="微软雅黑" w:hAnsi="微软雅黑" w:eastAsia="微软雅黑" w:cs="微软雅黑"/>
          <w:lang w:val="en-US" w:eastAsia="zh-CN"/>
        </w:rPr>
        <w:t>3.5乙方需无条件服从切配合本地区政府相关部门就企业开展装置检维修作业的一切安全检查及技术服务管理要求。</w:t>
      </w:r>
    </w:p>
    <w:p>
      <w:pPr>
        <w:pStyle w:val="2"/>
        <w:spacing w:line="257" w:lineRule="auto"/>
        <w:ind w:right="115" w:rightChars="55" w:firstLine="199" w:firstLineChars="95"/>
        <w:rPr>
          <w:rFonts w:hint="eastAsia"/>
          <w:lang w:eastAsia="zh-CN"/>
        </w:rPr>
      </w:pPr>
      <w:r>
        <w:rPr>
          <w:rFonts w:hint="eastAsia"/>
          <w:lang w:val="en-US" w:eastAsia="zh-CN"/>
        </w:rPr>
        <w:t>4、</w:t>
      </w:r>
      <w:r>
        <w:rPr>
          <w:lang w:eastAsia="zh-CN"/>
        </w:rPr>
        <w:t>保密要求</w:t>
      </w:r>
      <w:r>
        <w:rPr>
          <w:rFonts w:hint="eastAsia"/>
          <w:lang w:eastAsia="zh-CN"/>
        </w:rPr>
        <w:t>：</w:t>
      </w:r>
    </w:p>
    <w:p>
      <w:pPr>
        <w:pStyle w:val="2"/>
        <w:spacing w:line="257" w:lineRule="auto"/>
        <w:ind w:right="115" w:rightChars="55" w:firstLine="420"/>
        <w:rPr>
          <w:rFonts w:hint="eastAsia"/>
          <w:lang w:eastAsia="zh-CN"/>
        </w:rPr>
      </w:pPr>
      <w:r>
        <w:rPr>
          <w:rFonts w:hint="eastAsia"/>
          <w:lang w:eastAsia="zh-CN"/>
        </w:rPr>
        <w:t>乙方提供产品不受第三方关于专利、商标或工业设计权的侵权指控。如果发生任何第三方的侵权指控，由乙方负责与第三方交涉并使甲方免受由于第三方索赔从法律及经济责任上所造成的损害。</w:t>
      </w:r>
    </w:p>
    <w:p>
      <w:pPr>
        <w:pStyle w:val="2"/>
        <w:numPr>
          <w:ilvl w:val="0"/>
          <w:numId w:val="2"/>
        </w:numPr>
        <w:spacing w:line="257" w:lineRule="auto"/>
        <w:ind w:left="0" w:leftChars="0" w:right="115" w:rightChars="55" w:firstLine="199" w:firstLineChars="95"/>
        <w:rPr>
          <w:rFonts w:hint="eastAsia"/>
          <w:lang w:val="en-US" w:eastAsia="zh-CN"/>
        </w:rPr>
      </w:pPr>
      <w:r>
        <w:rPr>
          <w:rFonts w:hint="eastAsia"/>
          <w:lang w:val="en-US" w:eastAsia="zh-CN"/>
        </w:rPr>
        <w:t>培训要求：</w:t>
      </w:r>
    </w:p>
    <w:p>
      <w:pPr>
        <w:pStyle w:val="2"/>
        <w:numPr>
          <w:ilvl w:val="0"/>
          <w:numId w:val="0"/>
        </w:numPr>
        <w:spacing w:line="257" w:lineRule="auto"/>
        <w:ind w:leftChars="0" w:right="115" w:rightChars="55" w:firstLine="420" w:firstLineChars="200"/>
        <w:rPr>
          <w:rFonts w:hint="eastAsia"/>
          <w:lang w:val="en-US" w:eastAsia="zh-CN"/>
        </w:rPr>
      </w:pPr>
      <w:r>
        <w:rPr>
          <w:rFonts w:hint="eastAsia" w:ascii="微软雅黑" w:hAnsi="微软雅黑" w:eastAsia="微软雅黑" w:cs="微软雅黑"/>
          <w:lang w:eastAsia="zh-CN"/>
        </w:rPr>
        <w:t>所有</w:t>
      </w:r>
      <w:r>
        <w:rPr>
          <w:rFonts w:hint="eastAsia" w:ascii="微软雅黑" w:hAnsi="微软雅黑" w:eastAsia="微软雅黑" w:cs="微软雅黑"/>
          <w:lang w:val="en-US" w:eastAsia="zh-CN"/>
        </w:rPr>
        <w:t>乙方</w:t>
      </w:r>
      <w:r>
        <w:rPr>
          <w:rFonts w:hint="eastAsia" w:ascii="微软雅黑" w:hAnsi="微软雅黑" w:eastAsia="微软雅黑" w:cs="微软雅黑"/>
          <w:lang w:eastAsia="zh-CN"/>
        </w:rPr>
        <w:t>人员必须要经过</w:t>
      </w:r>
      <w:r>
        <w:rPr>
          <w:rFonts w:hint="eastAsia" w:ascii="微软雅黑" w:hAnsi="微软雅黑" w:eastAsia="微软雅黑" w:cs="微软雅黑"/>
          <w:lang w:val="en-US" w:eastAsia="zh-CN"/>
        </w:rPr>
        <w:t>入厂和</w:t>
      </w:r>
      <w:r>
        <w:rPr>
          <w:rFonts w:hint="eastAsia" w:ascii="微软雅黑" w:hAnsi="微软雅黑" w:eastAsia="微软雅黑" w:cs="微软雅黑"/>
          <w:lang w:eastAsia="zh-CN"/>
        </w:rPr>
        <w:t>入</w:t>
      </w:r>
      <w:r>
        <w:rPr>
          <w:rFonts w:hint="eastAsia" w:ascii="微软雅黑" w:hAnsi="微软雅黑" w:eastAsia="微软雅黑" w:cs="微软雅黑"/>
          <w:lang w:val="en-US" w:eastAsia="zh-CN"/>
        </w:rPr>
        <w:t>库区</w:t>
      </w:r>
      <w:r>
        <w:rPr>
          <w:rFonts w:hint="eastAsia" w:ascii="微软雅黑" w:hAnsi="微软雅黑" w:eastAsia="微软雅黑" w:cs="微软雅黑"/>
          <w:lang w:eastAsia="zh-CN"/>
        </w:rPr>
        <w:t>安全培训并考试合格。</w:t>
      </w:r>
    </w:p>
    <w:p>
      <w:pPr>
        <w:pStyle w:val="3"/>
        <w:rPr>
          <w:rFonts w:ascii="微软雅黑" w:hAnsi="微软雅黑" w:eastAsia="微软雅黑"/>
          <w:bCs/>
        </w:rPr>
      </w:pPr>
      <w:r>
        <w:rPr>
          <w:rFonts w:hint="eastAsia"/>
        </w:rPr>
        <w:t>五、</w:t>
      </w:r>
      <w:r>
        <w:rPr>
          <w:rFonts w:hint="eastAsia" w:ascii="微软雅黑" w:hAnsi="微软雅黑" w:eastAsia="微软雅黑"/>
          <w:bCs/>
        </w:rPr>
        <w:t>配备资源</w:t>
      </w:r>
      <w:r>
        <w:rPr>
          <w:rFonts w:ascii="微软雅黑" w:hAnsi="微软雅黑" w:eastAsia="微软雅黑"/>
          <w:bCs/>
        </w:rPr>
        <w:t>要求</w:t>
      </w:r>
    </w:p>
    <w:p>
      <w:pPr>
        <w:pStyle w:val="2"/>
        <w:spacing w:line="257" w:lineRule="auto"/>
        <w:ind w:right="115" w:rightChars="55" w:firstLine="283" w:firstLineChars="135"/>
        <w:rPr>
          <w:rFonts w:hint="eastAsia"/>
          <w:lang w:eastAsia="zh-CN"/>
        </w:rPr>
      </w:pPr>
      <w:r>
        <w:rPr>
          <w:rFonts w:hint="eastAsia"/>
          <w:lang w:eastAsia="zh-CN"/>
        </w:rPr>
        <w:t>1、</w:t>
      </w:r>
      <w:r>
        <w:rPr>
          <w:lang w:eastAsia="zh-CN"/>
        </w:rPr>
        <w:t xml:space="preserve"> </w:t>
      </w:r>
      <w:r>
        <w:rPr>
          <w:rFonts w:hint="eastAsia"/>
          <w:lang w:eastAsia="zh-CN"/>
        </w:rPr>
        <w:t>机具要求</w:t>
      </w:r>
    </w:p>
    <w:p>
      <w:pPr>
        <w:ind w:firstLine="420" w:firstLineChars="200"/>
        <w:rPr>
          <w:rFonts w:hint="eastAsia" w:ascii="Microsoft YaHei UI" w:hAnsi="Microsoft YaHei UI" w:eastAsia="Microsoft YaHei UI" w:cstheme="minorBidi"/>
          <w:kern w:val="0"/>
          <w:sz w:val="21"/>
          <w:szCs w:val="21"/>
          <w:lang w:val="en-US" w:eastAsia="zh-CN" w:bidi="ar-SA"/>
        </w:rPr>
      </w:pPr>
      <w:r>
        <w:rPr>
          <w:rFonts w:hint="eastAsia"/>
          <w:highlight w:val="none"/>
          <w:lang w:eastAsia="zh-CN"/>
        </w:rPr>
        <w:t>配</w:t>
      </w:r>
      <w:r>
        <w:rPr>
          <w:rFonts w:hint="eastAsia" w:ascii="Microsoft YaHei UI" w:hAnsi="Microsoft YaHei UI" w:eastAsia="Microsoft YaHei UI" w:cstheme="minorBidi"/>
          <w:kern w:val="0"/>
          <w:sz w:val="21"/>
          <w:szCs w:val="21"/>
          <w:lang w:val="en-US" w:eastAsia="zh-CN" w:bidi="ar-SA"/>
        </w:rPr>
        <w:t>备与服务业务范围相适应的仪器、设备、设施，维修过程应采用防爆工器具，并保证100%合格好用。</w:t>
      </w:r>
    </w:p>
    <w:p>
      <w:pPr>
        <w:pStyle w:val="2"/>
        <w:numPr>
          <w:ilvl w:val="0"/>
          <w:numId w:val="3"/>
        </w:numPr>
        <w:spacing w:line="257" w:lineRule="auto"/>
        <w:ind w:right="115" w:rightChars="55" w:firstLine="283" w:firstLineChars="135"/>
        <w:rPr>
          <w:rFonts w:hint="eastAsia" w:ascii="Microsoft YaHei UI" w:hAnsi="Microsoft YaHei UI" w:eastAsia="Microsoft YaHei UI" w:cstheme="minorBidi"/>
          <w:kern w:val="0"/>
          <w:sz w:val="21"/>
          <w:szCs w:val="21"/>
          <w:lang w:val="en-US" w:eastAsia="zh-CN" w:bidi="ar-SA"/>
        </w:rPr>
      </w:pPr>
      <w:r>
        <w:rPr>
          <w:rFonts w:hint="eastAsia" w:ascii="Microsoft YaHei UI" w:hAnsi="Microsoft YaHei UI" w:eastAsia="Microsoft YaHei UI" w:cstheme="minorBidi"/>
          <w:kern w:val="0"/>
          <w:sz w:val="21"/>
          <w:szCs w:val="21"/>
          <w:lang w:val="en-US" w:eastAsia="zh-CN" w:bidi="ar-SA"/>
        </w:rPr>
        <w:t>材料要求</w:t>
      </w:r>
    </w:p>
    <w:p>
      <w:pPr>
        <w:rPr>
          <w:rFonts w:hint="default"/>
          <w:lang w:val="en-US" w:eastAsia="zh-CN"/>
        </w:rPr>
      </w:pPr>
      <w:r>
        <w:rPr>
          <w:rFonts w:hint="eastAsia"/>
          <w:lang w:val="en-US" w:eastAsia="zh-CN"/>
        </w:rPr>
        <w:t xml:space="preserve">  无</w:t>
      </w:r>
    </w:p>
    <w:p>
      <w:pPr>
        <w:pStyle w:val="2"/>
        <w:numPr>
          <w:ilvl w:val="0"/>
          <w:numId w:val="3"/>
        </w:numPr>
        <w:spacing w:line="257" w:lineRule="auto"/>
        <w:ind w:left="0" w:leftChars="0" w:right="115" w:rightChars="55" w:firstLine="283" w:firstLineChars="135"/>
        <w:rPr>
          <w:rFonts w:hint="eastAsia"/>
          <w:lang w:eastAsia="zh-CN"/>
        </w:rPr>
      </w:pPr>
      <w:r>
        <w:rPr>
          <w:rFonts w:hint="eastAsia"/>
          <w:lang w:eastAsia="zh-CN"/>
        </w:rPr>
        <w:t>人员要求</w:t>
      </w:r>
    </w:p>
    <w:p>
      <w:pPr>
        <w:pStyle w:val="2"/>
        <w:spacing w:line="257" w:lineRule="auto"/>
        <w:ind w:right="115" w:rightChars="55" w:firstLine="407" w:firstLineChars="194"/>
        <w:rPr>
          <w:lang w:eastAsia="zh-CN"/>
        </w:rPr>
      </w:pPr>
      <w:r>
        <w:rPr>
          <w:rFonts w:hint="eastAsia"/>
          <w:highlight w:val="none"/>
          <w:lang w:eastAsia="zh-CN"/>
        </w:rPr>
        <w:t>人员工种、数量、技术能力、持证、职责、经验等按国家规定执行，特种作业人员必须持有特种设备作业许可证</w:t>
      </w:r>
      <w:r>
        <w:rPr>
          <w:rFonts w:hint="eastAsia"/>
          <w:highlight w:val="none"/>
          <w:lang w:val="en-US" w:eastAsia="zh-CN"/>
        </w:rPr>
        <w:t>和资格认证</w:t>
      </w:r>
      <w:r>
        <w:rPr>
          <w:rFonts w:hint="eastAsia"/>
          <w:highlight w:val="none"/>
          <w:lang w:eastAsia="zh-CN"/>
        </w:rPr>
        <w:t>。</w:t>
      </w:r>
      <w:r>
        <w:rPr>
          <w:rFonts w:hint="eastAsia"/>
          <w:highlight w:val="none"/>
          <w:lang w:val="en-US" w:eastAsia="zh-CN"/>
        </w:rPr>
        <w:t>服务</w:t>
      </w:r>
      <w:r>
        <w:rPr>
          <w:rFonts w:hint="eastAsia"/>
          <w:highlight w:val="none"/>
          <w:lang w:eastAsia="zh-CN"/>
        </w:rPr>
        <w:t>单位自行为其员工提供保险、餐食和住宿等。</w:t>
      </w:r>
    </w:p>
    <w:p>
      <w:pPr>
        <w:pStyle w:val="2"/>
        <w:numPr>
          <w:ilvl w:val="0"/>
          <w:numId w:val="3"/>
        </w:numPr>
        <w:spacing w:line="257" w:lineRule="auto"/>
        <w:ind w:left="0" w:leftChars="0" w:right="115" w:rightChars="55" w:firstLine="283" w:firstLineChars="135"/>
        <w:rPr>
          <w:rFonts w:hint="eastAsia"/>
          <w:lang w:eastAsia="zh-CN"/>
        </w:rPr>
      </w:pPr>
      <w:r>
        <w:rPr>
          <w:rFonts w:hint="eastAsia"/>
          <w:lang w:eastAsia="zh-CN"/>
        </w:rPr>
        <w:t>场地要求</w:t>
      </w:r>
    </w:p>
    <w:p>
      <w:pPr>
        <w:numPr>
          <w:ilvl w:val="0"/>
          <w:numId w:val="0"/>
        </w:numPr>
        <w:ind w:leftChars="135"/>
        <w:rPr>
          <w:rFonts w:hint="default"/>
          <w:lang w:val="en-US" w:eastAsia="zh-CN"/>
        </w:rPr>
      </w:pPr>
      <w:r>
        <w:rPr>
          <w:rFonts w:hint="eastAsia"/>
          <w:lang w:val="en-US" w:eastAsia="zh-CN"/>
        </w:rPr>
        <w:t>无</w:t>
      </w:r>
    </w:p>
    <w:p>
      <w:pPr>
        <w:pStyle w:val="11"/>
        <w:ind w:left="0"/>
        <w:outlineLvl w:val="0"/>
        <w:rPr>
          <w:rFonts w:ascii="微软雅黑" w:hAnsi="微软雅黑" w:eastAsia="微软雅黑"/>
          <w:bCs/>
          <w:sz w:val="32"/>
          <w:szCs w:val="32"/>
        </w:rPr>
      </w:pPr>
      <w:r>
        <w:rPr>
          <w:rFonts w:hint="eastAsia" w:ascii="微软雅黑" w:hAnsi="微软雅黑" w:eastAsia="微软雅黑"/>
          <w:bCs/>
          <w:sz w:val="32"/>
          <w:szCs w:val="32"/>
        </w:rPr>
        <w:t>六、服务进度跟踪</w:t>
      </w:r>
    </w:p>
    <w:p>
      <w:pPr>
        <w:pStyle w:val="2"/>
        <w:spacing w:line="257" w:lineRule="auto"/>
        <w:ind w:right="115" w:rightChars="55" w:firstLine="407" w:firstLineChars="194"/>
        <w:rPr>
          <w:lang w:eastAsia="zh-CN"/>
        </w:rPr>
      </w:pPr>
      <w:r>
        <w:rPr>
          <w:rFonts w:hint="eastAsia"/>
          <w:lang w:val="en-US" w:eastAsia="zh-CN"/>
        </w:rPr>
        <w:t>计划和应急检维修按工作内容或施工方案及作业时间开具工作单，检维修服务完成后进行验收；根据作业时间的长短，服务</w:t>
      </w:r>
      <w:r>
        <w:rPr>
          <w:rFonts w:hint="eastAsia"/>
          <w:lang w:eastAsia="zh-CN"/>
        </w:rPr>
        <w:t>单位</w:t>
      </w:r>
      <w:r>
        <w:rPr>
          <w:rFonts w:hint="eastAsia"/>
          <w:lang w:val="en-US" w:eastAsia="zh-CN"/>
        </w:rPr>
        <w:t>应</w:t>
      </w:r>
      <w:r>
        <w:rPr>
          <w:rFonts w:hint="eastAsia"/>
          <w:lang w:eastAsia="zh-CN"/>
        </w:rPr>
        <w:t>编写进度计划，按计划进行节点划分，制定分项工程工期和保证措施，确保工程质量，避免返工。</w:t>
      </w:r>
    </w:p>
    <w:p>
      <w:pPr>
        <w:pStyle w:val="11"/>
        <w:ind w:left="0"/>
        <w:outlineLvl w:val="0"/>
        <w:rPr>
          <w:rFonts w:ascii="微软雅黑" w:hAnsi="微软雅黑" w:eastAsia="微软雅黑" w:cs="微软雅黑"/>
          <w:sz w:val="32"/>
          <w:szCs w:val="32"/>
        </w:rPr>
      </w:pPr>
      <w:r>
        <w:rPr>
          <w:rFonts w:hint="eastAsia" w:ascii="微软雅黑" w:hAnsi="微软雅黑" w:eastAsia="微软雅黑" w:cs="微软雅黑"/>
          <w:sz w:val="32"/>
          <w:szCs w:val="32"/>
        </w:rPr>
        <w:t>七、服务及验收标准</w:t>
      </w:r>
    </w:p>
    <w:p>
      <w:pPr>
        <w:ind w:firstLine="420" w:firstLineChars="200"/>
        <w:rPr>
          <w:rFonts w:hint="default" w:ascii="微软雅黑" w:hAnsi="微软雅黑" w:eastAsia="微软雅黑" w:cs="Times New Roman"/>
          <w:color w:val="auto"/>
          <w:kern w:val="0"/>
          <w:sz w:val="21"/>
          <w:szCs w:val="21"/>
          <w:highlight w:val="yellow"/>
          <w:lang w:val="en-US" w:eastAsia="zh-CN" w:bidi="ar-SA"/>
        </w:rPr>
      </w:pPr>
      <w:r>
        <w:rPr>
          <w:rFonts w:hint="default" w:ascii="微软雅黑" w:hAnsi="微软雅黑" w:eastAsia="微软雅黑" w:cs="Times New Roman"/>
          <w:color w:val="auto"/>
          <w:kern w:val="0"/>
          <w:sz w:val="21"/>
          <w:szCs w:val="21"/>
          <w:highlight w:val="yellow"/>
          <w:lang w:val="en-US" w:eastAsia="zh-CN" w:bidi="ar-SA"/>
        </w:rPr>
        <w:t>以下为部分引用中国海油采购标准化体系建设采购技术标准</w:t>
      </w:r>
      <w:r>
        <w:rPr>
          <w:rFonts w:hint="eastAsia" w:ascii="微软雅黑" w:hAnsi="微软雅黑" w:eastAsia="微软雅黑" w:cs="Times New Roman"/>
          <w:color w:val="auto"/>
          <w:kern w:val="0"/>
          <w:sz w:val="21"/>
          <w:szCs w:val="21"/>
          <w:highlight w:val="yellow"/>
          <w:lang w:val="en-US" w:eastAsia="zh-CN" w:bidi="ar-SA"/>
        </w:rPr>
        <w:t>-</w:t>
      </w:r>
      <w:r>
        <w:rPr>
          <w:rFonts w:hint="eastAsia" w:ascii="微软雅黑" w:hAnsi="微软雅黑" w:eastAsia="微软雅黑" w:cs="微软雅黑"/>
          <w:kern w:val="0"/>
          <w:szCs w:val="21"/>
          <w:highlight w:val="yellow"/>
          <w:lang w:val="en-US" w:eastAsia="zh-CN" w:bidi="ar-SA"/>
        </w:rPr>
        <w:t>《套管、油管、立管检测及维护保养服务》CGBZ139-2022中的管件技术要求</w:t>
      </w:r>
    </w:p>
    <w:p>
      <w:pPr>
        <w:pStyle w:val="2"/>
        <w:rPr>
          <w:rFonts w:hint="default" w:ascii="微软雅黑" w:hAnsi="微软雅黑" w:eastAsia="微软雅黑" w:cs="Times New Roman"/>
          <w:color w:val="auto"/>
          <w:kern w:val="0"/>
          <w:sz w:val="21"/>
          <w:szCs w:val="21"/>
          <w:highlight w:val="yellow"/>
          <w:lang w:val="en-US" w:eastAsia="zh-CN" w:bidi="ar-SA"/>
        </w:rPr>
      </w:pPr>
      <w:r>
        <w:rPr>
          <w:rFonts w:hint="eastAsia" w:ascii="微软雅黑" w:hAnsi="微软雅黑" w:eastAsia="微软雅黑" w:cs="微软雅黑"/>
          <w:kern w:val="0"/>
          <w:szCs w:val="21"/>
          <w:highlight w:val="yellow"/>
          <w:lang w:val="en-US" w:eastAsia="zh-CN" w:bidi="ar-SA"/>
        </w:rPr>
        <w:t>管线防腐涂料、抛光除锈打磨等工艺规程必须相关符合质量验收及本标准要求。</w:t>
      </w:r>
    </w:p>
    <w:p>
      <w:pPr>
        <w:pStyle w:val="3"/>
        <w:spacing w:line="240" w:lineRule="auto"/>
        <w:jc w:val="both"/>
        <w:rPr>
          <w:rFonts w:ascii="微软雅黑" w:hAnsi="微软雅黑" w:eastAsia="微软雅黑" w:cs="微软雅黑"/>
          <w:spacing w:val="0"/>
          <w:sz w:val="21"/>
          <w:szCs w:val="21"/>
        </w:rPr>
      </w:pPr>
      <w:r>
        <w:rPr>
          <w:rFonts w:ascii="微软雅黑" w:hAnsi="微软雅黑" w:eastAsia="微软雅黑" w:cs="微软雅黑"/>
          <w:spacing w:val="0"/>
          <w:sz w:val="21"/>
          <w:szCs w:val="21"/>
        </w:rPr>
        <w:t>1</w:t>
      </w:r>
      <w:r>
        <w:rPr>
          <w:rFonts w:hint="eastAsia" w:ascii="微软雅黑" w:hAnsi="微软雅黑" w:eastAsia="微软雅黑" w:cs="微软雅黑"/>
          <w:spacing w:val="0"/>
          <w:sz w:val="21"/>
          <w:szCs w:val="21"/>
        </w:rPr>
        <w:t>、在单项</w:t>
      </w:r>
      <w:r>
        <w:rPr>
          <w:rFonts w:hint="eastAsia" w:ascii="微软雅黑" w:hAnsi="微软雅黑" w:eastAsia="微软雅黑" w:cs="微软雅黑"/>
          <w:spacing w:val="0"/>
          <w:sz w:val="21"/>
          <w:szCs w:val="21"/>
          <w:lang w:val="en-US" w:eastAsia="zh-CN"/>
        </w:rPr>
        <w:t>检维修服务</w:t>
      </w:r>
      <w:r>
        <w:rPr>
          <w:rFonts w:hint="eastAsia" w:ascii="微软雅黑" w:hAnsi="微软雅黑" w:eastAsia="微软雅黑" w:cs="微软雅黑"/>
          <w:spacing w:val="0"/>
          <w:sz w:val="21"/>
          <w:szCs w:val="21"/>
        </w:rPr>
        <w:t>完成后根据工作量清单内容进行现场实地验收</w:t>
      </w:r>
      <w:r>
        <w:rPr>
          <w:rFonts w:hint="eastAsia" w:ascii="微软雅黑" w:hAnsi="微软雅黑" w:eastAsia="微软雅黑" w:cs="微软雅黑"/>
          <w:spacing w:val="0"/>
          <w:sz w:val="21"/>
          <w:szCs w:val="21"/>
          <w:lang w:eastAsia="zh-CN"/>
        </w:rPr>
        <w:t>，</w:t>
      </w:r>
      <w:r>
        <w:rPr>
          <w:rFonts w:hint="eastAsia" w:ascii="微软雅黑" w:hAnsi="微软雅黑" w:eastAsia="微软雅黑" w:cs="微软雅黑"/>
          <w:spacing w:val="0"/>
          <w:sz w:val="21"/>
          <w:szCs w:val="21"/>
        </w:rPr>
        <w:t>验收内容包括但不限于工作量完成情况、施工质量、材料质量凭证等</w:t>
      </w:r>
      <w:r>
        <w:rPr>
          <w:rFonts w:hint="eastAsia" w:ascii="微软雅黑" w:hAnsi="微软雅黑" w:eastAsia="微软雅黑" w:cs="微软雅黑"/>
          <w:spacing w:val="0"/>
          <w:sz w:val="21"/>
          <w:szCs w:val="21"/>
          <w:lang w:val="en-US" w:eastAsia="zh-CN"/>
        </w:rPr>
        <w:t>按季度验收。</w:t>
      </w:r>
    </w:p>
    <w:p>
      <w:pPr>
        <w:pStyle w:val="2"/>
        <w:spacing w:line="257" w:lineRule="auto"/>
        <w:ind w:left="0" w:leftChars="0" w:right="115" w:rightChars="55" w:firstLine="0" w:firstLineChars="0"/>
        <w:jc w:val="left"/>
        <w:rPr>
          <w:lang w:eastAsia="zh-CN"/>
        </w:rPr>
      </w:pPr>
      <w:r>
        <w:rPr>
          <w:rFonts w:hint="eastAsia"/>
          <w:lang w:eastAsia="zh-CN"/>
        </w:rPr>
        <w:t>2、验收标准：</w:t>
      </w:r>
    </w:p>
    <w:p>
      <w:pPr>
        <w:pStyle w:val="3"/>
        <w:spacing w:line="240" w:lineRule="auto"/>
        <w:ind w:firstLine="420" w:firstLineChars="200"/>
        <w:jc w:val="both"/>
        <w:rPr>
          <w:rFonts w:hint="eastAsia" w:ascii="微软雅黑" w:hAnsi="微软雅黑" w:eastAsia="微软雅黑" w:cs="微软雅黑"/>
          <w:spacing w:val="0"/>
          <w:sz w:val="21"/>
          <w:szCs w:val="21"/>
          <w:lang w:eastAsia="zh-CN"/>
        </w:rPr>
      </w:pPr>
      <w:r>
        <w:rPr>
          <w:rFonts w:hint="eastAsia" w:ascii="微软雅黑" w:hAnsi="微软雅黑" w:eastAsia="微软雅黑" w:cs="微软雅黑"/>
          <w:spacing w:val="0"/>
          <w:sz w:val="21"/>
          <w:szCs w:val="21"/>
          <w:lang w:eastAsia="zh-CN"/>
        </w:rPr>
        <w:t>按照</w:t>
      </w:r>
      <w:r>
        <w:rPr>
          <w:rFonts w:hint="eastAsia" w:ascii="微软雅黑" w:hAnsi="微软雅黑" w:eastAsia="微软雅黑" w:cs="微软雅黑"/>
          <w:spacing w:val="0"/>
          <w:sz w:val="21"/>
          <w:szCs w:val="21"/>
          <w:lang w:val="en-US" w:eastAsia="zh-CN"/>
        </w:rPr>
        <w:t>本文中的“三、执行标准/规范”，以及“四、服务要求”内容进行验收</w:t>
      </w:r>
      <w:r>
        <w:rPr>
          <w:rFonts w:hint="eastAsia" w:ascii="微软雅黑" w:hAnsi="微软雅黑" w:eastAsia="微软雅黑" w:cs="微软雅黑"/>
          <w:spacing w:val="0"/>
          <w:sz w:val="21"/>
          <w:szCs w:val="21"/>
          <w:lang w:eastAsia="zh-CN"/>
        </w:rPr>
        <w:t>。</w:t>
      </w:r>
    </w:p>
    <w:p>
      <w:pPr>
        <w:numPr>
          <w:ilvl w:val="0"/>
          <w:numId w:val="4"/>
        </w:numPr>
        <w:rPr>
          <w:rFonts w:hint="eastAsia" w:ascii="微软雅黑" w:hAnsi="微软雅黑" w:eastAsia="微软雅黑" w:cs="微软雅黑"/>
          <w:spacing w:val="0"/>
          <w:sz w:val="21"/>
          <w:szCs w:val="21"/>
          <w:lang w:val="en-US" w:eastAsia="zh-CN"/>
        </w:rPr>
      </w:pPr>
      <w:r>
        <w:rPr>
          <w:rFonts w:hint="eastAsia" w:ascii="微软雅黑" w:hAnsi="微软雅黑" w:eastAsia="微软雅黑" w:cs="微软雅黑"/>
          <w:spacing w:val="0"/>
          <w:sz w:val="21"/>
          <w:szCs w:val="21"/>
          <w:lang w:val="en-US" w:eastAsia="zh-CN"/>
        </w:rPr>
        <w:t>完工材料</w:t>
      </w:r>
    </w:p>
    <w:p>
      <w:pPr>
        <w:pStyle w:val="3"/>
        <w:spacing w:line="240" w:lineRule="auto"/>
        <w:jc w:val="both"/>
        <w:rPr>
          <w:rFonts w:hint="eastAsia" w:ascii="微软雅黑" w:hAnsi="微软雅黑" w:eastAsia="微软雅黑" w:cs="微软雅黑"/>
          <w:spacing w:val="0"/>
          <w:sz w:val="21"/>
          <w:szCs w:val="21"/>
          <w:lang w:eastAsia="zh-CN"/>
        </w:rPr>
      </w:pPr>
      <w:r>
        <w:rPr>
          <w:rFonts w:hint="eastAsia" w:ascii="微软雅黑" w:hAnsi="微软雅黑" w:eastAsia="微软雅黑" w:cs="微软雅黑"/>
          <w:spacing w:val="0"/>
          <w:sz w:val="21"/>
          <w:szCs w:val="21"/>
          <w:lang w:val="en-US" w:eastAsia="zh-CN"/>
        </w:rPr>
        <w:t>3.1 维修检测整改结算完工资料：工作量确认清单、检维修方案及计划、作业票副联、</w:t>
      </w:r>
      <w:r>
        <w:rPr>
          <w:rFonts w:hint="eastAsia" w:ascii="微软雅黑" w:hAnsi="微软雅黑" w:eastAsia="微软雅黑" w:cs="微软雅黑"/>
          <w:spacing w:val="0"/>
          <w:sz w:val="21"/>
          <w:szCs w:val="21"/>
        </w:rPr>
        <w:t>完工报告书</w:t>
      </w:r>
      <w:r>
        <w:rPr>
          <w:rFonts w:hint="eastAsia" w:ascii="微软雅黑" w:hAnsi="微软雅黑" w:eastAsia="微软雅黑" w:cs="微软雅黑"/>
          <w:spacing w:val="0"/>
          <w:sz w:val="21"/>
          <w:szCs w:val="21"/>
          <w:lang w:eastAsia="zh-CN"/>
        </w:rPr>
        <w:t>、</w:t>
      </w:r>
      <w:r>
        <w:rPr>
          <w:rFonts w:hint="eastAsia" w:ascii="微软雅黑" w:hAnsi="微软雅黑" w:eastAsia="微软雅黑" w:cs="微软雅黑"/>
          <w:spacing w:val="0"/>
          <w:sz w:val="21"/>
          <w:szCs w:val="21"/>
          <w:lang w:val="en-US" w:eastAsia="zh-CN"/>
        </w:rPr>
        <w:t>检测报告等</w:t>
      </w:r>
      <w:r>
        <w:rPr>
          <w:rFonts w:hint="eastAsia" w:ascii="微软雅黑" w:hAnsi="微软雅黑" w:eastAsia="微软雅黑" w:cs="微软雅黑"/>
          <w:spacing w:val="0"/>
          <w:sz w:val="21"/>
          <w:szCs w:val="21"/>
          <w:lang w:eastAsia="zh-CN"/>
        </w:rPr>
        <w:t>；</w:t>
      </w:r>
    </w:p>
    <w:p>
      <w:pPr>
        <w:rPr>
          <w:rFonts w:hint="default"/>
          <w:lang w:val="en-US" w:eastAsia="zh-CN"/>
        </w:rPr>
      </w:pPr>
      <w:r>
        <w:rPr>
          <w:rFonts w:hint="eastAsia" w:ascii="微软雅黑" w:hAnsi="微软雅黑" w:eastAsia="微软雅黑" w:cs="微软雅黑"/>
          <w:spacing w:val="0"/>
          <w:sz w:val="21"/>
          <w:szCs w:val="21"/>
          <w:lang w:val="en-US" w:eastAsia="zh-CN"/>
        </w:rPr>
        <w:t>3.2 检修、维修、维护验收资料：验收记录表或验收报告。</w:t>
      </w:r>
    </w:p>
    <w:p>
      <w:pPr>
        <w:pStyle w:val="11"/>
        <w:ind w:left="0"/>
        <w:outlineLvl w:val="0"/>
        <w:rPr>
          <w:rFonts w:ascii="微软雅黑" w:hAnsi="微软雅黑" w:eastAsia="微软雅黑"/>
          <w:bCs/>
          <w:sz w:val="32"/>
          <w:szCs w:val="32"/>
        </w:rPr>
      </w:pPr>
      <w:r>
        <w:rPr>
          <w:rFonts w:hint="eastAsia" w:ascii="微软雅黑" w:hAnsi="微软雅黑" w:eastAsia="微软雅黑"/>
          <w:bCs/>
          <w:sz w:val="32"/>
          <w:szCs w:val="32"/>
        </w:rPr>
        <w:t>八、质量保证</w:t>
      </w:r>
    </w:p>
    <w:p>
      <w:pPr>
        <w:pStyle w:val="3"/>
        <w:numPr>
          <w:ilvl w:val="0"/>
          <w:numId w:val="0"/>
        </w:numPr>
        <w:spacing w:line="240" w:lineRule="auto"/>
        <w:jc w:val="both"/>
        <w:outlineLvl w:val="1"/>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 xml:space="preserve">1、 </w:t>
      </w:r>
      <w:r>
        <w:rPr>
          <w:rFonts w:hint="eastAsia" w:ascii="微软雅黑" w:hAnsi="微软雅黑" w:eastAsia="微软雅黑"/>
          <w:sz w:val="21"/>
          <w:szCs w:val="21"/>
        </w:rPr>
        <w:t>质保期时间、质保金要求</w:t>
      </w:r>
      <w:r>
        <w:rPr>
          <w:rFonts w:hint="eastAsia" w:ascii="微软雅黑" w:hAnsi="微软雅黑" w:eastAsia="微软雅黑"/>
          <w:sz w:val="21"/>
          <w:szCs w:val="21"/>
          <w:lang w:eastAsia="zh-CN"/>
        </w:rPr>
        <w:t>：</w:t>
      </w:r>
    </w:p>
    <w:p>
      <w:pPr>
        <w:pStyle w:val="3"/>
        <w:numPr>
          <w:ilvl w:val="0"/>
          <w:numId w:val="0"/>
        </w:numPr>
        <w:spacing w:line="240" w:lineRule="auto"/>
        <w:ind w:firstLine="420" w:firstLineChars="200"/>
        <w:jc w:val="both"/>
        <w:outlineLvl w:val="1"/>
        <w:rPr>
          <w:rFonts w:hint="default" w:ascii="微软雅黑" w:hAnsi="微软雅黑" w:eastAsia="微软雅黑"/>
          <w:color w:val="FF0000"/>
          <w:sz w:val="21"/>
          <w:szCs w:val="21"/>
          <w:lang w:val="en-US"/>
        </w:rPr>
      </w:pPr>
      <w:r>
        <w:rPr>
          <w:rFonts w:hint="eastAsia" w:ascii="微软雅黑" w:hAnsi="微软雅黑" w:eastAsia="微软雅黑"/>
          <w:sz w:val="21"/>
          <w:szCs w:val="21"/>
        </w:rPr>
        <w:t>所用材料必须保证合格</w:t>
      </w: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有产品合格证</w:t>
      </w: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，并签订质量保证。</w:t>
      </w:r>
      <w:r>
        <w:rPr>
          <w:rFonts w:hint="eastAsia" w:ascii="微软雅黑" w:hAnsi="微软雅黑" w:eastAsia="微软雅黑"/>
          <w:sz w:val="21"/>
          <w:szCs w:val="21"/>
        </w:rPr>
        <w:t>质保期时间</w:t>
      </w:r>
      <w:r>
        <w:rPr>
          <w:rFonts w:hint="eastAsia" w:ascii="微软雅黑" w:hAnsi="微软雅黑" w:eastAsia="微软雅黑"/>
          <w:sz w:val="21"/>
          <w:szCs w:val="21"/>
          <w:lang w:val="en-US" w:eastAsia="zh-CN"/>
        </w:rPr>
        <w:t>为完工确认后1年。</w:t>
      </w:r>
    </w:p>
    <w:p>
      <w:pPr>
        <w:pStyle w:val="57"/>
        <w:numPr>
          <w:ilvl w:val="0"/>
          <w:numId w:val="5"/>
        </w:numPr>
        <w:spacing w:before="120" w:after="120"/>
        <w:outlineLvl w:val="0"/>
        <w:rPr>
          <w:rFonts w:ascii="微软雅黑" w:hAnsi="微软雅黑" w:eastAsia="微软雅黑" w:cstheme="minorBidi"/>
          <w:sz w:val="21"/>
          <w:szCs w:val="21"/>
        </w:rPr>
      </w:pPr>
      <w:r>
        <w:rPr>
          <w:rFonts w:hint="eastAsia" w:ascii="微软雅黑" w:hAnsi="微软雅黑" w:eastAsia="微软雅黑" w:cstheme="minorBidi"/>
          <w:sz w:val="21"/>
          <w:szCs w:val="21"/>
        </w:rPr>
        <w:t>质保期内出现问题处理方案；</w:t>
      </w:r>
    </w:p>
    <w:p>
      <w:pPr>
        <w:pStyle w:val="57"/>
        <w:spacing w:before="120" w:after="120"/>
        <w:ind w:firstLine="420" w:firstLineChars="200"/>
        <w:outlineLvl w:val="0"/>
        <w:rPr>
          <w:rFonts w:ascii="微软雅黑" w:hAnsi="微软雅黑" w:eastAsia="微软雅黑" w:cstheme="minorBidi"/>
          <w:color w:val="auto"/>
          <w:sz w:val="21"/>
          <w:szCs w:val="21"/>
        </w:rPr>
      </w:pPr>
      <w:r>
        <w:rPr>
          <w:rFonts w:hint="eastAsia" w:ascii="微软雅黑" w:hAnsi="微软雅黑" w:eastAsia="微软雅黑" w:cstheme="minorBidi"/>
          <w:color w:val="auto"/>
          <w:sz w:val="21"/>
          <w:szCs w:val="21"/>
          <w:lang w:val="en-US" w:eastAsia="zh-CN"/>
        </w:rPr>
        <w:t>服务</w:t>
      </w:r>
      <w:r>
        <w:rPr>
          <w:rFonts w:hint="eastAsia" w:ascii="微软雅黑" w:hAnsi="微软雅黑" w:eastAsia="微软雅黑" w:cstheme="minorBidi"/>
          <w:color w:val="auto"/>
          <w:sz w:val="21"/>
          <w:szCs w:val="21"/>
        </w:rPr>
        <w:t>期内</w:t>
      </w:r>
      <w:r>
        <w:rPr>
          <w:rFonts w:hint="eastAsia" w:ascii="微软雅黑" w:hAnsi="微软雅黑" w:eastAsia="微软雅黑" w:cstheme="minorBidi"/>
          <w:color w:val="auto"/>
          <w:sz w:val="21"/>
          <w:szCs w:val="21"/>
          <w:lang w:val="en-US" w:eastAsia="zh-CN"/>
        </w:rPr>
        <w:t>维修后</w:t>
      </w:r>
      <w:r>
        <w:rPr>
          <w:rFonts w:hint="eastAsia" w:ascii="微软雅黑" w:hAnsi="微软雅黑" w:eastAsia="微软雅黑" w:cstheme="minorBidi"/>
          <w:color w:val="auto"/>
          <w:sz w:val="21"/>
          <w:szCs w:val="21"/>
        </w:rPr>
        <w:t>出现</w:t>
      </w:r>
      <w:r>
        <w:rPr>
          <w:rFonts w:hint="eastAsia" w:ascii="微软雅黑" w:hAnsi="微软雅黑" w:eastAsia="微软雅黑" w:cstheme="minorBidi"/>
          <w:color w:val="auto"/>
          <w:sz w:val="21"/>
          <w:szCs w:val="21"/>
          <w:lang w:val="en-US" w:eastAsia="zh-CN"/>
        </w:rPr>
        <w:t>相同</w:t>
      </w:r>
      <w:r>
        <w:rPr>
          <w:rFonts w:hint="eastAsia" w:ascii="微软雅黑" w:hAnsi="微软雅黑" w:eastAsia="微软雅黑" w:cstheme="minorBidi"/>
          <w:color w:val="auto"/>
          <w:sz w:val="21"/>
          <w:szCs w:val="21"/>
        </w:rPr>
        <w:t>问题</w:t>
      </w:r>
      <w:r>
        <w:rPr>
          <w:rFonts w:hint="eastAsia" w:ascii="微软雅黑" w:hAnsi="微软雅黑" w:eastAsia="微软雅黑" w:cstheme="minorBidi"/>
          <w:color w:val="auto"/>
          <w:sz w:val="21"/>
          <w:szCs w:val="21"/>
          <w:lang w:val="en-US" w:eastAsia="zh-CN"/>
        </w:rPr>
        <w:t>的</w:t>
      </w:r>
      <w:r>
        <w:rPr>
          <w:rFonts w:hint="eastAsia" w:ascii="微软雅黑" w:hAnsi="微软雅黑" w:eastAsia="微软雅黑" w:cstheme="minorBidi"/>
          <w:color w:val="auto"/>
          <w:sz w:val="21"/>
          <w:szCs w:val="21"/>
        </w:rPr>
        <w:t>应免费到场进行重新免费维修</w:t>
      </w:r>
      <w:r>
        <w:rPr>
          <w:rFonts w:hint="eastAsia" w:ascii="微软雅黑" w:hAnsi="微软雅黑" w:eastAsia="微软雅黑" w:cstheme="minorBidi"/>
          <w:color w:val="auto"/>
          <w:sz w:val="21"/>
          <w:szCs w:val="21"/>
          <w:lang w:eastAsia="zh-CN"/>
        </w:rPr>
        <w:t>，</w:t>
      </w:r>
      <w:r>
        <w:rPr>
          <w:rFonts w:hint="eastAsia" w:ascii="微软雅黑" w:hAnsi="微软雅黑" w:eastAsia="微软雅黑" w:cstheme="minorBidi"/>
          <w:color w:val="auto"/>
          <w:sz w:val="21"/>
          <w:szCs w:val="21"/>
          <w:lang w:val="en-US" w:eastAsia="zh-CN"/>
        </w:rPr>
        <w:t>直到故障排除</w:t>
      </w:r>
      <w:r>
        <w:rPr>
          <w:rFonts w:hint="eastAsia" w:ascii="微软雅黑" w:hAnsi="微软雅黑" w:eastAsia="微软雅黑" w:cstheme="minorBidi"/>
          <w:color w:val="auto"/>
          <w:sz w:val="21"/>
          <w:szCs w:val="21"/>
        </w:rPr>
        <w:t>。</w:t>
      </w:r>
    </w:p>
    <w:p>
      <w:pPr>
        <w:pStyle w:val="57"/>
        <w:spacing w:before="120" w:after="120"/>
        <w:outlineLvl w:val="0"/>
        <w:rPr>
          <w:rFonts w:ascii="微软雅黑" w:hAnsi="微软雅黑" w:eastAsia="微软雅黑" w:cstheme="minorBidi"/>
          <w:sz w:val="21"/>
          <w:szCs w:val="21"/>
        </w:rPr>
      </w:pPr>
      <w:r>
        <w:rPr>
          <w:rFonts w:hint="eastAsia" w:ascii="微软雅黑" w:hAnsi="微软雅黑" w:eastAsia="微软雅黑" w:cstheme="minorBidi"/>
          <w:sz w:val="21"/>
          <w:szCs w:val="21"/>
          <w:lang w:val="en-US" w:eastAsia="zh-CN"/>
        </w:rPr>
        <w:t>3、</w:t>
      </w:r>
      <w:r>
        <w:rPr>
          <w:rFonts w:hint="eastAsia" w:ascii="微软雅黑" w:hAnsi="微软雅黑" w:eastAsia="微软雅黑" w:cstheme="minorBidi"/>
          <w:sz w:val="21"/>
          <w:szCs w:val="21"/>
        </w:rPr>
        <w:t>违约责任要求；</w:t>
      </w:r>
    </w:p>
    <w:p>
      <w:pPr>
        <w:pStyle w:val="57"/>
        <w:spacing w:before="120" w:after="120"/>
        <w:outlineLvl w:val="0"/>
        <w:rPr>
          <w:rFonts w:ascii="微软雅黑" w:hAnsi="微软雅黑" w:eastAsia="微软雅黑" w:cstheme="minorBidi"/>
          <w:color w:val="auto"/>
          <w:sz w:val="21"/>
          <w:szCs w:val="21"/>
        </w:rPr>
      </w:pPr>
      <w:r>
        <w:rPr>
          <w:rFonts w:hint="eastAsia" w:ascii="微软雅黑" w:hAnsi="微软雅黑" w:eastAsia="微软雅黑" w:cstheme="minorBidi"/>
          <w:color w:val="auto"/>
          <w:sz w:val="21"/>
          <w:szCs w:val="21"/>
          <w:lang w:val="en-US" w:eastAsia="zh-CN"/>
        </w:rPr>
        <w:t>3</w:t>
      </w:r>
      <w:r>
        <w:rPr>
          <w:rFonts w:hint="eastAsia" w:ascii="微软雅黑" w:hAnsi="微软雅黑" w:eastAsia="微软雅黑" w:cstheme="minorBidi"/>
          <w:color w:val="auto"/>
          <w:sz w:val="21"/>
          <w:szCs w:val="21"/>
        </w:rPr>
        <w:t>.1 不在规定时间内完成</w:t>
      </w:r>
      <w:r>
        <w:rPr>
          <w:rFonts w:hint="eastAsia" w:ascii="微软雅黑" w:hAnsi="微软雅黑" w:eastAsia="微软雅黑" w:cstheme="minorBidi"/>
          <w:color w:val="auto"/>
          <w:sz w:val="21"/>
          <w:szCs w:val="21"/>
          <w:lang w:val="en-US" w:eastAsia="zh-CN"/>
        </w:rPr>
        <w:t>服务</w:t>
      </w:r>
      <w:r>
        <w:rPr>
          <w:rFonts w:hint="eastAsia" w:ascii="微软雅黑" w:hAnsi="微软雅黑" w:eastAsia="微软雅黑" w:cstheme="minorBidi"/>
          <w:color w:val="auto"/>
          <w:sz w:val="21"/>
          <w:szCs w:val="21"/>
        </w:rPr>
        <w:t>的，视为违约，我方有权拒付相关费用。</w:t>
      </w:r>
    </w:p>
    <w:p>
      <w:pPr>
        <w:pStyle w:val="57"/>
        <w:spacing w:before="120" w:after="120"/>
        <w:outlineLvl w:val="0"/>
        <w:rPr>
          <w:rFonts w:hint="eastAsia" w:ascii="微软雅黑" w:hAnsi="微软雅黑" w:eastAsia="微软雅黑" w:cstheme="minorBidi"/>
          <w:color w:val="auto"/>
          <w:sz w:val="21"/>
          <w:szCs w:val="21"/>
        </w:rPr>
      </w:pPr>
      <w:r>
        <w:rPr>
          <w:rFonts w:hint="eastAsia" w:ascii="微软雅黑" w:hAnsi="微软雅黑" w:eastAsia="微软雅黑" w:cstheme="minorBidi"/>
          <w:color w:val="auto"/>
          <w:sz w:val="21"/>
          <w:szCs w:val="21"/>
          <w:lang w:val="en-US" w:eastAsia="zh-CN"/>
        </w:rPr>
        <w:t>3</w:t>
      </w:r>
      <w:r>
        <w:rPr>
          <w:rFonts w:hint="eastAsia" w:ascii="微软雅黑" w:hAnsi="微软雅黑" w:eastAsia="微软雅黑" w:cstheme="minorBidi"/>
          <w:color w:val="auto"/>
          <w:sz w:val="21"/>
          <w:szCs w:val="21"/>
        </w:rPr>
        <w:t>.2 我方对</w:t>
      </w:r>
      <w:r>
        <w:rPr>
          <w:rFonts w:hint="eastAsia" w:ascii="微软雅黑" w:hAnsi="微软雅黑" w:eastAsia="微软雅黑" w:cstheme="minorBidi"/>
          <w:color w:val="auto"/>
          <w:sz w:val="21"/>
          <w:szCs w:val="21"/>
          <w:lang w:val="en-US" w:eastAsia="zh-CN"/>
        </w:rPr>
        <w:t>服务</w:t>
      </w:r>
      <w:r>
        <w:rPr>
          <w:rFonts w:hint="eastAsia" w:ascii="微软雅黑" w:hAnsi="微软雅黑" w:eastAsia="微软雅黑" w:cstheme="minorBidi"/>
          <w:color w:val="auto"/>
          <w:sz w:val="21"/>
          <w:szCs w:val="21"/>
        </w:rPr>
        <w:t>项目进行质量检查不合格且</w:t>
      </w:r>
      <w:r>
        <w:rPr>
          <w:rFonts w:hint="eastAsia" w:ascii="微软雅黑" w:hAnsi="微软雅黑" w:eastAsia="微软雅黑" w:cstheme="minorBidi"/>
          <w:color w:val="auto"/>
          <w:sz w:val="21"/>
          <w:szCs w:val="21"/>
          <w:lang w:val="en-US" w:eastAsia="zh-CN"/>
        </w:rPr>
        <w:t>服务</w:t>
      </w:r>
      <w:r>
        <w:rPr>
          <w:rFonts w:hint="eastAsia" w:ascii="微软雅黑" w:hAnsi="微软雅黑" w:eastAsia="微软雅黑" w:cstheme="minorBidi"/>
          <w:color w:val="auto"/>
          <w:sz w:val="21"/>
          <w:szCs w:val="21"/>
        </w:rPr>
        <w:t>单位不重新进行</w:t>
      </w:r>
      <w:r>
        <w:rPr>
          <w:rFonts w:hint="eastAsia" w:ascii="微软雅黑" w:hAnsi="微软雅黑" w:eastAsia="微软雅黑" w:cstheme="minorBidi"/>
          <w:color w:val="auto"/>
          <w:sz w:val="21"/>
          <w:szCs w:val="21"/>
          <w:lang w:val="en-US" w:eastAsia="zh-CN"/>
        </w:rPr>
        <w:t>维护维修</w:t>
      </w:r>
      <w:r>
        <w:rPr>
          <w:rFonts w:hint="eastAsia" w:ascii="微软雅黑" w:hAnsi="微软雅黑" w:eastAsia="微软雅黑" w:cstheme="minorBidi"/>
          <w:color w:val="auto"/>
          <w:sz w:val="21"/>
          <w:szCs w:val="21"/>
        </w:rPr>
        <w:t>的，视为对方违约，我方有权拒付相关费用，造成损失的由</w:t>
      </w:r>
      <w:r>
        <w:rPr>
          <w:rFonts w:hint="eastAsia" w:ascii="微软雅黑" w:hAnsi="微软雅黑" w:eastAsia="微软雅黑" w:cstheme="minorBidi"/>
          <w:color w:val="auto"/>
          <w:sz w:val="21"/>
          <w:szCs w:val="21"/>
          <w:lang w:val="en-US" w:eastAsia="zh-CN"/>
        </w:rPr>
        <w:t>服务</w:t>
      </w:r>
      <w:r>
        <w:rPr>
          <w:rFonts w:hint="eastAsia" w:ascii="微软雅黑" w:hAnsi="微软雅黑" w:eastAsia="微软雅黑" w:cstheme="minorBidi"/>
          <w:color w:val="auto"/>
          <w:sz w:val="21"/>
          <w:szCs w:val="21"/>
        </w:rPr>
        <w:t>单位负责。</w:t>
      </w:r>
    </w:p>
    <w:p>
      <w:pPr>
        <w:pStyle w:val="57"/>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九、其他要求</w:t>
      </w:r>
    </w:p>
    <w:bookmarkEnd w:id="4"/>
    <w:bookmarkEnd w:id="5"/>
    <w:p>
      <w:pPr>
        <w:pStyle w:val="2"/>
        <w:spacing w:line="257" w:lineRule="auto"/>
        <w:ind w:left="0" w:leftChars="0" w:right="115" w:rightChars="55" w:firstLine="0" w:firstLineChars="0"/>
        <w:rPr>
          <w:rFonts w:hint="default"/>
          <w:lang w:val="en-US" w:eastAsia="zh-CN"/>
        </w:rPr>
      </w:pPr>
      <w:r>
        <w:rPr>
          <w:rFonts w:hint="eastAsia"/>
          <w:lang w:eastAsia="zh-CN"/>
        </w:rPr>
        <w:t>1、</w:t>
      </w:r>
      <w:r>
        <w:rPr>
          <w:lang w:eastAsia="zh-CN"/>
        </w:rPr>
        <w:t>技术联系人</w:t>
      </w:r>
      <w:r>
        <w:rPr>
          <w:rFonts w:hint="eastAsia"/>
          <w:lang w:eastAsia="zh-CN"/>
        </w:rPr>
        <w:t>：</w:t>
      </w:r>
      <w:r>
        <w:rPr>
          <w:rFonts w:hint="eastAsia"/>
          <w:lang w:val="en-US" w:eastAsia="zh-CN"/>
        </w:rPr>
        <w:t>杨串宁</w:t>
      </w:r>
      <w:r>
        <w:rPr>
          <w:rFonts w:hint="eastAsia"/>
          <w:lang w:eastAsia="zh-CN"/>
        </w:rPr>
        <w:t xml:space="preserve">    电话：</w:t>
      </w:r>
      <w:r>
        <w:rPr>
          <w:rFonts w:hint="eastAsia"/>
          <w:lang w:val="en-US" w:eastAsia="zh-CN"/>
        </w:rPr>
        <w:t>18222781432</w:t>
      </w:r>
    </w:p>
    <w:p>
      <w:pPr>
        <w:pStyle w:val="2"/>
        <w:spacing w:line="257" w:lineRule="auto"/>
        <w:ind w:left="0" w:leftChars="0" w:right="115" w:rightChars="55" w:firstLine="420" w:firstLineChars="200"/>
        <w:rPr>
          <w:rFonts w:hint="eastAsia"/>
          <w:lang w:val="en-US" w:eastAsia="zh-CN"/>
        </w:rPr>
      </w:pPr>
      <w:r>
        <w:rPr>
          <w:rFonts w:hint="eastAsia"/>
          <w:lang w:eastAsia="zh-CN"/>
        </w:rPr>
        <w:t>邮箱：</w:t>
      </w:r>
      <w:r>
        <w:rPr>
          <w:rFonts w:hint="eastAsia"/>
          <w:lang w:val="en-US" w:eastAsia="zh-CN"/>
        </w:rPr>
        <w:fldChar w:fldCharType="begin"/>
      </w:r>
      <w:r>
        <w:rPr>
          <w:rFonts w:hint="eastAsia"/>
          <w:lang w:val="en-US" w:eastAsia="zh-CN"/>
        </w:rPr>
        <w:instrText xml:space="preserve"> HYPERLINK "mailto:jiashzh@cnooc.com.cn" </w:instrText>
      </w:r>
      <w:r>
        <w:rPr>
          <w:rFonts w:hint="eastAsia"/>
          <w:lang w:val="en-US" w:eastAsia="zh-CN"/>
        </w:rPr>
        <w:fldChar w:fldCharType="separate"/>
      </w:r>
      <w:r>
        <w:rPr>
          <w:rStyle w:val="34"/>
          <w:rFonts w:hint="eastAsia"/>
          <w:lang w:val="en-US" w:eastAsia="zh-CN"/>
        </w:rPr>
        <w:t>yangchn3</w:t>
      </w:r>
      <w:r>
        <w:rPr>
          <w:rStyle w:val="34"/>
          <w:rFonts w:hint="eastAsia"/>
          <w:lang w:eastAsia="zh-CN"/>
        </w:rPr>
        <w:t>@cnooc.com.cn</w:t>
      </w:r>
      <w:r>
        <w:rPr>
          <w:rFonts w:hint="eastAsia"/>
          <w:lang w:val="en-US" w:eastAsia="zh-CN"/>
        </w:rPr>
        <w:fldChar w:fldCharType="end"/>
      </w:r>
    </w:p>
    <w:p>
      <w:pPr>
        <w:pStyle w:val="2"/>
        <w:spacing w:line="257" w:lineRule="auto"/>
        <w:ind w:left="0" w:leftChars="0" w:right="115" w:rightChars="55" w:firstLine="0" w:firstLineChars="0"/>
        <w:rPr>
          <w:lang w:eastAsia="zh-CN"/>
        </w:rPr>
      </w:pPr>
      <w:r>
        <w:rPr>
          <w:rFonts w:hint="eastAsia"/>
          <w:lang w:eastAsia="zh-CN"/>
        </w:rPr>
        <w:t>2、</w:t>
      </w:r>
      <w:r>
        <w:rPr>
          <w:lang w:eastAsia="zh-CN"/>
        </w:rPr>
        <w:t>付款方式</w:t>
      </w:r>
      <w:r>
        <w:rPr>
          <w:rFonts w:hint="eastAsia"/>
          <w:lang w:eastAsia="zh-CN"/>
        </w:rPr>
        <w:t>：</w:t>
      </w:r>
      <w:r>
        <w:rPr>
          <w:rFonts w:hint="eastAsia" w:ascii="微软雅黑" w:hAnsi="微软雅黑" w:eastAsia="微软雅黑"/>
          <w:lang w:eastAsia="zh-CN"/>
        </w:rPr>
        <w:t>银行电汇；</w:t>
      </w:r>
    </w:p>
    <w:p>
      <w:pPr>
        <w:pStyle w:val="2"/>
        <w:spacing w:line="257" w:lineRule="auto"/>
        <w:ind w:left="0" w:leftChars="0" w:right="115" w:rightChars="55" w:firstLine="0" w:firstLineChars="0"/>
        <w:rPr>
          <w:lang w:eastAsia="zh-CN"/>
        </w:rPr>
      </w:pPr>
      <w:r>
        <w:rPr>
          <w:rFonts w:hint="eastAsia"/>
          <w:lang w:eastAsia="zh-CN"/>
        </w:rPr>
        <w:t>3、付款周期要求：</w:t>
      </w:r>
      <w:r>
        <w:rPr>
          <w:lang w:eastAsia="zh-CN"/>
        </w:rPr>
        <w:t>甲方接到有效增值税专用发票及相关支持文件并审核无误后 45 天内付款。</w:t>
      </w:r>
    </w:p>
    <w:p>
      <w:r>
        <w:rPr>
          <w:rFonts w:hint="eastAsia" w:ascii="黑体" w:hAnsi="黑体" w:eastAsia="黑体"/>
          <w:b/>
          <w:bCs/>
          <w:sz w:val="24"/>
          <w:szCs w:val="24"/>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spacing w:before="72" w:beforeLines="30" w:after="72" w:afterLines="30"/>
        <w:rPr>
          <w:rFonts w:hint="eastAsia" w:asciiTheme="minorEastAsia" w:hAnsiTheme="minorEastAsia" w:eastAsiaTheme="minorEastAsia" w:cstheme="minorEastAsia"/>
          <w:sz w:val="36"/>
          <w:szCs w:val="36"/>
        </w:rPr>
      </w:pPr>
    </w:p>
    <w:p>
      <w:pPr>
        <w:spacing w:line="240" w:lineRule="atLeast"/>
        <w:ind w:firstLine="361" w:firstLineChars="100"/>
        <w:jc w:val="center"/>
        <w:rPr>
          <w:rFonts w:asciiTheme="minorEastAsia" w:hAnsiTheme="minorEastAsia" w:eastAsiaTheme="minorEastAsia"/>
          <w:b/>
          <w:sz w:val="36"/>
          <w:szCs w:val="36"/>
        </w:rPr>
      </w:pPr>
      <w:r>
        <w:rPr>
          <w:rFonts w:hint="eastAsia" w:asciiTheme="minorEastAsia" w:hAnsiTheme="minorEastAsia" w:eastAsiaTheme="minorEastAsia" w:cstheme="minorEastAsia"/>
          <w:b/>
          <w:bCs/>
          <w:color w:val="FF0000"/>
          <w:sz w:val="36"/>
          <w:szCs w:val="36"/>
          <w:highlight w:val="none"/>
          <w:u w:val="none"/>
          <w:lang w:val="en-US" w:eastAsia="zh-CN"/>
        </w:rPr>
        <w:t>AAA</w:t>
      </w:r>
      <w:r>
        <w:rPr>
          <w:rFonts w:hint="eastAsia" w:asciiTheme="minorEastAsia" w:hAnsiTheme="minorEastAsia" w:eastAsiaTheme="minorEastAsia"/>
          <w:b/>
          <w:color w:val="FF0000"/>
          <w:sz w:val="36"/>
          <w:szCs w:val="36"/>
        </w:rPr>
        <w:t>服务合同</w:t>
      </w:r>
    </w:p>
    <w:p>
      <w:pPr>
        <w:spacing w:line="240" w:lineRule="atLeast"/>
        <w:ind w:firstLine="181" w:firstLineChars="100"/>
        <w:jc w:val="center"/>
        <w:rPr>
          <w:rFonts w:asciiTheme="minorEastAsia" w:hAnsiTheme="minorEastAsia" w:eastAsiaTheme="minorEastAsia"/>
          <w:b/>
          <w:sz w:val="18"/>
          <w:szCs w:val="18"/>
        </w:rPr>
      </w:pPr>
    </w:p>
    <w:p>
      <w:pPr>
        <w:ind w:right="84"/>
        <w:jc w:val="center"/>
        <w:rPr>
          <w:rFonts w:hint="default" w:asciiTheme="minorEastAsia" w:hAnsiTheme="minorEastAsia" w:eastAsiaTheme="minorEastAsia"/>
          <w:b/>
          <w:color w:val="FF0000"/>
          <w:szCs w:val="21"/>
          <w:u w:val="single"/>
          <w:lang w:val="en-US" w:eastAsia="zh-CN"/>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b/>
          <w:color w:val="FF0000"/>
          <w:szCs w:val="21"/>
        </w:rPr>
        <w:t>合同编号：</w:t>
      </w:r>
      <w:r>
        <w:rPr>
          <w:rFonts w:hint="eastAsia" w:asciiTheme="minorEastAsia" w:hAnsiTheme="minorEastAsia" w:eastAsiaTheme="minorEastAsia"/>
          <w:b/>
          <w:color w:val="FF0000"/>
          <w:szCs w:val="21"/>
          <w:u w:val="single"/>
          <w:lang w:val="en-US" w:eastAsia="zh-CN"/>
        </w:rPr>
        <w:t>ZX2024ZCXKF0000</w:t>
      </w:r>
    </w:p>
    <w:p>
      <w:pPr>
        <w:adjustRightInd w:val="0"/>
        <w:snapToGrid w:val="0"/>
        <w:spacing w:before="93" w:beforeLines="30" w:after="93" w:afterLines="30"/>
        <w:rPr>
          <w:rFonts w:asciiTheme="minorEastAsia" w:hAnsiTheme="minorEastAsia" w:eastAsiaTheme="minorEastAsia"/>
          <w:szCs w:val="21"/>
        </w:rPr>
      </w:pPr>
    </w:p>
    <w:p>
      <w:pPr>
        <w:adjustRightInd w:val="0"/>
        <w:snapToGrid w:val="0"/>
        <w:spacing w:before="93" w:beforeLines="30" w:after="93" w:afterLines="30" w:line="360" w:lineRule="auto"/>
        <w:ind w:firstLine="210" w:firstLineChars="100"/>
        <w:rPr>
          <w:rFonts w:asciiTheme="minorEastAsia" w:hAnsiTheme="minorEastAsia" w:eastAsiaTheme="minorEastAsia"/>
          <w:b/>
          <w:szCs w:val="21"/>
        </w:rPr>
      </w:pPr>
      <w:r>
        <w:rPr>
          <w:rFonts w:asciiTheme="minorEastAsia" w:hAnsiTheme="minorEastAsia" w:eastAsiaTheme="minorEastAsia"/>
          <w:szCs w:val="21"/>
        </w:rPr>
        <w:t>本服务合同（以下称“合同”或“本合同”）由</w:t>
      </w:r>
      <w:r>
        <w:rPr>
          <w:rFonts w:hint="eastAsia" w:asciiTheme="minorEastAsia" w:hAnsiTheme="minorEastAsia" w:eastAsiaTheme="minorEastAsia"/>
          <w:szCs w:val="21"/>
        </w:rPr>
        <w:t>以下双方于【</w:t>
      </w:r>
      <w:r>
        <w:rPr>
          <w:rFonts w:hint="eastAsia" w:asciiTheme="minorEastAsia" w:hAnsiTheme="minorEastAsia" w:eastAsiaTheme="minorEastAsia"/>
          <w:szCs w:val="21"/>
          <w:lang w:eastAsia="zh-CN"/>
        </w:rPr>
        <w:t>2024</w:t>
      </w:r>
      <w:r>
        <w:rPr>
          <w:rFonts w:hint="eastAsia" w:asciiTheme="minorEastAsia" w:hAnsiTheme="minorEastAsia" w:eastAsiaTheme="minorEastAsia"/>
          <w:szCs w:val="21"/>
        </w:rPr>
        <w:t xml:space="preserve">年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月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日】在【深圳】</w:t>
      </w:r>
      <w:r>
        <w:rPr>
          <w:rFonts w:asciiTheme="minorEastAsia" w:hAnsiTheme="minorEastAsia" w:eastAsiaTheme="minorEastAsia"/>
          <w:szCs w:val="21"/>
        </w:rPr>
        <w:t>签</w:t>
      </w:r>
      <w:r>
        <w:rPr>
          <w:rFonts w:hint="eastAsia" w:asciiTheme="minorEastAsia" w:hAnsiTheme="minorEastAsia" w:eastAsiaTheme="minorEastAsia"/>
          <w:szCs w:val="21"/>
        </w:rPr>
        <w:t>订：</w:t>
      </w:r>
    </w:p>
    <w:tbl>
      <w:tblPr>
        <w:tblStyle w:val="23"/>
        <w:tblW w:w="8471" w:type="dxa"/>
        <w:tblInd w:w="268" w:type="dxa"/>
        <w:tblLayout w:type="fixed"/>
        <w:tblCellMar>
          <w:top w:w="0" w:type="dxa"/>
          <w:left w:w="108" w:type="dxa"/>
          <w:bottom w:w="0" w:type="dxa"/>
          <w:right w:w="108" w:type="dxa"/>
        </w:tblCellMar>
      </w:tblPr>
      <w:tblGrid>
        <w:gridCol w:w="4110"/>
        <w:gridCol w:w="4361"/>
      </w:tblGrid>
      <w:tr>
        <w:tblPrEx>
          <w:tblCellMar>
            <w:top w:w="0" w:type="dxa"/>
            <w:left w:w="108" w:type="dxa"/>
            <w:bottom w:w="0" w:type="dxa"/>
            <w:right w:w="108" w:type="dxa"/>
          </w:tblCellMar>
        </w:tblPrEx>
        <w:trPr>
          <w:trHeight w:val="580" w:hRule="atLeast"/>
        </w:trPr>
        <w:tc>
          <w:tcPr>
            <w:tcW w:w="4110" w:type="dxa"/>
            <w:tcBorders>
              <w:top w:val="nil"/>
              <w:left w:val="nil"/>
              <w:bottom w:val="nil"/>
              <w:right w:val="nil"/>
            </w:tcBorders>
            <w:vAlign w:val="center"/>
          </w:tcPr>
          <w:p>
            <w:pPr>
              <w:widowControl/>
              <w:spacing w:line="360" w:lineRule="auto"/>
              <w:jc w:val="left"/>
              <w:rPr>
                <w:rFonts w:hint="eastAsia" w:cs="宋体" w:asciiTheme="minorEastAsia" w:hAnsiTheme="minorEastAsia" w:eastAsiaTheme="minorEastAsia"/>
                <w:kern w:val="0"/>
                <w:szCs w:val="21"/>
                <w:u w:val="single"/>
                <w:lang w:eastAsia="zh-CN"/>
              </w:rPr>
            </w:pPr>
            <w:r>
              <w:rPr>
                <w:rFonts w:hint="eastAsia" w:cs="宋体" w:asciiTheme="minorEastAsia" w:hAnsiTheme="minorEastAsia" w:eastAsiaTheme="minorEastAsia"/>
                <w:kern w:val="0"/>
                <w:szCs w:val="21"/>
              </w:rPr>
              <w:t>甲方：</w:t>
            </w:r>
            <w:r>
              <w:rPr>
                <w:rFonts w:hint="eastAsia" w:cs="宋体" w:asciiTheme="minorEastAsia" w:hAnsiTheme="minorEastAsia"/>
                <w:kern w:val="0"/>
                <w:szCs w:val="21"/>
                <w:u w:val="single"/>
                <w:lang w:eastAsia="zh-CN"/>
              </w:rPr>
              <w:t>中海油能源发展股份有限公司</w:t>
            </w:r>
          </w:p>
        </w:tc>
        <w:tc>
          <w:tcPr>
            <w:tcW w:w="4361" w:type="dxa"/>
            <w:tcBorders>
              <w:top w:val="nil"/>
              <w:left w:val="nil"/>
              <w:bottom w:val="nil"/>
              <w:right w:val="nil"/>
            </w:tcBorders>
            <w:vAlign w:val="center"/>
          </w:tcPr>
          <w:p>
            <w:pPr>
              <w:widowControl/>
              <w:spacing w:line="360" w:lineRule="auto"/>
              <w:jc w:val="left"/>
              <w:rPr>
                <w:rFonts w:hint="default" w:eastAsia="宋体" w:cs="宋体" w:asciiTheme="minorEastAsia" w:hAnsiTheme="minorEastAsia"/>
                <w:color w:val="auto"/>
                <w:kern w:val="0"/>
                <w:szCs w:val="21"/>
                <w:u w:val="single"/>
                <w:lang w:val="en-US" w:eastAsia="zh-CN"/>
              </w:rPr>
            </w:pPr>
            <w:r>
              <w:rPr>
                <w:rFonts w:hint="eastAsia" w:cs="宋体" w:asciiTheme="minorEastAsia" w:hAnsiTheme="minorEastAsia" w:eastAsiaTheme="minorEastAsia"/>
                <w:color w:val="auto"/>
                <w:kern w:val="0"/>
                <w:szCs w:val="21"/>
              </w:rPr>
              <w:t>乙方：</w:t>
            </w:r>
            <w:r>
              <w:rPr>
                <w:rFonts w:hint="eastAsia" w:asciiTheme="minorEastAsia" w:hAnsiTheme="minorEastAsia" w:eastAsiaTheme="minorEastAsia" w:cstheme="minorEastAsia"/>
                <w:color w:val="FF0000"/>
                <w:kern w:val="0"/>
                <w:szCs w:val="21"/>
                <w:u w:val="single"/>
                <w:lang w:val="en-US" w:eastAsia="zh-CN"/>
              </w:rPr>
              <w:t>BBB</w:t>
            </w:r>
          </w:p>
        </w:tc>
      </w:tr>
      <w:tr>
        <w:tblPrEx>
          <w:tblCellMar>
            <w:top w:w="0" w:type="dxa"/>
            <w:left w:w="108" w:type="dxa"/>
            <w:bottom w:w="0" w:type="dxa"/>
            <w:right w:w="108" w:type="dxa"/>
          </w:tblCellMar>
        </w:tblPrEx>
        <w:trPr>
          <w:trHeight w:val="716" w:hRule="atLeast"/>
        </w:trPr>
        <w:tc>
          <w:tcPr>
            <w:tcW w:w="4110" w:type="dxa"/>
            <w:tcBorders>
              <w:top w:val="nil"/>
              <w:left w:val="nil"/>
              <w:bottom w:val="nil"/>
              <w:right w:val="nil"/>
            </w:tcBorders>
          </w:tcPr>
          <w:p>
            <w:pPr>
              <w:widowControl/>
              <w:spacing w:line="360" w:lineRule="auto"/>
              <w:ind w:left="15" w:hanging="14" w:hangingChars="7"/>
              <w:jc w:val="left"/>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注册地址：</w:t>
            </w:r>
          </w:p>
        </w:tc>
        <w:tc>
          <w:tcPr>
            <w:tcW w:w="4361" w:type="dxa"/>
            <w:tcBorders>
              <w:top w:val="nil"/>
              <w:left w:val="nil"/>
              <w:bottom w:val="nil"/>
              <w:right w:val="nil"/>
            </w:tcBorders>
          </w:tcPr>
          <w:p>
            <w:pPr>
              <w:widowControl/>
              <w:spacing w:line="360" w:lineRule="auto"/>
              <w:ind w:right="145" w:rightChars="69"/>
              <w:jc w:val="left"/>
              <w:rPr>
                <w:rFonts w:hint="default" w:cs="宋体" w:asciiTheme="minorEastAsia" w:hAnsiTheme="minorEastAsia" w:eastAsiaTheme="minorEastAsia"/>
                <w:color w:val="auto"/>
                <w:kern w:val="0"/>
                <w:szCs w:val="21"/>
                <w:u w:val="single"/>
                <w:lang w:val="en-US" w:eastAsia="zh-CN"/>
              </w:rPr>
            </w:pPr>
            <w:r>
              <w:rPr>
                <w:rFonts w:hint="eastAsia" w:cs="宋体" w:asciiTheme="minorEastAsia" w:hAnsiTheme="minorEastAsia" w:eastAsiaTheme="minorEastAsia"/>
                <w:color w:val="auto"/>
                <w:kern w:val="0"/>
                <w:szCs w:val="21"/>
              </w:rPr>
              <w:t>注册地址：</w:t>
            </w:r>
            <w:r>
              <w:rPr>
                <w:rFonts w:hint="eastAsia" w:ascii="宋体" w:hAnsi="宋体" w:eastAsiaTheme="minorEastAsia"/>
                <w:color w:val="FF0000"/>
                <w:sz w:val="21"/>
                <w:szCs w:val="21"/>
                <w:highlight w:val="none"/>
                <w:u w:val="single"/>
                <w:lang w:val="en-US" w:eastAsia="zh-CN"/>
              </w:rPr>
              <w:t xml:space="preserve">          </w:t>
            </w:r>
          </w:p>
        </w:tc>
      </w:tr>
    </w:tbl>
    <w:p>
      <w:pPr>
        <w:adjustRightInd w:val="0"/>
        <w:snapToGrid w:val="0"/>
        <w:spacing w:before="93" w:beforeLines="30" w:after="93" w:afterLines="30" w:line="360" w:lineRule="auto"/>
        <w:ind w:firstLine="567"/>
        <w:rPr>
          <w:rFonts w:asciiTheme="minorEastAsia" w:hAnsiTheme="minorEastAsia" w:eastAsiaTheme="minorEastAsia"/>
          <w:szCs w:val="21"/>
        </w:rPr>
      </w:pPr>
      <w:r>
        <w:rPr>
          <w:rFonts w:hint="eastAsia" w:asciiTheme="minorEastAsia" w:hAnsiTheme="minorEastAsia" w:eastAsiaTheme="minorEastAsia"/>
          <w:szCs w:val="21"/>
        </w:rPr>
        <w:t>根据</w:t>
      </w:r>
      <w:r>
        <w:rPr>
          <w:rFonts w:hint="eastAsia" w:ascii="宋体" w:hAnsi="宋体"/>
          <w:szCs w:val="21"/>
        </w:rPr>
        <w:t>《中华人民共和国民法典》及中华人民共和国各级立法、行政机关颁布并生效的法律、法规、规章及其它规范性文件（“法律法规”），在遵循平等、自愿、公平和诚实信用原则的基础上，经协商一致，双方订立本合同</w:t>
      </w:r>
      <w:r>
        <w:rPr>
          <w:rFonts w:hint="eastAsia" w:asciiTheme="minorEastAsia" w:hAnsiTheme="minorEastAsia" w:eastAsiaTheme="minorEastAsia"/>
          <w:szCs w:val="21"/>
        </w:rPr>
        <w:t>如下：</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bCs w:val="0"/>
          <w:sz w:val="21"/>
          <w:szCs w:val="21"/>
        </w:rPr>
      </w:pPr>
      <w:bookmarkStart w:id="6" w:name="_Toc275096412"/>
      <w:bookmarkStart w:id="7" w:name="_Toc276825187"/>
      <w:bookmarkStart w:id="8" w:name="_Toc275096343"/>
      <w:bookmarkStart w:id="9" w:name="_Toc276842642"/>
      <w:bookmarkStart w:id="10" w:name="_Toc364839361"/>
      <w:bookmarkStart w:id="11" w:name="_Toc276888365"/>
      <w:bookmarkStart w:id="12" w:name="_Toc276578424"/>
      <w:bookmarkStart w:id="13" w:name="_Toc276888298"/>
      <w:bookmarkStart w:id="14" w:name="_Toc276828333"/>
      <w:bookmarkStart w:id="15" w:name="_Toc276842694"/>
      <w:bookmarkStart w:id="16" w:name="_Toc299915678"/>
      <w:bookmarkStart w:id="17" w:name="_Toc275173805"/>
      <w:r>
        <w:rPr>
          <w:rFonts w:asciiTheme="minorEastAsia" w:hAnsiTheme="minorEastAsia" w:eastAsiaTheme="minorEastAsia"/>
          <w:sz w:val="21"/>
          <w:szCs w:val="21"/>
        </w:rPr>
        <w:t>服务</w:t>
      </w:r>
      <w:bookmarkEnd w:id="6"/>
      <w:bookmarkEnd w:id="7"/>
      <w:bookmarkEnd w:id="8"/>
      <w:bookmarkEnd w:id="9"/>
      <w:bookmarkEnd w:id="10"/>
      <w:bookmarkEnd w:id="11"/>
      <w:bookmarkEnd w:id="12"/>
      <w:bookmarkEnd w:id="13"/>
      <w:bookmarkEnd w:id="14"/>
      <w:bookmarkEnd w:id="15"/>
      <w:bookmarkEnd w:id="16"/>
      <w:bookmarkEnd w:id="17"/>
    </w:p>
    <w:p>
      <w:pPr>
        <w:numPr>
          <w:ilvl w:val="1"/>
          <w:numId w:val="6"/>
        </w:numPr>
        <w:tabs>
          <w:tab w:val="left" w:pos="709"/>
          <w:tab w:val="clear" w:pos="540"/>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hint="eastAsia" w:asciiTheme="minorEastAsia" w:hAnsiTheme="minorEastAsia" w:eastAsiaTheme="minorEastAsia"/>
          <w:color w:val="000000"/>
          <w:szCs w:val="21"/>
        </w:rPr>
        <w:t>乙方应根据本合同约定为甲方提供</w:t>
      </w:r>
      <w:r>
        <w:rPr>
          <w:rFonts w:hint="eastAsia" w:ascii="宋体" w:hAnsi="宋体"/>
          <w:i w:val="0"/>
          <w:iCs w:val="0"/>
          <w:color w:val="FF0000"/>
          <w:sz w:val="21"/>
          <w:szCs w:val="21"/>
          <w:highlight w:val="none"/>
        </w:rPr>
        <w:t>【</w:t>
      </w:r>
      <w:r>
        <w:rPr>
          <w:rFonts w:hint="eastAsia" w:ascii="宋体" w:hAnsi="宋体"/>
          <w:i w:val="0"/>
          <w:iCs w:val="0"/>
          <w:color w:val="FF0000"/>
          <w:sz w:val="21"/>
          <w:szCs w:val="21"/>
          <w:highlight w:val="none"/>
          <w:lang w:val="en-US" w:eastAsia="zh-CN"/>
        </w:rPr>
        <w:t>AAA</w:t>
      </w:r>
      <w:r>
        <w:rPr>
          <w:rFonts w:hint="eastAsia" w:ascii="宋体" w:hAnsi="宋体"/>
          <w:i w:val="0"/>
          <w:iCs w:val="0"/>
          <w:color w:val="FF0000"/>
          <w:sz w:val="21"/>
          <w:szCs w:val="21"/>
          <w:highlight w:val="none"/>
        </w:rPr>
        <w:t>】</w:t>
      </w:r>
      <w:r>
        <w:rPr>
          <w:rFonts w:hint="eastAsia" w:asciiTheme="minorEastAsia" w:hAnsiTheme="minorEastAsia" w:eastAsiaTheme="minorEastAsia"/>
          <w:color w:val="000000"/>
          <w:szCs w:val="21"/>
        </w:rPr>
        <w:t>服务，完成</w:t>
      </w:r>
      <w:r>
        <w:rPr>
          <w:rFonts w:hint="eastAsia" w:ascii="宋体" w:hAnsi="宋体"/>
          <w:color w:val="000000"/>
          <w:szCs w:val="21"/>
        </w:rPr>
        <w:t>合同约定的全部工作，具体</w:t>
      </w:r>
      <w:r>
        <w:rPr>
          <w:rFonts w:ascii="宋体" w:hAnsi="宋体"/>
          <w:szCs w:val="21"/>
        </w:rPr>
        <w:t>服务</w:t>
      </w:r>
      <w:r>
        <w:rPr>
          <w:rFonts w:hint="eastAsia" w:ascii="宋体" w:hAnsi="宋体"/>
          <w:szCs w:val="21"/>
        </w:rPr>
        <w:t>和相关工作的</w:t>
      </w:r>
      <w:r>
        <w:rPr>
          <w:rFonts w:ascii="宋体" w:hAnsi="宋体"/>
          <w:szCs w:val="21"/>
        </w:rPr>
        <w:t>内容、</w:t>
      </w:r>
      <w:r>
        <w:rPr>
          <w:rFonts w:hint="eastAsia" w:ascii="宋体" w:hAnsi="宋体"/>
          <w:szCs w:val="21"/>
        </w:rPr>
        <w:t>范围、地点及</w:t>
      </w:r>
      <w:r>
        <w:rPr>
          <w:rFonts w:ascii="宋体" w:hAnsi="宋体"/>
          <w:szCs w:val="21"/>
        </w:rPr>
        <w:t>要求</w:t>
      </w:r>
      <w:r>
        <w:rPr>
          <w:rFonts w:hint="eastAsia" w:ascii="宋体" w:hAnsi="宋体" w:cs="新宋体-18030"/>
          <w:szCs w:val="21"/>
        </w:rPr>
        <w:t>【详见本合同附件一】</w:t>
      </w:r>
      <w:r>
        <w:rPr>
          <w:rFonts w:hint="eastAsia" w:asciiTheme="minorEastAsia" w:hAnsiTheme="minorEastAsia" w:eastAsiaTheme="minorEastAsia"/>
          <w:szCs w:val="21"/>
        </w:rPr>
        <w:t>。</w:t>
      </w:r>
    </w:p>
    <w:p>
      <w:pPr>
        <w:numPr>
          <w:ilvl w:val="1"/>
          <w:numId w:val="6"/>
        </w:numPr>
        <w:tabs>
          <w:tab w:val="left" w:pos="709"/>
          <w:tab w:val="clear" w:pos="540"/>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hint="eastAsia" w:asciiTheme="minorEastAsia" w:hAnsiTheme="minorEastAsia" w:eastAsiaTheme="minorEastAsia"/>
          <w:szCs w:val="21"/>
        </w:rPr>
        <w:t>乙方</w:t>
      </w:r>
      <w:r>
        <w:rPr>
          <w:rFonts w:hint="eastAsia" w:ascii="宋体" w:hAnsi="宋体"/>
          <w:color w:val="000000"/>
          <w:szCs w:val="21"/>
        </w:rPr>
        <w:t>应执行良好的行业惯例提供优质、高效的服务。在提供服务过程中，乙方应维护甲方利益，不得实施任何违背甲方利益的行为</w:t>
      </w:r>
      <w:r>
        <w:rPr>
          <w:rFonts w:hint="eastAsia" w:asciiTheme="minorEastAsia" w:hAnsiTheme="minorEastAsia" w:eastAsiaTheme="minorEastAsia"/>
          <w:szCs w:val="21"/>
        </w:rPr>
        <w:t>。</w:t>
      </w:r>
    </w:p>
    <w:p>
      <w:pPr>
        <w:numPr>
          <w:ilvl w:val="1"/>
          <w:numId w:val="6"/>
        </w:numPr>
        <w:tabs>
          <w:tab w:val="left" w:pos="709"/>
          <w:tab w:val="clear" w:pos="540"/>
        </w:tabs>
        <w:adjustRightInd w:val="0"/>
        <w:snapToGrid w:val="0"/>
        <w:spacing w:before="93" w:beforeLines="30" w:after="93" w:afterLines="30" w:line="360" w:lineRule="auto"/>
        <w:ind w:left="709" w:hanging="709"/>
        <w:rPr>
          <w:rFonts w:asciiTheme="minorEastAsia" w:hAnsiTheme="minorEastAsia" w:eastAsiaTheme="minorEastAsia"/>
          <w:szCs w:val="21"/>
          <w:u w:val="single"/>
        </w:rPr>
      </w:pPr>
      <w:r>
        <w:rPr>
          <w:rFonts w:hint="eastAsia" w:asciiTheme="minorEastAsia" w:hAnsiTheme="minorEastAsia" w:eastAsiaTheme="minorEastAsia"/>
          <w:color w:val="000000"/>
          <w:szCs w:val="21"/>
        </w:rPr>
        <w:t>即使本合同未对某项工作予以明确规定，但是，如相关工作系乙方提供同类服务时，通过执行良好的行业惯例应当预见和完成的工作，或属于为实现本合同目的应当实施的工作，乙方应以符合本合同目的的方式实施该等工作，乙方无权要求调整合同总价或工作期限。</w:t>
      </w:r>
    </w:p>
    <w:p>
      <w:pPr>
        <w:numPr>
          <w:ilvl w:val="1"/>
          <w:numId w:val="6"/>
        </w:numPr>
        <w:tabs>
          <w:tab w:val="left" w:pos="709"/>
          <w:tab w:val="clear" w:pos="540"/>
        </w:tabs>
        <w:adjustRightInd w:val="0"/>
        <w:snapToGrid w:val="0"/>
        <w:spacing w:before="93" w:beforeLines="30" w:after="93" w:afterLines="30" w:line="360" w:lineRule="auto"/>
        <w:ind w:left="709" w:hanging="709"/>
        <w:rPr>
          <w:rFonts w:asciiTheme="minorEastAsia" w:hAnsiTheme="minorEastAsia" w:eastAsiaTheme="minorEastAsia"/>
          <w:color w:val="000000"/>
          <w:szCs w:val="21"/>
        </w:rPr>
      </w:pPr>
      <w:r>
        <w:rPr>
          <w:rFonts w:hint="eastAsia" w:asciiTheme="minorEastAsia" w:hAnsiTheme="minorEastAsia" w:eastAsiaTheme="minorEastAsia"/>
          <w:szCs w:val="21"/>
        </w:rPr>
        <w:t>乙方提供的服务将用于</w:t>
      </w:r>
      <w:r>
        <w:rPr>
          <w:rFonts w:hint="eastAsia" w:ascii="宋体" w:hAnsi="宋体"/>
          <w:i w:val="0"/>
          <w:iCs w:val="0"/>
          <w:color w:val="FF0000"/>
          <w:sz w:val="21"/>
          <w:szCs w:val="21"/>
          <w:highlight w:val="none"/>
        </w:rPr>
        <w:t>【填入项目/工程的名称】</w:t>
      </w:r>
      <w:r>
        <w:rPr>
          <w:rFonts w:hint="eastAsia" w:asciiTheme="minorEastAsia" w:hAnsiTheme="minorEastAsia" w:eastAsiaTheme="minorEastAsia"/>
          <w:szCs w:val="21"/>
        </w:rPr>
        <w:t>项目/工程。</w:t>
      </w:r>
    </w:p>
    <w:p>
      <w:pPr>
        <w:numPr>
          <w:ilvl w:val="1"/>
          <w:numId w:val="6"/>
        </w:numPr>
        <w:tabs>
          <w:tab w:val="left" w:pos="709"/>
          <w:tab w:val="clear" w:pos="540"/>
        </w:tabs>
        <w:adjustRightInd w:val="0"/>
        <w:snapToGrid w:val="0"/>
        <w:spacing w:before="93" w:beforeLines="30" w:after="93" w:afterLines="30" w:line="360" w:lineRule="auto"/>
        <w:ind w:left="709" w:hanging="709"/>
        <w:rPr>
          <w:rFonts w:asciiTheme="minorEastAsia" w:hAnsiTheme="minorEastAsia" w:eastAsiaTheme="minorEastAsia"/>
          <w:color w:val="FF0000"/>
          <w:szCs w:val="21"/>
          <w:u w:val="single"/>
        </w:rPr>
      </w:pPr>
      <w:r>
        <w:rPr>
          <w:rFonts w:hint="eastAsia" w:asciiTheme="minorEastAsia" w:hAnsiTheme="minorEastAsia" w:eastAsiaTheme="minorEastAsia"/>
          <w:szCs w:val="21"/>
        </w:rPr>
        <w:t>服务地点：</w:t>
      </w:r>
      <w:r>
        <w:rPr>
          <w:rFonts w:hint="eastAsia" w:cs="新宋体-18030" w:asciiTheme="minorEastAsia" w:hAnsiTheme="minorEastAsia"/>
          <w:color w:val="FF0000"/>
          <w:szCs w:val="21"/>
          <w:u w:val="single"/>
          <w:lang w:val="en-US" w:eastAsia="zh-CN"/>
        </w:rPr>
        <w:t>珠海</w:t>
      </w:r>
      <w:r>
        <w:rPr>
          <w:rFonts w:hint="eastAsia" w:cs="新宋体-18030" w:asciiTheme="minorEastAsia" w:hAnsiTheme="minorEastAsia" w:eastAsiaTheme="minorEastAsia"/>
          <w:color w:val="FF0000"/>
          <w:szCs w:val="21"/>
          <w:u w:val="single"/>
        </w:rPr>
        <w:t>，具体地址以甲方指定地点为准</w:t>
      </w:r>
      <w:r>
        <w:rPr>
          <w:rFonts w:hint="eastAsia" w:asciiTheme="minorEastAsia" w:hAnsiTheme="minorEastAsia" w:eastAsiaTheme="minorEastAsia"/>
          <w:color w:val="FF0000"/>
          <w:szCs w:val="21"/>
        </w:rPr>
        <w:t>。</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i/>
          <w:iCs/>
          <w:sz w:val="21"/>
          <w:szCs w:val="21"/>
        </w:rPr>
      </w:pPr>
      <w:bookmarkStart w:id="18" w:name="_Toc364839362"/>
      <w:bookmarkStart w:id="19" w:name="_Toc273451896"/>
      <w:bookmarkStart w:id="20" w:name="_Toc274076142"/>
      <w:bookmarkStart w:id="21" w:name="_Toc291435895"/>
      <w:bookmarkStart w:id="22" w:name="_Toc274403530"/>
      <w:bookmarkStart w:id="23" w:name="_Toc274754020"/>
      <w:bookmarkStart w:id="24" w:name="_Toc274474905"/>
      <w:bookmarkStart w:id="25" w:name="_Toc273451829"/>
      <w:bookmarkStart w:id="26" w:name="_Toc274075954"/>
      <w:bookmarkStart w:id="27" w:name="_Toc274668316"/>
      <w:bookmarkStart w:id="28" w:name="_Toc274669314"/>
      <w:bookmarkStart w:id="29" w:name="_Toc291435828"/>
      <w:bookmarkStart w:id="30" w:name="_Toc274343601"/>
      <w:bookmarkStart w:id="31" w:name="_Toc278889775"/>
      <w:r>
        <w:rPr>
          <w:rFonts w:hint="eastAsia" w:asciiTheme="minorEastAsia" w:hAnsiTheme="minorEastAsia" w:eastAsiaTheme="minorEastAsia"/>
          <w:sz w:val="21"/>
          <w:szCs w:val="21"/>
        </w:rPr>
        <w:t>合同总价和付款</w:t>
      </w:r>
      <w:bookmarkEnd w:id="18"/>
    </w:p>
    <w:p>
      <w:pPr>
        <w:numPr>
          <w:ilvl w:val="1"/>
          <w:numId w:val="7"/>
        </w:numPr>
        <w:tabs>
          <w:tab w:val="left" w:pos="709"/>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hint="eastAsia" w:asciiTheme="minorEastAsia" w:hAnsiTheme="minorEastAsia" w:eastAsiaTheme="minorEastAsia"/>
          <w:szCs w:val="21"/>
        </w:rPr>
        <w:t>本</w:t>
      </w:r>
      <w:r>
        <w:rPr>
          <w:rFonts w:hint="eastAsia" w:ascii="宋体" w:hAnsi="宋体" w:cs="新宋体-18030"/>
          <w:szCs w:val="21"/>
        </w:rPr>
        <w:t>合同项下的</w:t>
      </w:r>
      <w:r>
        <w:rPr>
          <w:rFonts w:hint="eastAsia" w:ascii="宋体" w:hAnsi="宋体"/>
          <w:szCs w:val="21"/>
        </w:rPr>
        <w:t>合同总价为</w:t>
      </w:r>
      <w:r>
        <w:rPr>
          <w:rFonts w:hint="eastAsia" w:ascii="宋体" w:hAnsi="宋体"/>
          <w:szCs w:val="21"/>
          <w:u w:val="single"/>
        </w:rPr>
        <w:t>【RMB】</w:t>
      </w:r>
      <w:r>
        <w:rPr>
          <w:rFonts w:ascii="宋体" w:hAnsi="宋体"/>
          <w:color w:val="FF0000"/>
          <w:szCs w:val="21"/>
          <w:u w:val="single"/>
        </w:rPr>
        <w:t>******</w:t>
      </w:r>
      <w:r>
        <w:rPr>
          <w:rFonts w:hint="eastAsia" w:ascii="宋体" w:hAnsi="宋体"/>
          <w:color w:val="FF0000"/>
          <w:szCs w:val="21"/>
          <w:u w:val="single"/>
        </w:rPr>
        <w:t>元</w:t>
      </w:r>
      <w:r>
        <w:rPr>
          <w:rFonts w:hint="eastAsia" w:ascii="宋体" w:hAnsi="宋体"/>
          <w:szCs w:val="21"/>
        </w:rPr>
        <w:t>（大写：</w:t>
      </w:r>
      <w:r>
        <w:rPr>
          <w:rFonts w:hint="eastAsia" w:ascii="宋体" w:hAnsi="宋体"/>
          <w:szCs w:val="21"/>
          <w:u w:val="single"/>
        </w:rPr>
        <w:t>【人民币】</w:t>
      </w:r>
      <w:r>
        <w:rPr>
          <w:rFonts w:ascii="宋体" w:hAnsi="宋体"/>
          <w:color w:val="FF0000"/>
          <w:szCs w:val="21"/>
          <w:u w:val="single"/>
        </w:rPr>
        <w:t>******</w:t>
      </w:r>
      <w:r>
        <w:rPr>
          <w:rFonts w:hint="eastAsia" w:ascii="宋体" w:hAnsi="宋体"/>
          <w:szCs w:val="21"/>
        </w:rPr>
        <w:t>），合同总价为含税（包括增值税）总金额。其中，不含增值税合同价款为</w:t>
      </w:r>
      <w:r>
        <w:rPr>
          <w:rFonts w:hint="eastAsia" w:ascii="宋体" w:hAnsi="宋体"/>
          <w:szCs w:val="21"/>
          <w:u w:val="single"/>
        </w:rPr>
        <w:t>【RMB】</w:t>
      </w:r>
      <w:r>
        <w:rPr>
          <w:rFonts w:ascii="宋体" w:hAnsi="宋体"/>
          <w:color w:val="FF0000"/>
          <w:szCs w:val="21"/>
          <w:u w:val="single"/>
        </w:rPr>
        <w:t>******</w:t>
      </w:r>
      <w:r>
        <w:rPr>
          <w:rFonts w:hint="eastAsia" w:ascii="宋体" w:hAnsi="宋体"/>
          <w:color w:val="FF0000"/>
          <w:szCs w:val="21"/>
          <w:u w:val="single"/>
        </w:rPr>
        <w:t>元</w:t>
      </w:r>
      <w:r>
        <w:rPr>
          <w:rFonts w:hint="eastAsia" w:ascii="宋体" w:hAnsi="宋体"/>
          <w:szCs w:val="21"/>
        </w:rPr>
        <w:t>（大写：</w:t>
      </w:r>
      <w:r>
        <w:rPr>
          <w:rFonts w:hint="eastAsia" w:ascii="宋体" w:hAnsi="宋体"/>
          <w:szCs w:val="21"/>
          <w:u w:val="single"/>
        </w:rPr>
        <w:t>【人民币】</w:t>
      </w:r>
      <w:r>
        <w:rPr>
          <w:rFonts w:ascii="宋体" w:hAnsi="宋体"/>
          <w:color w:val="FF0000"/>
          <w:szCs w:val="21"/>
          <w:u w:val="single"/>
        </w:rPr>
        <w:t>******</w:t>
      </w:r>
      <w:r>
        <w:rPr>
          <w:rFonts w:hint="eastAsia" w:ascii="宋体" w:hAnsi="宋体"/>
          <w:szCs w:val="21"/>
        </w:rPr>
        <w:t>）。增值税税率为</w:t>
      </w:r>
      <w:r>
        <w:rPr>
          <w:rFonts w:hint="eastAsia" w:ascii="宋体" w:hAnsi="宋体" w:cs="新宋体-18030"/>
          <w:color w:val="FF0000"/>
          <w:szCs w:val="21"/>
        </w:rPr>
        <w:t>【</w:t>
      </w:r>
      <w:r>
        <w:rPr>
          <w:rFonts w:ascii="宋体" w:hAnsi="宋体" w:cs="新宋体-18030"/>
          <w:color w:val="FF0000"/>
          <w:szCs w:val="21"/>
        </w:rPr>
        <w:t>6</w:t>
      </w:r>
      <w:r>
        <w:rPr>
          <w:rFonts w:hint="eastAsia" w:ascii="宋体" w:hAnsi="宋体" w:cs="新宋体-18030"/>
          <w:color w:val="FF0000"/>
          <w:szCs w:val="21"/>
        </w:rPr>
        <w:t>%】</w:t>
      </w:r>
      <w:r>
        <w:rPr>
          <w:rFonts w:hint="eastAsia" w:ascii="宋体" w:hAnsi="宋体"/>
          <w:szCs w:val="21"/>
        </w:rPr>
        <w:t>，增值税金额为</w:t>
      </w:r>
      <w:r>
        <w:rPr>
          <w:rFonts w:hint="eastAsia" w:ascii="宋体" w:hAnsi="宋体"/>
          <w:szCs w:val="21"/>
          <w:u w:val="single"/>
        </w:rPr>
        <w:t>【RMB】</w:t>
      </w:r>
      <w:r>
        <w:rPr>
          <w:rFonts w:ascii="宋体" w:hAnsi="宋体"/>
          <w:color w:val="FF0000"/>
          <w:szCs w:val="21"/>
          <w:u w:val="single"/>
        </w:rPr>
        <w:t>******</w:t>
      </w:r>
      <w:r>
        <w:rPr>
          <w:rFonts w:hint="eastAsia" w:ascii="宋体" w:hAnsi="宋体"/>
          <w:szCs w:val="21"/>
          <w:u w:val="single"/>
        </w:rPr>
        <w:t>元</w:t>
      </w:r>
      <w:r>
        <w:rPr>
          <w:rFonts w:hint="eastAsia" w:ascii="宋体" w:hAnsi="宋体"/>
          <w:szCs w:val="21"/>
        </w:rPr>
        <w:t>（大写：</w:t>
      </w:r>
      <w:r>
        <w:rPr>
          <w:rFonts w:hint="eastAsia" w:ascii="宋体" w:hAnsi="宋体"/>
          <w:szCs w:val="21"/>
          <w:u w:val="single"/>
        </w:rPr>
        <w:t>【人民币】</w:t>
      </w:r>
      <w:r>
        <w:rPr>
          <w:rFonts w:ascii="宋体" w:hAnsi="宋体"/>
          <w:color w:val="FF0000"/>
          <w:szCs w:val="21"/>
          <w:u w:val="single"/>
        </w:rPr>
        <w:t>******</w:t>
      </w:r>
      <w:r>
        <w:rPr>
          <w:rFonts w:hint="eastAsia" w:ascii="宋体" w:hAnsi="宋体"/>
          <w:szCs w:val="21"/>
        </w:rPr>
        <w:t>）</w:t>
      </w:r>
      <w:r>
        <w:rPr>
          <w:rFonts w:hint="eastAsia" w:asciiTheme="minorEastAsia" w:hAnsiTheme="minorEastAsia" w:eastAsiaTheme="minorEastAsia"/>
          <w:color w:val="333333"/>
          <w:szCs w:val="21"/>
        </w:rPr>
        <w:t>。</w:t>
      </w:r>
      <w:r>
        <w:rPr>
          <w:rFonts w:hint="eastAsia" w:cs="新宋体-18030" w:asciiTheme="minorEastAsia" w:hAnsiTheme="minorEastAsia" w:eastAsiaTheme="minorEastAsia"/>
          <w:szCs w:val="21"/>
        </w:rPr>
        <w:t>合同总价的各分项价格和组成【详见本合同附件二</w:t>
      </w:r>
      <w:r>
        <w:rPr>
          <w:rFonts w:cs="新宋体-18030" w:asciiTheme="minorEastAsia" w:hAnsiTheme="minorEastAsia" w:eastAsiaTheme="minorEastAsia"/>
          <w:szCs w:val="21"/>
        </w:rPr>
        <w:t>】</w:t>
      </w:r>
      <w:r>
        <w:rPr>
          <w:rFonts w:hint="eastAsia" w:cs="新宋体-18030" w:asciiTheme="minorEastAsia" w:hAnsiTheme="minorEastAsia" w:eastAsiaTheme="minorEastAsia"/>
          <w:szCs w:val="21"/>
        </w:rPr>
        <w:t>。</w:t>
      </w:r>
    </w:p>
    <w:p>
      <w:pPr>
        <w:numPr>
          <w:ilvl w:val="1"/>
          <w:numId w:val="7"/>
        </w:numPr>
        <w:tabs>
          <w:tab w:val="left" w:pos="709"/>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asciiTheme="minorEastAsia" w:hAnsiTheme="minorEastAsia" w:eastAsiaTheme="minorEastAsia"/>
          <w:szCs w:val="21"/>
        </w:rPr>
        <w:t>合同</w:t>
      </w:r>
      <w:r>
        <w:rPr>
          <w:rFonts w:hint="eastAsia" w:asciiTheme="minorEastAsia" w:hAnsiTheme="minorEastAsia" w:eastAsiaTheme="minorEastAsia"/>
          <w:szCs w:val="21"/>
        </w:rPr>
        <w:t>含税</w:t>
      </w:r>
      <w:r>
        <w:rPr>
          <w:rFonts w:asciiTheme="minorEastAsia" w:hAnsiTheme="minorEastAsia" w:eastAsiaTheme="minorEastAsia"/>
          <w:szCs w:val="21"/>
        </w:rPr>
        <w:t>总价是</w:t>
      </w:r>
      <w:r>
        <w:rPr>
          <w:rFonts w:hint="eastAsia" w:asciiTheme="minorEastAsia" w:hAnsiTheme="minorEastAsia" w:eastAsiaTheme="minorEastAsia"/>
          <w:szCs w:val="21"/>
        </w:rPr>
        <w:t>本合同项下</w:t>
      </w:r>
      <w:r>
        <w:rPr>
          <w:rFonts w:asciiTheme="minorEastAsia" w:hAnsiTheme="minorEastAsia" w:eastAsiaTheme="minorEastAsia"/>
          <w:szCs w:val="21"/>
        </w:rPr>
        <w:t>乙方完成工作、完整履行本合同，甲方应支付的全部对价和报酬。</w:t>
      </w:r>
      <w:r>
        <w:rPr>
          <w:rFonts w:hint="eastAsia" w:asciiTheme="minorEastAsia" w:hAnsiTheme="minorEastAsia" w:eastAsiaTheme="minorEastAsia"/>
          <w:szCs w:val="21"/>
        </w:rPr>
        <w:t>合同</w:t>
      </w:r>
      <w:r>
        <w:rPr>
          <w:rFonts w:hint="eastAsia" w:asciiTheme="minorEastAsia" w:hAnsiTheme="minorEastAsia" w:eastAsiaTheme="minorEastAsia"/>
          <w:color w:val="333333"/>
          <w:szCs w:val="21"/>
        </w:rPr>
        <w:t>不含税</w:t>
      </w:r>
      <w:r>
        <w:rPr>
          <w:rFonts w:hint="eastAsia" w:asciiTheme="minorEastAsia" w:hAnsiTheme="minorEastAsia" w:eastAsiaTheme="minorEastAsia"/>
          <w:szCs w:val="21"/>
        </w:rPr>
        <w:t>总价为固定价格，不受通货膨胀、利率、汇率、税费、成本及市场等因素变化的影响。</w:t>
      </w:r>
      <w:r>
        <w:rPr>
          <w:szCs w:val="21"/>
        </w:rPr>
        <w:t>为免疑义，如果增值税税率因国家增值税税率调整而发生变化，合同总价自动调整，但不含增值税的合同价款保持不变。</w:t>
      </w:r>
      <w:r>
        <w:rPr>
          <w:rFonts w:hint="eastAsia" w:asciiTheme="minorEastAsia" w:hAnsiTheme="minorEastAsia" w:eastAsiaTheme="minorEastAsia"/>
          <w:szCs w:val="21"/>
        </w:rPr>
        <w:t>除非合同另有规定，乙方应承担其在履行合同义务时产生的全部费用和税费。乙方确认，其同意合同含税总价前已经获得了所有信息并已考虑了所有可能影响成本和费用的因素。为避免歧义，</w:t>
      </w:r>
      <w:r>
        <w:rPr>
          <w:rFonts w:asciiTheme="minorEastAsia" w:hAnsiTheme="minorEastAsia" w:eastAsiaTheme="minorEastAsia"/>
          <w:szCs w:val="21"/>
        </w:rPr>
        <w:t>合同</w:t>
      </w:r>
      <w:r>
        <w:rPr>
          <w:rFonts w:hint="eastAsia" w:asciiTheme="minorEastAsia" w:hAnsiTheme="minorEastAsia" w:eastAsiaTheme="minorEastAsia"/>
          <w:szCs w:val="21"/>
        </w:rPr>
        <w:t>含税</w:t>
      </w:r>
      <w:r>
        <w:rPr>
          <w:rFonts w:asciiTheme="minorEastAsia" w:hAnsiTheme="minorEastAsia" w:eastAsiaTheme="minorEastAsia"/>
          <w:szCs w:val="21"/>
        </w:rPr>
        <w:t>总价包括：完成工作所需的设备、器具、材料、供应品、备品备件等的费用；</w:t>
      </w:r>
      <w:r>
        <w:rPr>
          <w:rFonts w:hint="eastAsia" w:asciiTheme="minorEastAsia" w:hAnsiTheme="minorEastAsia" w:eastAsiaTheme="minorEastAsia"/>
          <w:szCs w:val="21"/>
        </w:rPr>
        <w:t>直接成本、间接成本、</w:t>
      </w:r>
      <w:r>
        <w:rPr>
          <w:rFonts w:asciiTheme="minorEastAsia" w:hAnsiTheme="minorEastAsia" w:eastAsiaTheme="minorEastAsia"/>
          <w:szCs w:val="21"/>
        </w:rPr>
        <w:t>人力成本；履行质量保证责任的费用；与合同相关的所有税费；</w:t>
      </w:r>
      <w:r>
        <w:rPr>
          <w:rFonts w:hint="eastAsia" w:asciiTheme="minorEastAsia" w:hAnsiTheme="minorEastAsia" w:eastAsiaTheme="minorEastAsia"/>
          <w:szCs w:val="21"/>
        </w:rPr>
        <w:t>或有费用及合同没有列明但系为实现合同目的所必需的工作和服务费用；乙方所有的风险、义务和责任，以及合同中明确说明由乙方承担的成本和费用等</w:t>
      </w:r>
      <w:r>
        <w:rPr>
          <w:rFonts w:asciiTheme="minorEastAsia" w:hAnsiTheme="minorEastAsia" w:eastAsiaTheme="minorEastAsia"/>
          <w:szCs w:val="21"/>
        </w:rPr>
        <w:t>。</w:t>
      </w:r>
    </w:p>
    <w:p>
      <w:pPr>
        <w:numPr>
          <w:ilvl w:val="1"/>
          <w:numId w:val="7"/>
        </w:numPr>
        <w:tabs>
          <w:tab w:val="left" w:pos="709"/>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hint="eastAsia" w:asciiTheme="minorEastAsia" w:hAnsiTheme="minorEastAsia" w:eastAsiaTheme="minorEastAsia"/>
          <w:szCs w:val="21"/>
        </w:rPr>
        <w:t>双方应根据法律法规各自承担其应承担的与本合同有关的所有税费。甲方有权根据法律法规和本合同的规定从应支付给乙方的合同含税总价中扣除应由甲方代扣、代缴的乙方应付税费，但应向乙方提供完税证明。</w:t>
      </w:r>
    </w:p>
    <w:p>
      <w:pPr>
        <w:numPr>
          <w:ilvl w:val="1"/>
          <w:numId w:val="7"/>
        </w:numPr>
        <w:tabs>
          <w:tab w:val="left" w:pos="709"/>
        </w:tabs>
        <w:adjustRightInd w:val="0"/>
        <w:snapToGrid w:val="0"/>
        <w:spacing w:before="93" w:beforeLines="30" w:after="93" w:afterLines="30" w:line="360" w:lineRule="auto"/>
        <w:ind w:left="709" w:hanging="709"/>
        <w:rPr>
          <w:rFonts w:asciiTheme="minorEastAsia" w:hAnsiTheme="minorEastAsia" w:eastAsiaTheme="minorEastAsia"/>
          <w:color w:val="FF0000"/>
          <w:szCs w:val="21"/>
        </w:rPr>
      </w:pPr>
      <w:r>
        <w:rPr>
          <w:rFonts w:hint="eastAsia" w:asciiTheme="minorEastAsia" w:hAnsiTheme="minorEastAsia" w:eastAsiaTheme="minorEastAsia"/>
          <w:color w:val="FF0000"/>
          <w:szCs w:val="21"/>
          <w:lang w:val="en-US" w:eastAsia="zh-CN"/>
        </w:rPr>
        <w:t>本合同项下的所有应付款项均应以</w:t>
      </w:r>
      <w:r>
        <w:rPr>
          <w:rFonts w:hint="eastAsia" w:cs="新宋体-18030"/>
          <w:color w:val="FF0000"/>
          <w:szCs w:val="21"/>
          <w:u w:val="none"/>
        </w:rPr>
        <w:t>【</w:t>
      </w:r>
      <w:r>
        <w:rPr>
          <w:rFonts w:hint="eastAsia" w:asciiTheme="minorEastAsia" w:hAnsiTheme="minorEastAsia" w:eastAsiaTheme="minorEastAsia"/>
          <w:color w:val="FF0000"/>
          <w:szCs w:val="21"/>
          <w:u w:val="none"/>
          <w:lang w:val="en-US" w:eastAsia="zh-CN"/>
        </w:rPr>
        <w:t>人民币</w:t>
      </w:r>
      <w:r>
        <w:rPr>
          <w:rFonts w:hint="eastAsia" w:cs="新宋体-18030"/>
          <w:color w:val="FF0000"/>
          <w:szCs w:val="21"/>
          <w:u w:val="none"/>
        </w:rPr>
        <w:t>】</w:t>
      </w:r>
      <w:r>
        <w:rPr>
          <w:rFonts w:hint="eastAsia" w:asciiTheme="minorEastAsia" w:hAnsiTheme="minorEastAsia" w:eastAsiaTheme="minorEastAsia"/>
          <w:color w:val="FF0000"/>
          <w:szCs w:val="21"/>
          <w:lang w:val="en-US" w:eastAsia="zh-CN"/>
        </w:rPr>
        <w:t>支付。</w:t>
      </w:r>
    </w:p>
    <w:p>
      <w:pPr>
        <w:numPr>
          <w:ilvl w:val="1"/>
          <w:numId w:val="7"/>
        </w:numPr>
        <w:tabs>
          <w:tab w:val="left" w:pos="709"/>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hint="eastAsia" w:asciiTheme="minorEastAsia" w:hAnsiTheme="minorEastAsia" w:eastAsiaTheme="minorEastAsia"/>
          <w:szCs w:val="21"/>
        </w:rPr>
        <w:t>本合同项下的</w:t>
      </w:r>
      <w:r>
        <w:rPr>
          <w:rFonts w:asciiTheme="minorEastAsia" w:hAnsiTheme="minorEastAsia" w:eastAsiaTheme="minorEastAsia"/>
          <w:color w:val="000000"/>
          <w:szCs w:val="21"/>
        </w:rPr>
        <w:t>付款方式：</w:t>
      </w:r>
      <w:r>
        <w:rPr>
          <w:rFonts w:asciiTheme="minorEastAsia" w:hAnsiTheme="minorEastAsia" w:eastAsiaTheme="minorEastAsia"/>
          <w:color w:val="000000"/>
          <w:szCs w:val="21"/>
          <w:u w:val="single"/>
        </w:rPr>
        <w:t>银行</w:t>
      </w:r>
      <w:r>
        <w:rPr>
          <w:rFonts w:hint="eastAsia" w:asciiTheme="minorEastAsia" w:hAnsiTheme="minorEastAsia" w:eastAsiaTheme="minorEastAsia"/>
          <w:color w:val="000000"/>
          <w:szCs w:val="21"/>
          <w:u w:val="single"/>
        </w:rPr>
        <w:t>转账</w:t>
      </w:r>
      <w:r>
        <w:rPr>
          <w:rFonts w:hint="eastAsia" w:asciiTheme="minorEastAsia" w:hAnsiTheme="minorEastAsia" w:eastAsiaTheme="minorEastAsia"/>
          <w:color w:val="000000"/>
          <w:szCs w:val="21"/>
        </w:rPr>
        <w:t>。</w:t>
      </w:r>
    </w:p>
    <w:p>
      <w:pPr>
        <w:numPr>
          <w:ilvl w:val="1"/>
          <w:numId w:val="7"/>
        </w:numPr>
        <w:tabs>
          <w:tab w:val="left" w:pos="709"/>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hint="eastAsia" w:asciiTheme="minorEastAsia" w:hAnsiTheme="minorEastAsia" w:eastAsiaTheme="minorEastAsia"/>
          <w:szCs w:val="21"/>
        </w:rPr>
        <w:t>付款进度：</w:t>
      </w:r>
    </w:p>
    <w:p>
      <w:pPr>
        <w:tabs>
          <w:tab w:val="left" w:pos="709"/>
        </w:tabs>
        <w:spacing w:before="93" w:beforeLines="30" w:after="93" w:afterLines="30"/>
        <w:ind w:left="706" w:leftChars="336" w:right="-57" w:rightChars="-27" w:firstLine="1"/>
        <w:rPr>
          <w:rFonts w:cs="新宋体-18030"/>
          <w:szCs w:val="21"/>
        </w:rPr>
      </w:pPr>
      <w:r>
        <w:rPr>
          <w:rFonts w:hint="eastAsia" w:cs="新宋体-18030"/>
          <w:color w:val="FF0000"/>
          <w:szCs w:val="21"/>
        </w:rPr>
        <w:t>乙方在合同规定的期限内完成合同所规定的全部服务，</w:t>
      </w:r>
      <w:r>
        <w:rPr>
          <w:rFonts w:hint="eastAsia" w:ascii="宋体" w:hAnsi="宋体"/>
          <w:color w:val="FF0000"/>
        </w:rPr>
        <w:t>即</w:t>
      </w:r>
      <w:r>
        <w:rPr>
          <w:rFonts w:hint="eastAsia" w:cs="新宋体-18030"/>
          <w:color w:val="FF0000"/>
          <w:szCs w:val="21"/>
        </w:rPr>
        <w:t>乙方向甲方提供</w:t>
      </w:r>
      <w:r>
        <w:rPr>
          <w:rFonts w:hint="eastAsia" w:cs="新宋体-18030"/>
          <w:color w:val="FF0000"/>
          <w:szCs w:val="21"/>
          <w:lang w:val="en-US" w:eastAsia="zh-CN"/>
        </w:rPr>
        <w:t>完工</w:t>
      </w:r>
      <w:r>
        <w:rPr>
          <w:rFonts w:hint="eastAsia" w:cs="新宋体-18030"/>
          <w:color w:val="FF0000"/>
          <w:szCs w:val="21"/>
        </w:rPr>
        <w:t>服务报告，经</w:t>
      </w:r>
      <w:r>
        <w:rPr>
          <w:rFonts w:hint="eastAsia" w:ascii="宋体" w:hAnsi="宋体" w:cs="新宋体-18030"/>
          <w:color w:val="FF0000"/>
          <w:szCs w:val="21"/>
        </w:rPr>
        <w:t>甲方项目负责人验收合格且双方项目负责人签字确认</w:t>
      </w:r>
      <w:r>
        <w:rPr>
          <w:rFonts w:hint="eastAsia" w:cs="新宋体-18030"/>
          <w:color w:val="FF0000"/>
          <w:szCs w:val="21"/>
        </w:rPr>
        <w:t>后，甲方向乙方支付合同含税总价的【</w:t>
      </w:r>
      <w:r>
        <w:rPr>
          <w:rFonts w:hint="eastAsia" w:cs="新宋体-18030"/>
          <w:color w:val="FF0000"/>
          <w:szCs w:val="21"/>
          <w:lang w:val="en-US" w:eastAsia="zh-CN"/>
        </w:rPr>
        <w:t>100</w:t>
      </w:r>
      <w:r>
        <w:rPr>
          <w:rFonts w:cs="新宋体-18030"/>
          <w:color w:val="FF0000"/>
          <w:szCs w:val="21"/>
        </w:rPr>
        <w:t>%</w:t>
      </w:r>
      <w:r>
        <w:rPr>
          <w:rFonts w:hint="eastAsia" w:cs="新宋体-18030"/>
          <w:color w:val="FF0000"/>
          <w:szCs w:val="21"/>
        </w:rPr>
        <w:t>】，</w:t>
      </w:r>
      <w:r>
        <w:rPr>
          <w:rFonts w:cs="新宋体-18030"/>
          <w:color w:val="FF0000"/>
          <w:szCs w:val="21"/>
        </w:rPr>
        <w:t>即</w:t>
      </w:r>
      <w:r>
        <w:rPr>
          <w:rFonts w:hint="eastAsia" w:cs="新宋体-18030"/>
          <w:color w:val="FF0000"/>
          <w:szCs w:val="21"/>
          <w:u w:val="single"/>
        </w:rPr>
        <w:t>【￥】</w:t>
      </w:r>
      <w:r>
        <w:rPr>
          <w:rFonts w:ascii="宋体" w:hAnsi="宋体"/>
          <w:color w:val="FF0000"/>
          <w:szCs w:val="21"/>
          <w:u w:val="single"/>
        </w:rPr>
        <w:t>******</w:t>
      </w:r>
      <w:r>
        <w:rPr>
          <w:rFonts w:hint="eastAsia" w:cs="新宋体-18030"/>
          <w:color w:val="FF0000"/>
          <w:szCs w:val="21"/>
          <w:u w:val="single"/>
        </w:rPr>
        <w:t>元</w:t>
      </w:r>
      <w:r>
        <w:rPr>
          <w:rFonts w:hint="eastAsia" w:cs="新宋体-18030"/>
          <w:color w:val="FF0000"/>
          <w:szCs w:val="21"/>
        </w:rPr>
        <w:t>（大写：</w:t>
      </w:r>
      <w:r>
        <w:rPr>
          <w:rFonts w:hint="eastAsia" w:cs="新宋体-18030"/>
          <w:color w:val="FF0000"/>
          <w:szCs w:val="21"/>
          <w:u w:val="single"/>
        </w:rPr>
        <w:t>【人民币】</w:t>
      </w:r>
      <w:r>
        <w:rPr>
          <w:rFonts w:ascii="宋体" w:hAnsi="宋体"/>
          <w:color w:val="FF0000"/>
          <w:szCs w:val="21"/>
          <w:u w:val="single"/>
        </w:rPr>
        <w:t>******</w:t>
      </w:r>
      <w:r>
        <w:rPr>
          <w:rFonts w:cs="新宋体-18030"/>
          <w:color w:val="FF0000"/>
          <w:szCs w:val="21"/>
        </w:rPr>
        <w:t>）。</w:t>
      </w:r>
    </w:p>
    <w:p>
      <w:pPr>
        <w:pStyle w:val="65"/>
        <w:widowControl/>
        <w:tabs>
          <w:tab w:val="left" w:pos="1800"/>
        </w:tabs>
        <w:autoSpaceDE w:val="0"/>
        <w:autoSpaceDN w:val="0"/>
        <w:adjustRightInd w:val="0"/>
        <w:spacing w:before="156" w:beforeLines="50" w:after="156" w:afterLines="50" w:line="360" w:lineRule="auto"/>
        <w:ind w:left="735" w:leftChars="350" w:firstLine="0" w:firstLineChars="0"/>
        <w:textAlignment w:val="bottom"/>
        <w:rPr>
          <w:rFonts w:ascii="宋体" w:hAnsi="宋体" w:cs="新宋体-18030"/>
          <w:b/>
          <w:szCs w:val="21"/>
        </w:rPr>
      </w:pPr>
      <w:r>
        <w:rPr>
          <w:rFonts w:hint="eastAsia" w:cs="新宋体-18030"/>
          <w:b/>
          <w:color w:val="000000"/>
          <w:szCs w:val="21"/>
        </w:rPr>
        <w:t>备注：</w:t>
      </w:r>
      <w:r>
        <w:rPr>
          <w:rFonts w:hint="eastAsia" w:ascii="宋体" w:hAnsi="宋体" w:cs="新宋体-18030"/>
          <w:b/>
          <w:szCs w:val="21"/>
        </w:rPr>
        <w:t>甲方向乙方支付款项前</w:t>
      </w:r>
      <w:r>
        <w:rPr>
          <w:rFonts w:hint="eastAsia" w:cs="新宋体-18030"/>
          <w:b/>
          <w:color w:val="FF0000"/>
          <w:szCs w:val="21"/>
        </w:rPr>
        <w:t>45天</w:t>
      </w:r>
      <w:r>
        <w:rPr>
          <w:rFonts w:hint="eastAsia" w:ascii="宋体" w:hAnsi="宋体" w:cs="新宋体-18030"/>
          <w:b/>
          <w:szCs w:val="21"/>
          <w:lang w:val="en-US" w:eastAsia="zh-CN"/>
        </w:rPr>
        <w:t>内</w:t>
      </w:r>
      <w:r>
        <w:rPr>
          <w:rFonts w:hint="eastAsia" w:ascii="宋体" w:hAnsi="宋体" w:cs="新宋体-18030"/>
          <w:b/>
          <w:szCs w:val="21"/>
        </w:rPr>
        <w:t>，乙方应向甲方开具符合中国法律法规要求的</w:t>
      </w:r>
      <w:r>
        <w:rPr>
          <w:rFonts w:hint="eastAsia" w:ascii="宋体" w:hAnsi="宋体" w:cs="新宋体-18030"/>
          <w:b/>
          <w:color w:val="FF0000"/>
          <w:szCs w:val="21"/>
        </w:rPr>
        <w:t>对应每笔付款节点金额</w:t>
      </w:r>
      <w:r>
        <w:rPr>
          <w:rFonts w:hint="eastAsia" w:ascii="宋体" w:hAnsi="宋体" w:cs="新宋体-18030"/>
          <w:b/>
          <w:szCs w:val="21"/>
        </w:rPr>
        <w:t>的</w:t>
      </w:r>
      <w:r>
        <w:rPr>
          <w:rFonts w:hint="eastAsia" w:cs="新宋体-18030"/>
          <w:b/>
          <w:color w:val="000000"/>
          <w:szCs w:val="21"/>
        </w:rPr>
        <w:t>增值税（6%）</w:t>
      </w:r>
      <w:r>
        <w:rPr>
          <w:rFonts w:hint="eastAsia" w:ascii="宋体" w:hAnsi="宋体" w:cs="新宋体-18030"/>
          <w:b/>
          <w:szCs w:val="21"/>
        </w:rPr>
        <w:t>专用发票并提供相关支持文件。发票应注明合同编号且抬头为：“</w:t>
      </w:r>
      <w:r>
        <w:rPr>
          <w:rFonts w:hint="eastAsia" w:ascii="宋体" w:hAnsi="宋体" w:cs="新宋体-18030"/>
          <w:b/>
          <w:szCs w:val="21"/>
          <w:lang w:eastAsia="zh-CN"/>
        </w:rPr>
        <w:t>中海油能源发展股份有限公司</w:t>
      </w:r>
      <w:r>
        <w:rPr>
          <w:rFonts w:hint="eastAsia" w:ascii="宋体" w:hAnsi="宋体" w:cs="新宋体-18030"/>
          <w:b/>
          <w:szCs w:val="21"/>
        </w:rPr>
        <w:t>”。</w:t>
      </w:r>
    </w:p>
    <w:p>
      <w:pPr>
        <w:numPr>
          <w:ilvl w:val="1"/>
          <w:numId w:val="7"/>
        </w:numPr>
        <w:tabs>
          <w:tab w:val="left" w:pos="709"/>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hint="eastAsia" w:asciiTheme="minorEastAsia" w:hAnsiTheme="minorEastAsia" w:eastAsiaTheme="minorEastAsia"/>
          <w:color w:val="000000"/>
          <w:szCs w:val="21"/>
        </w:rPr>
        <w:t>乙方应根据合同规定的付款条件和进度，提前向甲方开具符合中国法律法规要求的发票并提供相关支持文件。如乙方提供的服务属于增值税应税范围，乙方应为甲方开具增值税专用发票。如乙方未开具上述发票并提供相关支持文件，甲方有权拒付相关合同价款。如果甲方对乙方出具的该等发票和提供的相关支持文件无异议，应于收到该等发票和相关支持文件之日起</w:t>
      </w:r>
      <w:r>
        <w:rPr>
          <w:rFonts w:hint="eastAsia" w:asciiTheme="minorEastAsia" w:hAnsiTheme="minorEastAsia" w:eastAsiaTheme="minorEastAsia"/>
          <w:color w:val="FF0000"/>
          <w:szCs w:val="21"/>
        </w:rPr>
        <w:t>【四十五（45）】</w:t>
      </w:r>
      <w:r>
        <w:rPr>
          <w:rFonts w:hint="eastAsia" w:asciiTheme="minorEastAsia" w:hAnsiTheme="minorEastAsia" w:eastAsiaTheme="minorEastAsia"/>
          <w:color w:val="000000"/>
          <w:szCs w:val="21"/>
        </w:rPr>
        <w:t>日内向乙方付款。如付款到期日非为银行工作日，则付款到期日顺延至下一个银行工作日</w:t>
      </w:r>
      <w:r>
        <w:rPr>
          <w:rFonts w:hint="eastAsia"/>
          <w:color w:val="000000"/>
          <w:szCs w:val="21"/>
          <w:lang w:eastAsia="zh-CN"/>
        </w:rPr>
        <w:t>，</w:t>
      </w:r>
      <w:r>
        <w:rPr>
          <w:rFonts w:hint="eastAsia" w:asciiTheme="minorEastAsia" w:hAnsiTheme="minorEastAsia"/>
          <w:color w:val="auto"/>
          <w:szCs w:val="21"/>
          <w:highlight w:val="none"/>
        </w:rPr>
        <w:t>如遇节假日，则</w:t>
      </w:r>
      <w:r>
        <w:rPr>
          <w:rFonts w:hint="eastAsia" w:asciiTheme="minorEastAsia" w:hAnsiTheme="minorEastAsia"/>
          <w:color w:val="auto"/>
          <w:szCs w:val="21"/>
          <w:highlight w:val="none"/>
          <w:lang w:val="en-US" w:eastAsia="zh-CN"/>
        </w:rPr>
        <w:t>付款到期日</w:t>
      </w:r>
      <w:r>
        <w:rPr>
          <w:rFonts w:hint="eastAsia" w:asciiTheme="minorEastAsia" w:hAnsiTheme="minorEastAsia"/>
          <w:color w:val="auto"/>
          <w:szCs w:val="21"/>
          <w:highlight w:val="none"/>
        </w:rPr>
        <w:t>顺延至下一工作日支付。</w:t>
      </w:r>
      <w:r>
        <w:rPr>
          <w:rFonts w:hint="eastAsia" w:asciiTheme="minorEastAsia" w:hAnsiTheme="minorEastAsia" w:eastAsiaTheme="minorEastAsia"/>
          <w:color w:val="000000"/>
          <w:szCs w:val="21"/>
        </w:rPr>
        <w:t>如果甲方对乙方提交的该等发票和相关支持文件全部或部分有异议，应及时通知乙方，乙方应根据甲方要求修改并重新开具发票，该等情况下，付款期限从甲方收到该等重新开具的发票和相关支持文件之日起重新计算。</w:t>
      </w:r>
    </w:p>
    <w:p>
      <w:pPr>
        <w:numPr>
          <w:ilvl w:val="1"/>
          <w:numId w:val="7"/>
        </w:numPr>
        <w:tabs>
          <w:tab w:val="left" w:pos="709"/>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hint="eastAsia" w:asciiTheme="minorEastAsia" w:hAnsiTheme="minorEastAsia" w:eastAsiaTheme="minorEastAsia"/>
          <w:szCs w:val="21"/>
        </w:rPr>
        <w:t>甲乙双方银行账户信息：</w:t>
      </w:r>
    </w:p>
    <w:p>
      <w:pPr>
        <w:pStyle w:val="42"/>
        <w:tabs>
          <w:tab w:val="left" w:pos="567"/>
          <w:tab w:val="left" w:pos="1418"/>
        </w:tabs>
        <w:spacing w:before="93" w:beforeLines="30" w:after="93" w:afterLines="30" w:line="360" w:lineRule="auto"/>
        <w:ind w:left="848" w:right="88" w:rightChars="42" w:hanging="848" w:hangingChars="404"/>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rPr>
        <w:t xml:space="preserve"> </w:t>
      </w:r>
      <w:r>
        <w:rPr>
          <w:rFonts w:hint="eastAsia" w:asciiTheme="minorEastAsia" w:hAnsiTheme="minorEastAsia" w:eastAsiaTheme="minorEastAsia"/>
          <w:szCs w:val="21"/>
        </w:rPr>
        <w:t>甲方银行账户信息：</w:t>
      </w:r>
    </w:p>
    <w:p>
      <w:pPr>
        <w:pStyle w:val="42"/>
        <w:tabs>
          <w:tab w:val="left" w:pos="567"/>
          <w:tab w:val="left" w:pos="1418"/>
        </w:tabs>
        <w:spacing w:before="93" w:beforeLines="30" w:after="93" w:afterLines="30" w:line="360" w:lineRule="auto"/>
        <w:ind w:left="420" w:right="88" w:rightChars="42" w:firstLine="287" w:firstLineChars="137"/>
        <w:rPr>
          <w:rFonts w:hint="eastAsia" w:asciiTheme="minorEastAsia" w:hAnsiTheme="minorEastAsia" w:eastAsiaTheme="minorEastAsia"/>
          <w:szCs w:val="21"/>
          <w:u w:val="single"/>
          <w:lang w:eastAsia="zh-CN"/>
        </w:rPr>
      </w:pPr>
      <w:r>
        <w:rPr>
          <w:rFonts w:hint="eastAsia" w:asciiTheme="minorEastAsia" w:hAnsiTheme="minorEastAsia" w:eastAsiaTheme="minorEastAsia"/>
          <w:szCs w:val="21"/>
        </w:rPr>
        <w:t>甲方</w:t>
      </w:r>
      <w:r>
        <w:rPr>
          <w:rFonts w:asciiTheme="minorEastAsia" w:hAnsiTheme="minorEastAsia" w:eastAsiaTheme="minorEastAsia"/>
          <w:szCs w:val="21"/>
        </w:rPr>
        <w:t>名称：</w:t>
      </w:r>
      <w:r>
        <w:rPr>
          <w:rFonts w:hint="eastAsia" w:cs="宋体" w:asciiTheme="minorEastAsia" w:hAnsiTheme="minorEastAsia" w:eastAsiaTheme="minorEastAsia"/>
          <w:kern w:val="0"/>
          <w:szCs w:val="21"/>
          <w:u w:val="single"/>
          <w:lang w:eastAsia="zh-CN"/>
        </w:rPr>
        <w:t>中海油能源发展股份有限公司</w:t>
      </w:r>
    </w:p>
    <w:p>
      <w:pPr>
        <w:pStyle w:val="42"/>
        <w:tabs>
          <w:tab w:val="left" w:pos="567"/>
          <w:tab w:val="left" w:pos="1418"/>
        </w:tabs>
        <w:spacing w:before="93" w:beforeLines="30" w:after="93" w:afterLines="30" w:line="360" w:lineRule="auto"/>
        <w:ind w:left="420" w:right="88" w:rightChars="42" w:firstLine="287" w:firstLineChars="137"/>
        <w:rPr>
          <w:rFonts w:asciiTheme="minorEastAsia" w:hAnsiTheme="minorEastAsia" w:eastAsiaTheme="minorEastAsia"/>
          <w:szCs w:val="21"/>
        </w:rPr>
      </w:pPr>
      <w:r>
        <w:rPr>
          <w:rFonts w:asciiTheme="minorEastAsia" w:hAnsiTheme="minorEastAsia" w:eastAsiaTheme="minorEastAsia"/>
          <w:szCs w:val="21"/>
        </w:rPr>
        <w:t>开户行名称：</w:t>
      </w:r>
    </w:p>
    <w:p>
      <w:pPr>
        <w:pStyle w:val="42"/>
        <w:tabs>
          <w:tab w:val="left" w:pos="567"/>
          <w:tab w:val="left" w:pos="1418"/>
        </w:tabs>
        <w:spacing w:before="93" w:beforeLines="30" w:after="93" w:afterLines="30" w:line="360" w:lineRule="auto"/>
        <w:ind w:left="420" w:right="88" w:rightChars="42" w:firstLine="287" w:firstLineChars="137"/>
        <w:rPr>
          <w:rFonts w:asciiTheme="minorEastAsia" w:hAnsiTheme="minorEastAsia" w:eastAsiaTheme="minorEastAsia"/>
          <w:szCs w:val="21"/>
          <w:u w:val="single"/>
        </w:rPr>
      </w:pPr>
      <w:r>
        <w:rPr>
          <w:rFonts w:hint="eastAsia" w:asciiTheme="minorEastAsia" w:hAnsiTheme="minorEastAsia" w:eastAsiaTheme="minorEastAsia"/>
          <w:szCs w:val="21"/>
        </w:rPr>
        <w:t>银行</w:t>
      </w:r>
      <w:r>
        <w:rPr>
          <w:rFonts w:asciiTheme="minorEastAsia" w:hAnsiTheme="minorEastAsia" w:eastAsiaTheme="minorEastAsia"/>
          <w:szCs w:val="21"/>
        </w:rPr>
        <w:t>账号：</w:t>
      </w:r>
    </w:p>
    <w:p>
      <w:pPr>
        <w:pStyle w:val="42"/>
        <w:tabs>
          <w:tab w:val="left" w:pos="567"/>
          <w:tab w:val="left" w:pos="1418"/>
        </w:tabs>
        <w:spacing w:before="93" w:beforeLines="30" w:after="93" w:afterLines="30" w:line="360" w:lineRule="auto"/>
        <w:ind w:left="420" w:right="88" w:rightChars="42" w:firstLine="287" w:firstLineChars="137"/>
        <w:rPr>
          <w:rFonts w:asciiTheme="minorEastAsia" w:hAnsiTheme="minorEastAsia" w:eastAsiaTheme="minorEastAsia"/>
          <w:szCs w:val="21"/>
        </w:rPr>
      </w:pPr>
      <w:r>
        <w:rPr>
          <w:rFonts w:hint="eastAsia" w:asciiTheme="minorEastAsia" w:hAnsiTheme="minorEastAsia" w:eastAsiaTheme="minorEastAsia"/>
          <w:szCs w:val="21"/>
        </w:rPr>
        <w:t>纳税人识别号</w:t>
      </w:r>
      <w:r>
        <w:rPr>
          <w:rFonts w:asciiTheme="minorEastAsia" w:hAnsiTheme="minorEastAsia" w:eastAsiaTheme="minorEastAsia"/>
          <w:szCs w:val="21"/>
        </w:rPr>
        <w:t>：</w:t>
      </w:r>
    </w:p>
    <w:p>
      <w:pPr>
        <w:pStyle w:val="42"/>
        <w:tabs>
          <w:tab w:val="left" w:pos="1418"/>
        </w:tabs>
        <w:spacing w:before="93" w:beforeLines="30" w:after="93" w:afterLines="30" w:line="360" w:lineRule="auto"/>
        <w:ind w:left="705" w:leftChars="-1" w:right="88" w:rightChars="42" w:hanging="707" w:hangingChars="337"/>
        <w:rPr>
          <w:rFonts w:asciiTheme="minorEastAsia" w:hAnsiTheme="minorEastAsia" w:eastAsiaTheme="minorEastAsia"/>
          <w:color w:val="FF0000"/>
          <w:szCs w:val="21"/>
        </w:rPr>
      </w:pPr>
      <w:r>
        <w:rPr>
          <w:rFonts w:asciiTheme="minorEastAsia" w:hAnsiTheme="minorEastAsia" w:eastAsiaTheme="minorEastAsia"/>
          <w:color w:val="FF0000"/>
          <w:szCs w:val="21"/>
        </w:rPr>
        <w:t>（</w:t>
      </w:r>
      <w:r>
        <w:rPr>
          <w:rFonts w:hint="eastAsia" w:asciiTheme="minorEastAsia" w:hAnsiTheme="minorEastAsia" w:eastAsiaTheme="minorEastAsia"/>
          <w:color w:val="FF0000"/>
          <w:szCs w:val="21"/>
        </w:rPr>
        <w:t>2</w:t>
      </w:r>
      <w:r>
        <w:rPr>
          <w:rFonts w:asciiTheme="minorEastAsia" w:hAnsiTheme="minorEastAsia" w:eastAsiaTheme="minorEastAsia"/>
          <w:color w:val="FF0000"/>
          <w:szCs w:val="21"/>
        </w:rPr>
        <w:t>）</w:t>
      </w:r>
      <w:r>
        <w:rPr>
          <w:rFonts w:hint="eastAsia" w:asciiTheme="minorEastAsia" w:hAnsiTheme="minorEastAsia" w:eastAsiaTheme="minorEastAsia"/>
          <w:color w:val="FF0000"/>
          <w:szCs w:val="21"/>
        </w:rPr>
        <w:t xml:space="preserve"> </w:t>
      </w:r>
      <w:r>
        <w:rPr>
          <w:rFonts w:asciiTheme="minorEastAsia" w:hAnsiTheme="minorEastAsia" w:eastAsiaTheme="minorEastAsia"/>
          <w:color w:val="FF0000"/>
          <w:szCs w:val="21"/>
        </w:rPr>
        <w:t xml:space="preserve"> 乙方</w:t>
      </w:r>
      <w:r>
        <w:rPr>
          <w:rFonts w:hint="eastAsia" w:asciiTheme="minorEastAsia" w:hAnsiTheme="minorEastAsia" w:eastAsiaTheme="minorEastAsia"/>
          <w:color w:val="FF0000"/>
          <w:szCs w:val="21"/>
        </w:rPr>
        <w:t>银行账户信息，</w:t>
      </w:r>
      <w:r>
        <w:rPr>
          <w:rFonts w:ascii="宋体" w:hAnsi="宋体"/>
          <w:color w:val="FF0000"/>
          <w:szCs w:val="21"/>
        </w:rPr>
        <w:t>乙方应通过如下账户收取合同总价及其它款项，并通过该账户向甲方支付与合同有关的任何款项</w:t>
      </w:r>
      <w:r>
        <w:rPr>
          <w:rFonts w:hint="eastAsia" w:asciiTheme="minorEastAsia" w:hAnsiTheme="minorEastAsia" w:eastAsiaTheme="minorEastAsia"/>
          <w:color w:val="FF0000"/>
          <w:szCs w:val="21"/>
        </w:rPr>
        <w:t>：</w:t>
      </w:r>
    </w:p>
    <w:p>
      <w:pPr>
        <w:tabs>
          <w:tab w:val="left" w:pos="709"/>
          <w:tab w:val="left" w:pos="1418"/>
        </w:tabs>
        <w:adjustRightInd w:val="0"/>
        <w:snapToGrid w:val="0"/>
        <w:spacing w:before="93" w:beforeLines="30" w:after="93" w:afterLines="30" w:line="360" w:lineRule="auto"/>
        <w:ind w:left="708" w:leftChars="337" w:right="-13" w:rightChars="-6"/>
        <w:rPr>
          <w:rFonts w:asciiTheme="minorEastAsia" w:hAnsiTheme="minorEastAsia" w:eastAsiaTheme="minorEastAsia"/>
          <w:color w:val="FF0000"/>
          <w:szCs w:val="21"/>
        </w:rPr>
      </w:pPr>
      <w:r>
        <w:rPr>
          <w:rFonts w:asciiTheme="minorEastAsia" w:hAnsiTheme="minorEastAsia" w:eastAsiaTheme="minorEastAsia"/>
          <w:color w:val="FF0000"/>
          <w:szCs w:val="21"/>
        </w:rPr>
        <w:t>乙方名称：</w:t>
      </w:r>
      <w:r>
        <w:rPr>
          <w:rFonts w:hint="eastAsia" w:asciiTheme="minorEastAsia" w:hAnsiTheme="minorEastAsia" w:eastAsiaTheme="minorEastAsia" w:cstheme="minorEastAsia"/>
          <w:color w:val="FF0000"/>
          <w:kern w:val="0"/>
          <w:szCs w:val="21"/>
          <w:u w:val="single"/>
          <w:lang w:val="en-US" w:eastAsia="zh-CN"/>
        </w:rPr>
        <w:t>BBB</w:t>
      </w:r>
    </w:p>
    <w:p>
      <w:pPr>
        <w:tabs>
          <w:tab w:val="left" w:pos="709"/>
          <w:tab w:val="left" w:pos="1418"/>
        </w:tabs>
        <w:adjustRightInd w:val="0"/>
        <w:snapToGrid w:val="0"/>
        <w:spacing w:before="93" w:beforeLines="30" w:after="93" w:afterLines="30" w:line="360" w:lineRule="auto"/>
        <w:ind w:left="708" w:leftChars="337" w:right="-92" w:rightChars="-44"/>
        <w:rPr>
          <w:rFonts w:asciiTheme="minorEastAsia" w:hAnsiTheme="minorEastAsia" w:eastAsiaTheme="minorEastAsia"/>
          <w:color w:val="FF0000"/>
          <w:szCs w:val="21"/>
        </w:rPr>
      </w:pPr>
      <w:r>
        <w:rPr>
          <w:rFonts w:asciiTheme="minorEastAsia" w:hAnsiTheme="minorEastAsia" w:eastAsiaTheme="minorEastAsia"/>
          <w:color w:val="FF0000"/>
          <w:szCs w:val="21"/>
        </w:rPr>
        <w:t>开户行名称：</w:t>
      </w:r>
      <w:r>
        <w:rPr>
          <w:rFonts w:hint="eastAsia" w:ascii="宋体" w:hAnsi="宋体"/>
          <w:color w:val="FF0000"/>
          <w:szCs w:val="21"/>
          <w:u w:val="single"/>
        </w:rPr>
        <w:t xml:space="preserve"> </w:t>
      </w:r>
      <w:r>
        <w:rPr>
          <w:rFonts w:ascii="宋体" w:hAnsi="宋体"/>
          <w:color w:val="FF0000"/>
          <w:szCs w:val="21"/>
          <w:u w:val="single"/>
        </w:rPr>
        <w:t xml:space="preserve">                </w:t>
      </w:r>
      <w:r>
        <w:rPr>
          <w:rFonts w:ascii="宋体" w:hAnsi="宋体" w:cs="新宋体-18030"/>
          <w:color w:val="FF0000"/>
          <w:szCs w:val="21"/>
          <w:u w:val="single"/>
        </w:rPr>
        <w:t xml:space="preserve"> </w:t>
      </w:r>
    </w:p>
    <w:p>
      <w:pPr>
        <w:tabs>
          <w:tab w:val="left" w:pos="709"/>
          <w:tab w:val="left" w:pos="1418"/>
        </w:tabs>
        <w:adjustRightInd w:val="0"/>
        <w:snapToGrid w:val="0"/>
        <w:spacing w:before="93" w:beforeLines="30" w:after="93" w:afterLines="30" w:line="360" w:lineRule="auto"/>
        <w:ind w:left="708" w:leftChars="337" w:right="-13" w:rightChars="-6"/>
        <w:rPr>
          <w:rFonts w:hint="eastAsia" w:asciiTheme="minorEastAsia" w:hAnsiTheme="minorEastAsia" w:eastAsiaTheme="minorEastAsia"/>
          <w:color w:val="FF0000"/>
          <w:szCs w:val="21"/>
        </w:rPr>
      </w:pPr>
      <w:r>
        <w:rPr>
          <w:rFonts w:hint="eastAsia" w:asciiTheme="minorEastAsia" w:hAnsiTheme="minorEastAsia" w:eastAsiaTheme="minorEastAsia"/>
          <w:color w:val="FF0000"/>
          <w:szCs w:val="21"/>
        </w:rPr>
        <w:t>银行</w:t>
      </w:r>
      <w:r>
        <w:rPr>
          <w:rFonts w:asciiTheme="minorEastAsia" w:hAnsiTheme="minorEastAsia" w:eastAsiaTheme="minorEastAsia"/>
          <w:color w:val="FF0000"/>
          <w:szCs w:val="21"/>
        </w:rPr>
        <w:t>账号：</w:t>
      </w:r>
      <w:r>
        <w:rPr>
          <w:rFonts w:hint="eastAsia" w:ascii="宋体" w:hAnsi="宋体"/>
          <w:color w:val="FF0000"/>
          <w:szCs w:val="21"/>
          <w:u w:val="single"/>
        </w:rPr>
        <w:t xml:space="preserve"> </w:t>
      </w:r>
      <w:r>
        <w:rPr>
          <w:rFonts w:ascii="宋体" w:hAnsi="宋体"/>
          <w:color w:val="FF0000"/>
          <w:szCs w:val="21"/>
          <w:u w:val="single"/>
        </w:rPr>
        <w:t xml:space="preserve">                </w:t>
      </w:r>
      <w:r>
        <w:rPr>
          <w:rFonts w:ascii="宋体" w:hAnsi="宋体" w:cs="新宋体-18030"/>
          <w:color w:val="FF0000"/>
          <w:szCs w:val="21"/>
          <w:u w:val="single"/>
        </w:rPr>
        <w:t xml:space="preserve"> </w:t>
      </w:r>
      <w:bookmarkStart w:id="32" w:name="OLE_LINK44"/>
      <w:bookmarkStart w:id="33" w:name="OLE_LINK41"/>
      <w:bookmarkStart w:id="34" w:name="OLE_LINK43"/>
      <w:bookmarkStart w:id="35" w:name="OLE_LINK40"/>
      <w:bookmarkStart w:id="36" w:name="OLE_LINK42"/>
      <w:r>
        <w:rPr>
          <w:rFonts w:hint="eastAsia" w:asciiTheme="minorEastAsia" w:hAnsiTheme="minorEastAsia" w:eastAsiaTheme="minorEastAsia"/>
          <w:color w:val="FF0000"/>
          <w:szCs w:val="21"/>
        </w:rPr>
        <w:t xml:space="preserve">     </w:t>
      </w:r>
      <w:bookmarkEnd w:id="32"/>
      <w:bookmarkEnd w:id="33"/>
      <w:bookmarkEnd w:id="34"/>
      <w:bookmarkEnd w:id="35"/>
      <w:bookmarkEnd w:id="36"/>
    </w:p>
    <w:p>
      <w:pPr>
        <w:tabs>
          <w:tab w:val="left" w:pos="709"/>
          <w:tab w:val="left" w:pos="1418"/>
        </w:tabs>
        <w:adjustRightInd w:val="0"/>
        <w:snapToGrid w:val="0"/>
        <w:spacing w:before="93" w:beforeLines="30" w:after="93" w:afterLines="30" w:line="360" w:lineRule="auto"/>
        <w:ind w:left="708" w:leftChars="337" w:right="6" w:rightChars="0" w:firstLine="1"/>
        <w:rPr>
          <w:rFonts w:asciiTheme="minorEastAsia" w:hAnsiTheme="minorEastAsia" w:eastAsiaTheme="minorEastAsia"/>
          <w:color w:val="FF0000"/>
          <w:szCs w:val="21"/>
        </w:rPr>
      </w:pPr>
      <w:r>
        <w:rPr>
          <w:rFonts w:hint="eastAsia" w:ascii="宋体" w:hAnsi="宋体"/>
          <w:color w:val="FF0000"/>
          <w:szCs w:val="21"/>
        </w:rPr>
        <w:t>联行号：</w:t>
      </w:r>
      <w:r>
        <w:rPr>
          <w:rFonts w:hint="eastAsia" w:ascii="宋体" w:hAnsi="宋体"/>
          <w:color w:val="FF0000"/>
          <w:szCs w:val="21"/>
          <w:u w:val="single"/>
        </w:rPr>
        <w:t xml:space="preserve"> </w:t>
      </w:r>
      <w:r>
        <w:rPr>
          <w:rFonts w:ascii="宋体" w:hAnsi="宋体"/>
          <w:color w:val="FF0000"/>
          <w:szCs w:val="21"/>
          <w:u w:val="single"/>
        </w:rPr>
        <w:t xml:space="preserve">                 </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37" w:name="_Toc364839363"/>
      <w:bookmarkStart w:id="38" w:name="_Toc299915681"/>
      <w:bookmarkStart w:id="39" w:name="_Toc299912665"/>
      <w:r>
        <w:rPr>
          <w:rFonts w:hint="eastAsia" w:asciiTheme="minorEastAsia" w:hAnsiTheme="minorEastAsia" w:eastAsiaTheme="minorEastAsia"/>
          <w:sz w:val="21"/>
          <w:szCs w:val="21"/>
        </w:rPr>
        <w:t>工作期限</w:t>
      </w:r>
      <w:bookmarkEnd w:id="37"/>
    </w:p>
    <w:p>
      <w:pPr>
        <w:pStyle w:val="12"/>
        <w:numPr>
          <w:ilvl w:val="0"/>
          <w:numId w:val="8"/>
        </w:numPr>
        <w:tabs>
          <w:tab w:val="left" w:pos="709"/>
        </w:tabs>
        <w:autoSpaceDE w:val="0"/>
        <w:autoSpaceDN w:val="0"/>
        <w:adjustRightInd w:val="0"/>
        <w:spacing w:before="93" w:beforeLines="30" w:after="93" w:afterLines="30" w:line="360" w:lineRule="auto"/>
        <w:ind w:left="709" w:hanging="709"/>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本合同项下，乙方为甲方提供服务的期限为：</w:t>
      </w:r>
      <w:r>
        <w:rPr>
          <w:rFonts w:hint="eastAsia" w:asciiTheme="minorEastAsia" w:hAnsiTheme="minorEastAsia" w:eastAsiaTheme="minorEastAsia"/>
          <w:color w:val="FF0000"/>
          <w:sz w:val="21"/>
          <w:szCs w:val="21"/>
          <w:u w:val="single"/>
        </w:rPr>
        <w:t>自本合同签订之日起至</w:t>
      </w:r>
      <w:r>
        <w:rPr>
          <w:rFonts w:hint="eastAsia" w:asciiTheme="minorEastAsia" w:hAnsiTheme="minorEastAsia" w:eastAsiaTheme="minorEastAsia"/>
          <w:color w:val="FF0000"/>
          <w:sz w:val="21"/>
          <w:szCs w:val="21"/>
          <w:u w:val="single"/>
          <w:lang w:eastAsia="zh-CN"/>
        </w:rPr>
        <w:t>2024</w:t>
      </w:r>
      <w:r>
        <w:rPr>
          <w:rFonts w:hint="eastAsia" w:asciiTheme="minorEastAsia" w:hAnsiTheme="minorEastAsia" w:eastAsiaTheme="minorEastAsia"/>
          <w:color w:val="FF0000"/>
          <w:sz w:val="21"/>
          <w:szCs w:val="21"/>
          <w:u w:val="single"/>
        </w:rPr>
        <w:t>年</w:t>
      </w:r>
      <w:r>
        <w:rPr>
          <w:rFonts w:asciiTheme="minorEastAsia" w:hAnsiTheme="minorEastAsia" w:eastAsiaTheme="minorEastAsia"/>
          <w:color w:val="FF0000"/>
          <w:sz w:val="21"/>
          <w:szCs w:val="21"/>
          <w:u w:val="single"/>
        </w:rPr>
        <w:t>00</w:t>
      </w:r>
      <w:r>
        <w:rPr>
          <w:rFonts w:hint="eastAsia" w:asciiTheme="minorEastAsia" w:hAnsiTheme="minorEastAsia" w:eastAsiaTheme="minorEastAsia"/>
          <w:color w:val="FF0000"/>
          <w:sz w:val="21"/>
          <w:szCs w:val="21"/>
          <w:u w:val="single"/>
        </w:rPr>
        <w:t>月</w:t>
      </w:r>
      <w:r>
        <w:rPr>
          <w:rFonts w:asciiTheme="minorEastAsia" w:hAnsiTheme="minorEastAsia" w:eastAsiaTheme="minorEastAsia"/>
          <w:color w:val="FF0000"/>
          <w:sz w:val="21"/>
          <w:szCs w:val="21"/>
          <w:u w:val="single"/>
        </w:rPr>
        <w:t>00</w:t>
      </w:r>
      <w:r>
        <w:rPr>
          <w:rFonts w:hint="eastAsia" w:asciiTheme="minorEastAsia" w:hAnsiTheme="minorEastAsia" w:eastAsiaTheme="minorEastAsia"/>
          <w:color w:val="FF0000"/>
          <w:sz w:val="21"/>
          <w:szCs w:val="21"/>
          <w:u w:val="single"/>
        </w:rPr>
        <w:t>日止</w:t>
      </w:r>
      <w:r>
        <w:rPr>
          <w:rFonts w:hint="eastAsia" w:asciiTheme="minorEastAsia" w:hAnsiTheme="minorEastAsia" w:eastAsiaTheme="minorEastAsia"/>
          <w:color w:val="FF0000"/>
          <w:sz w:val="21"/>
          <w:szCs w:val="21"/>
        </w:rPr>
        <w:t>。</w:t>
      </w:r>
    </w:p>
    <w:p>
      <w:pPr>
        <w:pStyle w:val="12"/>
        <w:numPr>
          <w:ilvl w:val="0"/>
          <w:numId w:val="8"/>
        </w:numPr>
        <w:tabs>
          <w:tab w:val="left" w:pos="709"/>
        </w:tabs>
        <w:autoSpaceDE w:val="0"/>
        <w:autoSpaceDN w:val="0"/>
        <w:adjustRightInd w:val="0"/>
        <w:spacing w:before="93" w:beforeLines="30" w:after="93" w:afterLines="30" w:line="360" w:lineRule="auto"/>
        <w:ind w:left="709" w:hanging="709"/>
        <w:rPr>
          <w:rFonts w:asciiTheme="minorEastAsia" w:hAnsiTheme="minorEastAsia" w:eastAsiaTheme="minorEastAsia"/>
          <w:sz w:val="21"/>
          <w:szCs w:val="21"/>
        </w:rPr>
      </w:pPr>
      <w:r>
        <w:rPr>
          <w:rFonts w:hint="eastAsia" w:asciiTheme="minorEastAsia" w:hAnsiTheme="minorEastAsia" w:eastAsiaTheme="minorEastAsia"/>
          <w:sz w:val="21"/>
          <w:szCs w:val="21"/>
        </w:rPr>
        <w:t>工作进度【详见本合同附件一】。</w:t>
      </w:r>
    </w:p>
    <w:p>
      <w:pPr>
        <w:pStyle w:val="12"/>
        <w:numPr>
          <w:ilvl w:val="0"/>
          <w:numId w:val="8"/>
        </w:numPr>
        <w:tabs>
          <w:tab w:val="left" w:pos="709"/>
        </w:tabs>
        <w:autoSpaceDE w:val="0"/>
        <w:autoSpaceDN w:val="0"/>
        <w:adjustRightInd w:val="0"/>
        <w:spacing w:before="93" w:beforeLines="30" w:after="93" w:afterLines="30" w:line="360" w:lineRule="auto"/>
        <w:ind w:left="709" w:hanging="709"/>
        <w:rPr>
          <w:rFonts w:asciiTheme="minorEastAsia" w:hAnsiTheme="minorEastAsia" w:eastAsiaTheme="minorEastAsia"/>
          <w:color w:val="000000"/>
          <w:sz w:val="21"/>
          <w:szCs w:val="21"/>
        </w:rPr>
      </w:pPr>
      <w:r>
        <w:rPr>
          <w:rFonts w:asciiTheme="minorEastAsia" w:hAnsiTheme="minorEastAsia" w:eastAsiaTheme="minorEastAsia"/>
          <w:sz w:val="21"/>
          <w:szCs w:val="21"/>
        </w:rPr>
        <w:t>乙方</w:t>
      </w:r>
      <w:r>
        <w:rPr>
          <w:rFonts w:hint="eastAsia" w:asciiTheme="minorEastAsia" w:hAnsiTheme="minorEastAsia" w:eastAsiaTheme="minorEastAsia"/>
          <w:sz w:val="21"/>
          <w:szCs w:val="21"/>
        </w:rPr>
        <w:t>应严格根据项目进度和工作期限，提供合同项下的服务，</w:t>
      </w:r>
      <w:r>
        <w:rPr>
          <w:rFonts w:asciiTheme="minorEastAsia" w:hAnsiTheme="minorEastAsia" w:eastAsiaTheme="minorEastAsia"/>
          <w:sz w:val="21"/>
          <w:szCs w:val="21"/>
        </w:rPr>
        <w:t>完成合同</w:t>
      </w:r>
      <w:r>
        <w:rPr>
          <w:rFonts w:hint="eastAsia" w:asciiTheme="minorEastAsia" w:hAnsiTheme="minorEastAsia" w:eastAsiaTheme="minorEastAsia"/>
          <w:sz w:val="21"/>
          <w:szCs w:val="21"/>
        </w:rPr>
        <w:t>项下的全部</w:t>
      </w:r>
      <w:r>
        <w:rPr>
          <w:rFonts w:asciiTheme="minorEastAsia" w:hAnsiTheme="minorEastAsia" w:eastAsiaTheme="minorEastAsia"/>
          <w:sz w:val="21"/>
          <w:szCs w:val="21"/>
        </w:rPr>
        <w:t>工作，履行合同规定的义务</w:t>
      </w:r>
      <w:r>
        <w:rPr>
          <w:rFonts w:hint="eastAsia" w:asciiTheme="minorEastAsia" w:hAnsiTheme="minorEastAsia" w:eastAsiaTheme="minorEastAsia"/>
          <w:sz w:val="21"/>
          <w:szCs w:val="21"/>
        </w:rPr>
        <w:t>，向甲方提交工作成果。</w:t>
      </w:r>
    </w:p>
    <w:p>
      <w:pPr>
        <w:pStyle w:val="12"/>
        <w:numPr>
          <w:ilvl w:val="0"/>
          <w:numId w:val="8"/>
        </w:numPr>
        <w:tabs>
          <w:tab w:val="left" w:pos="709"/>
        </w:tabs>
        <w:autoSpaceDE w:val="0"/>
        <w:autoSpaceDN w:val="0"/>
        <w:adjustRightInd w:val="0"/>
        <w:spacing w:before="93" w:beforeLines="30" w:after="93" w:afterLines="30" w:line="360" w:lineRule="auto"/>
        <w:ind w:left="709" w:hanging="709"/>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乙方应提供高效、及时的服务，确保服务实际进度符合项目进度和工作期限的要求。</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40" w:name="_Toc299915683"/>
      <w:bookmarkStart w:id="41" w:name="_Toc364839364"/>
      <w:r>
        <w:rPr>
          <w:rFonts w:hint="eastAsia" w:asciiTheme="minorEastAsia" w:hAnsiTheme="minorEastAsia" w:eastAsiaTheme="minorEastAsia"/>
          <w:sz w:val="21"/>
          <w:szCs w:val="21"/>
        </w:rPr>
        <w:t>乙方人员</w:t>
      </w:r>
      <w:bookmarkEnd w:id="40"/>
      <w:bookmarkEnd w:id="41"/>
    </w:p>
    <w:p>
      <w:pPr>
        <w:numPr>
          <w:ilvl w:val="1"/>
          <w:numId w:val="9"/>
        </w:numPr>
        <w:tabs>
          <w:tab w:val="left" w:pos="709"/>
          <w:tab w:val="clear" w:pos="540"/>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hint="eastAsia" w:asciiTheme="minorEastAsia" w:hAnsiTheme="minorEastAsia" w:eastAsiaTheme="minorEastAsia"/>
          <w:szCs w:val="21"/>
        </w:rPr>
        <w:t>一般要求：</w:t>
      </w:r>
    </w:p>
    <w:p>
      <w:pPr>
        <w:numPr>
          <w:ilvl w:val="0"/>
          <w:numId w:val="10"/>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乙方应选聘、组织充足、适格、有经验的人员执行、完成</w:t>
      </w:r>
      <w:r>
        <w:rPr>
          <w:rFonts w:hint="eastAsia" w:asciiTheme="minorEastAsia" w:hAnsiTheme="minorEastAsia" w:eastAsiaTheme="minorEastAsia"/>
          <w:szCs w:val="21"/>
        </w:rPr>
        <w:t>本合同项下的工作</w:t>
      </w:r>
      <w:r>
        <w:rPr>
          <w:rFonts w:asciiTheme="minorEastAsia" w:hAnsiTheme="minorEastAsia" w:eastAsiaTheme="minorEastAsia"/>
          <w:szCs w:val="21"/>
        </w:rPr>
        <w:t>。</w:t>
      </w:r>
    </w:p>
    <w:p>
      <w:pPr>
        <w:numPr>
          <w:ilvl w:val="0"/>
          <w:numId w:val="10"/>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本合同履行过程中，乙方应对其员工的报酬、福利、社会保险、</w:t>
      </w:r>
      <w:r>
        <w:rPr>
          <w:rFonts w:hint="eastAsia" w:asciiTheme="minorEastAsia" w:hAnsiTheme="minorEastAsia" w:eastAsiaTheme="minorEastAsia"/>
          <w:szCs w:val="21"/>
        </w:rPr>
        <w:t>商业保险、</w:t>
      </w:r>
      <w:r>
        <w:rPr>
          <w:rFonts w:asciiTheme="minorEastAsia" w:hAnsiTheme="minorEastAsia" w:eastAsiaTheme="minorEastAsia"/>
          <w:szCs w:val="21"/>
        </w:rPr>
        <w:t>食宿、交通负责，相关费用已包含于合同含税总价中。</w:t>
      </w:r>
    </w:p>
    <w:p>
      <w:pPr>
        <w:numPr>
          <w:ilvl w:val="0"/>
          <w:numId w:val="10"/>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本合同履行过程中，乙方应建立并维系合法、适当的劳动关系。</w:t>
      </w:r>
    </w:p>
    <w:p>
      <w:pPr>
        <w:numPr>
          <w:ilvl w:val="0"/>
          <w:numId w:val="10"/>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乙方应采取措施确保其工作人员在执行工作过程中严格遵守本合同和法律法规的规定。</w:t>
      </w:r>
    </w:p>
    <w:p>
      <w:pPr>
        <w:numPr>
          <w:ilvl w:val="0"/>
          <w:numId w:val="10"/>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甲方有权要求乙方更换其</w:t>
      </w:r>
      <w:r>
        <w:rPr>
          <w:rFonts w:hint="eastAsia" w:asciiTheme="minorEastAsia" w:hAnsiTheme="minorEastAsia" w:eastAsiaTheme="minorEastAsia"/>
          <w:szCs w:val="21"/>
        </w:rPr>
        <w:t>工作</w:t>
      </w:r>
      <w:r>
        <w:rPr>
          <w:rFonts w:asciiTheme="minorEastAsia" w:hAnsiTheme="minorEastAsia" w:eastAsiaTheme="minorEastAsia"/>
          <w:szCs w:val="21"/>
        </w:rPr>
        <w:t>人员，乙方应严格执行甲方的要求。</w:t>
      </w:r>
    </w:p>
    <w:p>
      <w:pPr>
        <w:numPr>
          <w:ilvl w:val="1"/>
          <w:numId w:val="9"/>
        </w:numPr>
        <w:tabs>
          <w:tab w:val="left" w:pos="709"/>
          <w:tab w:val="clear" w:pos="540"/>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hint="eastAsia" w:asciiTheme="minorEastAsia" w:hAnsiTheme="minorEastAsia" w:eastAsiaTheme="minorEastAsia"/>
          <w:szCs w:val="21"/>
        </w:rPr>
        <w:t>乙方代表：</w:t>
      </w:r>
    </w:p>
    <w:p>
      <w:pPr>
        <w:numPr>
          <w:ilvl w:val="1"/>
          <w:numId w:val="11"/>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hint="eastAsia" w:asciiTheme="minorEastAsia" w:hAnsiTheme="minorEastAsia" w:eastAsiaTheme="minorEastAsia"/>
          <w:szCs w:val="21"/>
        </w:rPr>
        <w:t>开始日</w:t>
      </w:r>
      <w:r>
        <w:rPr>
          <w:rFonts w:asciiTheme="minorEastAsia" w:hAnsiTheme="minorEastAsia" w:eastAsiaTheme="minorEastAsia"/>
          <w:szCs w:val="21"/>
        </w:rPr>
        <w:t>前，乙方应以书面方式任命一名有经验、具备相应能力和资质的人员担任乙方代表，全权代表乙方履行本合同。乙方任命乙方代表应获得甲方的事先书面批准；未经甲方事先书面批准，乙方不得更换乙方代表。</w:t>
      </w:r>
    </w:p>
    <w:p>
      <w:pPr>
        <w:numPr>
          <w:ilvl w:val="1"/>
          <w:numId w:val="11"/>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乙方代表向甲方发出的任何与本合同有关的书面通知、请示、要求、批准和确认构成对乙方有约束力的文件。</w:t>
      </w:r>
    </w:p>
    <w:p>
      <w:pPr>
        <w:numPr>
          <w:ilvl w:val="1"/>
          <w:numId w:val="11"/>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甲方可要求乙方更换乙方代表，乙方应根据甲方的要求予以更换。</w:t>
      </w:r>
    </w:p>
    <w:p>
      <w:pPr>
        <w:numPr>
          <w:ilvl w:val="1"/>
          <w:numId w:val="9"/>
        </w:numPr>
        <w:tabs>
          <w:tab w:val="left" w:pos="709"/>
          <w:tab w:val="clear" w:pos="540"/>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hint="eastAsia" w:asciiTheme="minorEastAsia" w:hAnsiTheme="minorEastAsia" w:eastAsiaTheme="minorEastAsia"/>
          <w:szCs w:val="21"/>
        </w:rPr>
        <w:t>乙方关键人员：</w:t>
      </w:r>
    </w:p>
    <w:p>
      <w:pPr>
        <w:pStyle w:val="42"/>
        <w:numPr>
          <w:ilvl w:val="0"/>
          <w:numId w:val="12"/>
        </w:numPr>
        <w:adjustRightInd w:val="0"/>
        <w:snapToGrid w:val="0"/>
        <w:spacing w:before="93" w:beforeLines="30" w:after="93" w:afterLines="30" w:line="360" w:lineRule="auto"/>
        <w:ind w:left="1276" w:firstLineChars="0"/>
        <w:rPr>
          <w:rFonts w:ascii="宋体" w:hAnsi="宋体"/>
          <w:szCs w:val="21"/>
        </w:rPr>
      </w:pPr>
      <w:bookmarkStart w:id="42" w:name="_Toc299550436"/>
      <w:bookmarkStart w:id="43" w:name="_Toc299550328"/>
      <w:r>
        <w:rPr>
          <w:rFonts w:hint="eastAsia" w:ascii="宋体" w:hAnsi="宋体"/>
          <w:szCs w:val="21"/>
        </w:rPr>
        <w:t>开始日前，甲乙双方应以书面方式确定乙方关键人员的清单，该等人员应具备其职责要求的资质和能力。</w:t>
      </w:r>
      <w:bookmarkEnd w:id="42"/>
      <w:bookmarkEnd w:id="43"/>
    </w:p>
    <w:p>
      <w:pPr>
        <w:pStyle w:val="42"/>
        <w:numPr>
          <w:ilvl w:val="0"/>
          <w:numId w:val="12"/>
        </w:numPr>
        <w:adjustRightInd w:val="0"/>
        <w:snapToGrid w:val="0"/>
        <w:spacing w:before="93" w:beforeLines="30" w:after="93" w:afterLines="30" w:line="360" w:lineRule="auto"/>
        <w:ind w:left="1276" w:firstLineChars="0"/>
        <w:rPr>
          <w:rFonts w:ascii="宋体" w:hAnsi="宋体"/>
          <w:szCs w:val="21"/>
        </w:rPr>
      </w:pPr>
      <w:r>
        <w:rPr>
          <w:rFonts w:ascii="宋体" w:hAnsi="宋体"/>
          <w:szCs w:val="21"/>
        </w:rPr>
        <w:t>乙方关键人员的变更应获得甲方的事先书面同意，任何乙方关键人员的变更不得对工作期限、工作实际进度、工作质量或工作的执行产生不利影响。被更换的乙方关键人员应与新人员工作一段时间，以确保工作顺利交接。</w:t>
      </w:r>
    </w:p>
    <w:p>
      <w:pPr>
        <w:pStyle w:val="42"/>
        <w:numPr>
          <w:ilvl w:val="0"/>
          <w:numId w:val="12"/>
        </w:numPr>
        <w:adjustRightInd w:val="0"/>
        <w:snapToGrid w:val="0"/>
        <w:spacing w:before="93" w:beforeLines="30" w:after="93" w:afterLines="30" w:line="360" w:lineRule="auto"/>
        <w:ind w:left="1276" w:firstLineChars="0"/>
        <w:rPr>
          <w:rFonts w:ascii="宋体" w:hAnsi="宋体"/>
          <w:szCs w:val="21"/>
        </w:rPr>
      </w:pPr>
      <w:r>
        <w:rPr>
          <w:rFonts w:hint="eastAsia" w:ascii="宋体" w:hAnsi="宋体"/>
          <w:szCs w:val="21"/>
        </w:rPr>
        <w:t>甲方可要求更换乙方关键人员，乙方应根据甲方的要求予以更换。</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44" w:name="_Toc299915685"/>
      <w:bookmarkStart w:id="45" w:name="_Toc364839366"/>
      <w:bookmarkStart w:id="46" w:name="_Toc276828339"/>
      <w:r>
        <w:rPr>
          <w:rFonts w:hint="eastAsia" w:asciiTheme="minorEastAsia" w:hAnsiTheme="minorEastAsia" w:eastAsiaTheme="minorEastAsia"/>
          <w:bCs w:val="0"/>
          <w:sz w:val="21"/>
          <w:szCs w:val="21"/>
        </w:rPr>
        <w:t>工作</w:t>
      </w:r>
      <w:r>
        <w:rPr>
          <w:rFonts w:hint="eastAsia" w:asciiTheme="minorEastAsia" w:hAnsiTheme="minorEastAsia" w:eastAsiaTheme="minorEastAsia"/>
          <w:sz w:val="21"/>
          <w:szCs w:val="21"/>
        </w:rPr>
        <w:t>设施</w:t>
      </w:r>
      <w:bookmarkEnd w:id="44"/>
      <w:bookmarkEnd w:id="45"/>
    </w:p>
    <w:p>
      <w:pPr>
        <w:pStyle w:val="42"/>
        <w:numPr>
          <w:ilvl w:val="0"/>
          <w:numId w:val="13"/>
        </w:numPr>
        <w:tabs>
          <w:tab w:val="left" w:pos="709"/>
        </w:tabs>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乙方应及时提供完成服务所需的全部办公场所、设施、设备、材料、器具等（“</w:t>
      </w:r>
      <w:r>
        <w:rPr>
          <w:rFonts w:hint="eastAsia" w:asciiTheme="minorEastAsia" w:hAnsiTheme="minorEastAsia" w:eastAsiaTheme="minorEastAsia"/>
          <w:szCs w:val="21"/>
        </w:rPr>
        <w:t>工作</w:t>
      </w:r>
      <w:r>
        <w:rPr>
          <w:rFonts w:asciiTheme="minorEastAsia" w:hAnsiTheme="minorEastAsia" w:eastAsiaTheme="minorEastAsia"/>
          <w:szCs w:val="21"/>
        </w:rPr>
        <w:t>设施”）。</w:t>
      </w:r>
    </w:p>
    <w:p>
      <w:pPr>
        <w:pStyle w:val="42"/>
        <w:numPr>
          <w:ilvl w:val="0"/>
          <w:numId w:val="13"/>
        </w:numPr>
        <w:tabs>
          <w:tab w:val="left" w:pos="709"/>
        </w:tabs>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乙方保证，其提供的工作设施应处于良好的工作状态，符合本合同和法律法规的要求，不存在任何影响服务提供的缺陷，具备完成相关服务及其通常的用途。</w:t>
      </w:r>
    </w:p>
    <w:p>
      <w:pPr>
        <w:pStyle w:val="42"/>
        <w:numPr>
          <w:ilvl w:val="0"/>
          <w:numId w:val="13"/>
        </w:numPr>
        <w:tabs>
          <w:tab w:val="left" w:pos="709"/>
        </w:tabs>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如甲方发现工作设施存在任何缺陷或不符合本合同的规定，有权要求乙方进行修理和更换，乙方不得因工作设施的修理或更换要求调整合同价</w:t>
      </w:r>
      <w:r>
        <w:rPr>
          <w:rFonts w:hint="eastAsia" w:asciiTheme="minorEastAsia" w:hAnsiTheme="minorEastAsia" w:eastAsiaTheme="minorEastAsia"/>
          <w:szCs w:val="21"/>
        </w:rPr>
        <w:t>款</w:t>
      </w:r>
      <w:r>
        <w:rPr>
          <w:rFonts w:asciiTheme="minorEastAsia" w:hAnsiTheme="minorEastAsia" w:eastAsiaTheme="minorEastAsia"/>
          <w:szCs w:val="21"/>
        </w:rPr>
        <w:t>或延长工作期限。</w:t>
      </w:r>
    </w:p>
    <w:bookmarkEnd w:id="46"/>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47" w:name="_Toc364839367"/>
      <w:bookmarkStart w:id="48" w:name="_Toc299915686"/>
      <w:r>
        <w:rPr>
          <w:rFonts w:hint="eastAsia" w:asciiTheme="minorEastAsia" w:hAnsiTheme="minorEastAsia" w:eastAsiaTheme="minorEastAsia"/>
          <w:sz w:val="21"/>
          <w:szCs w:val="21"/>
        </w:rPr>
        <w:t>监督检查</w:t>
      </w:r>
      <w:bookmarkEnd w:id="47"/>
      <w:bookmarkEnd w:id="48"/>
    </w:p>
    <w:p>
      <w:pPr>
        <w:pStyle w:val="42"/>
        <w:numPr>
          <w:ilvl w:val="0"/>
          <w:numId w:val="14"/>
        </w:numPr>
        <w:tabs>
          <w:tab w:val="left" w:pos="709"/>
        </w:tabs>
        <w:adjustRightInd w:val="0"/>
        <w:snapToGrid w:val="0"/>
        <w:spacing w:before="93" w:beforeLines="30" w:after="93" w:afterLines="30" w:line="360" w:lineRule="auto"/>
        <w:ind w:left="740" w:leftChars="0" w:hanging="740" w:firstLineChars="0"/>
        <w:rPr>
          <w:rFonts w:asciiTheme="minorEastAsia" w:hAnsiTheme="minorEastAsia" w:eastAsiaTheme="minorEastAsia"/>
          <w:szCs w:val="21"/>
        </w:rPr>
      </w:pPr>
      <w:r>
        <w:rPr>
          <w:rFonts w:asciiTheme="minorEastAsia" w:hAnsiTheme="minorEastAsia" w:eastAsiaTheme="minorEastAsia"/>
          <w:szCs w:val="21"/>
        </w:rPr>
        <w:t>甲方或其聘任的第三方有权（包括进入乙方工作场地）对乙方工作进度、质量、安全等进行监督和检查。</w:t>
      </w:r>
    </w:p>
    <w:p>
      <w:pPr>
        <w:pStyle w:val="42"/>
        <w:numPr>
          <w:ilvl w:val="0"/>
          <w:numId w:val="14"/>
        </w:numPr>
        <w:tabs>
          <w:tab w:val="left" w:pos="709"/>
        </w:tabs>
        <w:adjustRightInd w:val="0"/>
        <w:snapToGrid w:val="0"/>
        <w:spacing w:before="93" w:beforeLines="30" w:after="93" w:afterLines="30" w:line="360" w:lineRule="auto"/>
        <w:ind w:left="740" w:leftChars="0" w:hanging="740" w:firstLineChars="0"/>
        <w:rPr>
          <w:rFonts w:asciiTheme="minorEastAsia" w:hAnsiTheme="minorEastAsia" w:eastAsiaTheme="minorEastAsia"/>
          <w:szCs w:val="21"/>
        </w:rPr>
      </w:pPr>
      <w:r>
        <w:rPr>
          <w:rFonts w:asciiTheme="minorEastAsia" w:hAnsiTheme="minorEastAsia" w:eastAsiaTheme="minorEastAsia"/>
          <w:szCs w:val="21"/>
        </w:rPr>
        <w:t>乙方应</w:t>
      </w:r>
      <w:r>
        <w:rPr>
          <w:rFonts w:hint="eastAsia" w:asciiTheme="minorEastAsia" w:hAnsiTheme="minorEastAsia" w:eastAsiaTheme="minorEastAsia"/>
          <w:szCs w:val="21"/>
        </w:rPr>
        <w:t>积极</w:t>
      </w:r>
      <w:r>
        <w:rPr>
          <w:rFonts w:asciiTheme="minorEastAsia" w:hAnsiTheme="minorEastAsia" w:eastAsiaTheme="minorEastAsia"/>
          <w:szCs w:val="21"/>
        </w:rPr>
        <w:t>配合甲方</w:t>
      </w:r>
      <w:r>
        <w:rPr>
          <w:rFonts w:hint="eastAsia" w:asciiTheme="minorEastAsia" w:hAnsiTheme="minorEastAsia" w:eastAsiaTheme="minorEastAsia"/>
          <w:szCs w:val="21"/>
        </w:rPr>
        <w:t>或其聘任的第三方</w:t>
      </w:r>
      <w:r>
        <w:rPr>
          <w:rFonts w:asciiTheme="minorEastAsia" w:hAnsiTheme="minorEastAsia" w:eastAsiaTheme="minorEastAsia"/>
          <w:szCs w:val="21"/>
        </w:rPr>
        <w:t>的</w:t>
      </w:r>
      <w:r>
        <w:rPr>
          <w:rFonts w:hint="eastAsia" w:asciiTheme="minorEastAsia" w:hAnsiTheme="minorEastAsia" w:eastAsiaTheme="minorEastAsia"/>
          <w:szCs w:val="21"/>
        </w:rPr>
        <w:t>监督检查，确保甲方及其聘任的第三方人员有权及时进入相关场地，并</w:t>
      </w:r>
      <w:r>
        <w:rPr>
          <w:rFonts w:asciiTheme="minorEastAsia" w:hAnsiTheme="minorEastAsia" w:eastAsiaTheme="minorEastAsia"/>
          <w:szCs w:val="21"/>
        </w:rPr>
        <w:t>为</w:t>
      </w:r>
      <w:r>
        <w:rPr>
          <w:rFonts w:hint="eastAsia" w:asciiTheme="minorEastAsia" w:hAnsiTheme="minorEastAsia" w:eastAsiaTheme="minorEastAsia"/>
          <w:szCs w:val="21"/>
        </w:rPr>
        <w:t>该等人员</w:t>
      </w:r>
      <w:r>
        <w:rPr>
          <w:rFonts w:asciiTheme="minorEastAsia" w:hAnsiTheme="minorEastAsia" w:eastAsiaTheme="minorEastAsia"/>
          <w:szCs w:val="21"/>
        </w:rPr>
        <w:t>提供足够的</w:t>
      </w:r>
      <w:r>
        <w:rPr>
          <w:rFonts w:hint="eastAsia" w:asciiTheme="minorEastAsia" w:hAnsiTheme="minorEastAsia" w:eastAsiaTheme="minorEastAsia"/>
          <w:szCs w:val="21"/>
        </w:rPr>
        <w:t>支持和便利。乙方应</w:t>
      </w:r>
      <w:r>
        <w:rPr>
          <w:rFonts w:asciiTheme="minorEastAsia" w:hAnsiTheme="minorEastAsia" w:eastAsiaTheme="minorEastAsia"/>
          <w:szCs w:val="21"/>
        </w:rPr>
        <w:t>指</w:t>
      </w:r>
      <w:r>
        <w:rPr>
          <w:rFonts w:hint="eastAsia" w:asciiTheme="minorEastAsia" w:hAnsiTheme="minorEastAsia" w:eastAsiaTheme="minorEastAsia"/>
          <w:szCs w:val="21"/>
        </w:rPr>
        <w:t>派</w:t>
      </w:r>
      <w:r>
        <w:rPr>
          <w:rFonts w:asciiTheme="minorEastAsia" w:hAnsiTheme="minorEastAsia" w:eastAsiaTheme="minorEastAsia"/>
          <w:szCs w:val="21"/>
        </w:rPr>
        <w:t>专人</w:t>
      </w:r>
      <w:r>
        <w:rPr>
          <w:rFonts w:hint="eastAsia" w:asciiTheme="minorEastAsia" w:hAnsiTheme="minorEastAsia" w:eastAsiaTheme="minorEastAsia"/>
          <w:szCs w:val="21"/>
        </w:rPr>
        <w:t>负责与甲方或其聘任的第三方</w:t>
      </w:r>
      <w:r>
        <w:rPr>
          <w:rFonts w:asciiTheme="minorEastAsia" w:hAnsiTheme="minorEastAsia" w:eastAsiaTheme="minorEastAsia"/>
          <w:szCs w:val="21"/>
        </w:rPr>
        <w:t>联系，</w:t>
      </w:r>
      <w:r>
        <w:rPr>
          <w:rFonts w:hint="eastAsia" w:asciiTheme="minorEastAsia" w:hAnsiTheme="minorEastAsia" w:eastAsiaTheme="minorEastAsia"/>
          <w:szCs w:val="21"/>
        </w:rPr>
        <w:t>根据甲方要求，</w:t>
      </w:r>
      <w:r>
        <w:rPr>
          <w:rFonts w:asciiTheme="minorEastAsia" w:hAnsiTheme="minorEastAsia" w:eastAsiaTheme="minorEastAsia"/>
          <w:szCs w:val="21"/>
        </w:rPr>
        <w:t>提供</w:t>
      </w:r>
      <w:r>
        <w:rPr>
          <w:rFonts w:hint="eastAsia" w:asciiTheme="minorEastAsia" w:hAnsiTheme="minorEastAsia" w:eastAsiaTheme="minorEastAsia"/>
          <w:szCs w:val="21"/>
        </w:rPr>
        <w:t>服务</w:t>
      </w:r>
      <w:r>
        <w:rPr>
          <w:rFonts w:asciiTheme="minorEastAsia" w:hAnsiTheme="minorEastAsia" w:eastAsiaTheme="minorEastAsia"/>
          <w:szCs w:val="21"/>
        </w:rPr>
        <w:t>进度、</w:t>
      </w:r>
      <w:r>
        <w:rPr>
          <w:rFonts w:hint="eastAsia" w:asciiTheme="minorEastAsia" w:hAnsiTheme="minorEastAsia" w:eastAsiaTheme="minorEastAsia"/>
          <w:szCs w:val="21"/>
        </w:rPr>
        <w:t>计划、</w:t>
      </w:r>
      <w:r>
        <w:rPr>
          <w:rFonts w:asciiTheme="minorEastAsia" w:hAnsiTheme="minorEastAsia" w:eastAsiaTheme="minorEastAsia"/>
          <w:szCs w:val="21"/>
        </w:rPr>
        <w:t>质量、存在</w:t>
      </w:r>
      <w:r>
        <w:rPr>
          <w:rFonts w:hint="eastAsia" w:asciiTheme="minorEastAsia" w:hAnsiTheme="minorEastAsia" w:eastAsiaTheme="minorEastAsia"/>
          <w:szCs w:val="21"/>
        </w:rPr>
        <w:t>的</w:t>
      </w:r>
      <w:r>
        <w:rPr>
          <w:rFonts w:asciiTheme="minorEastAsia" w:hAnsiTheme="minorEastAsia" w:eastAsiaTheme="minorEastAsia"/>
          <w:szCs w:val="21"/>
        </w:rPr>
        <w:t>问题、预防及整改措施</w:t>
      </w:r>
      <w:r>
        <w:rPr>
          <w:rFonts w:hint="eastAsia" w:asciiTheme="minorEastAsia" w:hAnsiTheme="minorEastAsia" w:eastAsiaTheme="minorEastAsia"/>
          <w:szCs w:val="21"/>
        </w:rPr>
        <w:t>及其它</w:t>
      </w:r>
      <w:r>
        <w:rPr>
          <w:rFonts w:asciiTheme="minorEastAsia" w:hAnsiTheme="minorEastAsia" w:eastAsiaTheme="minorEastAsia"/>
          <w:szCs w:val="21"/>
        </w:rPr>
        <w:t>服务</w:t>
      </w:r>
      <w:r>
        <w:rPr>
          <w:rFonts w:hint="eastAsia" w:asciiTheme="minorEastAsia" w:hAnsiTheme="minorEastAsia" w:eastAsiaTheme="minorEastAsia"/>
          <w:szCs w:val="21"/>
        </w:rPr>
        <w:t>信息。</w:t>
      </w:r>
    </w:p>
    <w:p>
      <w:pPr>
        <w:pStyle w:val="42"/>
        <w:numPr>
          <w:ilvl w:val="0"/>
          <w:numId w:val="14"/>
        </w:numPr>
        <w:tabs>
          <w:tab w:val="left" w:pos="709"/>
        </w:tabs>
        <w:adjustRightInd w:val="0"/>
        <w:snapToGrid w:val="0"/>
        <w:spacing w:before="93" w:beforeLines="30" w:after="93" w:afterLines="30" w:line="360" w:lineRule="auto"/>
        <w:ind w:left="740" w:leftChars="0" w:hanging="740" w:firstLineChars="0"/>
        <w:rPr>
          <w:rFonts w:asciiTheme="minorEastAsia" w:hAnsiTheme="minorEastAsia" w:eastAsiaTheme="minorEastAsia"/>
          <w:szCs w:val="21"/>
        </w:rPr>
      </w:pPr>
      <w:r>
        <w:rPr>
          <w:rFonts w:hint="eastAsia" w:asciiTheme="minorEastAsia" w:hAnsiTheme="minorEastAsia" w:eastAsiaTheme="minorEastAsia"/>
          <w:szCs w:val="21"/>
        </w:rPr>
        <w:t>在监督检查过程中，如发现乙方因其原因导致工作实际进度无法达到工作期限的要求，或乙方的工作存在任何缺陷、瑕疵、疏漏或不符合本合同的规定，乙方应按甲方要求提出改进和补救措施（包括但不限于增加人员、设备、倒班次数、服务时间等），乙方应承担因此产生的全部责任和费用，乙方无权就改进和补救措施要求调整工作期限或增加费用。</w:t>
      </w:r>
      <w:r>
        <w:rPr>
          <w:rFonts w:asciiTheme="minorEastAsia" w:hAnsiTheme="minorEastAsia" w:eastAsiaTheme="minorEastAsia"/>
          <w:szCs w:val="21"/>
        </w:rPr>
        <w:t>如甲方认为乙方</w:t>
      </w:r>
      <w:r>
        <w:rPr>
          <w:rFonts w:hint="eastAsia" w:asciiTheme="minorEastAsia" w:hAnsiTheme="minorEastAsia" w:eastAsiaTheme="minorEastAsia"/>
          <w:szCs w:val="21"/>
        </w:rPr>
        <w:t>采取改进或补救措施后仍不能确保按时</w:t>
      </w:r>
      <w:r>
        <w:rPr>
          <w:rFonts w:asciiTheme="minorEastAsia" w:hAnsiTheme="minorEastAsia" w:eastAsiaTheme="minorEastAsia"/>
          <w:szCs w:val="21"/>
        </w:rPr>
        <w:t>完成某项</w:t>
      </w:r>
      <w:r>
        <w:rPr>
          <w:rFonts w:hint="eastAsia" w:asciiTheme="minorEastAsia" w:hAnsiTheme="minorEastAsia" w:eastAsiaTheme="minorEastAsia"/>
          <w:szCs w:val="21"/>
        </w:rPr>
        <w:t>服务</w:t>
      </w:r>
      <w:r>
        <w:rPr>
          <w:rFonts w:asciiTheme="minorEastAsia" w:hAnsiTheme="minorEastAsia" w:eastAsiaTheme="minorEastAsia"/>
          <w:szCs w:val="21"/>
        </w:rPr>
        <w:t>且将影响</w:t>
      </w:r>
      <w:r>
        <w:rPr>
          <w:rFonts w:hint="eastAsia" w:asciiTheme="minorEastAsia" w:hAnsiTheme="minorEastAsia" w:eastAsiaTheme="minorEastAsia"/>
          <w:szCs w:val="21"/>
        </w:rPr>
        <w:t>整体工作期限</w:t>
      </w:r>
      <w:r>
        <w:rPr>
          <w:rFonts w:asciiTheme="minorEastAsia" w:hAnsiTheme="minorEastAsia" w:eastAsiaTheme="minorEastAsia"/>
          <w:szCs w:val="21"/>
        </w:rPr>
        <w:t>，甲方有权委托第三方</w:t>
      </w:r>
      <w:r>
        <w:rPr>
          <w:rFonts w:hint="eastAsia" w:asciiTheme="minorEastAsia" w:hAnsiTheme="minorEastAsia" w:eastAsiaTheme="minorEastAsia"/>
          <w:szCs w:val="21"/>
        </w:rPr>
        <w:t>完成相关服务</w:t>
      </w:r>
      <w:r>
        <w:rPr>
          <w:rFonts w:asciiTheme="minorEastAsia" w:hAnsiTheme="minorEastAsia" w:eastAsiaTheme="minorEastAsia"/>
          <w:szCs w:val="21"/>
        </w:rPr>
        <w:t>，</w:t>
      </w:r>
      <w:r>
        <w:rPr>
          <w:rFonts w:hint="eastAsia" w:asciiTheme="minorEastAsia" w:hAnsiTheme="minorEastAsia" w:eastAsiaTheme="minorEastAsia"/>
          <w:szCs w:val="21"/>
        </w:rPr>
        <w:t>因此</w:t>
      </w:r>
      <w:r>
        <w:rPr>
          <w:rFonts w:asciiTheme="minorEastAsia" w:hAnsiTheme="minorEastAsia" w:eastAsiaTheme="minorEastAsia"/>
          <w:szCs w:val="21"/>
        </w:rPr>
        <w:t>发生的费用由乙方</w:t>
      </w:r>
      <w:r>
        <w:rPr>
          <w:rFonts w:hint="eastAsia" w:asciiTheme="minorEastAsia" w:hAnsiTheme="minorEastAsia" w:eastAsiaTheme="minorEastAsia"/>
          <w:szCs w:val="21"/>
        </w:rPr>
        <w:t>承担</w:t>
      </w:r>
      <w:r>
        <w:rPr>
          <w:rFonts w:asciiTheme="minorEastAsia" w:hAnsiTheme="minorEastAsia" w:eastAsiaTheme="minorEastAsia"/>
          <w:szCs w:val="21"/>
        </w:rPr>
        <w:t>，甲方有权</w:t>
      </w:r>
      <w:r>
        <w:rPr>
          <w:rFonts w:hint="eastAsia" w:asciiTheme="minorEastAsia" w:hAnsiTheme="minorEastAsia" w:eastAsiaTheme="minorEastAsia"/>
          <w:szCs w:val="21"/>
        </w:rPr>
        <w:t>直接</w:t>
      </w:r>
      <w:r>
        <w:rPr>
          <w:rFonts w:asciiTheme="minorEastAsia" w:hAnsiTheme="minorEastAsia" w:eastAsiaTheme="minorEastAsia"/>
          <w:szCs w:val="21"/>
        </w:rPr>
        <w:t>从</w:t>
      </w:r>
      <w:r>
        <w:rPr>
          <w:rFonts w:hint="eastAsia" w:asciiTheme="minorEastAsia" w:hAnsiTheme="minorEastAsia" w:eastAsiaTheme="minorEastAsia"/>
          <w:szCs w:val="21"/>
        </w:rPr>
        <w:t>合同含税总价</w:t>
      </w:r>
      <w:r>
        <w:rPr>
          <w:rFonts w:asciiTheme="minorEastAsia" w:hAnsiTheme="minorEastAsia" w:eastAsiaTheme="minorEastAsia"/>
          <w:szCs w:val="21"/>
        </w:rPr>
        <w:t>中扣除该等费用</w:t>
      </w:r>
      <w:r>
        <w:rPr>
          <w:rFonts w:hint="eastAsia" w:asciiTheme="minorEastAsia" w:hAnsiTheme="minorEastAsia" w:eastAsiaTheme="minorEastAsia"/>
          <w:szCs w:val="21"/>
        </w:rPr>
        <w:t>。</w:t>
      </w:r>
      <w:bookmarkStart w:id="49" w:name="_Toc276888305"/>
      <w:bookmarkStart w:id="50" w:name="_Toc276761482"/>
      <w:bookmarkStart w:id="51" w:name="_Toc276760527"/>
      <w:bookmarkStart w:id="52" w:name="_Toc276888372"/>
      <w:bookmarkStart w:id="53" w:name="_Toc276842701"/>
    </w:p>
    <w:bookmarkEnd w:id="49"/>
    <w:bookmarkEnd w:id="50"/>
    <w:bookmarkEnd w:id="51"/>
    <w:bookmarkEnd w:id="52"/>
    <w:bookmarkEnd w:id="53"/>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54" w:name="_Toc299915687"/>
      <w:bookmarkStart w:id="55" w:name="_Toc364839368"/>
      <w:r>
        <w:rPr>
          <w:rFonts w:hint="eastAsia" w:asciiTheme="minorEastAsia" w:hAnsiTheme="minorEastAsia" w:eastAsiaTheme="minorEastAsia"/>
          <w:sz w:val="21"/>
          <w:szCs w:val="21"/>
        </w:rPr>
        <w:t>工作成果及验收</w:t>
      </w:r>
      <w:bookmarkEnd w:id="54"/>
      <w:bookmarkEnd w:id="55"/>
    </w:p>
    <w:p>
      <w:pPr>
        <w:pStyle w:val="42"/>
        <w:numPr>
          <w:ilvl w:val="0"/>
          <w:numId w:val="15"/>
        </w:numPr>
        <w:tabs>
          <w:tab w:val="left" w:pos="851"/>
        </w:tabs>
        <w:adjustRightInd w:val="0"/>
        <w:snapToGrid w:val="0"/>
        <w:spacing w:before="93" w:beforeLines="30" w:after="93" w:afterLines="30" w:line="360" w:lineRule="auto"/>
        <w:ind w:left="791" w:leftChars="0" w:hanging="791" w:firstLineChars="0"/>
        <w:rPr>
          <w:rFonts w:asciiTheme="minorEastAsia" w:hAnsiTheme="minorEastAsia" w:eastAsiaTheme="minorEastAsia"/>
          <w:bCs/>
          <w:szCs w:val="21"/>
        </w:rPr>
      </w:pPr>
      <w:r>
        <w:rPr>
          <w:rFonts w:hint="eastAsia" w:asciiTheme="minorEastAsia" w:hAnsiTheme="minorEastAsia" w:eastAsiaTheme="minorEastAsia"/>
          <w:color w:val="000000"/>
          <w:szCs w:val="21"/>
        </w:rPr>
        <w:t>乙方</w:t>
      </w:r>
      <w:r>
        <w:rPr>
          <w:rFonts w:hint="eastAsia" w:ascii="宋体" w:hAnsi="宋体"/>
          <w:color w:val="000000"/>
          <w:szCs w:val="21"/>
        </w:rPr>
        <w:t>于工作期限结束前应提供符合本合同要求的工作成果，并对工作</w:t>
      </w:r>
      <w:r>
        <w:rPr>
          <w:rFonts w:ascii="宋体" w:hAnsi="宋体"/>
          <w:color w:val="000000"/>
          <w:szCs w:val="21"/>
        </w:rPr>
        <w:t>成果的</w:t>
      </w:r>
      <w:r>
        <w:rPr>
          <w:rFonts w:hint="eastAsia" w:ascii="宋体" w:hAnsi="宋体"/>
          <w:color w:val="000000"/>
          <w:szCs w:val="21"/>
        </w:rPr>
        <w:t>准确</w:t>
      </w:r>
      <w:r>
        <w:rPr>
          <w:rFonts w:ascii="宋体" w:hAnsi="宋体"/>
          <w:color w:val="000000"/>
          <w:szCs w:val="21"/>
        </w:rPr>
        <w:t>性、完整性负责。</w:t>
      </w:r>
      <w:r>
        <w:rPr>
          <w:rFonts w:hint="eastAsia" w:ascii="宋体" w:hAnsi="宋体"/>
          <w:szCs w:val="21"/>
        </w:rPr>
        <w:t>双方应根据合同约定对乙方工作及工作成果进行验收，</w:t>
      </w:r>
      <w:r>
        <w:rPr>
          <w:rFonts w:hint="eastAsia" w:ascii="宋体" w:hAnsi="宋体"/>
          <w:bCs/>
          <w:szCs w:val="21"/>
        </w:rPr>
        <w:t>验收的时间、地点、方式、验收标准、条件及双方的责任和义务【详见本合同附件一】</w:t>
      </w:r>
      <w:r>
        <w:rPr>
          <w:rFonts w:hint="eastAsia" w:cs="新宋体-18030" w:asciiTheme="minorEastAsia" w:hAnsiTheme="minorEastAsia" w:eastAsiaTheme="minorEastAsia"/>
          <w:szCs w:val="21"/>
        </w:rPr>
        <w:t>。</w:t>
      </w:r>
    </w:p>
    <w:p>
      <w:pPr>
        <w:pStyle w:val="42"/>
        <w:numPr>
          <w:ilvl w:val="0"/>
          <w:numId w:val="15"/>
        </w:numPr>
        <w:tabs>
          <w:tab w:val="left" w:pos="851"/>
        </w:tabs>
        <w:adjustRightInd w:val="0"/>
        <w:snapToGrid w:val="0"/>
        <w:spacing w:before="93" w:beforeLines="30" w:after="93" w:afterLines="30" w:line="360" w:lineRule="auto"/>
        <w:ind w:left="791" w:leftChars="0" w:hanging="791" w:firstLineChars="0"/>
        <w:rPr>
          <w:rFonts w:asciiTheme="minorEastAsia" w:hAnsiTheme="minorEastAsia" w:eastAsiaTheme="minorEastAsia"/>
          <w:bCs/>
          <w:szCs w:val="21"/>
        </w:rPr>
      </w:pPr>
      <w:r>
        <w:rPr>
          <w:rFonts w:hint="eastAsia" w:asciiTheme="minorEastAsia" w:hAnsiTheme="minorEastAsia" w:eastAsiaTheme="minorEastAsia"/>
          <w:bCs/>
          <w:szCs w:val="21"/>
        </w:rPr>
        <w:t>如验收</w:t>
      </w:r>
      <w:r>
        <w:rPr>
          <w:rFonts w:ascii="宋体" w:hAnsi="宋体"/>
          <w:bCs/>
          <w:szCs w:val="21"/>
        </w:rPr>
        <w:t>过程发现工作存在</w:t>
      </w:r>
      <w:r>
        <w:rPr>
          <w:rFonts w:ascii="宋体" w:hAnsi="宋体"/>
          <w:szCs w:val="21"/>
        </w:rPr>
        <w:t>任何缺陷、瑕疵、疏漏或不符合本合同的</w:t>
      </w:r>
      <w:r>
        <w:rPr>
          <w:rFonts w:hint="eastAsia" w:ascii="宋体" w:hAnsi="宋体"/>
          <w:szCs w:val="21"/>
        </w:rPr>
        <w:t>约</w:t>
      </w:r>
      <w:r>
        <w:rPr>
          <w:rFonts w:ascii="宋体" w:hAnsi="宋体"/>
          <w:szCs w:val="21"/>
        </w:rPr>
        <w:t>定，乙方应根据甲方的要求，立即采取一切必要、合理的</w:t>
      </w:r>
      <w:r>
        <w:rPr>
          <w:rFonts w:ascii="宋体" w:hAnsi="宋体"/>
          <w:color w:val="000000"/>
          <w:szCs w:val="21"/>
        </w:rPr>
        <w:t>补救</w:t>
      </w:r>
      <w:r>
        <w:rPr>
          <w:rFonts w:ascii="宋体" w:hAnsi="宋体"/>
          <w:szCs w:val="21"/>
        </w:rPr>
        <w:t>措施排除该等缺陷、瑕疵和疏漏。乙方应承担因此发生的一切费用</w:t>
      </w:r>
      <w:r>
        <w:rPr>
          <w:rFonts w:asciiTheme="minorEastAsia" w:hAnsiTheme="minorEastAsia" w:eastAsiaTheme="minorEastAsia"/>
          <w:szCs w:val="21"/>
        </w:rPr>
        <w:t>。</w:t>
      </w:r>
    </w:p>
    <w:p>
      <w:pPr>
        <w:pStyle w:val="42"/>
        <w:numPr>
          <w:ilvl w:val="0"/>
          <w:numId w:val="15"/>
        </w:numPr>
        <w:tabs>
          <w:tab w:val="left" w:pos="851"/>
        </w:tabs>
        <w:adjustRightInd w:val="0"/>
        <w:snapToGrid w:val="0"/>
        <w:spacing w:before="93" w:beforeLines="30" w:after="93" w:afterLines="30" w:line="360" w:lineRule="auto"/>
        <w:ind w:left="791" w:leftChars="0" w:hanging="791" w:firstLineChars="0"/>
        <w:rPr>
          <w:rFonts w:asciiTheme="minorEastAsia" w:hAnsiTheme="minorEastAsia" w:eastAsiaTheme="minorEastAsia"/>
          <w:szCs w:val="21"/>
        </w:rPr>
      </w:pPr>
      <w:r>
        <w:rPr>
          <w:rFonts w:hint="eastAsia" w:cs="新宋体-18030" w:asciiTheme="minorEastAsia" w:hAnsiTheme="minorEastAsia" w:eastAsiaTheme="minorEastAsia"/>
          <w:szCs w:val="21"/>
        </w:rPr>
        <w:t>甲方</w:t>
      </w:r>
      <w:r>
        <w:rPr>
          <w:rFonts w:hint="eastAsia" w:ascii="宋体" w:hAnsi="宋体"/>
          <w:bCs/>
          <w:szCs w:val="21"/>
        </w:rPr>
        <w:t>验收乙方工作并不减少、免除乙方本合同项下的任何义务</w:t>
      </w:r>
      <w:r>
        <w:rPr>
          <w:rFonts w:hint="eastAsia" w:ascii="宋体" w:hAnsi="宋体"/>
          <w:szCs w:val="21"/>
        </w:rPr>
        <w:t>（包括乙方对工作达到合同要求应承担的责任）</w:t>
      </w:r>
      <w:r>
        <w:rPr>
          <w:rFonts w:hint="eastAsia" w:cs="新宋体-18030" w:asciiTheme="minorEastAsia" w:hAnsiTheme="minorEastAsia" w:eastAsiaTheme="minorEastAsia"/>
          <w:szCs w:val="21"/>
        </w:rPr>
        <w:t>。</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56" w:name="_Toc364839369"/>
      <w:bookmarkStart w:id="57" w:name="_Toc299915688"/>
      <w:r>
        <w:rPr>
          <w:rFonts w:hint="eastAsia" w:asciiTheme="minorEastAsia" w:hAnsiTheme="minorEastAsia" w:eastAsiaTheme="minorEastAsia"/>
          <w:sz w:val="21"/>
          <w:szCs w:val="21"/>
        </w:rPr>
        <w:t>质量保证</w:t>
      </w:r>
      <w:bookmarkEnd w:id="56"/>
      <w:bookmarkEnd w:id="57"/>
    </w:p>
    <w:p>
      <w:pPr>
        <w:pStyle w:val="42"/>
        <w:numPr>
          <w:ilvl w:val="0"/>
          <w:numId w:val="16"/>
        </w:numPr>
        <w:tabs>
          <w:tab w:val="left" w:pos="820"/>
        </w:tabs>
        <w:adjustRightInd w:val="0"/>
        <w:snapToGrid w:val="0"/>
        <w:spacing w:before="93" w:beforeLines="30" w:after="93" w:afterLines="30" w:line="360" w:lineRule="auto"/>
        <w:ind w:left="829" w:leftChars="0" w:hanging="829" w:firstLineChars="0"/>
        <w:rPr>
          <w:rFonts w:hint="eastAsia" w:cs="新宋体-18030" w:asciiTheme="minorEastAsia" w:hAnsiTheme="minorEastAsia" w:eastAsiaTheme="minorEastAsia"/>
          <w:szCs w:val="21"/>
        </w:rPr>
      </w:pPr>
      <w:r>
        <w:rPr>
          <w:rFonts w:hint="eastAsia" w:cs="新宋体-18030" w:asciiTheme="minorEastAsia" w:hAnsiTheme="minorEastAsia" w:eastAsiaTheme="minorEastAsia"/>
          <w:szCs w:val="21"/>
        </w:rPr>
        <w:t>乙方承诺，其任何工作和交付的工作成果符合本合同、法律法规、行业规范、标准和良好的行业惯例的要求，不存在任何缺陷。</w:t>
      </w:r>
    </w:p>
    <w:p>
      <w:pPr>
        <w:pStyle w:val="42"/>
        <w:numPr>
          <w:ilvl w:val="0"/>
          <w:numId w:val="16"/>
        </w:numPr>
        <w:tabs>
          <w:tab w:val="left" w:pos="820"/>
        </w:tabs>
        <w:adjustRightInd w:val="0"/>
        <w:snapToGrid w:val="0"/>
        <w:spacing w:before="93" w:beforeLines="30" w:after="93" w:afterLines="30" w:line="360" w:lineRule="auto"/>
        <w:ind w:left="829" w:leftChars="0" w:hanging="829" w:firstLineChars="0"/>
        <w:rPr>
          <w:rFonts w:hint="eastAsia" w:cs="新宋体-18030" w:asciiTheme="minorEastAsia" w:hAnsiTheme="minorEastAsia" w:eastAsiaTheme="minorEastAsia"/>
          <w:color w:val="FF0000"/>
          <w:szCs w:val="21"/>
        </w:rPr>
      </w:pPr>
      <w:r>
        <w:rPr>
          <w:rFonts w:hint="eastAsia" w:cs="新宋体-18030" w:asciiTheme="minorEastAsia" w:hAnsiTheme="minorEastAsia" w:eastAsiaTheme="minorEastAsia"/>
          <w:color w:val="FF0000"/>
          <w:szCs w:val="21"/>
        </w:rPr>
        <w:t>质保期为自乙方工作和工作成果最终验收合格之日起【</w:t>
      </w:r>
      <w:r>
        <w:rPr>
          <w:rFonts w:hint="eastAsia" w:cs="新宋体-18030" w:asciiTheme="minorEastAsia" w:hAnsiTheme="minorEastAsia" w:eastAsiaTheme="minorEastAsia"/>
          <w:color w:val="FF0000"/>
          <w:szCs w:val="21"/>
          <w:lang w:val="en-US" w:eastAsia="zh-CN"/>
        </w:rPr>
        <w:t>0</w:t>
      </w:r>
      <w:r>
        <w:rPr>
          <w:rFonts w:hint="eastAsia" w:cs="新宋体-18030" w:asciiTheme="minorEastAsia" w:hAnsiTheme="minorEastAsia" w:eastAsiaTheme="minorEastAsia"/>
          <w:color w:val="FF0000"/>
          <w:szCs w:val="21"/>
        </w:rPr>
        <w:t>】个月。</w:t>
      </w:r>
    </w:p>
    <w:p>
      <w:pPr>
        <w:pStyle w:val="42"/>
        <w:numPr>
          <w:ilvl w:val="0"/>
          <w:numId w:val="16"/>
        </w:numPr>
        <w:tabs>
          <w:tab w:val="left" w:pos="820"/>
        </w:tabs>
        <w:adjustRightInd w:val="0"/>
        <w:snapToGrid w:val="0"/>
        <w:spacing w:before="93" w:beforeLines="30" w:after="93" w:afterLines="30" w:line="360" w:lineRule="auto"/>
        <w:ind w:left="829" w:leftChars="0" w:hanging="829" w:firstLineChars="0"/>
        <w:rPr>
          <w:rFonts w:hint="eastAsia" w:cs="新宋体-18030" w:asciiTheme="minorEastAsia" w:hAnsiTheme="minorEastAsia" w:eastAsiaTheme="minorEastAsia"/>
          <w:szCs w:val="21"/>
        </w:rPr>
      </w:pPr>
      <w:r>
        <w:rPr>
          <w:rFonts w:hint="eastAsia" w:cs="新宋体-18030" w:asciiTheme="minorEastAsia" w:hAnsiTheme="minorEastAsia" w:eastAsiaTheme="minorEastAsia"/>
          <w:szCs w:val="21"/>
        </w:rPr>
        <w:t>如果乙方完成的工作或提交的工作成果在质保期内出现任何属于本合同第8.1款规定的质量保证范围内的问题，甲方应及时通知乙方，乙方应在收到该等通知后【二（2）】日内予以回复，并在甲方要求的合理时间内委派人员进行修复或重新实施相关工作（“整改”），直至消除该等缺陷。整改相关工作的实施方案应获得甲方认可。整改相关工作完成后，乙方应进行检验，并出具修复、检验报告。整改后的工作的质保期自修复或重新实施之日起重新计算。</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58" w:name="_Toc299912675"/>
      <w:bookmarkStart w:id="59" w:name="_Toc299915691"/>
      <w:bookmarkStart w:id="60" w:name="_Toc364839370"/>
      <w:r>
        <w:rPr>
          <w:rFonts w:hint="eastAsia" w:asciiTheme="minorEastAsia" w:hAnsiTheme="minorEastAsia" w:eastAsiaTheme="minorEastAsia"/>
          <w:bCs w:val="0"/>
          <w:sz w:val="21"/>
          <w:szCs w:val="21"/>
        </w:rPr>
        <w:t>工作</w:t>
      </w:r>
      <w:r>
        <w:rPr>
          <w:rFonts w:asciiTheme="minorEastAsia" w:hAnsiTheme="minorEastAsia" w:eastAsiaTheme="minorEastAsia"/>
          <w:sz w:val="21"/>
          <w:szCs w:val="21"/>
        </w:rPr>
        <w:t>变更</w:t>
      </w:r>
      <w:bookmarkEnd w:id="58"/>
      <w:bookmarkEnd w:id="59"/>
      <w:bookmarkEnd w:id="60"/>
    </w:p>
    <w:p>
      <w:pPr>
        <w:pStyle w:val="42"/>
        <w:numPr>
          <w:ilvl w:val="0"/>
          <w:numId w:val="17"/>
        </w:numPr>
        <w:adjustRightInd w:val="0"/>
        <w:snapToGrid w:val="0"/>
        <w:spacing w:before="93" w:beforeLines="30" w:after="93" w:afterLines="30" w:line="360" w:lineRule="auto"/>
        <w:ind w:left="655" w:leftChars="0" w:hanging="655" w:hangingChars="312"/>
        <w:rPr>
          <w:rFonts w:asciiTheme="minorEastAsia" w:hAnsiTheme="minorEastAsia" w:eastAsiaTheme="minorEastAsia"/>
          <w:spacing w:val="-2"/>
          <w:szCs w:val="21"/>
        </w:rPr>
      </w:pPr>
      <w:r>
        <w:rPr>
          <w:rFonts w:asciiTheme="minorEastAsia" w:hAnsiTheme="minorEastAsia" w:eastAsiaTheme="minorEastAsia"/>
          <w:bCs/>
          <w:szCs w:val="21"/>
        </w:rPr>
        <w:t>无论基于何种原因，甲方</w:t>
      </w:r>
      <w:r>
        <w:rPr>
          <w:rFonts w:asciiTheme="minorEastAsia" w:hAnsiTheme="minorEastAsia" w:eastAsiaTheme="minorEastAsia"/>
          <w:spacing w:val="-2"/>
          <w:szCs w:val="21"/>
        </w:rPr>
        <w:t>有权随时向乙方发出工作变更通知，要求进行工作变更。</w:t>
      </w:r>
    </w:p>
    <w:p>
      <w:pPr>
        <w:pStyle w:val="42"/>
        <w:numPr>
          <w:ilvl w:val="0"/>
          <w:numId w:val="17"/>
        </w:numPr>
        <w:adjustRightInd w:val="0"/>
        <w:snapToGrid w:val="0"/>
        <w:spacing w:before="93" w:beforeLines="30" w:after="93" w:afterLines="30" w:line="360" w:lineRule="auto"/>
        <w:ind w:left="655" w:leftChars="0" w:hanging="655" w:hangingChars="312"/>
        <w:rPr>
          <w:rFonts w:asciiTheme="minorEastAsia" w:hAnsiTheme="minorEastAsia" w:eastAsiaTheme="minorEastAsia"/>
          <w:color w:val="000000"/>
          <w:szCs w:val="21"/>
        </w:rPr>
      </w:pPr>
      <w:r>
        <w:rPr>
          <w:rFonts w:asciiTheme="minorEastAsia" w:hAnsiTheme="minorEastAsia" w:eastAsiaTheme="minorEastAsia"/>
          <w:color w:val="000000"/>
          <w:szCs w:val="21"/>
        </w:rPr>
        <w:t>收到变更通知后</w:t>
      </w:r>
      <w:r>
        <w:rPr>
          <w:rFonts w:hint="eastAsia" w:asciiTheme="minorEastAsia" w:hAnsiTheme="minorEastAsia" w:eastAsiaTheme="minorEastAsia"/>
          <w:color w:val="000000"/>
          <w:szCs w:val="21"/>
        </w:rPr>
        <w:t>【二（</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日内，乙方应向甲方提交</w:t>
      </w:r>
      <w:r>
        <w:rPr>
          <w:rFonts w:hint="eastAsia" w:asciiTheme="minorEastAsia" w:hAnsiTheme="minorEastAsia" w:eastAsiaTheme="minorEastAsia"/>
          <w:color w:val="000000"/>
          <w:szCs w:val="21"/>
        </w:rPr>
        <w:t>变更的实施方案以及变更的影响</w:t>
      </w:r>
      <w:r>
        <w:rPr>
          <w:rFonts w:asciiTheme="minorEastAsia" w:hAnsiTheme="minorEastAsia" w:eastAsiaTheme="minorEastAsia"/>
          <w:color w:val="000000"/>
          <w:szCs w:val="21"/>
        </w:rPr>
        <w:t>：</w:t>
      </w:r>
    </w:p>
    <w:p>
      <w:pPr>
        <w:numPr>
          <w:ilvl w:val="2"/>
          <w:numId w:val="18"/>
        </w:numPr>
        <w:tabs>
          <w:tab w:val="left" w:pos="1276"/>
          <w:tab w:val="clear" w:pos="280"/>
        </w:tabs>
        <w:adjustRightInd w:val="0"/>
        <w:snapToGrid w:val="0"/>
        <w:spacing w:before="93" w:beforeLines="30" w:after="93" w:afterLines="30" w:line="360" w:lineRule="auto"/>
        <w:ind w:left="652" w:leftChars="304" w:hanging="14" w:hangingChars="7"/>
        <w:rPr>
          <w:rFonts w:asciiTheme="minorEastAsia" w:hAnsiTheme="minorEastAsia" w:eastAsiaTheme="minorEastAsia"/>
          <w:color w:val="000000"/>
          <w:szCs w:val="21"/>
        </w:rPr>
      </w:pPr>
      <w:r>
        <w:rPr>
          <w:rFonts w:asciiTheme="minorEastAsia" w:hAnsiTheme="minorEastAsia" w:eastAsiaTheme="minorEastAsia"/>
          <w:color w:val="000000"/>
          <w:szCs w:val="21"/>
        </w:rPr>
        <w:t>变更对工作的影响；</w:t>
      </w:r>
    </w:p>
    <w:p>
      <w:pPr>
        <w:numPr>
          <w:ilvl w:val="2"/>
          <w:numId w:val="18"/>
        </w:numPr>
        <w:tabs>
          <w:tab w:val="left" w:pos="1276"/>
          <w:tab w:val="clear" w:pos="280"/>
        </w:tabs>
        <w:adjustRightInd w:val="0"/>
        <w:snapToGrid w:val="0"/>
        <w:spacing w:before="93" w:beforeLines="30" w:after="93" w:afterLines="30" w:line="360" w:lineRule="auto"/>
        <w:ind w:left="652" w:leftChars="304" w:hanging="14" w:hangingChars="7"/>
        <w:rPr>
          <w:rFonts w:asciiTheme="minorEastAsia" w:hAnsiTheme="minorEastAsia" w:eastAsiaTheme="minorEastAsia"/>
          <w:color w:val="000000"/>
          <w:szCs w:val="21"/>
        </w:rPr>
      </w:pPr>
      <w:r>
        <w:rPr>
          <w:rFonts w:asciiTheme="minorEastAsia" w:hAnsiTheme="minorEastAsia" w:eastAsiaTheme="minorEastAsia"/>
          <w:color w:val="000000"/>
          <w:szCs w:val="21"/>
        </w:rPr>
        <w:t>变更对工作期限的影响；</w:t>
      </w:r>
    </w:p>
    <w:p>
      <w:pPr>
        <w:numPr>
          <w:ilvl w:val="2"/>
          <w:numId w:val="18"/>
        </w:numPr>
        <w:tabs>
          <w:tab w:val="left" w:pos="1276"/>
          <w:tab w:val="clear" w:pos="280"/>
        </w:tabs>
        <w:adjustRightInd w:val="0"/>
        <w:snapToGrid w:val="0"/>
        <w:spacing w:before="93" w:beforeLines="30" w:after="93" w:afterLines="30" w:line="360" w:lineRule="auto"/>
        <w:ind w:left="652" w:leftChars="304" w:hanging="14" w:hangingChars="7"/>
        <w:rPr>
          <w:rFonts w:asciiTheme="minorEastAsia" w:hAnsiTheme="minorEastAsia" w:eastAsiaTheme="minorEastAsia"/>
          <w:color w:val="000000"/>
          <w:szCs w:val="21"/>
        </w:rPr>
      </w:pPr>
      <w:r>
        <w:rPr>
          <w:rFonts w:asciiTheme="minorEastAsia" w:hAnsiTheme="minorEastAsia" w:eastAsiaTheme="minorEastAsia"/>
          <w:color w:val="000000"/>
          <w:szCs w:val="21"/>
        </w:rPr>
        <w:t>变更对合同价款的影响；</w:t>
      </w:r>
    </w:p>
    <w:p>
      <w:pPr>
        <w:numPr>
          <w:ilvl w:val="2"/>
          <w:numId w:val="18"/>
        </w:numPr>
        <w:tabs>
          <w:tab w:val="left" w:pos="1276"/>
          <w:tab w:val="clear" w:pos="280"/>
        </w:tabs>
        <w:adjustRightInd w:val="0"/>
        <w:snapToGrid w:val="0"/>
        <w:spacing w:before="93" w:beforeLines="30" w:after="93" w:afterLines="30" w:line="360" w:lineRule="auto"/>
        <w:ind w:left="652" w:leftChars="304" w:hanging="14" w:hangingChars="7"/>
        <w:rPr>
          <w:rFonts w:asciiTheme="minorEastAsia" w:hAnsiTheme="minorEastAsia" w:eastAsiaTheme="minorEastAsia"/>
          <w:color w:val="000000"/>
          <w:szCs w:val="21"/>
        </w:rPr>
      </w:pPr>
      <w:r>
        <w:rPr>
          <w:rFonts w:asciiTheme="minorEastAsia" w:hAnsiTheme="minorEastAsia" w:eastAsiaTheme="minorEastAsia"/>
          <w:color w:val="000000"/>
          <w:szCs w:val="21"/>
        </w:rPr>
        <w:t>实施变更的要求和方案。</w:t>
      </w:r>
    </w:p>
    <w:p>
      <w:pPr>
        <w:pStyle w:val="42"/>
        <w:numPr>
          <w:ilvl w:val="0"/>
          <w:numId w:val="17"/>
        </w:numPr>
        <w:adjustRightInd w:val="0"/>
        <w:snapToGrid w:val="0"/>
        <w:spacing w:before="93" w:beforeLines="30" w:after="93" w:afterLines="30" w:line="360" w:lineRule="auto"/>
        <w:ind w:left="655" w:leftChars="0" w:hanging="655" w:hangingChars="312"/>
        <w:rPr>
          <w:rFonts w:asciiTheme="minorEastAsia" w:hAnsiTheme="minorEastAsia" w:eastAsiaTheme="minorEastAsia"/>
          <w:color w:val="000000"/>
          <w:szCs w:val="21"/>
        </w:rPr>
      </w:pPr>
      <w:r>
        <w:rPr>
          <w:rFonts w:asciiTheme="minorEastAsia" w:hAnsiTheme="minorEastAsia" w:eastAsiaTheme="minorEastAsia"/>
          <w:color w:val="000000"/>
          <w:szCs w:val="21"/>
        </w:rPr>
        <w:t>对于上述事项，乙方应提供适当的证明文件。</w:t>
      </w:r>
    </w:p>
    <w:p>
      <w:pPr>
        <w:pStyle w:val="42"/>
        <w:numPr>
          <w:ilvl w:val="0"/>
          <w:numId w:val="17"/>
        </w:numPr>
        <w:adjustRightInd w:val="0"/>
        <w:snapToGrid w:val="0"/>
        <w:spacing w:before="93" w:beforeLines="30" w:after="93" w:afterLines="30" w:line="360" w:lineRule="auto"/>
        <w:ind w:left="655" w:leftChars="0" w:hanging="655" w:hangingChars="312"/>
        <w:rPr>
          <w:rFonts w:asciiTheme="minorEastAsia" w:hAnsiTheme="minorEastAsia" w:eastAsiaTheme="minorEastAsia"/>
          <w:spacing w:val="-2"/>
          <w:szCs w:val="21"/>
        </w:rPr>
      </w:pPr>
      <w:r>
        <w:rPr>
          <w:rFonts w:asciiTheme="minorEastAsia" w:hAnsiTheme="minorEastAsia" w:eastAsiaTheme="minorEastAsia"/>
          <w:color w:val="000000"/>
          <w:szCs w:val="21"/>
        </w:rPr>
        <w:t>乙方提交变更</w:t>
      </w:r>
      <w:r>
        <w:rPr>
          <w:rFonts w:hint="eastAsia" w:asciiTheme="minorEastAsia" w:hAnsiTheme="minorEastAsia" w:eastAsiaTheme="minorEastAsia"/>
          <w:color w:val="000000"/>
          <w:szCs w:val="21"/>
        </w:rPr>
        <w:t>影响并经甲方评估后</w:t>
      </w:r>
      <w:r>
        <w:rPr>
          <w:rFonts w:asciiTheme="minorEastAsia" w:hAnsiTheme="minorEastAsia" w:eastAsiaTheme="minorEastAsia"/>
          <w:color w:val="000000"/>
          <w:szCs w:val="21"/>
        </w:rPr>
        <w:t>，双方应就工作变更及其影响进行协商。如双方就相关事项达成一致，且甲方决定实施工作变更，双方将共同签署变更确认单</w:t>
      </w:r>
      <w:r>
        <w:rPr>
          <w:rFonts w:hint="eastAsia" w:asciiTheme="minorEastAsia" w:hAnsiTheme="minorEastAsia" w:eastAsiaTheme="minorEastAsia"/>
          <w:color w:val="000000"/>
          <w:szCs w:val="21"/>
        </w:rPr>
        <w:t>或另行签署合同对本合同进行变更</w:t>
      </w:r>
      <w:r>
        <w:rPr>
          <w:rFonts w:asciiTheme="minorEastAsia" w:hAnsiTheme="minorEastAsia" w:eastAsiaTheme="minorEastAsia"/>
          <w:color w:val="000000"/>
          <w:szCs w:val="21"/>
        </w:rPr>
        <w:t>，乙方应立即执行。如双方未能就工作变更事项达成一致，甲方有权单方面发出工作变更指令。乙方收到工作变更指令后，应立即实施相关工作</w:t>
      </w:r>
      <w:r>
        <w:rPr>
          <w:rFonts w:hint="eastAsia" w:asciiTheme="minorEastAsia" w:hAnsiTheme="minorEastAsia" w:eastAsiaTheme="minorEastAsia"/>
          <w:color w:val="000000"/>
          <w:szCs w:val="21"/>
        </w:rPr>
        <w:t>。</w:t>
      </w:r>
    </w:p>
    <w:p>
      <w:pPr>
        <w:pStyle w:val="42"/>
        <w:numPr>
          <w:ilvl w:val="0"/>
          <w:numId w:val="17"/>
        </w:numPr>
        <w:adjustRightInd w:val="0"/>
        <w:snapToGrid w:val="0"/>
        <w:spacing w:before="93" w:beforeLines="30" w:after="93" w:afterLines="30" w:line="360" w:lineRule="auto"/>
        <w:ind w:left="642" w:leftChars="0" w:hanging="642" w:hangingChars="312"/>
        <w:rPr>
          <w:rFonts w:asciiTheme="minorEastAsia" w:hAnsiTheme="minorEastAsia" w:eastAsiaTheme="minorEastAsia"/>
          <w:spacing w:val="-2"/>
          <w:szCs w:val="21"/>
        </w:rPr>
      </w:pPr>
      <w:r>
        <w:rPr>
          <w:rFonts w:asciiTheme="minorEastAsia" w:hAnsiTheme="minorEastAsia" w:eastAsiaTheme="minorEastAsia"/>
          <w:spacing w:val="-2"/>
          <w:szCs w:val="21"/>
        </w:rPr>
        <w:t>未经甲方同意，乙方不得进行任何工作变更。</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bCs w:val="0"/>
          <w:sz w:val="21"/>
          <w:szCs w:val="21"/>
        </w:rPr>
      </w:pPr>
      <w:bookmarkStart w:id="61" w:name="_Toc299915693"/>
      <w:bookmarkStart w:id="62" w:name="_Toc364839371"/>
      <w:r>
        <w:rPr>
          <w:rFonts w:hint="eastAsia" w:asciiTheme="minorEastAsia" w:hAnsiTheme="minorEastAsia" w:eastAsiaTheme="minorEastAsia"/>
          <w:bCs w:val="0"/>
          <w:sz w:val="21"/>
          <w:szCs w:val="21"/>
        </w:rPr>
        <w:t>工作暂停</w:t>
      </w:r>
      <w:bookmarkEnd w:id="61"/>
      <w:bookmarkEnd w:id="62"/>
    </w:p>
    <w:p>
      <w:pPr>
        <w:pStyle w:val="42"/>
        <w:numPr>
          <w:ilvl w:val="0"/>
          <w:numId w:val="19"/>
        </w:numPr>
        <w:adjustRightInd w:val="0"/>
        <w:snapToGrid w:val="0"/>
        <w:spacing w:before="93" w:beforeLines="30" w:after="93" w:afterLines="30" w:line="360" w:lineRule="auto"/>
        <w:ind w:left="709" w:hanging="709" w:firstLineChars="0"/>
        <w:rPr>
          <w:rFonts w:asciiTheme="minorEastAsia" w:hAnsiTheme="minorEastAsia" w:eastAsiaTheme="minorEastAsia"/>
          <w:bCs/>
          <w:szCs w:val="21"/>
        </w:rPr>
      </w:pPr>
      <w:r>
        <w:rPr>
          <w:rFonts w:asciiTheme="minorEastAsia" w:hAnsiTheme="minorEastAsia" w:eastAsiaTheme="minorEastAsia"/>
          <w:kern w:val="0"/>
          <w:szCs w:val="21"/>
        </w:rPr>
        <w:t>乙方造成的暂停</w:t>
      </w:r>
      <w:r>
        <w:rPr>
          <w:rFonts w:hint="eastAsia" w:asciiTheme="minorEastAsia" w:hAnsiTheme="minorEastAsia" w:eastAsiaTheme="minorEastAsia"/>
          <w:bCs/>
          <w:szCs w:val="21"/>
        </w:rPr>
        <w:t>：</w:t>
      </w:r>
    </w:p>
    <w:p>
      <w:pPr>
        <w:tabs>
          <w:tab w:val="left" w:pos="709"/>
        </w:tabs>
        <w:adjustRightInd w:val="0"/>
        <w:snapToGrid w:val="0"/>
        <w:spacing w:before="93" w:beforeLines="30" w:after="93" w:afterLines="30" w:line="360" w:lineRule="auto"/>
        <w:ind w:left="708" w:leftChars="337"/>
        <w:rPr>
          <w:rFonts w:asciiTheme="minorEastAsia" w:hAnsiTheme="minorEastAsia" w:eastAsiaTheme="minorEastAsia"/>
          <w:bCs/>
          <w:szCs w:val="21"/>
        </w:rPr>
      </w:pPr>
      <w:r>
        <w:rPr>
          <w:rFonts w:hint="eastAsia" w:asciiTheme="minorEastAsia" w:hAnsiTheme="minorEastAsia" w:eastAsiaTheme="minorEastAsia"/>
          <w:bCs/>
          <w:szCs w:val="21"/>
        </w:rPr>
        <w:t>如甲方认为乙方的工作存在重大缺陷或与本合同规定不符，甲方有权要求乙方暂停全部或部分工作，直至乙方采取措施消除该等缺陷。乙方消除相关缺陷并经甲方同意后，方可恢复工作。甲方对该等停工造成的损失不承担任何责任，乙方无权要求调整合同含税总价或工作期限。</w:t>
      </w:r>
    </w:p>
    <w:p>
      <w:pPr>
        <w:pStyle w:val="42"/>
        <w:numPr>
          <w:ilvl w:val="0"/>
          <w:numId w:val="1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kern w:val="0"/>
          <w:szCs w:val="21"/>
        </w:rPr>
        <w:t>甲方造成的暂停</w:t>
      </w:r>
      <w:r>
        <w:rPr>
          <w:rFonts w:hint="eastAsia" w:asciiTheme="minorEastAsia" w:hAnsiTheme="minorEastAsia" w:eastAsiaTheme="minorEastAsia"/>
          <w:szCs w:val="21"/>
        </w:rPr>
        <w:t>：</w:t>
      </w:r>
    </w:p>
    <w:p>
      <w:pPr>
        <w:numPr>
          <w:ilvl w:val="0"/>
          <w:numId w:val="20"/>
        </w:numPr>
        <w:tabs>
          <w:tab w:val="left" w:pos="1276"/>
          <w:tab w:val="clear" w:pos="420"/>
        </w:tabs>
        <w:adjustRightInd w:val="0"/>
        <w:snapToGrid w:val="0"/>
        <w:spacing w:before="93" w:beforeLines="30" w:after="93" w:afterLines="30" w:line="360" w:lineRule="auto"/>
        <w:ind w:left="1276" w:hanging="567"/>
        <w:rPr>
          <w:rFonts w:asciiTheme="minorEastAsia" w:hAnsiTheme="minorEastAsia" w:eastAsiaTheme="minorEastAsia"/>
          <w:kern w:val="0"/>
          <w:szCs w:val="21"/>
        </w:rPr>
      </w:pPr>
      <w:r>
        <w:rPr>
          <w:rFonts w:asciiTheme="minorEastAsia" w:hAnsiTheme="minorEastAsia" w:eastAsiaTheme="minorEastAsia"/>
          <w:kern w:val="0"/>
          <w:szCs w:val="21"/>
        </w:rPr>
        <w:t>无论基于</w:t>
      </w:r>
      <w:r>
        <w:rPr>
          <w:rFonts w:hint="eastAsia" w:asciiTheme="minorEastAsia" w:hAnsiTheme="minorEastAsia" w:eastAsiaTheme="minorEastAsia"/>
          <w:kern w:val="0"/>
          <w:szCs w:val="21"/>
        </w:rPr>
        <w:t>任何</w:t>
      </w:r>
      <w:r>
        <w:rPr>
          <w:rFonts w:asciiTheme="minorEastAsia" w:hAnsiTheme="minorEastAsia" w:eastAsiaTheme="minorEastAsia"/>
          <w:kern w:val="0"/>
          <w:szCs w:val="21"/>
        </w:rPr>
        <w:t>原因，甲方有权</w:t>
      </w:r>
      <w:r>
        <w:rPr>
          <w:rFonts w:hint="eastAsia" w:asciiTheme="minorEastAsia" w:hAnsiTheme="minorEastAsia" w:eastAsiaTheme="minorEastAsia"/>
          <w:kern w:val="0"/>
          <w:szCs w:val="21"/>
        </w:rPr>
        <w:t>随时向乙方发出暂停通知，要求</w:t>
      </w:r>
      <w:r>
        <w:rPr>
          <w:rFonts w:asciiTheme="minorEastAsia" w:hAnsiTheme="minorEastAsia" w:eastAsiaTheme="minorEastAsia"/>
          <w:kern w:val="0"/>
          <w:szCs w:val="21"/>
        </w:rPr>
        <w:t>乙方暂停全部或部分</w:t>
      </w:r>
      <w:r>
        <w:rPr>
          <w:rFonts w:hint="eastAsia" w:asciiTheme="minorEastAsia" w:hAnsiTheme="minorEastAsia" w:eastAsiaTheme="minorEastAsia"/>
          <w:kern w:val="0"/>
          <w:szCs w:val="21"/>
        </w:rPr>
        <w:t>工作</w:t>
      </w:r>
      <w:r>
        <w:rPr>
          <w:rFonts w:asciiTheme="minorEastAsia" w:hAnsiTheme="minorEastAsia" w:eastAsiaTheme="minorEastAsia"/>
          <w:kern w:val="0"/>
          <w:szCs w:val="21"/>
        </w:rPr>
        <w:t>。</w:t>
      </w:r>
    </w:p>
    <w:p>
      <w:pPr>
        <w:numPr>
          <w:ilvl w:val="0"/>
          <w:numId w:val="20"/>
        </w:numPr>
        <w:tabs>
          <w:tab w:val="left" w:pos="1276"/>
          <w:tab w:val="clear" w:pos="420"/>
        </w:tabs>
        <w:adjustRightInd w:val="0"/>
        <w:snapToGrid w:val="0"/>
        <w:spacing w:before="93" w:beforeLines="30" w:after="93" w:afterLines="30" w:line="360" w:lineRule="auto"/>
        <w:ind w:left="1276" w:hanging="567"/>
        <w:rPr>
          <w:rFonts w:asciiTheme="minorEastAsia" w:hAnsiTheme="minorEastAsia" w:eastAsiaTheme="minorEastAsia"/>
          <w:kern w:val="0"/>
          <w:szCs w:val="21"/>
        </w:rPr>
      </w:pPr>
      <w:r>
        <w:rPr>
          <w:rFonts w:hint="eastAsia" w:asciiTheme="minorEastAsia" w:hAnsiTheme="minorEastAsia" w:eastAsiaTheme="minorEastAsia"/>
          <w:kern w:val="0"/>
          <w:szCs w:val="21"/>
        </w:rPr>
        <w:t>乙方</w:t>
      </w:r>
      <w:r>
        <w:rPr>
          <w:rFonts w:asciiTheme="minorEastAsia" w:hAnsiTheme="minorEastAsia" w:eastAsiaTheme="minorEastAsia"/>
          <w:kern w:val="0"/>
          <w:szCs w:val="21"/>
        </w:rPr>
        <w:t>接到</w:t>
      </w:r>
      <w:r>
        <w:rPr>
          <w:rFonts w:hint="eastAsia" w:asciiTheme="minorEastAsia" w:hAnsiTheme="minorEastAsia" w:eastAsiaTheme="minorEastAsia"/>
          <w:kern w:val="0"/>
          <w:szCs w:val="21"/>
        </w:rPr>
        <w:t>暂停</w:t>
      </w:r>
      <w:r>
        <w:rPr>
          <w:rFonts w:asciiTheme="minorEastAsia" w:hAnsiTheme="minorEastAsia" w:eastAsiaTheme="minorEastAsia"/>
          <w:kern w:val="0"/>
          <w:szCs w:val="21"/>
        </w:rPr>
        <w:t>通知后，</w:t>
      </w:r>
      <w:r>
        <w:rPr>
          <w:rFonts w:hint="eastAsia" w:asciiTheme="minorEastAsia" w:hAnsiTheme="minorEastAsia" w:eastAsiaTheme="minorEastAsia"/>
          <w:kern w:val="0"/>
          <w:szCs w:val="21"/>
        </w:rPr>
        <w:t>应根据暂停</w:t>
      </w:r>
      <w:r>
        <w:rPr>
          <w:rFonts w:asciiTheme="minorEastAsia" w:hAnsiTheme="minorEastAsia" w:eastAsiaTheme="minorEastAsia"/>
          <w:kern w:val="0"/>
          <w:szCs w:val="21"/>
        </w:rPr>
        <w:t>通知规定的时间及范围暂停</w:t>
      </w:r>
      <w:r>
        <w:rPr>
          <w:rFonts w:hint="eastAsia" w:asciiTheme="minorEastAsia" w:hAnsiTheme="minorEastAsia" w:eastAsiaTheme="minorEastAsia"/>
          <w:kern w:val="0"/>
          <w:szCs w:val="21"/>
        </w:rPr>
        <w:t>工作，</w:t>
      </w:r>
      <w:r>
        <w:rPr>
          <w:rFonts w:hint="eastAsia" w:asciiTheme="minorEastAsia" w:hAnsiTheme="minorEastAsia" w:eastAsiaTheme="minorEastAsia"/>
          <w:szCs w:val="21"/>
        </w:rPr>
        <w:t>妥善保护已完成的工作，</w:t>
      </w:r>
      <w:r>
        <w:rPr>
          <w:rFonts w:asciiTheme="minorEastAsia" w:hAnsiTheme="minorEastAsia" w:eastAsiaTheme="minorEastAsia"/>
          <w:kern w:val="0"/>
          <w:szCs w:val="21"/>
        </w:rPr>
        <w:t>继续执行未暂停的</w:t>
      </w:r>
      <w:r>
        <w:rPr>
          <w:rFonts w:hint="eastAsia" w:asciiTheme="minorEastAsia" w:hAnsiTheme="minorEastAsia" w:eastAsiaTheme="minorEastAsia"/>
          <w:kern w:val="0"/>
          <w:szCs w:val="21"/>
        </w:rPr>
        <w:t>工作。</w:t>
      </w:r>
    </w:p>
    <w:p>
      <w:pPr>
        <w:numPr>
          <w:ilvl w:val="0"/>
          <w:numId w:val="20"/>
        </w:numPr>
        <w:tabs>
          <w:tab w:val="left" w:pos="1276"/>
          <w:tab w:val="clear" w:pos="420"/>
        </w:tabs>
        <w:adjustRightInd w:val="0"/>
        <w:snapToGrid w:val="0"/>
        <w:spacing w:before="93" w:beforeLines="30" w:after="93" w:afterLines="30" w:line="360" w:lineRule="auto"/>
        <w:ind w:left="1276" w:hanging="567"/>
        <w:rPr>
          <w:rFonts w:asciiTheme="minorEastAsia" w:hAnsiTheme="minorEastAsia" w:eastAsiaTheme="minorEastAsia"/>
          <w:kern w:val="0"/>
          <w:szCs w:val="21"/>
        </w:rPr>
      </w:pPr>
      <w:r>
        <w:rPr>
          <w:rFonts w:asciiTheme="minorEastAsia" w:hAnsiTheme="minorEastAsia" w:eastAsiaTheme="minorEastAsia"/>
          <w:kern w:val="0"/>
          <w:szCs w:val="21"/>
        </w:rPr>
        <w:t>乙方收到甲方复工通知后应立即恢复执行</w:t>
      </w:r>
      <w:r>
        <w:rPr>
          <w:rFonts w:hint="eastAsia" w:asciiTheme="minorEastAsia" w:hAnsiTheme="minorEastAsia" w:eastAsiaTheme="minorEastAsia"/>
          <w:kern w:val="0"/>
          <w:szCs w:val="21"/>
        </w:rPr>
        <w:t>工作</w:t>
      </w:r>
      <w:r>
        <w:rPr>
          <w:rFonts w:asciiTheme="minorEastAsia" w:hAnsiTheme="minorEastAsia" w:eastAsiaTheme="minorEastAsia"/>
          <w:kern w:val="0"/>
          <w:szCs w:val="21"/>
        </w:rPr>
        <w:t>。</w:t>
      </w:r>
    </w:p>
    <w:p>
      <w:pPr>
        <w:numPr>
          <w:ilvl w:val="0"/>
          <w:numId w:val="20"/>
        </w:numPr>
        <w:tabs>
          <w:tab w:val="left" w:pos="1276"/>
          <w:tab w:val="clear" w:pos="420"/>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hint="eastAsia" w:asciiTheme="minorEastAsia" w:hAnsiTheme="minorEastAsia" w:eastAsiaTheme="minorEastAsia"/>
          <w:szCs w:val="21"/>
        </w:rPr>
        <w:t>对于甲方要求的停工（因本合同第11.1原因导致的暂停除外），乙方有权根据暂停工作期限，要求对工作期限进行调整，乙方应尽量减少停工对工作期限的影响。</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63" w:name="_Toc364839372"/>
      <w:r>
        <w:rPr>
          <w:rFonts w:hint="eastAsia" w:asciiTheme="minorEastAsia" w:hAnsiTheme="minorEastAsia" w:eastAsiaTheme="minorEastAsia"/>
          <w:sz w:val="21"/>
          <w:szCs w:val="21"/>
        </w:rPr>
        <w:t>权利保证</w:t>
      </w:r>
      <w:bookmarkEnd w:id="38"/>
      <w:bookmarkEnd w:id="39"/>
      <w:bookmarkEnd w:id="63"/>
    </w:p>
    <w:bookmarkEnd w:id="19"/>
    <w:bookmarkEnd w:id="20"/>
    <w:bookmarkEnd w:id="21"/>
    <w:bookmarkEnd w:id="22"/>
    <w:bookmarkEnd w:id="23"/>
    <w:bookmarkEnd w:id="24"/>
    <w:bookmarkEnd w:id="25"/>
    <w:bookmarkEnd w:id="26"/>
    <w:bookmarkEnd w:id="27"/>
    <w:bookmarkEnd w:id="28"/>
    <w:bookmarkEnd w:id="29"/>
    <w:bookmarkEnd w:id="30"/>
    <w:bookmarkEnd w:id="31"/>
    <w:p>
      <w:pPr>
        <w:pStyle w:val="42"/>
        <w:widowControl/>
        <w:numPr>
          <w:ilvl w:val="0"/>
          <w:numId w:val="21"/>
        </w:numPr>
        <w:tabs>
          <w:tab w:val="left" w:pos="709"/>
        </w:tabs>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乙方保证，</w:t>
      </w:r>
      <w:r>
        <w:rPr>
          <w:rFonts w:hint="eastAsia" w:ascii="宋体" w:hAnsi="宋体"/>
          <w:szCs w:val="21"/>
        </w:rPr>
        <w:t>其执行工作未侵犯任何第三方的权利，其执行工作、提供的工作成果未侵</w:t>
      </w:r>
      <w:r>
        <w:rPr>
          <w:rFonts w:ascii="宋体" w:hAnsi="宋体"/>
          <w:szCs w:val="21"/>
        </w:rPr>
        <w:t>犯任何第三方的专利权、商标权</w:t>
      </w:r>
      <w:r>
        <w:rPr>
          <w:rFonts w:hint="eastAsia" w:ascii="宋体" w:hAnsi="宋体"/>
          <w:szCs w:val="21"/>
        </w:rPr>
        <w:t>或其它知识产</w:t>
      </w:r>
      <w:r>
        <w:rPr>
          <w:rFonts w:ascii="宋体" w:hAnsi="宋体"/>
          <w:szCs w:val="21"/>
        </w:rPr>
        <w:t>权</w:t>
      </w:r>
      <w:r>
        <w:rPr>
          <w:rFonts w:hint="eastAsia" w:ascii="宋体" w:hAnsi="宋体"/>
          <w:szCs w:val="21"/>
        </w:rPr>
        <w:t>，工作成果的所有权及</w:t>
      </w:r>
      <w:r>
        <w:rPr>
          <w:rFonts w:ascii="宋体" w:hAnsi="宋体"/>
          <w:szCs w:val="21"/>
        </w:rPr>
        <w:t>包含的全部专利、商标</w:t>
      </w:r>
      <w:r>
        <w:rPr>
          <w:rFonts w:hint="eastAsia" w:ascii="宋体" w:hAnsi="宋体"/>
          <w:szCs w:val="21"/>
        </w:rPr>
        <w:t>及其它知识产权</w:t>
      </w:r>
      <w:r>
        <w:rPr>
          <w:rFonts w:ascii="宋体" w:hAnsi="宋体"/>
          <w:szCs w:val="21"/>
        </w:rPr>
        <w:t>均为乙方</w:t>
      </w:r>
      <w:r>
        <w:rPr>
          <w:rFonts w:hint="eastAsia" w:ascii="宋体" w:hAnsi="宋体"/>
          <w:szCs w:val="21"/>
        </w:rPr>
        <w:t>合法</w:t>
      </w:r>
      <w:r>
        <w:rPr>
          <w:rFonts w:ascii="宋体" w:hAnsi="宋体"/>
          <w:szCs w:val="21"/>
        </w:rPr>
        <w:t>拥有或已获得</w:t>
      </w:r>
      <w:r>
        <w:rPr>
          <w:rFonts w:hint="eastAsia" w:ascii="宋体" w:hAnsi="宋体"/>
          <w:szCs w:val="21"/>
        </w:rPr>
        <w:t>第三方</w:t>
      </w:r>
      <w:r>
        <w:rPr>
          <w:rFonts w:ascii="宋体" w:hAnsi="宋体"/>
          <w:szCs w:val="21"/>
        </w:rPr>
        <w:t>的</w:t>
      </w:r>
      <w:r>
        <w:rPr>
          <w:rFonts w:hint="eastAsia" w:ascii="宋体" w:hAnsi="宋体"/>
          <w:szCs w:val="21"/>
        </w:rPr>
        <w:t>有效</w:t>
      </w:r>
      <w:r>
        <w:rPr>
          <w:rFonts w:ascii="宋体" w:hAnsi="宋体"/>
          <w:szCs w:val="21"/>
        </w:rPr>
        <w:t>授权</w:t>
      </w:r>
      <w:r>
        <w:rPr>
          <w:rFonts w:asciiTheme="minorEastAsia" w:hAnsiTheme="minorEastAsia" w:eastAsiaTheme="minorEastAsia"/>
          <w:szCs w:val="21"/>
        </w:rPr>
        <w:t>。</w:t>
      </w:r>
    </w:p>
    <w:p>
      <w:pPr>
        <w:pStyle w:val="42"/>
        <w:widowControl/>
        <w:numPr>
          <w:ilvl w:val="0"/>
          <w:numId w:val="21"/>
        </w:numPr>
        <w:tabs>
          <w:tab w:val="left" w:pos="709"/>
        </w:tabs>
        <w:adjustRightInd w:val="0"/>
        <w:snapToGrid w:val="0"/>
        <w:spacing w:before="93" w:beforeLines="30" w:after="93" w:afterLines="30" w:line="360" w:lineRule="auto"/>
        <w:ind w:left="709" w:hanging="709" w:firstLineChars="0"/>
        <w:rPr>
          <w:rFonts w:asciiTheme="minorEastAsia" w:hAnsiTheme="minorEastAsia" w:eastAsiaTheme="minorEastAsia"/>
          <w:color w:val="000000"/>
          <w:szCs w:val="21"/>
        </w:rPr>
      </w:pPr>
      <w:r>
        <w:rPr>
          <w:rFonts w:hint="eastAsia" w:asciiTheme="minorEastAsia" w:hAnsiTheme="minorEastAsia" w:eastAsiaTheme="minorEastAsia"/>
          <w:szCs w:val="21"/>
        </w:rPr>
        <w:t>如乙方</w:t>
      </w:r>
      <w:r>
        <w:rPr>
          <w:rFonts w:hint="eastAsia" w:ascii="宋体" w:hAnsi="宋体"/>
          <w:szCs w:val="21"/>
        </w:rPr>
        <w:t>执行工作及提供的工作成果侵犯任何第三方的权利（包括</w:t>
      </w:r>
      <w:r>
        <w:rPr>
          <w:rFonts w:ascii="宋体" w:hAnsi="宋体"/>
          <w:szCs w:val="21"/>
        </w:rPr>
        <w:t>知识产权</w:t>
      </w:r>
      <w:r>
        <w:rPr>
          <w:rFonts w:hint="eastAsia" w:ascii="宋体" w:hAnsi="宋体"/>
          <w:szCs w:val="21"/>
        </w:rPr>
        <w:t>）</w:t>
      </w:r>
      <w:r>
        <w:rPr>
          <w:rFonts w:ascii="宋体" w:hAnsi="宋体"/>
          <w:szCs w:val="21"/>
        </w:rPr>
        <w:t>，</w:t>
      </w:r>
      <w:r>
        <w:rPr>
          <w:rFonts w:ascii="宋体" w:hAnsi="宋体"/>
          <w:color w:val="000000"/>
          <w:szCs w:val="21"/>
        </w:rPr>
        <w:t>乙方应根据甲方的要求，在确保工作符合本合同的</w:t>
      </w:r>
      <w:r>
        <w:rPr>
          <w:rFonts w:hint="eastAsia" w:ascii="宋体" w:hAnsi="宋体"/>
          <w:color w:val="000000"/>
          <w:szCs w:val="21"/>
        </w:rPr>
        <w:t>约</w:t>
      </w:r>
      <w:r>
        <w:rPr>
          <w:rFonts w:ascii="宋体" w:hAnsi="宋体"/>
          <w:color w:val="000000"/>
          <w:szCs w:val="21"/>
        </w:rPr>
        <w:t>定和要求的前提下，采取必要的措施获得相关的权利或对工作和工作成果进行必要的调整，确保其履行本合同和工作成果不侵犯</w:t>
      </w:r>
      <w:r>
        <w:rPr>
          <w:rFonts w:hint="eastAsia" w:ascii="宋体" w:hAnsi="宋体"/>
          <w:color w:val="000000"/>
          <w:szCs w:val="21"/>
        </w:rPr>
        <w:t>任何</w:t>
      </w:r>
      <w:r>
        <w:rPr>
          <w:rFonts w:hint="eastAsia" w:ascii="宋体" w:hAnsi="宋体"/>
          <w:szCs w:val="21"/>
        </w:rPr>
        <w:t>第三方的权利（包括</w:t>
      </w:r>
      <w:r>
        <w:rPr>
          <w:rFonts w:ascii="宋体" w:hAnsi="宋体"/>
          <w:color w:val="000000"/>
          <w:szCs w:val="21"/>
        </w:rPr>
        <w:t>知识产权</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乙方根据本款采取的措施不影响甲方的任何其它权利或补救措施。</w:t>
      </w:r>
      <w:r>
        <w:rPr>
          <w:rFonts w:hint="eastAsia"/>
          <w:bCs/>
          <w:color w:val="000000" w:themeColor="text1"/>
          <w:szCs w:val="21"/>
          <w14:textFill>
            <w14:solidFill>
              <w14:schemeClr w14:val="tx1"/>
            </w14:solidFill>
          </w14:textFill>
        </w:rPr>
        <w:t>如因使用乙方提供的服务而使甲方遭受任何第三方提出诉讼、索赔、指控等，乙方应负责与第三方交涉，并承担甲方因此产生的任何损失</w:t>
      </w:r>
      <w:r>
        <w:rPr>
          <w:rFonts w:hint="eastAsia" w:asciiTheme="minorEastAsia" w:hAnsiTheme="minorEastAsia" w:eastAsiaTheme="minorEastAsia"/>
          <w:color w:val="000000"/>
          <w:szCs w:val="21"/>
        </w:rPr>
        <w:t>。</w:t>
      </w:r>
    </w:p>
    <w:p>
      <w:pPr>
        <w:pStyle w:val="42"/>
        <w:widowControl/>
        <w:numPr>
          <w:ilvl w:val="0"/>
          <w:numId w:val="21"/>
        </w:numPr>
        <w:tabs>
          <w:tab w:val="left" w:pos="709"/>
        </w:tabs>
        <w:adjustRightInd w:val="0"/>
        <w:snapToGrid w:val="0"/>
        <w:spacing w:before="93" w:beforeLines="30" w:after="93" w:afterLines="30" w:line="360" w:lineRule="auto"/>
        <w:ind w:left="709" w:hanging="709" w:firstLineChars="0"/>
        <w:rPr>
          <w:rFonts w:asciiTheme="minorEastAsia" w:hAnsiTheme="minorEastAsia" w:eastAsiaTheme="minorEastAsia"/>
          <w:color w:val="000000"/>
          <w:szCs w:val="21"/>
        </w:rPr>
      </w:pPr>
      <w:r>
        <w:rPr>
          <w:rFonts w:asciiTheme="minorEastAsia" w:hAnsiTheme="minorEastAsia" w:eastAsiaTheme="minorEastAsia"/>
          <w:color w:val="000000"/>
          <w:szCs w:val="21"/>
        </w:rPr>
        <w:t>与工作</w:t>
      </w:r>
      <w:r>
        <w:rPr>
          <w:bCs/>
          <w:color w:val="000000" w:themeColor="text1"/>
          <w:szCs w:val="21"/>
          <w14:textFill>
            <w14:solidFill>
              <w14:schemeClr w14:val="tx1"/>
            </w14:solidFill>
          </w14:textFill>
        </w:rPr>
        <w:t>和工作成果有关的所有资料、文件</w:t>
      </w:r>
      <w:r>
        <w:rPr>
          <w:rFonts w:hint="eastAsia"/>
          <w:bCs/>
          <w:color w:val="000000" w:themeColor="text1"/>
          <w:szCs w:val="21"/>
          <w14:textFill>
            <w14:solidFill>
              <w14:schemeClr w14:val="tx1"/>
            </w14:solidFill>
          </w14:textFill>
        </w:rPr>
        <w:t>及其包含的知识产权，包括因履行本合同产生的所有新的知识产权均</w:t>
      </w:r>
      <w:r>
        <w:rPr>
          <w:bCs/>
          <w:color w:val="000000" w:themeColor="text1"/>
          <w:szCs w:val="21"/>
          <w14:textFill>
            <w14:solidFill>
              <w14:schemeClr w14:val="tx1"/>
            </w14:solidFill>
          </w14:textFill>
        </w:rPr>
        <w:t>为甲方所有，甲方享有全部权益，工作完成时应全部移交甲方，未经甲方允许，乙方不得使用和转让</w:t>
      </w:r>
      <w:r>
        <w:rPr>
          <w:rFonts w:asciiTheme="minorEastAsia" w:hAnsiTheme="minorEastAsia" w:eastAsiaTheme="minorEastAsia"/>
          <w:color w:val="000000"/>
          <w:szCs w:val="21"/>
        </w:rPr>
        <w:t>。</w:t>
      </w:r>
    </w:p>
    <w:p>
      <w:pPr>
        <w:pStyle w:val="42"/>
        <w:widowControl/>
        <w:numPr>
          <w:ilvl w:val="0"/>
          <w:numId w:val="21"/>
        </w:numPr>
        <w:tabs>
          <w:tab w:val="left" w:pos="709"/>
        </w:tabs>
        <w:adjustRightInd w:val="0"/>
        <w:snapToGrid w:val="0"/>
        <w:spacing w:before="93" w:beforeLines="30" w:after="93" w:afterLines="30" w:line="360" w:lineRule="auto"/>
        <w:ind w:left="709" w:hanging="709"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乙方无权因本条的适用而延长工作期限或调整合同含税总价。</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64" w:name="_Toc364839373"/>
      <w:bookmarkStart w:id="65" w:name="_Toc299915689"/>
      <w:r>
        <w:rPr>
          <w:rFonts w:hint="eastAsia" w:asciiTheme="minorEastAsia" w:hAnsiTheme="minorEastAsia" w:eastAsiaTheme="minorEastAsia"/>
          <w:sz w:val="21"/>
          <w:szCs w:val="21"/>
        </w:rPr>
        <w:t>违约责任</w:t>
      </w:r>
      <w:bookmarkEnd w:id="64"/>
      <w:bookmarkEnd w:id="65"/>
    </w:p>
    <w:p>
      <w:pPr>
        <w:numPr>
          <w:ilvl w:val="1"/>
          <w:numId w:val="22"/>
        </w:numPr>
        <w:tabs>
          <w:tab w:val="left" w:pos="709"/>
          <w:tab w:val="clear" w:pos="840"/>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asciiTheme="minorEastAsia" w:hAnsiTheme="minorEastAsia" w:eastAsiaTheme="minorEastAsia"/>
          <w:szCs w:val="21"/>
        </w:rPr>
        <w:t>乙方</w:t>
      </w:r>
      <w:r>
        <w:rPr>
          <w:rFonts w:hint="eastAsia" w:asciiTheme="minorEastAsia" w:hAnsiTheme="minorEastAsia" w:eastAsiaTheme="minorEastAsia"/>
          <w:szCs w:val="21"/>
        </w:rPr>
        <w:t>发生下列任一违约行为时</w:t>
      </w:r>
      <w:r>
        <w:rPr>
          <w:rFonts w:asciiTheme="minorEastAsia" w:hAnsiTheme="minorEastAsia" w:eastAsiaTheme="minorEastAsia"/>
          <w:szCs w:val="21"/>
        </w:rPr>
        <w:t>，应向甲方支付合同</w:t>
      </w:r>
      <w:r>
        <w:rPr>
          <w:rFonts w:hint="eastAsia" w:asciiTheme="minorEastAsia" w:hAnsiTheme="minorEastAsia" w:eastAsiaTheme="minorEastAsia"/>
          <w:szCs w:val="21"/>
        </w:rPr>
        <w:t>含税</w:t>
      </w:r>
      <w:r>
        <w:rPr>
          <w:rFonts w:asciiTheme="minorEastAsia" w:hAnsiTheme="minorEastAsia" w:eastAsiaTheme="minorEastAsia"/>
          <w:szCs w:val="21"/>
        </w:rPr>
        <w:t>总价</w:t>
      </w:r>
      <w:r>
        <w:rPr>
          <w:rFonts w:hint="eastAsia" w:cs="新宋体-18030" w:asciiTheme="minorEastAsia" w:hAnsiTheme="minorEastAsia" w:eastAsiaTheme="minorEastAsia"/>
          <w:szCs w:val="21"/>
        </w:rPr>
        <w:t>【</w:t>
      </w:r>
      <w:r>
        <w:rPr>
          <w:rFonts w:cs="新宋体-18030" w:asciiTheme="minorEastAsia" w:hAnsiTheme="minorEastAsia" w:eastAsiaTheme="minorEastAsia"/>
          <w:szCs w:val="21"/>
        </w:rPr>
        <w:t>2</w:t>
      </w:r>
      <w:r>
        <w:rPr>
          <w:rFonts w:hint="eastAsia" w:cs="新宋体-18030" w:asciiTheme="minorEastAsia" w:hAnsiTheme="minorEastAsia" w:eastAsiaTheme="minorEastAsia"/>
          <w:szCs w:val="21"/>
        </w:rPr>
        <w:t>0%】</w:t>
      </w:r>
      <w:r>
        <w:rPr>
          <w:rFonts w:asciiTheme="minorEastAsia" w:hAnsiTheme="minorEastAsia" w:eastAsiaTheme="minorEastAsia"/>
          <w:szCs w:val="21"/>
        </w:rPr>
        <w:t>的违约金，并赔偿甲方因</w:t>
      </w:r>
      <w:r>
        <w:rPr>
          <w:rFonts w:hint="eastAsia" w:asciiTheme="minorEastAsia" w:hAnsiTheme="minorEastAsia" w:eastAsiaTheme="minorEastAsia"/>
          <w:szCs w:val="21"/>
        </w:rPr>
        <w:t>此</w:t>
      </w:r>
      <w:r>
        <w:rPr>
          <w:rFonts w:asciiTheme="minorEastAsia" w:hAnsiTheme="minorEastAsia" w:eastAsiaTheme="minorEastAsia"/>
          <w:szCs w:val="21"/>
        </w:rPr>
        <w:t>遭受的</w:t>
      </w:r>
      <w:r>
        <w:rPr>
          <w:rFonts w:hint="eastAsia" w:asciiTheme="minorEastAsia" w:hAnsiTheme="minorEastAsia" w:eastAsiaTheme="minorEastAsia"/>
          <w:szCs w:val="21"/>
        </w:rPr>
        <w:t>超出违约金数额的</w:t>
      </w:r>
      <w:r>
        <w:rPr>
          <w:rFonts w:asciiTheme="minorEastAsia" w:hAnsiTheme="minorEastAsia" w:eastAsiaTheme="minorEastAsia"/>
          <w:szCs w:val="21"/>
        </w:rPr>
        <w:t>全部损失</w:t>
      </w:r>
      <w:r>
        <w:rPr>
          <w:rFonts w:hint="eastAsia" w:asciiTheme="minorEastAsia" w:hAnsiTheme="minorEastAsia" w:eastAsiaTheme="minorEastAsia"/>
          <w:szCs w:val="21"/>
        </w:rPr>
        <w:t>：</w:t>
      </w:r>
    </w:p>
    <w:p>
      <w:pPr>
        <w:numPr>
          <w:ilvl w:val="2"/>
          <w:numId w:val="23"/>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乙方提供的服务</w:t>
      </w:r>
      <w:r>
        <w:rPr>
          <w:rFonts w:hint="eastAsia" w:asciiTheme="minorEastAsia" w:hAnsiTheme="minorEastAsia" w:eastAsiaTheme="minorEastAsia"/>
          <w:szCs w:val="21"/>
        </w:rPr>
        <w:t>、工作成果</w:t>
      </w:r>
      <w:r>
        <w:rPr>
          <w:rFonts w:asciiTheme="minorEastAsia" w:hAnsiTheme="minorEastAsia" w:eastAsiaTheme="minorEastAsia"/>
          <w:szCs w:val="21"/>
        </w:rPr>
        <w:t>等</w:t>
      </w:r>
      <w:r>
        <w:rPr>
          <w:rFonts w:hint="eastAsia" w:asciiTheme="minorEastAsia" w:hAnsiTheme="minorEastAsia" w:eastAsiaTheme="minorEastAsia"/>
          <w:szCs w:val="21"/>
        </w:rPr>
        <w:t>不符合本</w:t>
      </w:r>
      <w:r>
        <w:rPr>
          <w:rFonts w:asciiTheme="minorEastAsia" w:hAnsiTheme="minorEastAsia" w:eastAsiaTheme="minorEastAsia"/>
          <w:szCs w:val="21"/>
        </w:rPr>
        <w:t>合同</w:t>
      </w:r>
      <w:r>
        <w:rPr>
          <w:rFonts w:hint="eastAsia" w:asciiTheme="minorEastAsia" w:hAnsiTheme="minorEastAsia" w:eastAsiaTheme="minorEastAsia"/>
          <w:szCs w:val="21"/>
        </w:rPr>
        <w:t>的</w:t>
      </w:r>
      <w:r>
        <w:rPr>
          <w:rFonts w:asciiTheme="minorEastAsia" w:hAnsiTheme="minorEastAsia" w:eastAsiaTheme="minorEastAsia"/>
          <w:szCs w:val="21"/>
        </w:rPr>
        <w:t>要求</w:t>
      </w:r>
      <w:r>
        <w:rPr>
          <w:rFonts w:hint="eastAsia" w:asciiTheme="minorEastAsia" w:hAnsiTheme="minorEastAsia" w:eastAsiaTheme="minorEastAsia"/>
          <w:szCs w:val="21"/>
        </w:rPr>
        <w:t>；</w:t>
      </w:r>
    </w:p>
    <w:p>
      <w:pPr>
        <w:numPr>
          <w:ilvl w:val="2"/>
          <w:numId w:val="23"/>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拒绝</w:t>
      </w:r>
      <w:r>
        <w:rPr>
          <w:rFonts w:hint="eastAsia" w:asciiTheme="minorEastAsia" w:hAnsiTheme="minorEastAsia" w:eastAsiaTheme="minorEastAsia"/>
          <w:szCs w:val="21"/>
        </w:rPr>
        <w:t>对不符合本合同要求的服务或工作成果进行修复、更换或调整；</w:t>
      </w:r>
    </w:p>
    <w:p>
      <w:pPr>
        <w:numPr>
          <w:ilvl w:val="2"/>
          <w:numId w:val="23"/>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hint="eastAsia" w:asciiTheme="minorEastAsia" w:hAnsiTheme="minorEastAsia" w:eastAsiaTheme="minorEastAsia"/>
          <w:szCs w:val="21"/>
        </w:rPr>
        <w:t>拒绝更换</w:t>
      </w:r>
      <w:r>
        <w:rPr>
          <w:rFonts w:asciiTheme="minorEastAsia" w:hAnsiTheme="minorEastAsia" w:eastAsiaTheme="minorEastAsia"/>
          <w:szCs w:val="21"/>
        </w:rPr>
        <w:t>不</w:t>
      </w:r>
      <w:r>
        <w:rPr>
          <w:rFonts w:hint="eastAsia" w:asciiTheme="minorEastAsia" w:hAnsiTheme="minorEastAsia" w:eastAsiaTheme="minorEastAsia"/>
          <w:szCs w:val="21"/>
        </w:rPr>
        <w:t>适格</w:t>
      </w:r>
      <w:r>
        <w:rPr>
          <w:rFonts w:asciiTheme="minorEastAsia" w:hAnsiTheme="minorEastAsia" w:eastAsiaTheme="minorEastAsia"/>
          <w:szCs w:val="21"/>
        </w:rPr>
        <w:t>的</w:t>
      </w:r>
      <w:r>
        <w:rPr>
          <w:rFonts w:hint="eastAsia" w:asciiTheme="minorEastAsia" w:hAnsiTheme="minorEastAsia" w:eastAsiaTheme="minorEastAsia"/>
          <w:szCs w:val="21"/>
        </w:rPr>
        <w:t>工作</w:t>
      </w:r>
      <w:r>
        <w:rPr>
          <w:rFonts w:asciiTheme="minorEastAsia" w:hAnsiTheme="minorEastAsia" w:eastAsiaTheme="minorEastAsia"/>
          <w:szCs w:val="21"/>
        </w:rPr>
        <w:t>人员</w:t>
      </w:r>
      <w:r>
        <w:rPr>
          <w:rFonts w:hint="eastAsia" w:asciiTheme="minorEastAsia" w:hAnsiTheme="minorEastAsia" w:eastAsiaTheme="minorEastAsia"/>
          <w:szCs w:val="21"/>
        </w:rPr>
        <w:t>；</w:t>
      </w:r>
    </w:p>
    <w:p>
      <w:pPr>
        <w:numPr>
          <w:ilvl w:val="2"/>
          <w:numId w:val="23"/>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hint="eastAsia" w:asciiTheme="minorEastAsia" w:hAnsiTheme="minorEastAsia" w:eastAsiaTheme="minorEastAsia"/>
          <w:szCs w:val="21"/>
        </w:rPr>
        <w:t>未经甲方许可，擅自更换其关键工作人员；</w:t>
      </w:r>
    </w:p>
    <w:p>
      <w:pPr>
        <w:numPr>
          <w:ilvl w:val="2"/>
          <w:numId w:val="23"/>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hint="eastAsia" w:asciiTheme="minorEastAsia" w:hAnsiTheme="minorEastAsia" w:eastAsiaTheme="minorEastAsia"/>
          <w:szCs w:val="21"/>
        </w:rPr>
        <w:t>未经甲方同意擅自进行分包；</w:t>
      </w:r>
    </w:p>
    <w:p>
      <w:pPr>
        <w:numPr>
          <w:ilvl w:val="2"/>
          <w:numId w:val="23"/>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hint="eastAsia" w:asciiTheme="minorEastAsia" w:hAnsiTheme="minorEastAsia" w:eastAsiaTheme="minorEastAsia"/>
          <w:szCs w:val="21"/>
        </w:rPr>
        <w:t>转包；</w:t>
      </w:r>
    </w:p>
    <w:p>
      <w:pPr>
        <w:numPr>
          <w:ilvl w:val="2"/>
          <w:numId w:val="23"/>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不遵守甲方关于健康、安全和环保</w:t>
      </w:r>
      <w:r>
        <w:rPr>
          <w:rFonts w:hint="eastAsia" w:asciiTheme="minorEastAsia" w:hAnsiTheme="minorEastAsia" w:eastAsiaTheme="minorEastAsia"/>
          <w:szCs w:val="21"/>
        </w:rPr>
        <w:t>的</w:t>
      </w:r>
      <w:r>
        <w:rPr>
          <w:rFonts w:asciiTheme="minorEastAsia" w:hAnsiTheme="minorEastAsia" w:eastAsiaTheme="minorEastAsia"/>
          <w:szCs w:val="21"/>
        </w:rPr>
        <w:t>规定</w:t>
      </w:r>
      <w:r>
        <w:rPr>
          <w:rFonts w:hint="eastAsia" w:asciiTheme="minorEastAsia" w:hAnsiTheme="minorEastAsia" w:eastAsiaTheme="minorEastAsia"/>
          <w:szCs w:val="21"/>
        </w:rPr>
        <w:t>；</w:t>
      </w:r>
    </w:p>
    <w:p>
      <w:pPr>
        <w:numPr>
          <w:ilvl w:val="2"/>
          <w:numId w:val="23"/>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乙方或其雇员对甲方实施欺诈行为</w:t>
      </w:r>
      <w:r>
        <w:rPr>
          <w:rFonts w:hint="eastAsia" w:asciiTheme="minorEastAsia" w:hAnsiTheme="minorEastAsia" w:eastAsiaTheme="minorEastAsia"/>
          <w:szCs w:val="21"/>
        </w:rPr>
        <w:t>；</w:t>
      </w:r>
    </w:p>
    <w:p>
      <w:pPr>
        <w:numPr>
          <w:ilvl w:val="2"/>
          <w:numId w:val="23"/>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乙方或其雇员的行为损害了甲方的利益</w:t>
      </w:r>
      <w:r>
        <w:rPr>
          <w:rFonts w:hint="eastAsia" w:asciiTheme="minorEastAsia" w:hAnsiTheme="minorEastAsia" w:eastAsiaTheme="minorEastAsia"/>
          <w:szCs w:val="21"/>
        </w:rPr>
        <w:t>或</w:t>
      </w:r>
      <w:r>
        <w:rPr>
          <w:rFonts w:asciiTheme="minorEastAsia" w:hAnsiTheme="minorEastAsia" w:eastAsiaTheme="minorEastAsia"/>
          <w:szCs w:val="21"/>
        </w:rPr>
        <w:t>声誉；</w:t>
      </w:r>
    </w:p>
    <w:p>
      <w:pPr>
        <w:numPr>
          <w:ilvl w:val="2"/>
          <w:numId w:val="23"/>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hint="eastAsia" w:asciiTheme="minorEastAsia" w:hAnsiTheme="minorEastAsia" w:eastAsiaTheme="minorEastAsia"/>
          <w:szCs w:val="21"/>
        </w:rPr>
        <w:t>乙方</w:t>
      </w:r>
      <w:r>
        <w:rPr>
          <w:rFonts w:hint="eastAsia" w:ascii="宋体" w:hAnsi="宋体"/>
          <w:szCs w:val="21"/>
        </w:rPr>
        <w:t>违反第11.1条约定的权利保证。</w:t>
      </w:r>
    </w:p>
    <w:p>
      <w:pPr>
        <w:numPr>
          <w:ilvl w:val="1"/>
          <w:numId w:val="22"/>
        </w:numPr>
        <w:tabs>
          <w:tab w:val="left" w:pos="709"/>
          <w:tab w:val="clear" w:pos="840"/>
        </w:tabs>
        <w:adjustRightInd w:val="0"/>
        <w:snapToGrid w:val="0"/>
        <w:spacing w:before="93" w:beforeLines="30" w:after="93" w:afterLines="30" w:line="360" w:lineRule="auto"/>
        <w:ind w:left="709" w:hanging="709"/>
        <w:rPr>
          <w:rFonts w:ascii="宋体" w:hAnsi="宋体"/>
          <w:sz w:val="24"/>
        </w:rPr>
      </w:pPr>
      <w:r>
        <w:rPr>
          <w:rFonts w:asciiTheme="minorEastAsia" w:hAnsiTheme="minorEastAsia" w:eastAsiaTheme="minorEastAsia"/>
          <w:szCs w:val="21"/>
        </w:rPr>
        <w:t>就乙方的上述违约行为</w:t>
      </w:r>
      <w:r>
        <w:rPr>
          <w:rFonts w:hint="eastAsia" w:asciiTheme="minorEastAsia" w:hAnsiTheme="minorEastAsia" w:eastAsiaTheme="minorEastAsia"/>
          <w:szCs w:val="21"/>
        </w:rPr>
        <w:t>，甲方除有权依据本合同第1</w:t>
      </w:r>
      <w:r>
        <w:rPr>
          <w:rFonts w:asciiTheme="minorEastAsia" w:hAnsiTheme="minorEastAsia" w:eastAsiaTheme="minorEastAsia"/>
          <w:szCs w:val="21"/>
        </w:rPr>
        <w:t>2</w:t>
      </w:r>
      <w:r>
        <w:rPr>
          <w:rFonts w:hint="eastAsia" w:asciiTheme="minorEastAsia" w:hAnsiTheme="minorEastAsia" w:eastAsiaTheme="minorEastAsia"/>
          <w:szCs w:val="21"/>
        </w:rPr>
        <w:t>.1款要求乙方承担违约责任外，有权</w:t>
      </w:r>
      <w:r>
        <w:rPr>
          <w:rFonts w:asciiTheme="minorEastAsia" w:hAnsiTheme="minorEastAsia" w:eastAsiaTheme="minorEastAsia"/>
          <w:szCs w:val="21"/>
        </w:rPr>
        <w:t>向乙方出具书面通知，要求乙方进行更正或整改</w:t>
      </w:r>
      <w:r>
        <w:rPr>
          <w:rFonts w:hint="eastAsia" w:asciiTheme="minorEastAsia" w:hAnsiTheme="minorEastAsia" w:eastAsiaTheme="minorEastAsia"/>
          <w:szCs w:val="21"/>
        </w:rPr>
        <w:t>。如</w:t>
      </w:r>
      <w:r>
        <w:rPr>
          <w:rFonts w:asciiTheme="minorEastAsia" w:hAnsiTheme="minorEastAsia" w:eastAsiaTheme="minorEastAsia"/>
          <w:szCs w:val="21"/>
        </w:rPr>
        <w:t>乙方</w:t>
      </w:r>
      <w:r>
        <w:rPr>
          <w:rFonts w:hint="eastAsia" w:asciiTheme="minorEastAsia" w:hAnsiTheme="minorEastAsia" w:eastAsiaTheme="minorEastAsia"/>
          <w:szCs w:val="21"/>
        </w:rPr>
        <w:t>收到该等通知后【五（</w:t>
      </w: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个工作日内未按照甲方要求</w:t>
      </w:r>
      <w:r>
        <w:rPr>
          <w:rFonts w:hint="eastAsia" w:asciiTheme="minorEastAsia" w:hAnsiTheme="minorEastAsia" w:eastAsiaTheme="minorEastAsia"/>
          <w:szCs w:val="21"/>
        </w:rPr>
        <w:t>作出</w:t>
      </w:r>
      <w:r>
        <w:rPr>
          <w:rFonts w:asciiTheme="minorEastAsia" w:hAnsiTheme="minorEastAsia" w:eastAsiaTheme="minorEastAsia"/>
          <w:szCs w:val="21"/>
        </w:rPr>
        <w:t>更正或进行整改的，甲方有权立即</w:t>
      </w:r>
      <w:r>
        <w:rPr>
          <w:rFonts w:hint="eastAsia" w:asciiTheme="minorEastAsia" w:hAnsiTheme="minorEastAsia" w:eastAsiaTheme="minorEastAsia"/>
          <w:szCs w:val="21"/>
        </w:rPr>
        <w:t>解除</w:t>
      </w:r>
      <w:r>
        <w:rPr>
          <w:rFonts w:asciiTheme="minorEastAsia" w:hAnsiTheme="minorEastAsia" w:eastAsiaTheme="minorEastAsia"/>
          <w:szCs w:val="21"/>
        </w:rPr>
        <w:t>本合同，</w:t>
      </w:r>
      <w:r>
        <w:rPr>
          <w:rFonts w:hint="eastAsia" w:asciiTheme="minorEastAsia" w:hAnsiTheme="minorEastAsia" w:eastAsiaTheme="minorEastAsia"/>
          <w:color w:val="FF0000"/>
          <w:szCs w:val="21"/>
        </w:rPr>
        <w:t>乙方应赔偿甲方因此而遭受的超出违约金数额的全部损失。</w:t>
      </w:r>
    </w:p>
    <w:p>
      <w:pPr>
        <w:numPr>
          <w:ilvl w:val="1"/>
          <w:numId w:val="22"/>
        </w:numPr>
        <w:tabs>
          <w:tab w:val="left" w:pos="709"/>
          <w:tab w:val="clear" w:pos="840"/>
        </w:tabs>
        <w:adjustRightInd w:val="0"/>
        <w:snapToGrid w:val="0"/>
        <w:spacing w:before="93" w:beforeLines="30" w:after="93" w:afterLines="30" w:line="360" w:lineRule="auto"/>
        <w:ind w:left="709" w:hanging="709"/>
        <w:rPr>
          <w:rFonts w:hint="eastAsia" w:asciiTheme="minorEastAsia" w:hAnsiTheme="minorEastAsia" w:eastAsiaTheme="minorEastAsia"/>
          <w:color w:val="FF0000"/>
          <w:szCs w:val="21"/>
        </w:rPr>
      </w:pPr>
      <w:r>
        <w:rPr>
          <w:rFonts w:hint="eastAsia" w:asciiTheme="minorEastAsia" w:hAnsiTheme="minorEastAsia" w:eastAsiaTheme="minorEastAsia"/>
          <w:szCs w:val="21"/>
        </w:rPr>
        <w:t>如乙方未能在合同规定的工作期限内完成全部工作，每延期一日，乙方应向甲方支付合同含税总价的</w:t>
      </w:r>
      <w:r>
        <w:rPr>
          <w:rFonts w:hint="eastAsia" w:cs="新宋体-18030" w:asciiTheme="minorEastAsia" w:hAnsiTheme="minorEastAsia" w:eastAsiaTheme="minorEastAsia"/>
          <w:szCs w:val="21"/>
        </w:rPr>
        <w:t>【0</w:t>
      </w:r>
      <w:r>
        <w:rPr>
          <w:rFonts w:cs="新宋体-18030" w:asciiTheme="minorEastAsia" w:hAnsiTheme="minorEastAsia" w:eastAsiaTheme="minorEastAsia"/>
          <w:szCs w:val="21"/>
        </w:rPr>
        <w:t>.</w:t>
      </w:r>
      <w:r>
        <w:rPr>
          <w:rFonts w:hint="eastAsia" w:cs="新宋体-18030" w:asciiTheme="minorEastAsia" w:hAnsiTheme="minorEastAsia" w:eastAsiaTheme="minorEastAsia"/>
          <w:szCs w:val="21"/>
        </w:rPr>
        <w:t>5</w:t>
      </w:r>
      <w:r>
        <w:rPr>
          <w:rFonts w:cs="新宋体-18030" w:asciiTheme="minorEastAsia" w:hAnsiTheme="minorEastAsia" w:eastAsiaTheme="minorEastAsia"/>
          <w:szCs w:val="21"/>
        </w:rPr>
        <w:t>%</w:t>
      </w:r>
      <w:r>
        <w:rPr>
          <w:rFonts w:hint="eastAsia" w:cs="新宋体-18030" w:asciiTheme="minorEastAsia" w:hAnsiTheme="minorEastAsia" w:eastAsiaTheme="minorEastAsia"/>
          <w:szCs w:val="21"/>
        </w:rPr>
        <w:t>】</w:t>
      </w:r>
      <w:r>
        <w:rPr>
          <w:rFonts w:hint="eastAsia" w:asciiTheme="minorEastAsia" w:hAnsiTheme="minorEastAsia" w:eastAsiaTheme="minorEastAsia"/>
          <w:szCs w:val="21"/>
        </w:rPr>
        <w:t>作为延期违约金。如延期超过</w:t>
      </w:r>
      <w:r>
        <w:rPr>
          <w:rFonts w:hint="eastAsia" w:asciiTheme="minorEastAsia" w:hAnsiTheme="minorEastAsia" w:eastAsiaTheme="minorEastAsia"/>
        </w:rPr>
        <w:t>【三十（30）】</w:t>
      </w:r>
      <w:r>
        <w:rPr>
          <w:rFonts w:hint="eastAsia" w:asciiTheme="minorEastAsia" w:hAnsiTheme="minorEastAsia" w:eastAsiaTheme="minorEastAsia"/>
          <w:szCs w:val="21"/>
        </w:rPr>
        <w:t>日，除要求乙方支付违约金外，甲方有权解除本合同，</w:t>
      </w:r>
      <w:r>
        <w:rPr>
          <w:rFonts w:hint="eastAsia" w:asciiTheme="minorEastAsia" w:hAnsiTheme="minorEastAsia" w:eastAsiaTheme="minorEastAsia"/>
          <w:color w:val="FF0000"/>
          <w:szCs w:val="21"/>
        </w:rPr>
        <w:t>并有权要求乙方赔偿甲方因此遭受的超出违约金数额的全部损失。</w:t>
      </w:r>
    </w:p>
    <w:p>
      <w:pPr>
        <w:numPr>
          <w:ilvl w:val="1"/>
          <w:numId w:val="22"/>
        </w:numPr>
        <w:tabs>
          <w:tab w:val="left" w:pos="709"/>
          <w:tab w:val="clear" w:pos="840"/>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asciiTheme="minorEastAsia" w:hAnsiTheme="minorEastAsia" w:eastAsiaTheme="minorEastAsia"/>
          <w:szCs w:val="21"/>
        </w:rPr>
        <w:t>乙方根据本合同的规定应承担违约金或赔偿责任的，甲方有权从合同含税总价余额</w:t>
      </w:r>
      <w:r>
        <w:rPr>
          <w:rFonts w:hint="eastAsia" w:asciiTheme="minorEastAsia" w:hAnsiTheme="minorEastAsia" w:eastAsiaTheme="minorEastAsia"/>
          <w:szCs w:val="21"/>
        </w:rPr>
        <w:t>中直接扣除</w:t>
      </w:r>
      <w:r>
        <w:rPr>
          <w:rFonts w:hint="eastAsia" w:asciiTheme="minorEastAsia" w:hAnsiTheme="minorEastAsia" w:eastAsiaTheme="minorEastAsia"/>
          <w:szCs w:val="21"/>
          <w:lang w:eastAsia="zh-CN"/>
        </w:rPr>
        <w:t>。</w:t>
      </w:r>
    </w:p>
    <w:p>
      <w:pPr>
        <w:numPr>
          <w:ilvl w:val="1"/>
          <w:numId w:val="22"/>
        </w:numPr>
        <w:tabs>
          <w:tab w:val="left" w:pos="709"/>
          <w:tab w:val="clear" w:pos="840"/>
        </w:tabs>
        <w:adjustRightInd w:val="0"/>
        <w:snapToGrid w:val="0"/>
        <w:spacing w:before="93" w:beforeLines="30" w:after="93" w:afterLines="30" w:line="360" w:lineRule="auto"/>
        <w:ind w:left="709" w:hanging="709"/>
        <w:rPr>
          <w:rFonts w:asciiTheme="minorEastAsia" w:hAnsiTheme="minorEastAsia" w:eastAsiaTheme="minorEastAsia"/>
          <w:szCs w:val="21"/>
        </w:rPr>
      </w:pPr>
      <w:r>
        <w:rPr>
          <w:rFonts w:hint="eastAsia" w:asciiTheme="minorEastAsia" w:hAnsiTheme="minorEastAsia" w:eastAsiaTheme="minorEastAsia"/>
          <w:szCs w:val="21"/>
        </w:rPr>
        <w:t>如</w:t>
      </w:r>
      <w:r>
        <w:rPr>
          <w:rFonts w:hint="eastAsia" w:asciiTheme="minorEastAsia" w:hAnsiTheme="minorEastAsia" w:eastAsiaTheme="minorEastAsia"/>
          <w:bCs/>
          <w:szCs w:val="21"/>
        </w:rPr>
        <w:t>仅</w:t>
      </w:r>
      <w:r>
        <w:rPr>
          <w:rFonts w:hint="eastAsia"/>
          <w:szCs w:val="21"/>
        </w:rPr>
        <w:t>因甲方原因，甲方逾期向乙方付款，乙方应向甲方发出书面催款通知，甲方应在收到该等通知后</w:t>
      </w:r>
      <w:r>
        <w:rPr>
          <w:rFonts w:asciiTheme="minorEastAsia" w:hAnsiTheme="minorEastAsia" w:eastAsiaTheme="minorEastAsia"/>
          <w:bCs/>
          <w:szCs w:val="21"/>
        </w:rPr>
        <w:t>【</w:t>
      </w:r>
      <w:r>
        <w:rPr>
          <w:rFonts w:hint="eastAsia" w:asciiTheme="minorEastAsia" w:hAnsiTheme="minorEastAsia" w:eastAsiaTheme="minorEastAsia"/>
          <w:bCs/>
          <w:szCs w:val="21"/>
        </w:rPr>
        <w:t>四十五（4</w:t>
      </w:r>
      <w:r>
        <w:rPr>
          <w:rFonts w:asciiTheme="minorEastAsia" w:hAnsiTheme="minorEastAsia" w:eastAsiaTheme="minorEastAsia"/>
          <w:bCs/>
          <w:szCs w:val="21"/>
        </w:rPr>
        <w:t>5</w:t>
      </w:r>
      <w:r>
        <w:rPr>
          <w:rFonts w:hint="eastAsia" w:asciiTheme="minorEastAsia" w:hAnsiTheme="minorEastAsia" w:eastAsiaTheme="minorEastAsia"/>
          <w:bCs/>
          <w:szCs w:val="21"/>
        </w:rPr>
        <w:t>）</w:t>
      </w:r>
      <w:r>
        <w:rPr>
          <w:rFonts w:asciiTheme="minorEastAsia" w:hAnsiTheme="minorEastAsia" w:eastAsiaTheme="minorEastAsia"/>
          <w:bCs/>
          <w:szCs w:val="21"/>
        </w:rPr>
        <w:t>】</w:t>
      </w:r>
      <w:r>
        <w:rPr>
          <w:rFonts w:hint="eastAsia"/>
          <w:szCs w:val="21"/>
        </w:rPr>
        <w:t>日内付款，否则，即应自该等</w:t>
      </w:r>
      <w:r>
        <w:rPr>
          <w:rFonts w:asciiTheme="minorEastAsia" w:hAnsiTheme="minorEastAsia" w:eastAsiaTheme="minorEastAsia"/>
          <w:bCs/>
          <w:szCs w:val="21"/>
        </w:rPr>
        <w:t>【</w:t>
      </w:r>
      <w:r>
        <w:rPr>
          <w:rFonts w:hint="eastAsia" w:asciiTheme="minorEastAsia" w:hAnsiTheme="minorEastAsia" w:eastAsiaTheme="minorEastAsia"/>
          <w:bCs/>
          <w:szCs w:val="21"/>
        </w:rPr>
        <w:t>四十五（4</w:t>
      </w:r>
      <w:r>
        <w:rPr>
          <w:rFonts w:asciiTheme="minorEastAsia" w:hAnsiTheme="minorEastAsia" w:eastAsiaTheme="minorEastAsia"/>
          <w:bCs/>
          <w:szCs w:val="21"/>
        </w:rPr>
        <w:t>5</w:t>
      </w:r>
      <w:r>
        <w:rPr>
          <w:rFonts w:hint="eastAsia" w:asciiTheme="minorEastAsia" w:hAnsiTheme="minorEastAsia" w:eastAsiaTheme="minorEastAsia"/>
          <w:bCs/>
          <w:szCs w:val="21"/>
        </w:rPr>
        <w:t>）</w:t>
      </w:r>
      <w:r>
        <w:rPr>
          <w:rFonts w:asciiTheme="minorEastAsia" w:hAnsiTheme="minorEastAsia" w:eastAsiaTheme="minorEastAsia"/>
          <w:bCs/>
          <w:szCs w:val="21"/>
        </w:rPr>
        <w:t>】</w:t>
      </w:r>
      <w:r>
        <w:rPr>
          <w:rFonts w:hint="eastAsia"/>
          <w:szCs w:val="21"/>
        </w:rPr>
        <w:t>日期间结束之日起，按</w:t>
      </w:r>
      <w:r>
        <w:rPr>
          <w:rFonts w:ascii="宋体" w:hAnsi="宋体"/>
          <w:szCs w:val="21"/>
        </w:rPr>
        <w:t>照</w:t>
      </w:r>
      <w:r>
        <w:rPr>
          <w:rFonts w:hint="eastAsia" w:ascii="宋体" w:hAnsi="宋体"/>
        </w:rPr>
        <w:t>合同订立时</w:t>
      </w:r>
      <w:r>
        <w:rPr>
          <w:rFonts w:hint="eastAsia" w:asciiTheme="minorEastAsia" w:hAnsiTheme="minorEastAsia" w:eastAsiaTheme="minorEastAsia"/>
          <w:szCs w:val="21"/>
        </w:rPr>
        <w:t>【一（</w:t>
      </w:r>
      <w:r>
        <w:rPr>
          <w:rFonts w:asciiTheme="minorEastAsia" w:hAnsiTheme="minorEastAsia" w:eastAsiaTheme="minorEastAsia"/>
          <w:szCs w:val="21"/>
        </w:rPr>
        <w:t>1</w:t>
      </w:r>
      <w:r>
        <w:rPr>
          <w:rFonts w:hint="eastAsia" w:asciiTheme="minorEastAsia" w:hAnsiTheme="minorEastAsia" w:eastAsiaTheme="minorEastAsia"/>
          <w:szCs w:val="21"/>
        </w:rPr>
        <w:t>）】</w:t>
      </w:r>
      <w:r>
        <w:rPr>
          <w:rFonts w:hint="eastAsia" w:ascii="宋体" w:hAnsi="宋体"/>
        </w:rPr>
        <w:t>年期贷款市场报价利率计算</w:t>
      </w:r>
      <w:r>
        <w:rPr>
          <w:rFonts w:hint="eastAsia"/>
          <w:szCs w:val="21"/>
        </w:rPr>
        <w:t>并支付应付未付合同价款的利息，最高不超过相关应付未付合同价款的</w:t>
      </w:r>
      <w:r>
        <w:rPr>
          <w:rFonts w:hint="eastAsia" w:ascii="宋体" w:hAnsi="宋体"/>
          <w:szCs w:val="21"/>
        </w:rPr>
        <w:t>【</w:t>
      </w:r>
      <w:r>
        <w:rPr>
          <w:rFonts w:ascii="宋体" w:hAnsi="宋体" w:cs="新宋体-18030"/>
          <w:szCs w:val="21"/>
        </w:rPr>
        <w:t>5%</w:t>
      </w:r>
      <w:r>
        <w:rPr>
          <w:rFonts w:hint="eastAsia" w:ascii="宋体" w:hAnsi="宋体"/>
          <w:szCs w:val="21"/>
        </w:rPr>
        <w:t>】</w:t>
      </w:r>
      <w:r>
        <w:rPr>
          <w:rFonts w:hint="eastAsia"/>
          <w:szCs w:val="21"/>
        </w:rPr>
        <w:t>。双方同意，该等利息的支付是甲方就未能如期支付相关合同价款所需承担的全部责任</w:t>
      </w:r>
      <w:r>
        <w:rPr>
          <w:rFonts w:hint="eastAsia"/>
          <w:szCs w:val="21"/>
          <w:lang w:eastAsia="zh-CN"/>
        </w:rPr>
        <w:t>。</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66" w:name="_Toc364839374"/>
      <w:bookmarkStart w:id="67" w:name="_Toc299912679"/>
      <w:bookmarkStart w:id="68" w:name="_Toc299915694"/>
      <w:r>
        <w:rPr>
          <w:rFonts w:asciiTheme="minorEastAsia" w:hAnsiTheme="minorEastAsia" w:eastAsiaTheme="minorEastAsia"/>
          <w:bCs w:val="0"/>
          <w:sz w:val="21"/>
          <w:szCs w:val="21"/>
        </w:rPr>
        <w:t>合同</w:t>
      </w:r>
      <w:bookmarkStart w:id="69" w:name="OLE_LINK3"/>
      <w:r>
        <w:rPr>
          <w:rFonts w:hint="eastAsia" w:asciiTheme="minorEastAsia" w:hAnsiTheme="minorEastAsia" w:eastAsiaTheme="minorEastAsia"/>
          <w:sz w:val="21"/>
          <w:szCs w:val="21"/>
        </w:rPr>
        <w:t>的解除和</w:t>
      </w:r>
      <w:r>
        <w:rPr>
          <w:rFonts w:asciiTheme="minorEastAsia" w:hAnsiTheme="minorEastAsia" w:eastAsiaTheme="minorEastAsia"/>
          <w:sz w:val="21"/>
          <w:szCs w:val="21"/>
        </w:rPr>
        <w:t>终</w:t>
      </w:r>
      <w:bookmarkEnd w:id="69"/>
      <w:r>
        <w:rPr>
          <w:rFonts w:asciiTheme="minorEastAsia" w:hAnsiTheme="minorEastAsia" w:eastAsiaTheme="minorEastAsia"/>
          <w:sz w:val="21"/>
          <w:szCs w:val="21"/>
        </w:rPr>
        <w:t>止</w:t>
      </w:r>
      <w:bookmarkEnd w:id="66"/>
      <w:bookmarkEnd w:id="67"/>
      <w:bookmarkEnd w:id="68"/>
    </w:p>
    <w:p>
      <w:pPr>
        <w:pStyle w:val="42"/>
        <w:numPr>
          <w:ilvl w:val="0"/>
          <w:numId w:val="24"/>
        </w:numPr>
        <w:autoSpaceDE w:val="0"/>
        <w:autoSpaceDN w:val="0"/>
        <w:adjustRightInd w:val="0"/>
        <w:snapToGrid w:val="0"/>
        <w:spacing w:before="93" w:beforeLines="30" w:after="93" w:afterLines="30" w:line="360" w:lineRule="auto"/>
        <w:ind w:left="709" w:hanging="709"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如发生以下任一情形，经书面通知乙方，甲方有权解除本合同：</w:t>
      </w:r>
    </w:p>
    <w:p>
      <w:pPr>
        <w:widowControl/>
        <w:numPr>
          <w:ilvl w:val="0"/>
          <w:numId w:val="25"/>
        </w:numPr>
        <w:adjustRightInd w:val="0"/>
        <w:snapToGrid w:val="0"/>
        <w:spacing w:before="93" w:beforeLines="30" w:after="93" w:afterLines="30" w:line="360" w:lineRule="auto"/>
        <w:ind w:left="1276" w:hanging="567"/>
        <w:jc w:val="left"/>
        <w:rPr>
          <w:rFonts w:asciiTheme="minorEastAsia" w:hAnsiTheme="minorEastAsia" w:eastAsiaTheme="minorEastAsia"/>
          <w:szCs w:val="21"/>
        </w:rPr>
      </w:pPr>
      <w:r>
        <w:rPr>
          <w:rFonts w:hint="eastAsia" w:asciiTheme="minorEastAsia" w:hAnsiTheme="minorEastAsia" w:eastAsiaTheme="minorEastAsia"/>
          <w:szCs w:val="21"/>
        </w:rPr>
        <w:t>本合同明确规定甲方有权解除合同的情形；</w:t>
      </w:r>
    </w:p>
    <w:p>
      <w:pPr>
        <w:widowControl/>
        <w:numPr>
          <w:ilvl w:val="0"/>
          <w:numId w:val="25"/>
        </w:numPr>
        <w:adjustRightInd w:val="0"/>
        <w:snapToGrid w:val="0"/>
        <w:spacing w:before="93" w:beforeLines="30" w:after="93" w:afterLines="30" w:line="360" w:lineRule="auto"/>
        <w:ind w:left="1276" w:hanging="567"/>
        <w:jc w:val="left"/>
        <w:rPr>
          <w:rFonts w:asciiTheme="minorEastAsia" w:hAnsiTheme="minorEastAsia" w:eastAsiaTheme="minorEastAsia"/>
          <w:szCs w:val="21"/>
        </w:rPr>
      </w:pPr>
      <w:r>
        <w:rPr>
          <w:rFonts w:asciiTheme="minorEastAsia" w:hAnsiTheme="minorEastAsia" w:eastAsiaTheme="minorEastAsia"/>
          <w:szCs w:val="21"/>
        </w:rPr>
        <w:t>乙方破产、资不抵债、停业清理、解散、被兼并、被查封</w:t>
      </w:r>
      <w:r>
        <w:rPr>
          <w:rFonts w:hint="eastAsia" w:asciiTheme="minorEastAsia" w:hAnsiTheme="minorEastAsia" w:eastAsiaTheme="minorEastAsia"/>
          <w:szCs w:val="21"/>
        </w:rPr>
        <w:t>；</w:t>
      </w:r>
    </w:p>
    <w:p>
      <w:pPr>
        <w:widowControl/>
        <w:numPr>
          <w:ilvl w:val="0"/>
          <w:numId w:val="25"/>
        </w:numPr>
        <w:adjustRightInd w:val="0"/>
        <w:snapToGrid w:val="0"/>
        <w:spacing w:before="93" w:beforeLines="30" w:after="93" w:afterLines="30" w:line="360" w:lineRule="auto"/>
        <w:ind w:left="1276" w:hanging="567"/>
        <w:jc w:val="left"/>
        <w:rPr>
          <w:rFonts w:asciiTheme="minorEastAsia" w:hAnsiTheme="minorEastAsia" w:eastAsiaTheme="minorEastAsia"/>
          <w:szCs w:val="21"/>
        </w:rPr>
      </w:pPr>
      <w:r>
        <w:rPr>
          <w:rFonts w:asciiTheme="minorEastAsia" w:hAnsiTheme="minorEastAsia" w:eastAsiaTheme="minorEastAsia"/>
          <w:szCs w:val="21"/>
        </w:rPr>
        <w:t>乙方</w:t>
      </w:r>
      <w:r>
        <w:rPr>
          <w:rFonts w:hint="eastAsia" w:asciiTheme="minorEastAsia" w:hAnsiTheme="minorEastAsia" w:eastAsiaTheme="minorEastAsia"/>
          <w:szCs w:val="21"/>
        </w:rPr>
        <w:t>有其它严重违约行为</w:t>
      </w:r>
      <w:r>
        <w:rPr>
          <w:rFonts w:asciiTheme="minorEastAsia" w:hAnsiTheme="minorEastAsia" w:eastAsiaTheme="minorEastAsia"/>
          <w:szCs w:val="21"/>
        </w:rPr>
        <w:t>，</w:t>
      </w:r>
      <w:r>
        <w:rPr>
          <w:rFonts w:hint="eastAsia" w:asciiTheme="minorEastAsia" w:hAnsiTheme="minorEastAsia" w:eastAsiaTheme="minorEastAsia"/>
          <w:szCs w:val="21"/>
        </w:rPr>
        <w:t>且未在甲方要求的合理期限内纠正；</w:t>
      </w:r>
    </w:p>
    <w:p>
      <w:pPr>
        <w:widowControl/>
        <w:numPr>
          <w:ilvl w:val="0"/>
          <w:numId w:val="25"/>
        </w:numPr>
        <w:adjustRightInd w:val="0"/>
        <w:snapToGrid w:val="0"/>
        <w:spacing w:before="93" w:beforeLines="30" w:after="93" w:afterLines="30" w:line="360" w:lineRule="auto"/>
        <w:ind w:left="1276" w:hanging="567"/>
        <w:jc w:val="left"/>
        <w:rPr>
          <w:rFonts w:asciiTheme="minorEastAsia" w:hAnsiTheme="minorEastAsia" w:eastAsiaTheme="minorEastAsia"/>
          <w:szCs w:val="21"/>
        </w:rPr>
      </w:pPr>
      <w:r>
        <w:rPr>
          <w:rFonts w:hint="eastAsia" w:asciiTheme="minorEastAsia" w:hAnsiTheme="minorEastAsia" w:eastAsiaTheme="minorEastAsia"/>
          <w:szCs w:val="21"/>
        </w:rPr>
        <w:t>不可抗力</w:t>
      </w:r>
      <w:r>
        <w:rPr>
          <w:rFonts w:asciiTheme="minorEastAsia" w:hAnsiTheme="minorEastAsia" w:eastAsiaTheme="minorEastAsia"/>
          <w:szCs w:val="21"/>
        </w:rPr>
        <w:t>持续超过【</w:t>
      </w:r>
      <w:r>
        <w:rPr>
          <w:rFonts w:hint="eastAsia" w:asciiTheme="minorEastAsia" w:hAnsiTheme="minorEastAsia" w:eastAsiaTheme="minorEastAsia"/>
          <w:szCs w:val="21"/>
        </w:rPr>
        <w:t>六十（60）</w:t>
      </w:r>
      <w:r>
        <w:rPr>
          <w:rFonts w:asciiTheme="minorEastAsia" w:hAnsiTheme="minorEastAsia" w:eastAsiaTheme="minorEastAsia"/>
          <w:szCs w:val="21"/>
        </w:rPr>
        <w:t>】</w:t>
      </w:r>
      <w:r>
        <w:rPr>
          <w:rFonts w:hint="eastAsia" w:asciiTheme="minorEastAsia" w:hAnsiTheme="minorEastAsia" w:eastAsiaTheme="minorEastAsia"/>
          <w:szCs w:val="21"/>
        </w:rPr>
        <w:t>日。</w:t>
      </w:r>
    </w:p>
    <w:p>
      <w:pPr>
        <w:pStyle w:val="42"/>
        <w:numPr>
          <w:ilvl w:val="0"/>
          <w:numId w:val="24"/>
        </w:numPr>
        <w:autoSpaceDE w:val="0"/>
        <w:autoSpaceDN w:val="0"/>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如因</w:t>
      </w:r>
      <w:r>
        <w:rPr>
          <w:rFonts w:hint="eastAsia" w:ascii="宋体" w:hAnsi="宋体"/>
          <w:szCs w:val="21"/>
        </w:rPr>
        <w:t>乙方违约甲方解除本合同的，乙</w:t>
      </w:r>
      <w:r>
        <w:rPr>
          <w:rFonts w:ascii="宋体" w:hAnsi="宋体"/>
          <w:szCs w:val="21"/>
        </w:rPr>
        <w:t>方应退回甲方已经支付的</w:t>
      </w:r>
      <w:r>
        <w:rPr>
          <w:rFonts w:hint="eastAsia" w:ascii="宋体" w:hAnsi="宋体"/>
          <w:szCs w:val="21"/>
        </w:rPr>
        <w:t>全部款项，并根据本合同约定支付违约金，</w:t>
      </w:r>
      <w:r>
        <w:rPr>
          <w:rFonts w:hint="eastAsia" w:ascii="宋体" w:hAnsi="宋体"/>
          <w:color w:val="FF0000"/>
          <w:szCs w:val="21"/>
        </w:rPr>
        <w:t>并且甲方有权要求乙方赔偿其因此遭受的超出违约金数额的全部损失。</w:t>
      </w:r>
      <w:r>
        <w:rPr>
          <w:rFonts w:ascii="宋体" w:hAnsi="宋体"/>
          <w:szCs w:val="21"/>
        </w:rPr>
        <w:t>甲方</w:t>
      </w:r>
      <w:r>
        <w:rPr>
          <w:rFonts w:hint="eastAsia" w:ascii="宋体" w:hAnsi="宋体"/>
          <w:szCs w:val="21"/>
        </w:rPr>
        <w:t>有权以</w:t>
      </w:r>
      <w:r>
        <w:rPr>
          <w:rFonts w:ascii="宋体" w:hAnsi="宋体"/>
          <w:szCs w:val="21"/>
        </w:rPr>
        <w:t>适当的条件和方式</w:t>
      </w:r>
      <w:r>
        <w:rPr>
          <w:rFonts w:hint="eastAsia" w:ascii="宋体" w:hAnsi="宋体"/>
          <w:szCs w:val="21"/>
        </w:rPr>
        <w:t>购买</w:t>
      </w:r>
      <w:r>
        <w:rPr>
          <w:rFonts w:ascii="宋体" w:hAnsi="宋体"/>
          <w:szCs w:val="21"/>
        </w:rPr>
        <w:t>与</w:t>
      </w:r>
      <w:r>
        <w:rPr>
          <w:rFonts w:hint="eastAsia" w:ascii="宋体" w:hAnsi="宋体"/>
          <w:szCs w:val="21"/>
        </w:rPr>
        <w:t>本合同项下同等服务</w:t>
      </w:r>
      <w:r>
        <w:rPr>
          <w:rFonts w:ascii="宋体" w:hAnsi="宋体"/>
          <w:szCs w:val="21"/>
        </w:rPr>
        <w:t>，</w:t>
      </w:r>
      <w:r>
        <w:rPr>
          <w:rFonts w:hint="eastAsia" w:ascii="宋体" w:hAnsi="宋体"/>
          <w:szCs w:val="21"/>
        </w:rPr>
        <w:t>甲方</w:t>
      </w:r>
      <w:r>
        <w:rPr>
          <w:rFonts w:ascii="宋体" w:hAnsi="宋体"/>
          <w:szCs w:val="21"/>
        </w:rPr>
        <w:t>购买</w:t>
      </w:r>
      <w:r>
        <w:rPr>
          <w:rFonts w:hint="eastAsia" w:ascii="宋体" w:hAnsi="宋体"/>
          <w:szCs w:val="21"/>
        </w:rPr>
        <w:t>同等服务的差额费用包含在甲方损失范围内</w:t>
      </w:r>
      <w:r>
        <w:rPr>
          <w:rFonts w:asciiTheme="minorEastAsia" w:hAnsiTheme="minorEastAsia" w:eastAsiaTheme="minorEastAsia"/>
          <w:szCs w:val="21"/>
        </w:rPr>
        <w:t>。</w:t>
      </w:r>
    </w:p>
    <w:p>
      <w:pPr>
        <w:pStyle w:val="42"/>
        <w:numPr>
          <w:ilvl w:val="0"/>
          <w:numId w:val="24"/>
        </w:numPr>
        <w:autoSpaceDE w:val="0"/>
        <w:autoSpaceDN w:val="0"/>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无论基于何种原因，经</w:t>
      </w:r>
      <w:r>
        <w:rPr>
          <w:rFonts w:asciiTheme="minorEastAsia" w:hAnsiTheme="minorEastAsia" w:eastAsiaTheme="minorEastAsia"/>
          <w:szCs w:val="21"/>
        </w:rPr>
        <w:t>提前</w:t>
      </w:r>
      <w:r>
        <w:rPr>
          <w:rFonts w:hint="eastAsia" w:asciiTheme="minorEastAsia" w:hAnsiTheme="minorEastAsia" w:eastAsiaTheme="minorEastAsia"/>
        </w:rPr>
        <w:t>【十（10）】</w:t>
      </w:r>
      <w:r>
        <w:rPr>
          <w:rFonts w:hint="eastAsia" w:asciiTheme="minorEastAsia" w:hAnsiTheme="minorEastAsia" w:eastAsiaTheme="minorEastAsia"/>
          <w:szCs w:val="21"/>
        </w:rPr>
        <w:t>日</w:t>
      </w:r>
      <w:r>
        <w:rPr>
          <w:rFonts w:asciiTheme="minorEastAsia" w:hAnsiTheme="minorEastAsia" w:eastAsiaTheme="minorEastAsia"/>
          <w:szCs w:val="21"/>
        </w:rPr>
        <w:t>书面通知</w:t>
      </w:r>
      <w:r>
        <w:rPr>
          <w:rFonts w:hint="eastAsia" w:asciiTheme="minorEastAsia" w:hAnsiTheme="minorEastAsia" w:eastAsiaTheme="minorEastAsia"/>
          <w:szCs w:val="21"/>
        </w:rPr>
        <w:t>乙方</w:t>
      </w:r>
      <w:r>
        <w:rPr>
          <w:rFonts w:asciiTheme="minorEastAsia" w:hAnsiTheme="minorEastAsia" w:eastAsiaTheme="minorEastAsia"/>
          <w:szCs w:val="21"/>
        </w:rPr>
        <w:t>，甲方有权随时</w:t>
      </w:r>
      <w:r>
        <w:rPr>
          <w:rFonts w:hint="eastAsia" w:asciiTheme="minorEastAsia" w:hAnsiTheme="minorEastAsia" w:eastAsiaTheme="minorEastAsia"/>
          <w:szCs w:val="21"/>
        </w:rPr>
        <w:t>终止本</w:t>
      </w:r>
      <w:r>
        <w:rPr>
          <w:rFonts w:asciiTheme="minorEastAsia" w:hAnsiTheme="minorEastAsia" w:eastAsiaTheme="minorEastAsia"/>
          <w:szCs w:val="21"/>
        </w:rPr>
        <w:t>合同。乙方</w:t>
      </w:r>
      <w:r>
        <w:rPr>
          <w:rFonts w:hint="eastAsia" w:asciiTheme="minorEastAsia" w:hAnsiTheme="minorEastAsia" w:eastAsiaTheme="minorEastAsia"/>
          <w:szCs w:val="21"/>
        </w:rPr>
        <w:t>收到</w:t>
      </w:r>
      <w:r>
        <w:rPr>
          <w:rFonts w:asciiTheme="minorEastAsia" w:hAnsiTheme="minorEastAsia" w:eastAsiaTheme="minorEastAsia"/>
          <w:szCs w:val="21"/>
        </w:rPr>
        <w:t>甲方</w:t>
      </w:r>
      <w:r>
        <w:rPr>
          <w:rFonts w:hint="eastAsia" w:asciiTheme="minorEastAsia" w:hAnsiTheme="minorEastAsia" w:eastAsiaTheme="minorEastAsia"/>
          <w:szCs w:val="21"/>
        </w:rPr>
        <w:t>终止</w:t>
      </w:r>
      <w:r>
        <w:rPr>
          <w:rFonts w:asciiTheme="minorEastAsia" w:hAnsiTheme="minorEastAsia" w:eastAsiaTheme="minorEastAsia"/>
          <w:szCs w:val="21"/>
        </w:rPr>
        <w:t>合同的</w:t>
      </w:r>
      <w:r>
        <w:rPr>
          <w:rFonts w:hint="eastAsia" w:asciiTheme="minorEastAsia" w:hAnsiTheme="minorEastAsia" w:eastAsiaTheme="minorEastAsia"/>
          <w:szCs w:val="21"/>
        </w:rPr>
        <w:t>书面</w:t>
      </w:r>
      <w:r>
        <w:rPr>
          <w:rFonts w:asciiTheme="minorEastAsia" w:hAnsiTheme="minorEastAsia" w:eastAsiaTheme="minorEastAsia"/>
          <w:szCs w:val="21"/>
        </w:rPr>
        <w:t>通知</w:t>
      </w:r>
      <w:r>
        <w:rPr>
          <w:rFonts w:hint="eastAsia" w:asciiTheme="minorEastAsia" w:hAnsiTheme="minorEastAsia" w:eastAsiaTheme="minorEastAsia"/>
          <w:szCs w:val="21"/>
        </w:rPr>
        <w:t>后，</w:t>
      </w:r>
      <w:r>
        <w:rPr>
          <w:rFonts w:asciiTheme="minorEastAsia" w:hAnsiTheme="minorEastAsia" w:eastAsiaTheme="minorEastAsia"/>
          <w:szCs w:val="21"/>
        </w:rPr>
        <w:t>应立即停止</w:t>
      </w:r>
      <w:r>
        <w:rPr>
          <w:rFonts w:hint="eastAsia" w:asciiTheme="minorEastAsia" w:hAnsiTheme="minorEastAsia" w:eastAsiaTheme="minorEastAsia"/>
          <w:szCs w:val="21"/>
        </w:rPr>
        <w:t>实施与</w:t>
      </w:r>
      <w:r>
        <w:rPr>
          <w:rFonts w:asciiTheme="minorEastAsia" w:hAnsiTheme="minorEastAsia" w:eastAsiaTheme="minorEastAsia"/>
          <w:szCs w:val="21"/>
        </w:rPr>
        <w:t>本合同</w:t>
      </w:r>
      <w:r>
        <w:rPr>
          <w:rFonts w:hint="eastAsia" w:asciiTheme="minorEastAsia" w:hAnsiTheme="minorEastAsia" w:eastAsiaTheme="minorEastAsia"/>
          <w:szCs w:val="21"/>
        </w:rPr>
        <w:t>有</w:t>
      </w:r>
      <w:r>
        <w:rPr>
          <w:rFonts w:asciiTheme="minorEastAsia" w:hAnsiTheme="minorEastAsia" w:eastAsiaTheme="minorEastAsia"/>
          <w:szCs w:val="21"/>
        </w:rPr>
        <w:t>关的工作</w:t>
      </w:r>
      <w:r>
        <w:rPr>
          <w:rFonts w:hint="eastAsia" w:asciiTheme="minorEastAsia" w:hAnsiTheme="minorEastAsia" w:eastAsiaTheme="minorEastAsia"/>
          <w:szCs w:val="21"/>
        </w:rPr>
        <w:t>，</w:t>
      </w:r>
      <w:r>
        <w:rPr>
          <w:rFonts w:asciiTheme="minorEastAsia" w:hAnsiTheme="minorEastAsia" w:eastAsiaTheme="minorEastAsia"/>
          <w:szCs w:val="21"/>
        </w:rPr>
        <w:t>并对</w:t>
      </w:r>
      <w:r>
        <w:rPr>
          <w:rFonts w:hint="eastAsia" w:asciiTheme="minorEastAsia" w:hAnsiTheme="minorEastAsia" w:eastAsiaTheme="minorEastAsia"/>
          <w:szCs w:val="21"/>
        </w:rPr>
        <w:t>已履行</w:t>
      </w:r>
      <w:r>
        <w:rPr>
          <w:rFonts w:asciiTheme="minorEastAsia" w:hAnsiTheme="minorEastAsia" w:eastAsiaTheme="minorEastAsia"/>
          <w:szCs w:val="21"/>
        </w:rPr>
        <w:t>的</w:t>
      </w:r>
      <w:r>
        <w:rPr>
          <w:rFonts w:hint="eastAsia" w:asciiTheme="minorEastAsia" w:hAnsiTheme="minorEastAsia" w:eastAsiaTheme="minorEastAsia"/>
          <w:szCs w:val="21"/>
        </w:rPr>
        <w:t>部分</w:t>
      </w:r>
      <w:r>
        <w:rPr>
          <w:rFonts w:asciiTheme="minorEastAsia" w:hAnsiTheme="minorEastAsia" w:eastAsiaTheme="minorEastAsia"/>
          <w:szCs w:val="21"/>
        </w:rPr>
        <w:t>进行结算。甲方收到乙方的结算</w:t>
      </w:r>
      <w:r>
        <w:rPr>
          <w:rFonts w:hint="eastAsia" w:asciiTheme="minorEastAsia" w:hAnsiTheme="minorEastAsia" w:eastAsiaTheme="minorEastAsia"/>
          <w:szCs w:val="21"/>
        </w:rPr>
        <w:t>要求</w:t>
      </w:r>
      <w:r>
        <w:rPr>
          <w:rFonts w:asciiTheme="minorEastAsia" w:hAnsiTheme="minorEastAsia" w:eastAsiaTheme="minorEastAsia"/>
          <w:szCs w:val="21"/>
        </w:rPr>
        <w:t>后，</w:t>
      </w:r>
      <w:r>
        <w:rPr>
          <w:rFonts w:hint="eastAsia" w:asciiTheme="minorEastAsia" w:hAnsiTheme="minorEastAsia" w:eastAsiaTheme="minorEastAsia"/>
          <w:szCs w:val="21"/>
        </w:rPr>
        <w:t>应</w:t>
      </w:r>
      <w:r>
        <w:rPr>
          <w:rFonts w:asciiTheme="minorEastAsia" w:hAnsiTheme="minorEastAsia" w:eastAsiaTheme="minorEastAsia"/>
          <w:szCs w:val="21"/>
        </w:rPr>
        <w:t>与乙方协商结算</w:t>
      </w:r>
      <w:r>
        <w:rPr>
          <w:rFonts w:hint="eastAsia" w:asciiTheme="minorEastAsia" w:hAnsiTheme="minorEastAsia" w:eastAsiaTheme="minorEastAsia"/>
          <w:szCs w:val="21"/>
        </w:rPr>
        <w:t>数额、</w:t>
      </w:r>
      <w:r>
        <w:rPr>
          <w:rFonts w:asciiTheme="minorEastAsia" w:hAnsiTheme="minorEastAsia" w:eastAsiaTheme="minorEastAsia"/>
          <w:szCs w:val="21"/>
        </w:rPr>
        <w:t>因甲方终止合同</w:t>
      </w:r>
      <w:r>
        <w:rPr>
          <w:rFonts w:hint="eastAsia" w:asciiTheme="minorEastAsia" w:hAnsiTheme="minorEastAsia" w:eastAsiaTheme="minorEastAsia"/>
          <w:szCs w:val="21"/>
        </w:rPr>
        <w:t>需向</w:t>
      </w:r>
      <w:r>
        <w:rPr>
          <w:rFonts w:asciiTheme="minorEastAsia" w:hAnsiTheme="minorEastAsia" w:eastAsiaTheme="minorEastAsia"/>
          <w:szCs w:val="21"/>
        </w:rPr>
        <w:t>乙方</w:t>
      </w:r>
      <w:r>
        <w:rPr>
          <w:rFonts w:hint="eastAsia" w:asciiTheme="minorEastAsia" w:hAnsiTheme="minorEastAsia" w:eastAsiaTheme="minorEastAsia"/>
          <w:szCs w:val="21"/>
        </w:rPr>
        <w:t>支付</w:t>
      </w:r>
      <w:r>
        <w:rPr>
          <w:rFonts w:asciiTheme="minorEastAsia" w:hAnsiTheme="minorEastAsia" w:eastAsiaTheme="minorEastAsia"/>
          <w:szCs w:val="21"/>
        </w:rPr>
        <w:t>的补偿</w:t>
      </w:r>
      <w:r>
        <w:rPr>
          <w:rFonts w:hint="eastAsia" w:asciiTheme="minorEastAsia" w:hAnsiTheme="minorEastAsia" w:eastAsiaTheme="minorEastAsia"/>
          <w:szCs w:val="21"/>
        </w:rPr>
        <w:t>款等事项</w:t>
      </w:r>
      <w:r>
        <w:rPr>
          <w:rFonts w:asciiTheme="minorEastAsia" w:hAnsiTheme="minorEastAsia" w:eastAsiaTheme="minorEastAsia"/>
          <w:szCs w:val="21"/>
        </w:rPr>
        <w:t>。</w:t>
      </w:r>
      <w:r>
        <w:rPr>
          <w:rFonts w:hint="eastAsia" w:asciiTheme="minorEastAsia" w:hAnsiTheme="minorEastAsia" w:eastAsiaTheme="minorEastAsia"/>
          <w:szCs w:val="21"/>
        </w:rPr>
        <w:t>甲方因终止合同向</w:t>
      </w:r>
      <w:r>
        <w:rPr>
          <w:rFonts w:asciiTheme="minorEastAsia" w:hAnsiTheme="minorEastAsia" w:eastAsiaTheme="minorEastAsia"/>
          <w:szCs w:val="21"/>
        </w:rPr>
        <w:t>乙方</w:t>
      </w:r>
      <w:r>
        <w:rPr>
          <w:rFonts w:hint="eastAsia" w:asciiTheme="minorEastAsia" w:hAnsiTheme="minorEastAsia" w:eastAsiaTheme="minorEastAsia"/>
          <w:szCs w:val="21"/>
        </w:rPr>
        <w:t>支付的补偿款以乙方为</w:t>
      </w:r>
      <w:r>
        <w:rPr>
          <w:rFonts w:asciiTheme="minorEastAsia" w:hAnsiTheme="minorEastAsia" w:eastAsiaTheme="minorEastAsia"/>
          <w:szCs w:val="21"/>
        </w:rPr>
        <w:t>履行合同已</w:t>
      </w:r>
      <w:r>
        <w:rPr>
          <w:rFonts w:hint="eastAsia" w:asciiTheme="minorEastAsia" w:hAnsiTheme="minorEastAsia" w:eastAsiaTheme="minorEastAsia"/>
          <w:szCs w:val="21"/>
        </w:rPr>
        <w:t>实际</w:t>
      </w:r>
      <w:r>
        <w:rPr>
          <w:rFonts w:asciiTheme="minorEastAsia" w:hAnsiTheme="minorEastAsia" w:eastAsiaTheme="minorEastAsia"/>
          <w:szCs w:val="21"/>
        </w:rPr>
        <w:t>发生</w:t>
      </w:r>
      <w:r>
        <w:rPr>
          <w:rFonts w:hint="eastAsia" w:asciiTheme="minorEastAsia" w:hAnsiTheme="minorEastAsia" w:eastAsiaTheme="minorEastAsia"/>
          <w:szCs w:val="21"/>
        </w:rPr>
        <w:t>的</w:t>
      </w:r>
      <w:r>
        <w:rPr>
          <w:rFonts w:asciiTheme="minorEastAsia" w:hAnsiTheme="minorEastAsia" w:eastAsiaTheme="minorEastAsia"/>
          <w:szCs w:val="21"/>
        </w:rPr>
        <w:t>直接、合理费用</w:t>
      </w:r>
      <w:r>
        <w:rPr>
          <w:rFonts w:hint="eastAsia" w:asciiTheme="minorEastAsia" w:hAnsiTheme="minorEastAsia" w:eastAsiaTheme="minorEastAsia"/>
          <w:szCs w:val="21"/>
        </w:rPr>
        <w:t>为限。如甲方</w:t>
      </w:r>
      <w:r>
        <w:rPr>
          <w:rFonts w:asciiTheme="minorEastAsia" w:hAnsiTheme="minorEastAsia" w:eastAsiaTheme="minorEastAsia"/>
          <w:szCs w:val="21"/>
        </w:rPr>
        <w:t>已支付的合同</w:t>
      </w:r>
      <w:r>
        <w:rPr>
          <w:rFonts w:hint="eastAsia" w:asciiTheme="minorEastAsia" w:hAnsiTheme="minorEastAsia" w:eastAsiaTheme="minorEastAsia"/>
          <w:szCs w:val="21"/>
        </w:rPr>
        <w:t>价款</w:t>
      </w:r>
      <w:r>
        <w:rPr>
          <w:rFonts w:asciiTheme="minorEastAsia" w:hAnsiTheme="minorEastAsia" w:eastAsiaTheme="minorEastAsia"/>
          <w:szCs w:val="21"/>
        </w:rPr>
        <w:t>不足以涵盖该等费用，经乙方提供证明文件</w:t>
      </w:r>
      <w:r>
        <w:rPr>
          <w:rFonts w:hint="eastAsia" w:asciiTheme="minorEastAsia" w:hAnsiTheme="minorEastAsia" w:eastAsiaTheme="minorEastAsia"/>
          <w:szCs w:val="21"/>
        </w:rPr>
        <w:t>后</w:t>
      </w:r>
      <w:r>
        <w:rPr>
          <w:rFonts w:asciiTheme="minorEastAsia" w:hAnsiTheme="minorEastAsia" w:eastAsiaTheme="minorEastAsia"/>
          <w:szCs w:val="21"/>
        </w:rPr>
        <w:t>，甲方应向乙方支付差额部分</w:t>
      </w:r>
      <w:r>
        <w:rPr>
          <w:rFonts w:hint="eastAsia" w:asciiTheme="minorEastAsia" w:hAnsiTheme="minorEastAsia" w:eastAsiaTheme="minorEastAsia"/>
          <w:szCs w:val="21"/>
        </w:rPr>
        <w:t>。</w:t>
      </w:r>
      <w:r>
        <w:rPr>
          <w:rFonts w:asciiTheme="minorEastAsia" w:hAnsiTheme="minorEastAsia" w:eastAsiaTheme="minorEastAsia"/>
          <w:szCs w:val="21"/>
        </w:rPr>
        <w:t>但是，如甲方已支付的合同</w:t>
      </w:r>
      <w:r>
        <w:rPr>
          <w:rFonts w:hint="eastAsia" w:asciiTheme="minorEastAsia" w:hAnsiTheme="minorEastAsia" w:eastAsiaTheme="minorEastAsia"/>
          <w:szCs w:val="21"/>
        </w:rPr>
        <w:t>价款</w:t>
      </w:r>
      <w:r>
        <w:rPr>
          <w:rFonts w:asciiTheme="minorEastAsia" w:hAnsiTheme="minorEastAsia" w:eastAsiaTheme="minorEastAsia"/>
          <w:szCs w:val="21"/>
        </w:rPr>
        <w:t>超过该等费用，乙方应向甲方</w:t>
      </w:r>
      <w:r>
        <w:rPr>
          <w:rFonts w:hint="eastAsia" w:asciiTheme="minorEastAsia" w:hAnsiTheme="minorEastAsia" w:eastAsiaTheme="minorEastAsia"/>
          <w:szCs w:val="21"/>
        </w:rPr>
        <w:t>返还超</w:t>
      </w:r>
      <w:r>
        <w:rPr>
          <w:rFonts w:asciiTheme="minorEastAsia" w:hAnsiTheme="minorEastAsia" w:eastAsiaTheme="minorEastAsia"/>
          <w:szCs w:val="21"/>
        </w:rPr>
        <w:t>额部分</w:t>
      </w:r>
      <w:r>
        <w:rPr>
          <w:rFonts w:hint="eastAsia" w:asciiTheme="minorEastAsia" w:hAnsiTheme="minorEastAsia" w:eastAsiaTheme="minorEastAsia"/>
          <w:szCs w:val="21"/>
        </w:rPr>
        <w:t>。</w:t>
      </w:r>
      <w:r>
        <w:rPr>
          <w:rFonts w:asciiTheme="minorEastAsia" w:hAnsiTheme="minorEastAsia" w:eastAsiaTheme="minorEastAsia"/>
          <w:szCs w:val="21"/>
        </w:rPr>
        <w:t>甲方向乙方支付的</w:t>
      </w:r>
      <w:r>
        <w:rPr>
          <w:rFonts w:hint="eastAsia" w:asciiTheme="minorEastAsia" w:hAnsiTheme="minorEastAsia" w:eastAsiaTheme="minorEastAsia"/>
          <w:szCs w:val="21"/>
        </w:rPr>
        <w:t>该等补偿款</w:t>
      </w:r>
      <w:r>
        <w:rPr>
          <w:rFonts w:asciiTheme="minorEastAsia" w:hAnsiTheme="minorEastAsia" w:eastAsiaTheme="minorEastAsia"/>
          <w:szCs w:val="21"/>
        </w:rPr>
        <w:t>系甲方</w:t>
      </w:r>
      <w:r>
        <w:rPr>
          <w:rFonts w:hint="eastAsia" w:asciiTheme="minorEastAsia" w:hAnsiTheme="minorEastAsia" w:eastAsiaTheme="minorEastAsia"/>
          <w:szCs w:val="21"/>
        </w:rPr>
        <w:t>根据本款规定</w:t>
      </w:r>
      <w:r>
        <w:rPr>
          <w:rFonts w:asciiTheme="minorEastAsia" w:hAnsiTheme="minorEastAsia" w:eastAsiaTheme="minorEastAsia"/>
          <w:szCs w:val="21"/>
        </w:rPr>
        <w:t>终止合同时</w:t>
      </w:r>
      <w:r>
        <w:rPr>
          <w:rFonts w:hint="eastAsia" w:asciiTheme="minorEastAsia" w:hAnsiTheme="minorEastAsia" w:eastAsiaTheme="minorEastAsia"/>
          <w:szCs w:val="21"/>
        </w:rPr>
        <w:t>，</w:t>
      </w:r>
      <w:r>
        <w:rPr>
          <w:rFonts w:asciiTheme="minorEastAsia" w:hAnsiTheme="minorEastAsia" w:eastAsiaTheme="minorEastAsia"/>
          <w:szCs w:val="21"/>
        </w:rPr>
        <w:t>乙方可获得的</w:t>
      </w:r>
      <w:r>
        <w:rPr>
          <w:rFonts w:hint="eastAsia" w:asciiTheme="minorEastAsia" w:hAnsiTheme="minorEastAsia" w:eastAsiaTheme="minorEastAsia"/>
          <w:szCs w:val="21"/>
        </w:rPr>
        <w:t>全部赔偿。任何时候乙方均无权要求甲方赔偿因合同终止而引起的预期利润的损失或损害。</w:t>
      </w:r>
    </w:p>
    <w:p>
      <w:pPr>
        <w:pStyle w:val="42"/>
        <w:numPr>
          <w:ilvl w:val="0"/>
          <w:numId w:val="24"/>
        </w:numPr>
        <w:autoSpaceDE w:val="0"/>
        <w:autoSpaceDN w:val="0"/>
        <w:adjustRightInd w:val="0"/>
        <w:snapToGrid w:val="0"/>
        <w:spacing w:before="93" w:beforeLines="30" w:after="93" w:afterLines="30" w:line="360" w:lineRule="auto"/>
        <w:ind w:left="709" w:hanging="709" w:firstLineChars="0"/>
        <w:rPr>
          <w:rFonts w:asciiTheme="minorEastAsia" w:hAnsiTheme="minorEastAsia" w:eastAsiaTheme="minorEastAsia"/>
          <w:kern w:val="0"/>
          <w:szCs w:val="21"/>
        </w:rPr>
      </w:pPr>
      <w:r>
        <w:rPr>
          <w:rFonts w:asciiTheme="minorEastAsia" w:hAnsiTheme="minorEastAsia" w:eastAsiaTheme="minorEastAsia"/>
          <w:kern w:val="0"/>
          <w:szCs w:val="21"/>
        </w:rPr>
        <w:t>如本合同根据</w:t>
      </w:r>
      <w:r>
        <w:rPr>
          <w:rFonts w:hint="eastAsia" w:asciiTheme="minorEastAsia" w:hAnsiTheme="minorEastAsia" w:eastAsiaTheme="minorEastAsia"/>
          <w:kern w:val="0"/>
          <w:szCs w:val="21"/>
        </w:rPr>
        <w:t>本条第1</w:t>
      </w:r>
      <w:r>
        <w:rPr>
          <w:rFonts w:asciiTheme="minorEastAsia" w:hAnsiTheme="minorEastAsia" w:eastAsiaTheme="minorEastAsia"/>
          <w:kern w:val="0"/>
          <w:szCs w:val="21"/>
        </w:rPr>
        <w:t>3.2</w:t>
      </w:r>
      <w:r>
        <w:rPr>
          <w:rFonts w:hint="eastAsia" w:asciiTheme="minorEastAsia" w:hAnsiTheme="minorEastAsia" w:eastAsiaTheme="minorEastAsia"/>
          <w:kern w:val="0"/>
          <w:szCs w:val="21"/>
        </w:rPr>
        <w:t>款</w:t>
      </w:r>
      <w:r>
        <w:rPr>
          <w:rFonts w:asciiTheme="minorEastAsia" w:hAnsiTheme="minorEastAsia" w:eastAsiaTheme="minorEastAsia"/>
          <w:kern w:val="0"/>
          <w:szCs w:val="21"/>
        </w:rPr>
        <w:t>终止，对于合同终止前乙方完成的工作成果，乙方应立即移交给甲方，甲方拥有相关工作成果的全部权益；如甲方已付合同价款超过乙方已完成工作的价值，乙方应向甲方返还差额部分。</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70" w:name="_Toc364839375"/>
      <w:bookmarkStart w:id="71" w:name="_Toc299915690"/>
      <w:r>
        <w:rPr>
          <w:rFonts w:asciiTheme="minorEastAsia" w:hAnsiTheme="minorEastAsia" w:eastAsiaTheme="minorEastAsia"/>
          <w:sz w:val="21"/>
          <w:szCs w:val="21"/>
        </w:rPr>
        <w:t>健康、安全</w:t>
      </w:r>
      <w:r>
        <w:rPr>
          <w:rFonts w:hint="eastAsia" w:asciiTheme="minorEastAsia" w:hAnsiTheme="minorEastAsia" w:eastAsiaTheme="minorEastAsia"/>
          <w:sz w:val="21"/>
          <w:szCs w:val="21"/>
        </w:rPr>
        <w:t>和</w:t>
      </w:r>
      <w:r>
        <w:rPr>
          <w:rFonts w:asciiTheme="minorEastAsia" w:hAnsiTheme="minorEastAsia" w:eastAsiaTheme="minorEastAsia"/>
          <w:sz w:val="21"/>
          <w:szCs w:val="21"/>
        </w:rPr>
        <w:t>环保</w:t>
      </w:r>
      <w:bookmarkEnd w:id="70"/>
      <w:bookmarkEnd w:id="71"/>
    </w:p>
    <w:p>
      <w:pPr>
        <w:pStyle w:val="42"/>
        <w:numPr>
          <w:ilvl w:val="0"/>
          <w:numId w:val="26"/>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乙方在</w:t>
      </w:r>
      <w:r>
        <w:rPr>
          <w:rFonts w:hint="eastAsia" w:asciiTheme="minorEastAsia" w:hAnsiTheme="minorEastAsia" w:eastAsiaTheme="minorEastAsia"/>
          <w:szCs w:val="21"/>
        </w:rPr>
        <w:t>履行</w:t>
      </w:r>
      <w:r>
        <w:rPr>
          <w:rFonts w:asciiTheme="minorEastAsia" w:hAnsiTheme="minorEastAsia" w:eastAsiaTheme="minorEastAsia"/>
          <w:szCs w:val="21"/>
        </w:rPr>
        <w:t>合同时，应遵守</w:t>
      </w:r>
      <w:r>
        <w:rPr>
          <w:rFonts w:hint="eastAsia" w:asciiTheme="minorEastAsia" w:hAnsiTheme="minorEastAsia" w:eastAsiaTheme="minorEastAsia"/>
          <w:szCs w:val="21"/>
        </w:rPr>
        <w:t>中国相关</w:t>
      </w:r>
      <w:r>
        <w:rPr>
          <w:rFonts w:asciiTheme="minorEastAsia" w:hAnsiTheme="minorEastAsia" w:eastAsiaTheme="minorEastAsia"/>
          <w:szCs w:val="21"/>
        </w:rPr>
        <w:t>法律法规及甲方关于健康、安全及环保的规定</w:t>
      </w:r>
      <w:r>
        <w:rPr>
          <w:rFonts w:hint="eastAsia" w:asciiTheme="minorEastAsia" w:hAnsiTheme="minorEastAsia" w:eastAsiaTheme="minorEastAsia"/>
          <w:szCs w:val="21"/>
        </w:rPr>
        <w:t>：</w:t>
      </w:r>
    </w:p>
    <w:p>
      <w:pPr>
        <w:numPr>
          <w:ilvl w:val="0"/>
          <w:numId w:val="27"/>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乙方应为有机会出差或驻场的</w:t>
      </w:r>
      <w:r>
        <w:rPr>
          <w:rFonts w:hint="eastAsia" w:asciiTheme="minorEastAsia" w:hAnsiTheme="minorEastAsia" w:eastAsiaTheme="minorEastAsia"/>
          <w:szCs w:val="21"/>
        </w:rPr>
        <w:t>人员</w:t>
      </w:r>
      <w:r>
        <w:rPr>
          <w:rFonts w:asciiTheme="minorEastAsia" w:hAnsiTheme="minorEastAsia" w:eastAsiaTheme="minorEastAsia"/>
          <w:szCs w:val="21"/>
        </w:rPr>
        <w:t>购买人身意外保险或其它相关项目的保险</w:t>
      </w:r>
      <w:r>
        <w:rPr>
          <w:rFonts w:hint="eastAsia" w:asciiTheme="minorEastAsia" w:hAnsiTheme="minorEastAsia" w:eastAsiaTheme="minorEastAsia"/>
          <w:szCs w:val="21"/>
        </w:rPr>
        <w:t>；</w:t>
      </w:r>
    </w:p>
    <w:p>
      <w:pPr>
        <w:numPr>
          <w:ilvl w:val="0"/>
          <w:numId w:val="27"/>
        </w:numPr>
        <w:tabs>
          <w:tab w:val="left" w:pos="1276"/>
        </w:tabs>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甲方有权根据需要修订其健康、安全及环保政策并将最新文件发给乙方以</w:t>
      </w:r>
      <w:r>
        <w:rPr>
          <w:rFonts w:hint="eastAsia" w:asciiTheme="minorEastAsia" w:hAnsiTheme="minorEastAsia" w:eastAsiaTheme="minorEastAsia"/>
          <w:szCs w:val="21"/>
        </w:rPr>
        <w:t>便</w:t>
      </w:r>
      <w:r>
        <w:rPr>
          <w:rFonts w:asciiTheme="minorEastAsia" w:hAnsiTheme="minorEastAsia" w:eastAsiaTheme="minorEastAsia"/>
          <w:szCs w:val="21"/>
        </w:rPr>
        <w:t>遵照执行。</w:t>
      </w:r>
    </w:p>
    <w:p>
      <w:pPr>
        <w:pStyle w:val="42"/>
        <w:numPr>
          <w:ilvl w:val="0"/>
          <w:numId w:val="26"/>
        </w:numPr>
        <w:adjustRightInd w:val="0"/>
        <w:snapToGrid w:val="0"/>
        <w:spacing w:before="93" w:beforeLines="30" w:after="93" w:afterLines="30" w:line="360" w:lineRule="auto"/>
        <w:ind w:left="709" w:hanging="709" w:firstLineChars="0"/>
        <w:rPr>
          <w:rFonts w:asciiTheme="minorEastAsia" w:hAnsiTheme="minorEastAsia" w:eastAsiaTheme="minorEastAsia"/>
          <w:kern w:val="0"/>
          <w:szCs w:val="21"/>
        </w:rPr>
      </w:pPr>
      <w:r>
        <w:rPr>
          <w:rFonts w:hint="eastAsia" w:asciiTheme="minorEastAsia" w:hAnsiTheme="minorEastAsia" w:eastAsiaTheme="minorEastAsia"/>
          <w:szCs w:val="21"/>
        </w:rPr>
        <w:t>乙方应保证其完成工作和工作成果符合国家要求的健康、安全及环保标准。因乙方未能按国家相关规定和甲方的要求，而在健康、安全、环保方面给甲方造成的任何损失由乙方全额承担。</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72" w:name="_Toc300147855"/>
      <w:bookmarkStart w:id="73" w:name="_Toc364839376"/>
      <w:r>
        <w:rPr>
          <w:rFonts w:hint="eastAsia" w:asciiTheme="minorEastAsia" w:hAnsiTheme="minorEastAsia" w:eastAsiaTheme="minorEastAsia"/>
          <w:sz w:val="21"/>
          <w:szCs w:val="21"/>
        </w:rPr>
        <w:t>转让和分包</w:t>
      </w:r>
      <w:bookmarkEnd w:id="72"/>
      <w:bookmarkEnd w:id="73"/>
    </w:p>
    <w:p>
      <w:pPr>
        <w:pStyle w:val="42"/>
        <w:widowControl/>
        <w:numPr>
          <w:ilvl w:val="0"/>
          <w:numId w:val="28"/>
        </w:numPr>
        <w:tabs>
          <w:tab w:val="left" w:pos="709"/>
        </w:tabs>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未经甲方</w:t>
      </w:r>
      <w:r>
        <w:rPr>
          <w:rFonts w:hint="eastAsia" w:asciiTheme="minorEastAsia" w:hAnsiTheme="minorEastAsia" w:eastAsiaTheme="minorEastAsia"/>
          <w:szCs w:val="21"/>
        </w:rPr>
        <w:t>事先</w:t>
      </w:r>
      <w:r>
        <w:rPr>
          <w:rFonts w:asciiTheme="minorEastAsia" w:hAnsiTheme="minorEastAsia" w:eastAsiaTheme="minorEastAsia"/>
          <w:szCs w:val="21"/>
        </w:rPr>
        <w:t>书面同意，乙方不得</w:t>
      </w:r>
      <w:r>
        <w:rPr>
          <w:rFonts w:hint="eastAsia" w:asciiTheme="minorEastAsia" w:hAnsiTheme="minorEastAsia" w:eastAsiaTheme="minorEastAsia"/>
          <w:szCs w:val="21"/>
        </w:rPr>
        <w:t>将</w:t>
      </w:r>
      <w:r>
        <w:rPr>
          <w:rFonts w:asciiTheme="minorEastAsia" w:hAnsiTheme="minorEastAsia" w:eastAsiaTheme="minorEastAsia"/>
          <w:szCs w:val="21"/>
        </w:rPr>
        <w:t>其</w:t>
      </w:r>
      <w:r>
        <w:rPr>
          <w:rFonts w:hint="eastAsia" w:asciiTheme="minorEastAsia" w:hAnsiTheme="minorEastAsia" w:eastAsiaTheme="minorEastAsia"/>
          <w:szCs w:val="21"/>
        </w:rPr>
        <w:t>在本</w:t>
      </w:r>
      <w:r>
        <w:rPr>
          <w:rFonts w:asciiTheme="minorEastAsia" w:hAnsiTheme="minorEastAsia" w:eastAsiaTheme="minorEastAsia"/>
          <w:szCs w:val="21"/>
        </w:rPr>
        <w:t>合同</w:t>
      </w:r>
      <w:r>
        <w:rPr>
          <w:rFonts w:hint="eastAsia" w:asciiTheme="minorEastAsia" w:hAnsiTheme="minorEastAsia" w:eastAsiaTheme="minorEastAsia"/>
          <w:szCs w:val="21"/>
        </w:rPr>
        <w:t>项下</w:t>
      </w:r>
      <w:r>
        <w:rPr>
          <w:rFonts w:asciiTheme="minorEastAsia" w:hAnsiTheme="minorEastAsia" w:eastAsiaTheme="minorEastAsia"/>
          <w:szCs w:val="21"/>
        </w:rPr>
        <w:t>的</w:t>
      </w:r>
      <w:r>
        <w:rPr>
          <w:rFonts w:hint="eastAsia" w:asciiTheme="minorEastAsia" w:hAnsiTheme="minorEastAsia" w:eastAsiaTheme="minorEastAsia"/>
          <w:szCs w:val="21"/>
        </w:rPr>
        <w:t>任何权利和</w:t>
      </w:r>
      <w:r>
        <w:rPr>
          <w:rFonts w:asciiTheme="minorEastAsia" w:hAnsiTheme="minorEastAsia" w:eastAsiaTheme="minorEastAsia"/>
          <w:szCs w:val="21"/>
        </w:rPr>
        <w:t>义务</w:t>
      </w:r>
      <w:r>
        <w:rPr>
          <w:rFonts w:hint="eastAsia" w:asciiTheme="minorEastAsia" w:hAnsiTheme="minorEastAsia" w:eastAsiaTheme="minorEastAsia"/>
          <w:szCs w:val="21"/>
        </w:rPr>
        <w:t>全部或部分转让给任何第三方，包括乙方的关联企业</w:t>
      </w:r>
      <w:r>
        <w:rPr>
          <w:rFonts w:asciiTheme="minorEastAsia" w:hAnsiTheme="minorEastAsia" w:eastAsiaTheme="minorEastAsia"/>
          <w:szCs w:val="21"/>
        </w:rPr>
        <w:t>。</w:t>
      </w:r>
      <w:r>
        <w:rPr>
          <w:rFonts w:hint="eastAsia" w:asciiTheme="minorEastAsia" w:hAnsiTheme="minorEastAsia" w:eastAsiaTheme="minorEastAsia"/>
          <w:szCs w:val="21"/>
        </w:rPr>
        <w:t>甲方</w:t>
      </w:r>
      <w:r>
        <w:rPr>
          <w:rFonts w:asciiTheme="minorEastAsia" w:hAnsiTheme="minorEastAsia" w:eastAsiaTheme="minorEastAsia"/>
          <w:szCs w:val="21"/>
        </w:rPr>
        <w:t>可以</w:t>
      </w:r>
      <w:r>
        <w:rPr>
          <w:rFonts w:hint="eastAsia" w:asciiTheme="minorEastAsia" w:hAnsiTheme="minorEastAsia" w:eastAsiaTheme="minorEastAsia"/>
          <w:szCs w:val="21"/>
        </w:rPr>
        <w:t>将其在</w:t>
      </w:r>
      <w:r>
        <w:rPr>
          <w:rFonts w:asciiTheme="minorEastAsia" w:hAnsiTheme="minorEastAsia" w:eastAsiaTheme="minorEastAsia"/>
          <w:szCs w:val="21"/>
        </w:rPr>
        <w:t>本合同</w:t>
      </w:r>
      <w:r>
        <w:rPr>
          <w:rFonts w:hint="eastAsia" w:asciiTheme="minorEastAsia" w:hAnsiTheme="minorEastAsia" w:eastAsiaTheme="minorEastAsia"/>
          <w:szCs w:val="21"/>
        </w:rPr>
        <w:t>项下的</w:t>
      </w:r>
      <w:r>
        <w:rPr>
          <w:rFonts w:asciiTheme="minorEastAsia" w:hAnsiTheme="minorEastAsia" w:eastAsiaTheme="minorEastAsia"/>
          <w:szCs w:val="21"/>
        </w:rPr>
        <w:t>权利和义务</w:t>
      </w:r>
      <w:r>
        <w:rPr>
          <w:rFonts w:hint="eastAsia" w:asciiTheme="minorEastAsia" w:hAnsiTheme="minorEastAsia" w:eastAsiaTheme="minorEastAsia"/>
          <w:szCs w:val="21"/>
        </w:rPr>
        <w:t>全部或部分</w:t>
      </w:r>
      <w:r>
        <w:rPr>
          <w:rFonts w:asciiTheme="minorEastAsia" w:hAnsiTheme="minorEastAsia" w:eastAsiaTheme="minorEastAsia"/>
          <w:szCs w:val="21"/>
        </w:rPr>
        <w:t>转让给</w:t>
      </w:r>
      <w:r>
        <w:rPr>
          <w:rFonts w:hint="eastAsia" w:asciiTheme="minorEastAsia" w:hAnsiTheme="minorEastAsia" w:eastAsiaTheme="minorEastAsia"/>
          <w:szCs w:val="21"/>
        </w:rPr>
        <w:t>其关联企业</w:t>
      </w:r>
      <w:r>
        <w:rPr>
          <w:rFonts w:asciiTheme="minorEastAsia" w:hAnsiTheme="minorEastAsia" w:eastAsiaTheme="minorEastAsia"/>
          <w:szCs w:val="21"/>
        </w:rPr>
        <w:t>，</w:t>
      </w:r>
      <w:r>
        <w:rPr>
          <w:rFonts w:hint="eastAsia" w:asciiTheme="minorEastAsia" w:hAnsiTheme="minorEastAsia" w:eastAsiaTheme="minorEastAsia"/>
          <w:szCs w:val="21"/>
        </w:rPr>
        <w:t>且无需</w:t>
      </w:r>
      <w:r>
        <w:rPr>
          <w:rFonts w:asciiTheme="minorEastAsia" w:hAnsiTheme="minorEastAsia" w:eastAsiaTheme="minorEastAsia"/>
          <w:szCs w:val="21"/>
        </w:rPr>
        <w:t>事先征得</w:t>
      </w:r>
      <w:r>
        <w:rPr>
          <w:rFonts w:hint="eastAsia" w:asciiTheme="minorEastAsia" w:hAnsiTheme="minorEastAsia" w:eastAsiaTheme="minorEastAsia"/>
          <w:szCs w:val="21"/>
        </w:rPr>
        <w:t>乙方</w:t>
      </w:r>
      <w:r>
        <w:rPr>
          <w:rFonts w:asciiTheme="minorEastAsia" w:hAnsiTheme="minorEastAsia" w:eastAsiaTheme="minorEastAsia"/>
          <w:szCs w:val="21"/>
        </w:rPr>
        <w:t>的同意，但应书面通知</w:t>
      </w:r>
      <w:r>
        <w:rPr>
          <w:rFonts w:hint="eastAsia" w:asciiTheme="minorEastAsia" w:hAnsiTheme="minorEastAsia" w:eastAsiaTheme="minorEastAsia"/>
          <w:szCs w:val="21"/>
        </w:rPr>
        <w:t>乙方</w:t>
      </w:r>
      <w:r>
        <w:rPr>
          <w:rFonts w:asciiTheme="minorEastAsia" w:hAnsiTheme="minorEastAsia" w:eastAsiaTheme="minorEastAsia"/>
          <w:szCs w:val="21"/>
        </w:rPr>
        <w:t>。</w:t>
      </w:r>
    </w:p>
    <w:p>
      <w:pPr>
        <w:pStyle w:val="42"/>
        <w:widowControl/>
        <w:numPr>
          <w:ilvl w:val="0"/>
          <w:numId w:val="28"/>
        </w:numPr>
        <w:tabs>
          <w:tab w:val="left" w:pos="709"/>
        </w:tabs>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未经甲方事先书面同意，乙方不得将其在本合同项下的任何义务分包给任何第三方，包括乙方的关联企业。</w:t>
      </w:r>
      <w:bookmarkStart w:id="74" w:name="_DV_C867"/>
      <w:r>
        <w:rPr>
          <w:rFonts w:hint="eastAsia" w:asciiTheme="minorEastAsia" w:hAnsiTheme="minorEastAsia" w:eastAsiaTheme="minorEastAsia"/>
          <w:szCs w:val="21"/>
        </w:rPr>
        <w:t>乙方不得将本合同转包给任何第三方，包括其关联企业。</w:t>
      </w:r>
      <w:bookmarkEnd w:id="74"/>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75" w:name="_Toc299915695"/>
      <w:bookmarkStart w:id="76" w:name="_Toc364839377"/>
      <w:bookmarkStart w:id="77" w:name="_Toc299912680"/>
      <w:r>
        <w:rPr>
          <w:rFonts w:hint="eastAsia" w:asciiTheme="minorEastAsia" w:hAnsiTheme="minorEastAsia" w:eastAsiaTheme="minorEastAsia"/>
          <w:sz w:val="21"/>
          <w:szCs w:val="21"/>
        </w:rPr>
        <w:t>不可抗力</w:t>
      </w:r>
      <w:bookmarkEnd w:id="75"/>
      <w:bookmarkEnd w:id="76"/>
      <w:bookmarkEnd w:id="77"/>
    </w:p>
    <w:p>
      <w:pPr>
        <w:pStyle w:val="2"/>
        <w:widowControl/>
        <w:numPr>
          <w:ilvl w:val="0"/>
          <w:numId w:val="29"/>
        </w:numPr>
        <w:tabs>
          <w:tab w:val="left" w:pos="1175"/>
        </w:tabs>
        <w:autoSpaceDE/>
        <w:autoSpaceDN/>
        <w:snapToGrid w:val="0"/>
        <w:spacing w:before="93" w:beforeLines="30" w:after="93" w:afterLines="30"/>
        <w:ind w:left="709" w:hanging="709"/>
        <w:rPr>
          <w:rFonts w:asciiTheme="minorEastAsia" w:hAnsiTheme="minorEastAsia" w:eastAsiaTheme="minorEastAsia"/>
          <w:sz w:val="21"/>
          <w:szCs w:val="21"/>
        </w:rPr>
      </w:pPr>
      <w:bookmarkStart w:id="78" w:name="_Toc299915696"/>
      <w:bookmarkStart w:id="79" w:name="_Toc299550771"/>
      <w:bookmarkStart w:id="80" w:name="_Toc299912681"/>
      <w:r>
        <w:rPr>
          <w:rFonts w:hint="eastAsia" w:asciiTheme="minorEastAsia" w:hAnsiTheme="minorEastAsia" w:eastAsiaTheme="minorEastAsia"/>
          <w:sz w:val="21"/>
          <w:szCs w:val="21"/>
        </w:rPr>
        <w:t>不可抗力</w:t>
      </w:r>
      <w:r>
        <w:rPr>
          <w:rFonts w:hint="eastAsia" w:ascii="宋体" w:hAnsi="宋体" w:eastAsia="宋体"/>
          <w:sz w:val="21"/>
          <w:szCs w:val="21"/>
        </w:rPr>
        <w:t>系指阻止或妨碍一方履行其在本合同项下义务的事件或情况；受障碍影响的一方除了应证明该事件已经达到阻止或妨碍其履行合同项下义务的后果，还应</w:t>
      </w:r>
      <w:r>
        <w:rPr>
          <w:rFonts w:hint="eastAsia" w:asciiTheme="minorEastAsia" w:hAnsiTheme="minorEastAsia" w:eastAsiaTheme="minorEastAsia"/>
          <w:sz w:val="21"/>
          <w:szCs w:val="21"/>
        </w:rPr>
        <w:t>证</w:t>
      </w:r>
      <w:r>
        <w:rPr>
          <w:rFonts w:hint="eastAsia" w:asciiTheme="majorEastAsia" w:hAnsiTheme="majorEastAsia" w:eastAsiaTheme="majorEastAsia"/>
          <w:sz w:val="21"/>
          <w:szCs w:val="21"/>
        </w:rPr>
        <w:t>明</w:t>
      </w:r>
      <w:r>
        <w:rPr>
          <w:rFonts w:asciiTheme="minorEastAsia" w:hAnsiTheme="minorEastAsia" w:eastAsiaTheme="minorEastAsia"/>
          <w:sz w:val="21"/>
          <w:szCs w:val="21"/>
        </w:rPr>
        <w:t>：</w:t>
      </w:r>
    </w:p>
    <w:p>
      <w:pPr>
        <w:pStyle w:val="2"/>
        <w:widowControl/>
        <w:numPr>
          <w:ilvl w:val="0"/>
          <w:numId w:val="30"/>
        </w:numPr>
        <w:tabs>
          <w:tab w:val="left" w:pos="1175"/>
        </w:tabs>
        <w:autoSpaceDE/>
        <w:autoSpaceDN/>
        <w:snapToGrid w:val="0"/>
        <w:spacing w:before="93" w:beforeLines="30" w:after="93" w:afterLines="30"/>
        <w:rPr>
          <w:rFonts w:asciiTheme="minorEastAsia" w:hAnsiTheme="minorEastAsia" w:eastAsiaTheme="minorEastAsia"/>
          <w:sz w:val="21"/>
          <w:szCs w:val="21"/>
        </w:rPr>
      </w:pPr>
      <w:r>
        <w:rPr>
          <w:rFonts w:hint="eastAsia" w:asciiTheme="minorEastAsia" w:hAnsiTheme="minorEastAsia" w:eastAsiaTheme="minorEastAsia"/>
          <w:sz w:val="21"/>
          <w:szCs w:val="21"/>
        </w:rPr>
        <w:t>该障碍在订立合同时无法被合理预见；</w:t>
      </w:r>
    </w:p>
    <w:p>
      <w:pPr>
        <w:pStyle w:val="2"/>
        <w:widowControl/>
        <w:numPr>
          <w:ilvl w:val="0"/>
          <w:numId w:val="30"/>
        </w:numPr>
        <w:tabs>
          <w:tab w:val="left" w:pos="1175"/>
        </w:tabs>
        <w:autoSpaceDE/>
        <w:autoSpaceDN/>
        <w:snapToGrid w:val="0"/>
        <w:spacing w:before="93" w:beforeLines="30" w:after="93" w:afterLines="30"/>
        <w:rPr>
          <w:rFonts w:asciiTheme="minorEastAsia" w:hAnsiTheme="minorEastAsia" w:eastAsiaTheme="minorEastAsia"/>
          <w:sz w:val="21"/>
          <w:szCs w:val="21"/>
        </w:rPr>
      </w:pPr>
      <w:r>
        <w:rPr>
          <w:rFonts w:hint="eastAsia" w:asciiTheme="minorEastAsia" w:hAnsiTheme="minorEastAsia" w:eastAsiaTheme="minorEastAsia"/>
          <w:sz w:val="21"/>
          <w:szCs w:val="21"/>
        </w:rPr>
        <w:t>该障碍超出其合理控制范围；</w:t>
      </w:r>
    </w:p>
    <w:p>
      <w:pPr>
        <w:pStyle w:val="2"/>
        <w:widowControl/>
        <w:numPr>
          <w:ilvl w:val="0"/>
          <w:numId w:val="30"/>
        </w:numPr>
        <w:tabs>
          <w:tab w:val="left" w:pos="1175"/>
        </w:tabs>
        <w:autoSpaceDE/>
        <w:autoSpaceDN/>
        <w:snapToGrid w:val="0"/>
        <w:spacing w:before="93" w:beforeLines="30" w:after="93" w:afterLines="30"/>
        <w:rPr>
          <w:rFonts w:asciiTheme="minorEastAsia" w:hAnsiTheme="minorEastAsia" w:eastAsiaTheme="minorEastAsia"/>
          <w:sz w:val="21"/>
          <w:szCs w:val="21"/>
        </w:rPr>
      </w:pPr>
      <w:r>
        <w:rPr>
          <w:rFonts w:hint="eastAsia" w:asciiTheme="minorEastAsia" w:hAnsiTheme="minorEastAsia" w:eastAsiaTheme="minorEastAsia"/>
          <w:sz w:val="21"/>
          <w:szCs w:val="21"/>
        </w:rPr>
        <w:t>障碍的后果无法被受影响的一方合理避免或克服。</w:t>
      </w:r>
    </w:p>
    <w:p>
      <w:pPr>
        <w:pStyle w:val="2"/>
        <w:widowControl/>
        <w:numPr>
          <w:ilvl w:val="0"/>
          <w:numId w:val="29"/>
        </w:numPr>
        <w:tabs>
          <w:tab w:val="left" w:pos="1175"/>
        </w:tabs>
        <w:autoSpaceDE/>
        <w:autoSpaceDN/>
        <w:snapToGrid w:val="0"/>
        <w:spacing w:before="93" w:beforeLines="30" w:after="93" w:afterLines="30"/>
        <w:ind w:left="709" w:hanging="709"/>
        <w:rPr>
          <w:rFonts w:asciiTheme="minorEastAsia" w:hAnsiTheme="minorEastAsia" w:eastAsiaTheme="minorEastAsia"/>
          <w:sz w:val="21"/>
          <w:szCs w:val="21"/>
        </w:rPr>
      </w:pPr>
      <w:r>
        <w:rPr>
          <w:rFonts w:asciiTheme="minorEastAsia" w:hAnsiTheme="minorEastAsia" w:eastAsiaTheme="minorEastAsia"/>
          <w:sz w:val="21"/>
          <w:szCs w:val="21"/>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w:t>
      </w:r>
      <w:r>
        <w:rPr>
          <w:rFonts w:hint="eastAsia" w:asciiTheme="minorEastAsia" w:hAnsiTheme="minorEastAsia" w:eastAsiaTheme="minorEastAsia"/>
          <w:sz w:val="21"/>
          <w:szCs w:val="21"/>
        </w:rPr>
        <w:t>、延续时间、合同设备受影响的范围、补救措施等，如不可抗力持续发生，遭受不可抗力的一方应及时更新该等信息。</w:t>
      </w:r>
    </w:p>
    <w:p>
      <w:pPr>
        <w:pStyle w:val="2"/>
        <w:widowControl/>
        <w:numPr>
          <w:ilvl w:val="0"/>
          <w:numId w:val="29"/>
        </w:numPr>
        <w:tabs>
          <w:tab w:val="left" w:pos="1175"/>
        </w:tabs>
        <w:autoSpaceDE/>
        <w:autoSpaceDN/>
        <w:snapToGrid w:val="0"/>
        <w:spacing w:before="93" w:beforeLines="30" w:after="93" w:afterLines="30"/>
        <w:ind w:left="709" w:hanging="709"/>
        <w:rPr>
          <w:rFonts w:asciiTheme="minorEastAsia" w:hAnsiTheme="minorEastAsia" w:eastAsiaTheme="minorEastAsia"/>
          <w:sz w:val="21"/>
          <w:szCs w:val="21"/>
        </w:rPr>
      </w:pPr>
      <w:r>
        <w:rPr>
          <w:rFonts w:hint="eastAsia" w:asciiTheme="minorEastAsia" w:hAnsiTheme="minorEastAsia" w:eastAsiaTheme="minorEastAsia"/>
          <w:sz w:val="21"/>
          <w:szCs w:val="21"/>
        </w:rPr>
        <w:t>不可抗力</w:t>
      </w:r>
      <w:r>
        <w:rPr>
          <w:rFonts w:ascii="宋体" w:hAnsi="宋体" w:eastAsia="宋体"/>
          <w:sz w:val="21"/>
          <w:szCs w:val="21"/>
        </w:rPr>
        <w:t>发生后，</w:t>
      </w:r>
      <w:r>
        <w:rPr>
          <w:rFonts w:hint="eastAsia" w:ascii="宋体" w:hAnsi="宋体" w:eastAsia="宋体"/>
          <w:sz w:val="21"/>
          <w:szCs w:val="21"/>
        </w:rPr>
        <w:t>遭受不可抗力一方</w:t>
      </w:r>
      <w:r>
        <w:rPr>
          <w:rFonts w:ascii="宋体" w:hAnsi="宋体" w:eastAsia="宋体"/>
          <w:sz w:val="21"/>
          <w:szCs w:val="21"/>
        </w:rPr>
        <w:t>应采取措施尽量避免和减少损失的扩大，</w:t>
      </w:r>
      <w:r>
        <w:rPr>
          <w:rFonts w:hint="eastAsia" w:ascii="宋体" w:hAnsi="宋体" w:eastAsia="宋体"/>
          <w:sz w:val="21"/>
          <w:szCs w:val="21"/>
        </w:rPr>
        <w:t>该方</w:t>
      </w:r>
      <w:r>
        <w:rPr>
          <w:rFonts w:ascii="宋体" w:hAnsi="宋体" w:eastAsia="宋体"/>
          <w:sz w:val="21"/>
          <w:szCs w:val="21"/>
        </w:rPr>
        <w:t>没有采取有效措施导致损失扩大的，应对扩大的损失承担责任</w:t>
      </w:r>
      <w:r>
        <w:rPr>
          <w:rFonts w:hint="eastAsia" w:asciiTheme="minorEastAsia" w:hAnsiTheme="minorEastAsia" w:eastAsiaTheme="minorEastAsia"/>
          <w:sz w:val="21"/>
          <w:szCs w:val="21"/>
        </w:rPr>
        <w:t>。</w:t>
      </w:r>
    </w:p>
    <w:p>
      <w:pPr>
        <w:pStyle w:val="2"/>
        <w:widowControl/>
        <w:numPr>
          <w:ilvl w:val="0"/>
          <w:numId w:val="29"/>
        </w:numPr>
        <w:tabs>
          <w:tab w:val="left" w:pos="1175"/>
        </w:tabs>
        <w:autoSpaceDE/>
        <w:autoSpaceDN/>
        <w:snapToGrid w:val="0"/>
        <w:spacing w:before="93" w:beforeLines="30" w:after="93" w:afterLines="30"/>
        <w:ind w:left="709" w:hanging="709"/>
        <w:rPr>
          <w:rFonts w:asciiTheme="minorEastAsia" w:hAnsiTheme="minorEastAsia" w:eastAsiaTheme="minorEastAsia"/>
          <w:sz w:val="21"/>
          <w:szCs w:val="21"/>
        </w:rPr>
      </w:pPr>
      <w:r>
        <w:rPr>
          <w:rFonts w:hint="eastAsia" w:asciiTheme="minorEastAsia" w:hAnsiTheme="minorEastAsia" w:eastAsiaTheme="minorEastAsia"/>
          <w:sz w:val="21"/>
          <w:szCs w:val="21"/>
        </w:rPr>
        <w:t>如发生不可抗力，双方各自承担其人员和财产损失。一旦不可抗力停止或者影响消除，双方应立即履行其义务，合同的期限应该相应顺延。如果不可抗力的影响持续超过【三十（30）】日，双方应该共同商议应对措施。</w:t>
      </w:r>
    </w:p>
    <w:p>
      <w:pPr>
        <w:pStyle w:val="2"/>
        <w:widowControl/>
        <w:numPr>
          <w:ilvl w:val="0"/>
          <w:numId w:val="29"/>
        </w:numPr>
        <w:tabs>
          <w:tab w:val="left" w:pos="1175"/>
        </w:tabs>
        <w:autoSpaceDE/>
        <w:autoSpaceDN/>
        <w:snapToGrid w:val="0"/>
        <w:spacing w:before="93" w:beforeLines="30" w:after="93" w:afterLines="30"/>
        <w:ind w:left="709" w:hanging="709"/>
        <w:rPr>
          <w:rFonts w:asciiTheme="minorEastAsia" w:hAnsiTheme="minorEastAsia" w:eastAsiaTheme="minorEastAsia"/>
          <w:sz w:val="21"/>
          <w:szCs w:val="21"/>
        </w:rPr>
      </w:pPr>
      <w:r>
        <w:rPr>
          <w:rFonts w:hint="eastAsia" w:asciiTheme="minorEastAsia" w:hAnsiTheme="minorEastAsia" w:eastAsiaTheme="minorEastAsia"/>
          <w:sz w:val="21"/>
          <w:szCs w:val="21"/>
        </w:rPr>
        <w:t>任何一方迟延履行合同后遭受不可抗力的，不得减少、免除该方在本合同项下的任何义务和责任。</w:t>
      </w:r>
    </w:p>
    <w:p>
      <w:pPr>
        <w:pStyle w:val="2"/>
        <w:widowControl/>
        <w:numPr>
          <w:ilvl w:val="0"/>
          <w:numId w:val="29"/>
        </w:numPr>
        <w:tabs>
          <w:tab w:val="left" w:pos="1175"/>
        </w:tabs>
        <w:autoSpaceDE/>
        <w:autoSpaceDN/>
        <w:snapToGrid w:val="0"/>
        <w:spacing w:before="93" w:beforeLines="30" w:after="93" w:afterLines="30"/>
        <w:ind w:left="709" w:hanging="709"/>
        <w:rPr>
          <w:rFonts w:asciiTheme="minorEastAsia" w:hAnsiTheme="minorEastAsia" w:eastAsiaTheme="minorEastAsia"/>
          <w:sz w:val="21"/>
          <w:szCs w:val="21"/>
        </w:rPr>
      </w:pPr>
      <w:r>
        <w:rPr>
          <w:rFonts w:hint="eastAsia" w:asciiTheme="minorEastAsia" w:hAnsiTheme="minorEastAsia" w:eastAsiaTheme="minorEastAsia"/>
          <w:sz w:val="21"/>
          <w:szCs w:val="21"/>
        </w:rPr>
        <w:t>任何一方</w:t>
      </w:r>
      <w:r>
        <w:rPr>
          <w:rFonts w:hint="eastAsia" w:ascii="宋体" w:hAnsi="宋体" w:eastAsia="宋体"/>
          <w:sz w:val="21"/>
          <w:szCs w:val="21"/>
        </w:rPr>
        <w:t>因不可抗力不能或迟延履行本合同，在不可抗力的所涉范围内不承担违约责任。不可抗力的发生不能造成任何一方支付额外款项、赔偿或其它救济方式，双方放弃对不可抗力事项进行索赔的权利</w:t>
      </w:r>
      <w:r>
        <w:rPr>
          <w:rFonts w:hint="eastAsia" w:asciiTheme="minorEastAsia" w:hAnsiTheme="minorEastAsia" w:eastAsiaTheme="minorEastAsia"/>
          <w:sz w:val="21"/>
          <w:szCs w:val="21"/>
        </w:rPr>
        <w:t>。</w:t>
      </w:r>
    </w:p>
    <w:p>
      <w:pPr>
        <w:pStyle w:val="64"/>
        <w:tabs>
          <w:tab w:val="clear" w:pos="720"/>
        </w:tabs>
        <w:adjustRightInd w:val="0"/>
        <w:snapToGrid w:val="0"/>
        <w:spacing w:before="93" w:beforeLines="30" w:after="93" w:afterLines="30" w:line="360" w:lineRule="auto"/>
        <w:jc w:val="left"/>
        <w:rPr>
          <w:rStyle w:val="66"/>
          <w:rFonts w:asciiTheme="minorEastAsia" w:hAnsiTheme="minorEastAsia" w:eastAsiaTheme="minorEastAsia"/>
          <w:color w:val="auto"/>
          <w:sz w:val="21"/>
          <w:szCs w:val="21"/>
          <w:u w:val="none"/>
        </w:rPr>
      </w:pPr>
      <w:bookmarkStart w:id="81" w:name="_Toc364839378"/>
      <w:r>
        <w:rPr>
          <w:rFonts w:hint="eastAsia" w:asciiTheme="minorEastAsia" w:hAnsiTheme="minorEastAsia" w:eastAsiaTheme="minorEastAsia"/>
          <w:sz w:val="21"/>
          <w:szCs w:val="21"/>
        </w:rPr>
        <w:t>保障</w:t>
      </w:r>
      <w:bookmarkEnd w:id="78"/>
      <w:bookmarkEnd w:id="79"/>
      <w:bookmarkEnd w:id="80"/>
      <w:bookmarkEnd w:id="81"/>
      <w:bookmarkStart w:id="82" w:name="_Toc298158360"/>
      <w:bookmarkStart w:id="83" w:name="_Toc300147858"/>
    </w:p>
    <w:p>
      <w:pPr>
        <w:pStyle w:val="42"/>
        <w:numPr>
          <w:ilvl w:val="0"/>
          <w:numId w:val="31"/>
        </w:numPr>
        <w:adjustRightInd w:val="0"/>
        <w:snapToGrid w:val="0"/>
        <w:spacing w:before="93" w:beforeLines="30" w:after="93" w:afterLines="30" w:line="360" w:lineRule="auto"/>
        <w:ind w:left="709" w:hanging="709" w:firstLineChars="0"/>
        <w:rPr>
          <w:rStyle w:val="66"/>
          <w:rFonts w:cs="宋体" w:asciiTheme="minorEastAsia" w:hAnsiTheme="minorEastAsia" w:eastAsiaTheme="minorEastAsia"/>
          <w:color w:val="auto"/>
          <w:szCs w:val="21"/>
          <w:u w:val="none"/>
          <w:lang w:val="zh-CN"/>
        </w:rPr>
      </w:pPr>
      <w:r>
        <w:rPr>
          <w:rFonts w:asciiTheme="minorEastAsia" w:hAnsiTheme="minorEastAsia" w:eastAsiaTheme="minorEastAsia"/>
          <w:szCs w:val="21"/>
        </w:rPr>
        <w:t>乙方</w:t>
      </w:r>
      <w:r>
        <w:rPr>
          <w:rFonts w:hint="eastAsia" w:asciiTheme="minorEastAsia" w:hAnsiTheme="minorEastAsia" w:eastAsiaTheme="minorEastAsia"/>
          <w:szCs w:val="21"/>
        </w:rPr>
        <w:t>、乙方代理或分包商（如有）</w:t>
      </w:r>
      <w:r>
        <w:rPr>
          <w:rFonts w:asciiTheme="minorEastAsia" w:hAnsiTheme="minorEastAsia" w:eastAsiaTheme="minorEastAsia"/>
          <w:szCs w:val="21"/>
        </w:rPr>
        <w:t>因履行合同造成任何第三方财产损失、</w:t>
      </w:r>
      <w:r>
        <w:rPr>
          <w:rFonts w:hint="eastAsia" w:asciiTheme="minorEastAsia" w:hAnsiTheme="minorEastAsia" w:eastAsiaTheme="minorEastAsia"/>
          <w:szCs w:val="21"/>
        </w:rPr>
        <w:t>损坏、</w:t>
      </w:r>
      <w:r>
        <w:rPr>
          <w:rFonts w:asciiTheme="minorEastAsia" w:hAnsiTheme="minorEastAsia" w:eastAsiaTheme="minorEastAsia"/>
          <w:szCs w:val="21"/>
        </w:rPr>
        <w:t>人身伤亡</w:t>
      </w:r>
      <w:r>
        <w:rPr>
          <w:rFonts w:hint="eastAsia" w:asciiTheme="minorEastAsia" w:hAnsiTheme="minorEastAsia" w:eastAsiaTheme="minorEastAsia"/>
          <w:szCs w:val="21"/>
        </w:rPr>
        <w:t>或疾病</w:t>
      </w:r>
      <w:r>
        <w:rPr>
          <w:rFonts w:asciiTheme="minorEastAsia" w:hAnsiTheme="minorEastAsia" w:eastAsiaTheme="minorEastAsia"/>
          <w:szCs w:val="21"/>
        </w:rPr>
        <w:t>，乙方应承担全部责任，</w:t>
      </w:r>
      <w:r>
        <w:rPr>
          <w:rStyle w:val="66"/>
          <w:rFonts w:hint="eastAsia" w:cs="宋体" w:asciiTheme="minorEastAsia" w:hAnsiTheme="minorEastAsia" w:eastAsiaTheme="minorEastAsia"/>
          <w:color w:val="auto"/>
          <w:szCs w:val="21"/>
          <w:u w:val="none"/>
          <w:lang w:val="zh-CN"/>
        </w:rPr>
        <w:t>并</w:t>
      </w:r>
      <w:r>
        <w:rPr>
          <w:rFonts w:hint="eastAsia" w:cs="Arial" w:asciiTheme="minorEastAsia" w:hAnsiTheme="minorEastAsia" w:eastAsiaTheme="minorEastAsia"/>
          <w:szCs w:val="21"/>
        </w:rPr>
        <w:t>应确保甲方免于所有相关的索赔、损失、损害、费用和责任，包括但不限于在</w:t>
      </w:r>
      <w:r>
        <w:rPr>
          <w:rStyle w:val="66"/>
          <w:rFonts w:hint="eastAsia" w:cs="宋体" w:asciiTheme="minorEastAsia" w:hAnsiTheme="minorEastAsia" w:eastAsiaTheme="minorEastAsia"/>
          <w:color w:val="auto"/>
          <w:szCs w:val="21"/>
          <w:u w:val="none"/>
          <w:lang w:val="zh-CN"/>
        </w:rPr>
        <w:t>甲方因此需向第三方支付任何赔偿时，乙方均应全额予以补偿。</w:t>
      </w:r>
    </w:p>
    <w:p>
      <w:pPr>
        <w:pStyle w:val="42"/>
        <w:numPr>
          <w:ilvl w:val="0"/>
          <w:numId w:val="31"/>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如因履行本合同，乙方</w:t>
      </w:r>
      <w:r>
        <w:rPr>
          <w:rFonts w:hint="eastAsia" w:asciiTheme="minorEastAsia" w:hAnsiTheme="minorEastAsia" w:eastAsiaTheme="minorEastAsia"/>
          <w:szCs w:val="21"/>
        </w:rPr>
        <w:t>及其人员、乙方代理、分包商及其人员（如有）的任何财产（包括但不限于</w:t>
      </w:r>
      <w:r>
        <w:rPr>
          <w:rFonts w:asciiTheme="minorEastAsia" w:hAnsiTheme="minorEastAsia" w:eastAsiaTheme="minorEastAsia"/>
          <w:szCs w:val="21"/>
        </w:rPr>
        <w:t>设备、装置、器材等</w:t>
      </w:r>
      <w:r>
        <w:rPr>
          <w:rFonts w:hint="eastAsia" w:asciiTheme="minorEastAsia" w:hAnsiTheme="minorEastAsia" w:eastAsiaTheme="minorEastAsia"/>
          <w:szCs w:val="21"/>
        </w:rPr>
        <w:t>，且无论该等财产属于自有、租用、租赁或以其它方式提供）</w:t>
      </w:r>
      <w:r>
        <w:rPr>
          <w:rFonts w:asciiTheme="minorEastAsia" w:hAnsiTheme="minorEastAsia" w:eastAsiaTheme="minorEastAsia"/>
          <w:szCs w:val="21"/>
        </w:rPr>
        <w:t>发生毁损、灭失或其它损失，除非该等损失系因甲方故意或重大过失</w:t>
      </w:r>
      <w:r>
        <w:rPr>
          <w:rFonts w:hint="eastAsia" w:asciiTheme="minorEastAsia" w:hAnsiTheme="minorEastAsia" w:eastAsiaTheme="minorEastAsia"/>
          <w:szCs w:val="21"/>
        </w:rPr>
        <w:t>所致，乙方</w:t>
      </w:r>
      <w:r>
        <w:rPr>
          <w:rFonts w:asciiTheme="minorEastAsia" w:hAnsiTheme="minorEastAsia" w:eastAsiaTheme="minorEastAsia"/>
          <w:szCs w:val="21"/>
        </w:rPr>
        <w:t>应自行承担全部损失，</w:t>
      </w:r>
      <w:r>
        <w:rPr>
          <w:rFonts w:hint="eastAsia" w:asciiTheme="minorEastAsia" w:hAnsiTheme="minorEastAsia" w:eastAsiaTheme="minorEastAsia"/>
          <w:szCs w:val="21"/>
        </w:rPr>
        <w:t xml:space="preserve">并应确保甲方免于所有相关的索赔、损失、损害、费用和责任。 </w:t>
      </w:r>
    </w:p>
    <w:p>
      <w:pPr>
        <w:pStyle w:val="42"/>
        <w:numPr>
          <w:ilvl w:val="0"/>
          <w:numId w:val="31"/>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如因履行本合同</w:t>
      </w:r>
      <w:r>
        <w:rPr>
          <w:rFonts w:hint="eastAsia" w:asciiTheme="minorEastAsia" w:hAnsiTheme="minorEastAsia" w:eastAsiaTheme="minorEastAsia"/>
          <w:szCs w:val="21"/>
        </w:rPr>
        <w:t>而发生的或与履行本合同有关的乙方、乙方代理及分包商（如有）的</w:t>
      </w:r>
      <w:r>
        <w:rPr>
          <w:rFonts w:asciiTheme="minorEastAsia" w:hAnsiTheme="minorEastAsia" w:eastAsiaTheme="minorEastAsia"/>
          <w:szCs w:val="21"/>
        </w:rPr>
        <w:t>人员发生人身伤亡或</w:t>
      </w:r>
      <w:r>
        <w:rPr>
          <w:rFonts w:hint="eastAsia" w:asciiTheme="minorEastAsia" w:hAnsiTheme="minorEastAsia" w:eastAsiaTheme="minorEastAsia"/>
          <w:szCs w:val="21"/>
        </w:rPr>
        <w:t>疾病</w:t>
      </w:r>
      <w:r>
        <w:rPr>
          <w:rFonts w:asciiTheme="minorEastAsia" w:hAnsiTheme="minorEastAsia" w:eastAsiaTheme="minorEastAsia"/>
          <w:szCs w:val="21"/>
        </w:rPr>
        <w:t>，除非该等人身伤</w:t>
      </w:r>
      <w:r>
        <w:rPr>
          <w:rFonts w:hint="eastAsia" w:asciiTheme="minorEastAsia" w:hAnsiTheme="minorEastAsia" w:eastAsiaTheme="minorEastAsia"/>
          <w:szCs w:val="21"/>
        </w:rPr>
        <w:t>亡</w:t>
      </w:r>
      <w:r>
        <w:rPr>
          <w:rFonts w:asciiTheme="minorEastAsia" w:hAnsiTheme="minorEastAsia" w:eastAsiaTheme="minorEastAsia"/>
          <w:szCs w:val="21"/>
        </w:rPr>
        <w:t>或</w:t>
      </w:r>
      <w:r>
        <w:rPr>
          <w:rFonts w:hint="eastAsia" w:asciiTheme="minorEastAsia" w:hAnsiTheme="minorEastAsia" w:eastAsiaTheme="minorEastAsia"/>
          <w:szCs w:val="21"/>
        </w:rPr>
        <w:t>疾病</w:t>
      </w:r>
      <w:r>
        <w:rPr>
          <w:rFonts w:asciiTheme="minorEastAsia" w:hAnsiTheme="minorEastAsia" w:eastAsiaTheme="minorEastAsia"/>
          <w:szCs w:val="21"/>
        </w:rPr>
        <w:t>系因甲方故意或重大过失</w:t>
      </w:r>
      <w:r>
        <w:rPr>
          <w:rFonts w:hint="eastAsia" w:asciiTheme="minorEastAsia" w:hAnsiTheme="minorEastAsia" w:eastAsiaTheme="minorEastAsia"/>
          <w:szCs w:val="21"/>
        </w:rPr>
        <w:t>所致，</w:t>
      </w:r>
      <w:r>
        <w:rPr>
          <w:rFonts w:asciiTheme="minorEastAsia" w:hAnsiTheme="minorEastAsia" w:eastAsiaTheme="minorEastAsia"/>
          <w:szCs w:val="21"/>
        </w:rPr>
        <w:t>乙方应对</w:t>
      </w:r>
      <w:r>
        <w:rPr>
          <w:rFonts w:hint="eastAsia" w:asciiTheme="minorEastAsia" w:hAnsiTheme="minorEastAsia" w:eastAsiaTheme="minorEastAsia"/>
          <w:szCs w:val="21"/>
        </w:rPr>
        <w:t>上述</w:t>
      </w:r>
      <w:r>
        <w:rPr>
          <w:rFonts w:asciiTheme="minorEastAsia" w:hAnsiTheme="minorEastAsia" w:eastAsiaTheme="minorEastAsia"/>
          <w:szCs w:val="21"/>
        </w:rPr>
        <w:t>人员的人身伤亡或</w:t>
      </w:r>
      <w:r>
        <w:rPr>
          <w:rFonts w:hint="eastAsia" w:asciiTheme="minorEastAsia" w:hAnsiTheme="minorEastAsia" w:eastAsiaTheme="minorEastAsia"/>
          <w:szCs w:val="21"/>
        </w:rPr>
        <w:t>疾病</w:t>
      </w:r>
      <w:r>
        <w:rPr>
          <w:rFonts w:asciiTheme="minorEastAsia" w:hAnsiTheme="minorEastAsia" w:eastAsiaTheme="minorEastAsia"/>
          <w:szCs w:val="21"/>
        </w:rPr>
        <w:t>负责，</w:t>
      </w:r>
      <w:r>
        <w:rPr>
          <w:rFonts w:hint="eastAsia" w:asciiTheme="minorEastAsia" w:hAnsiTheme="minorEastAsia" w:eastAsiaTheme="minorEastAsia"/>
          <w:szCs w:val="21"/>
        </w:rPr>
        <w:t>并确保甲方免于所有相关的索赔、损失、损害、费用和责任，包括但不限于甲方因此需要支付任何赔偿时，乙方均应全额予以补偿。</w:t>
      </w:r>
    </w:p>
    <w:p>
      <w:pPr>
        <w:pStyle w:val="42"/>
        <w:numPr>
          <w:ilvl w:val="0"/>
          <w:numId w:val="31"/>
        </w:numPr>
        <w:adjustRightInd w:val="0"/>
        <w:snapToGrid w:val="0"/>
        <w:spacing w:before="93" w:beforeLines="30" w:after="93" w:afterLines="30" w:line="360" w:lineRule="auto"/>
        <w:ind w:left="709" w:hanging="709" w:firstLineChars="0"/>
        <w:rPr>
          <w:rFonts w:asciiTheme="minorEastAsia" w:hAnsiTheme="minorEastAsia" w:eastAsiaTheme="minorEastAsia"/>
        </w:rPr>
      </w:pPr>
      <w:r>
        <w:rPr>
          <w:rFonts w:hint="eastAsia" w:asciiTheme="minorEastAsia" w:hAnsiTheme="minorEastAsia" w:eastAsiaTheme="minorEastAsia"/>
          <w:szCs w:val="21"/>
        </w:rPr>
        <w:t>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pStyle w:val="64"/>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84" w:name="_Toc364839379"/>
      <w:r>
        <w:rPr>
          <w:rFonts w:hint="eastAsia" w:asciiTheme="minorEastAsia" w:hAnsiTheme="minorEastAsia" w:eastAsiaTheme="minorEastAsia"/>
          <w:sz w:val="21"/>
          <w:szCs w:val="21"/>
        </w:rPr>
        <w:t>保密</w:t>
      </w:r>
      <w:bookmarkEnd w:id="82"/>
      <w:bookmarkEnd w:id="83"/>
      <w:bookmarkEnd w:id="84"/>
    </w:p>
    <w:p>
      <w:pPr>
        <w:pStyle w:val="42"/>
        <w:numPr>
          <w:ilvl w:val="0"/>
          <w:numId w:val="32"/>
        </w:numPr>
        <w:tabs>
          <w:tab w:val="left" w:pos="709"/>
        </w:tabs>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除非法律法规、政府机关另行强制要求，未经</w:t>
      </w:r>
      <w:r>
        <w:rPr>
          <w:rFonts w:hint="eastAsia" w:asciiTheme="minorEastAsia" w:hAnsiTheme="minorEastAsia" w:eastAsiaTheme="minorEastAsia"/>
          <w:szCs w:val="21"/>
        </w:rPr>
        <w:t>甲方事先书面</w:t>
      </w:r>
      <w:r>
        <w:rPr>
          <w:rFonts w:asciiTheme="minorEastAsia" w:hAnsiTheme="minorEastAsia" w:eastAsiaTheme="minorEastAsia"/>
          <w:szCs w:val="21"/>
        </w:rPr>
        <w:t>同意，</w:t>
      </w:r>
      <w:r>
        <w:rPr>
          <w:rFonts w:hint="eastAsia" w:asciiTheme="minorEastAsia" w:hAnsiTheme="minorEastAsia" w:eastAsiaTheme="minorEastAsia"/>
          <w:szCs w:val="21"/>
        </w:rPr>
        <w:t>乙方</w:t>
      </w:r>
      <w:r>
        <w:rPr>
          <w:rFonts w:asciiTheme="minorEastAsia" w:hAnsiTheme="minorEastAsia" w:eastAsiaTheme="minorEastAsia"/>
          <w:szCs w:val="21"/>
        </w:rPr>
        <w:t>不得将</w:t>
      </w:r>
      <w:r>
        <w:rPr>
          <w:rFonts w:hint="eastAsia" w:asciiTheme="minorEastAsia" w:hAnsiTheme="minorEastAsia" w:eastAsiaTheme="minorEastAsia"/>
          <w:szCs w:val="21"/>
        </w:rPr>
        <w:t>甲方</w:t>
      </w:r>
      <w:r>
        <w:rPr>
          <w:rFonts w:asciiTheme="minorEastAsia" w:hAnsiTheme="minorEastAsia" w:eastAsiaTheme="minorEastAsia"/>
          <w:szCs w:val="21"/>
        </w:rPr>
        <w:t>保密信息披露给任何第三方（包括与合同无关的</w:t>
      </w:r>
      <w:r>
        <w:rPr>
          <w:rFonts w:hint="eastAsia" w:asciiTheme="minorEastAsia" w:hAnsiTheme="minorEastAsia" w:eastAsiaTheme="minorEastAsia"/>
          <w:szCs w:val="21"/>
        </w:rPr>
        <w:t>乙方</w:t>
      </w:r>
      <w:r>
        <w:rPr>
          <w:rFonts w:asciiTheme="minorEastAsia" w:hAnsiTheme="minorEastAsia" w:eastAsiaTheme="minorEastAsia"/>
          <w:szCs w:val="21"/>
        </w:rPr>
        <w:t>员工和政府部门），亦不得将该等信息用于与本合同无关的用途。保密信息包括但不限于：</w:t>
      </w:r>
      <w:r>
        <w:rPr>
          <w:rFonts w:hint="eastAsia" w:asciiTheme="minorEastAsia" w:hAnsiTheme="minorEastAsia" w:eastAsiaTheme="minorEastAsia"/>
          <w:szCs w:val="21"/>
        </w:rPr>
        <w:t>本</w:t>
      </w:r>
      <w:r>
        <w:rPr>
          <w:rFonts w:asciiTheme="minorEastAsia" w:hAnsiTheme="minorEastAsia" w:eastAsiaTheme="minorEastAsia"/>
          <w:szCs w:val="21"/>
        </w:rPr>
        <w:t>合同内容；</w:t>
      </w:r>
      <w:r>
        <w:rPr>
          <w:rFonts w:hint="eastAsia" w:asciiTheme="minorEastAsia" w:hAnsiTheme="minorEastAsia" w:eastAsiaTheme="minorEastAsia"/>
          <w:szCs w:val="21"/>
        </w:rPr>
        <w:t>甲方提供的</w:t>
      </w:r>
      <w:r>
        <w:rPr>
          <w:rFonts w:asciiTheme="minorEastAsia" w:hAnsiTheme="minorEastAsia" w:eastAsiaTheme="minorEastAsia"/>
          <w:szCs w:val="21"/>
        </w:rPr>
        <w:t>与本合同有关的任何技术信息、图纸、样本、资料等；</w:t>
      </w:r>
      <w:r>
        <w:rPr>
          <w:rFonts w:hint="eastAsia" w:asciiTheme="minorEastAsia" w:hAnsiTheme="minorEastAsia" w:eastAsiaTheme="minorEastAsia"/>
          <w:szCs w:val="21"/>
        </w:rPr>
        <w:t>甲方</w:t>
      </w:r>
      <w:r>
        <w:rPr>
          <w:rFonts w:asciiTheme="minorEastAsia" w:hAnsiTheme="minorEastAsia" w:eastAsiaTheme="minorEastAsia"/>
          <w:szCs w:val="21"/>
        </w:rPr>
        <w:t>提供的或</w:t>
      </w:r>
      <w:r>
        <w:rPr>
          <w:rFonts w:hint="eastAsia" w:asciiTheme="minorEastAsia" w:hAnsiTheme="minorEastAsia" w:eastAsiaTheme="minorEastAsia"/>
          <w:szCs w:val="21"/>
        </w:rPr>
        <w:t>乙方</w:t>
      </w:r>
      <w:r>
        <w:rPr>
          <w:rFonts w:asciiTheme="minorEastAsia" w:hAnsiTheme="minorEastAsia" w:eastAsiaTheme="minorEastAsia"/>
          <w:szCs w:val="21"/>
        </w:rPr>
        <w:t>获得的与项目或甲方有关的任何技术和商务信息。</w:t>
      </w:r>
    </w:p>
    <w:p>
      <w:pPr>
        <w:pStyle w:val="42"/>
        <w:numPr>
          <w:ilvl w:val="0"/>
          <w:numId w:val="32"/>
        </w:numPr>
        <w:tabs>
          <w:tab w:val="left" w:pos="709"/>
        </w:tabs>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一方违反保密义务时，另一方有权要求该方停止侵害、消除影响或采取其他合理的救济措施，该方还应赔偿因违约行为而给对方造成的全部损失。</w:t>
      </w:r>
    </w:p>
    <w:p>
      <w:pPr>
        <w:pStyle w:val="64"/>
        <w:widowControl/>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85" w:name="_Toc287977559"/>
      <w:bookmarkStart w:id="86" w:name="_Toc288479437"/>
      <w:bookmarkStart w:id="87" w:name="_Toc299550775"/>
      <w:bookmarkStart w:id="88" w:name="_Toc296959348"/>
      <w:bookmarkStart w:id="89" w:name="_Toc299912683"/>
      <w:bookmarkStart w:id="90" w:name="_Toc299915698"/>
      <w:bookmarkStart w:id="91" w:name="_Toc296955886"/>
      <w:bookmarkStart w:id="92" w:name="_Toc364839380"/>
      <w:bookmarkStart w:id="93" w:name="_Toc291354277"/>
      <w:bookmarkStart w:id="94" w:name="_Toc291365399"/>
      <w:bookmarkStart w:id="95" w:name="_Toc291275281"/>
      <w:r>
        <w:rPr>
          <w:rFonts w:hint="eastAsia" w:asciiTheme="minorEastAsia" w:hAnsiTheme="minorEastAsia" w:eastAsiaTheme="minorEastAsia"/>
          <w:sz w:val="21"/>
          <w:szCs w:val="21"/>
        </w:rPr>
        <w:t>责任限制</w:t>
      </w:r>
    </w:p>
    <w:p>
      <w:pPr>
        <w:pStyle w:val="42"/>
        <w:widowControl/>
        <w:numPr>
          <w:ilvl w:val="0"/>
          <w:numId w:val="33"/>
        </w:numPr>
        <w:tabs>
          <w:tab w:val="left" w:pos="709"/>
        </w:tabs>
        <w:adjustRightInd w:val="0"/>
        <w:snapToGrid w:val="0"/>
        <w:spacing w:after="16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乙方在履行合同过程中承担的总体责任限制为合同总价的【150%】。然而，该责任限制在任何情况下均不包括下述责任：</w:t>
      </w:r>
    </w:p>
    <w:p>
      <w:pPr>
        <w:widowControl/>
        <w:numPr>
          <w:ilvl w:val="0"/>
          <w:numId w:val="34"/>
        </w:numPr>
        <w:tabs>
          <w:tab w:val="left" w:pos="1134"/>
        </w:tabs>
        <w:adjustRightInd w:val="0"/>
        <w:snapToGrid w:val="0"/>
        <w:spacing w:after="160" w:line="360" w:lineRule="auto"/>
        <w:ind w:left="1134" w:hanging="425"/>
        <w:rPr>
          <w:rFonts w:asciiTheme="minorEastAsia" w:hAnsiTheme="minorEastAsia" w:eastAsiaTheme="minorEastAsia"/>
          <w:szCs w:val="21"/>
        </w:rPr>
      </w:pPr>
      <w:r>
        <w:rPr>
          <w:rFonts w:hint="eastAsia" w:asciiTheme="minorEastAsia" w:hAnsiTheme="minorEastAsia" w:eastAsiaTheme="minorEastAsia"/>
          <w:szCs w:val="21"/>
        </w:rPr>
        <w:t>乙方在合同第八条（质量保证）、第十一条（权利保证）、第十七条（保障）、第2.3款（税费）项下所应承担的责任；</w:t>
      </w:r>
    </w:p>
    <w:p>
      <w:pPr>
        <w:widowControl/>
        <w:numPr>
          <w:ilvl w:val="0"/>
          <w:numId w:val="34"/>
        </w:numPr>
        <w:tabs>
          <w:tab w:val="left" w:pos="1134"/>
        </w:tabs>
        <w:adjustRightInd w:val="0"/>
        <w:snapToGrid w:val="0"/>
        <w:spacing w:after="160" w:line="360" w:lineRule="auto"/>
        <w:ind w:left="1134" w:hanging="425"/>
        <w:rPr>
          <w:rFonts w:asciiTheme="minorEastAsia" w:hAnsiTheme="minorEastAsia" w:eastAsiaTheme="minorEastAsia"/>
          <w:szCs w:val="21"/>
        </w:rPr>
      </w:pPr>
      <w:r>
        <w:rPr>
          <w:rFonts w:hint="eastAsia" w:asciiTheme="minorEastAsia" w:hAnsiTheme="minorEastAsia" w:eastAsiaTheme="minorEastAsia"/>
          <w:szCs w:val="21"/>
        </w:rPr>
        <w:t>乙方根据法律法规及本合同的规定所应承担的税费；</w:t>
      </w:r>
    </w:p>
    <w:p>
      <w:pPr>
        <w:widowControl/>
        <w:numPr>
          <w:ilvl w:val="0"/>
          <w:numId w:val="34"/>
        </w:numPr>
        <w:tabs>
          <w:tab w:val="left" w:pos="1134"/>
        </w:tabs>
        <w:adjustRightInd w:val="0"/>
        <w:snapToGrid w:val="0"/>
        <w:spacing w:after="160" w:line="360" w:lineRule="auto"/>
        <w:ind w:left="1134" w:hanging="425"/>
        <w:rPr>
          <w:rFonts w:asciiTheme="minorEastAsia" w:hAnsiTheme="minorEastAsia" w:eastAsiaTheme="minorEastAsia"/>
          <w:szCs w:val="21"/>
        </w:rPr>
      </w:pPr>
      <w:r>
        <w:rPr>
          <w:rFonts w:hint="eastAsia" w:asciiTheme="minorEastAsia" w:hAnsiTheme="minorEastAsia" w:eastAsiaTheme="minorEastAsia"/>
          <w:szCs w:val="21"/>
        </w:rPr>
        <w:t>乙方从保险公司获得或可以获得的赔偿部分的违约责任；</w:t>
      </w:r>
    </w:p>
    <w:p>
      <w:pPr>
        <w:widowControl/>
        <w:numPr>
          <w:ilvl w:val="0"/>
          <w:numId w:val="34"/>
        </w:numPr>
        <w:tabs>
          <w:tab w:val="left" w:pos="1134"/>
        </w:tabs>
        <w:adjustRightInd w:val="0"/>
        <w:snapToGrid w:val="0"/>
        <w:spacing w:after="160" w:line="360" w:lineRule="auto"/>
        <w:ind w:left="1134" w:hanging="425"/>
        <w:rPr>
          <w:rFonts w:asciiTheme="minorEastAsia" w:hAnsiTheme="minorEastAsia" w:eastAsiaTheme="minorEastAsia"/>
          <w:szCs w:val="21"/>
        </w:rPr>
      </w:pPr>
      <w:r>
        <w:rPr>
          <w:rFonts w:hint="eastAsia" w:asciiTheme="minorEastAsia" w:hAnsiTheme="minorEastAsia" w:eastAsiaTheme="minorEastAsia"/>
          <w:szCs w:val="21"/>
        </w:rPr>
        <w:t>乙方违反法律法规引起的责任；</w:t>
      </w:r>
    </w:p>
    <w:p>
      <w:pPr>
        <w:widowControl/>
        <w:numPr>
          <w:ilvl w:val="0"/>
          <w:numId w:val="34"/>
        </w:numPr>
        <w:tabs>
          <w:tab w:val="left" w:pos="1134"/>
        </w:tabs>
        <w:adjustRightInd w:val="0"/>
        <w:snapToGrid w:val="0"/>
        <w:spacing w:after="160" w:line="360" w:lineRule="auto"/>
        <w:ind w:left="1134" w:hanging="425"/>
        <w:rPr>
          <w:rFonts w:asciiTheme="minorEastAsia" w:hAnsiTheme="minorEastAsia" w:eastAsiaTheme="minorEastAsia"/>
          <w:szCs w:val="21"/>
        </w:rPr>
      </w:pPr>
      <w:r>
        <w:rPr>
          <w:rFonts w:hint="eastAsia" w:asciiTheme="minorEastAsia" w:hAnsiTheme="minorEastAsia" w:eastAsiaTheme="minorEastAsia"/>
          <w:szCs w:val="21"/>
        </w:rPr>
        <w:t>乙方及其人员、乙方代理、乙方的分包商及其人员因欺诈、故意、重大过失引起的责任；</w:t>
      </w:r>
    </w:p>
    <w:p>
      <w:pPr>
        <w:pStyle w:val="64"/>
        <w:widowControl/>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r>
        <w:rPr>
          <w:rFonts w:hint="eastAsia" w:asciiTheme="minorEastAsia" w:hAnsiTheme="minorEastAsia" w:eastAsiaTheme="minorEastAsia"/>
          <w:bCs w:val="0"/>
          <w:sz w:val="21"/>
          <w:szCs w:val="21"/>
        </w:rPr>
        <w:t>审计</w:t>
      </w:r>
      <w:bookmarkEnd w:id="85"/>
      <w:r>
        <w:rPr>
          <w:rFonts w:hint="eastAsia" w:asciiTheme="minorEastAsia" w:hAnsiTheme="minorEastAsia" w:eastAsiaTheme="minorEastAsia"/>
          <w:sz w:val="21"/>
          <w:szCs w:val="21"/>
        </w:rPr>
        <w:t>和</w:t>
      </w:r>
      <w:bookmarkEnd w:id="86"/>
      <w:bookmarkEnd w:id="87"/>
      <w:bookmarkEnd w:id="88"/>
      <w:bookmarkEnd w:id="89"/>
      <w:bookmarkEnd w:id="90"/>
      <w:bookmarkEnd w:id="91"/>
      <w:r>
        <w:rPr>
          <w:rFonts w:hint="eastAsia" w:asciiTheme="minorEastAsia" w:hAnsiTheme="minorEastAsia" w:eastAsiaTheme="minorEastAsia"/>
          <w:sz w:val="21"/>
          <w:szCs w:val="21"/>
        </w:rPr>
        <w:t>反商业贿赂</w:t>
      </w:r>
      <w:bookmarkEnd w:id="92"/>
    </w:p>
    <w:p>
      <w:pPr>
        <w:pStyle w:val="42"/>
        <w:widowControl/>
        <w:numPr>
          <w:ilvl w:val="0"/>
          <w:numId w:val="35"/>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乙方应根据甲方要求，无条件接受和配合甲方或甲方委托的会计师事务所进行的与本合同相关的审计，包括配合甲方或甲方委托的会计师事务所对分包商进行的与分包合同相关的审计。乙方应在分包合同中要求其分包商接受与本合同相同的审计要求，包括分包商应无条件接受和配合甲方或甲方委托的会计师事务所对分包商进行的与分包合同相关的审计。</w:t>
      </w:r>
    </w:p>
    <w:p>
      <w:pPr>
        <w:pStyle w:val="42"/>
        <w:widowControl/>
        <w:numPr>
          <w:ilvl w:val="0"/>
          <w:numId w:val="35"/>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乙方应保存与本合同相关的记录和账目，保存期限为本合同终止后【十（</w:t>
      </w:r>
      <w:r>
        <w:rPr>
          <w:rFonts w:asciiTheme="minorEastAsia" w:hAnsiTheme="minorEastAsia" w:eastAsiaTheme="minorEastAsia"/>
          <w:szCs w:val="21"/>
        </w:rPr>
        <w:t>10</w:t>
      </w:r>
      <w:r>
        <w:rPr>
          <w:rFonts w:hint="eastAsia" w:asciiTheme="minorEastAsia" w:hAnsiTheme="minorEastAsia" w:eastAsiaTheme="minorEastAsia"/>
          <w:szCs w:val="21"/>
        </w:rPr>
        <w:t>）】年或遵从所在国相关规定。经提前通知，甲方或甲方委托的会计师事务所有权检查并复制该等记录和账目。</w:t>
      </w:r>
    </w:p>
    <w:p>
      <w:pPr>
        <w:pStyle w:val="42"/>
        <w:widowControl/>
        <w:numPr>
          <w:ilvl w:val="0"/>
          <w:numId w:val="35"/>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双方确认</w:t>
      </w:r>
      <w:r>
        <w:rPr>
          <w:rFonts w:hint="eastAsia"/>
          <w:szCs w:val="21"/>
        </w:rPr>
        <w:t>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r>
        <w:rPr>
          <w:rFonts w:hint="eastAsia" w:asciiTheme="minorEastAsia" w:hAnsiTheme="minorEastAsia" w:eastAsiaTheme="minorEastAsia"/>
          <w:szCs w:val="21"/>
        </w:rPr>
        <w:t>。</w:t>
      </w:r>
    </w:p>
    <w:p>
      <w:pPr>
        <w:pStyle w:val="64"/>
        <w:widowControl/>
        <w:tabs>
          <w:tab w:val="left" w:pos="1276"/>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96" w:name="_Toc299915699"/>
      <w:bookmarkStart w:id="97" w:name="_Toc297822760"/>
      <w:bookmarkStart w:id="98" w:name="_Toc364839381"/>
      <w:r>
        <w:rPr>
          <w:rFonts w:hint="eastAsia" w:asciiTheme="minorEastAsia" w:hAnsiTheme="minorEastAsia" w:eastAsiaTheme="minorEastAsia"/>
          <w:sz w:val="21"/>
          <w:szCs w:val="21"/>
        </w:rPr>
        <w:t>通知</w:t>
      </w:r>
      <w:bookmarkEnd w:id="96"/>
      <w:bookmarkEnd w:id="97"/>
      <w:bookmarkEnd w:id="98"/>
    </w:p>
    <w:p>
      <w:pPr>
        <w:pStyle w:val="42"/>
        <w:widowControl/>
        <w:numPr>
          <w:ilvl w:val="0"/>
          <w:numId w:val="36"/>
        </w:numPr>
        <w:tabs>
          <w:tab w:val="left" w:pos="709"/>
        </w:tabs>
        <w:autoSpaceDE w:val="0"/>
        <w:autoSpaceDN w:val="0"/>
        <w:adjustRightInd w:val="0"/>
        <w:snapToGrid w:val="0"/>
        <w:spacing w:before="93" w:beforeLines="30" w:after="93" w:afterLines="30" w:line="360" w:lineRule="auto"/>
        <w:ind w:left="709" w:hanging="709" w:firstLineChars="0"/>
        <w:textAlignment w:val="bottom"/>
        <w:rPr>
          <w:rFonts w:asciiTheme="minorEastAsia" w:hAnsiTheme="minorEastAsia" w:eastAsiaTheme="minorEastAsia"/>
          <w:szCs w:val="21"/>
        </w:rPr>
      </w:pPr>
      <w:r>
        <w:rPr>
          <w:rFonts w:hint="eastAsia" w:asciiTheme="minorEastAsia" w:hAnsiTheme="minorEastAsia" w:eastAsiaTheme="minorEastAsia"/>
          <w:szCs w:val="21"/>
        </w:rPr>
        <w:t>通知应根据本合同规定以亲自递送、特快专递、传真等方式送达。</w:t>
      </w:r>
      <w:r>
        <w:rPr>
          <w:rFonts w:asciiTheme="minorEastAsia" w:hAnsiTheme="minorEastAsia" w:eastAsiaTheme="minorEastAsia"/>
          <w:szCs w:val="21"/>
        </w:rPr>
        <w:t>通知在下列情况视为</w:t>
      </w:r>
      <w:r>
        <w:rPr>
          <w:rFonts w:hint="eastAsia" w:asciiTheme="minorEastAsia" w:hAnsiTheme="minorEastAsia" w:eastAsiaTheme="minorEastAsia"/>
          <w:szCs w:val="21"/>
        </w:rPr>
        <w:t>送达</w:t>
      </w:r>
      <w:r>
        <w:rPr>
          <w:rFonts w:asciiTheme="minorEastAsia" w:hAnsiTheme="minorEastAsia" w:eastAsiaTheme="minorEastAsia"/>
          <w:szCs w:val="21"/>
        </w:rPr>
        <w:t>：</w:t>
      </w:r>
    </w:p>
    <w:p>
      <w:pPr>
        <w:widowControl/>
        <w:numPr>
          <w:ilvl w:val="1"/>
          <w:numId w:val="37"/>
        </w:numPr>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如采</w:t>
      </w:r>
      <w:r>
        <w:rPr>
          <w:rFonts w:hint="eastAsia" w:asciiTheme="minorEastAsia" w:hAnsiTheme="minorEastAsia" w:eastAsiaTheme="minorEastAsia"/>
          <w:szCs w:val="21"/>
        </w:rPr>
        <w:t>用</w:t>
      </w:r>
      <w:r>
        <w:rPr>
          <w:rFonts w:asciiTheme="minorEastAsia" w:hAnsiTheme="minorEastAsia" w:eastAsiaTheme="minorEastAsia"/>
          <w:szCs w:val="21"/>
        </w:rPr>
        <w:t>亲自递送方式，于</w:t>
      </w:r>
      <w:r>
        <w:rPr>
          <w:rFonts w:hint="eastAsia" w:asciiTheme="minorEastAsia" w:hAnsiTheme="minorEastAsia" w:eastAsiaTheme="minorEastAsia"/>
          <w:szCs w:val="21"/>
        </w:rPr>
        <w:t>签收确认</w:t>
      </w:r>
      <w:r>
        <w:rPr>
          <w:rFonts w:asciiTheme="minorEastAsia" w:hAnsiTheme="minorEastAsia" w:eastAsiaTheme="minorEastAsia"/>
          <w:szCs w:val="21"/>
        </w:rPr>
        <w:t>之时；</w:t>
      </w:r>
    </w:p>
    <w:p>
      <w:pPr>
        <w:widowControl/>
        <w:numPr>
          <w:ilvl w:val="1"/>
          <w:numId w:val="37"/>
        </w:numPr>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如采</w:t>
      </w:r>
      <w:r>
        <w:rPr>
          <w:rFonts w:hint="eastAsia" w:asciiTheme="minorEastAsia" w:hAnsiTheme="minorEastAsia" w:eastAsiaTheme="minorEastAsia"/>
          <w:szCs w:val="21"/>
        </w:rPr>
        <w:t>用特快专递</w:t>
      </w:r>
      <w:r>
        <w:rPr>
          <w:rFonts w:asciiTheme="minorEastAsia" w:hAnsiTheme="minorEastAsia" w:eastAsiaTheme="minorEastAsia"/>
          <w:szCs w:val="21"/>
        </w:rPr>
        <w:t>方式，于</w:t>
      </w:r>
      <w:r>
        <w:rPr>
          <w:rFonts w:hint="eastAsia" w:asciiTheme="minorEastAsia" w:hAnsiTheme="minorEastAsia" w:eastAsiaTheme="minorEastAsia"/>
          <w:szCs w:val="21"/>
        </w:rPr>
        <w:t>收件人签收</w:t>
      </w:r>
      <w:r>
        <w:rPr>
          <w:rFonts w:asciiTheme="minorEastAsia" w:hAnsiTheme="minorEastAsia" w:eastAsiaTheme="minorEastAsia"/>
          <w:szCs w:val="21"/>
        </w:rPr>
        <w:t>之时</w:t>
      </w:r>
      <w:r>
        <w:rPr>
          <w:rFonts w:hint="eastAsia" w:asciiTheme="minorEastAsia" w:hAnsiTheme="minorEastAsia" w:eastAsiaTheme="minorEastAsia"/>
          <w:szCs w:val="21"/>
        </w:rPr>
        <w:t>；</w:t>
      </w:r>
    </w:p>
    <w:p>
      <w:pPr>
        <w:widowControl/>
        <w:numPr>
          <w:ilvl w:val="1"/>
          <w:numId w:val="37"/>
        </w:numPr>
        <w:adjustRightInd w:val="0"/>
        <w:snapToGrid w:val="0"/>
        <w:spacing w:before="93" w:beforeLines="30" w:after="93" w:afterLines="30" w:line="360" w:lineRule="auto"/>
        <w:ind w:left="1276" w:hanging="567"/>
        <w:rPr>
          <w:rFonts w:asciiTheme="minorEastAsia" w:hAnsiTheme="minorEastAsia" w:eastAsiaTheme="minorEastAsia"/>
          <w:szCs w:val="21"/>
        </w:rPr>
      </w:pPr>
      <w:r>
        <w:rPr>
          <w:rFonts w:asciiTheme="minorEastAsia" w:hAnsiTheme="minorEastAsia" w:eastAsiaTheme="minorEastAsia"/>
          <w:szCs w:val="21"/>
        </w:rPr>
        <w:t>如采</w:t>
      </w:r>
      <w:r>
        <w:rPr>
          <w:rFonts w:hint="eastAsia" w:asciiTheme="minorEastAsia" w:hAnsiTheme="minorEastAsia" w:eastAsiaTheme="minorEastAsia"/>
          <w:szCs w:val="21"/>
        </w:rPr>
        <w:t>用</w:t>
      </w:r>
      <w:r>
        <w:rPr>
          <w:rFonts w:asciiTheme="minorEastAsia" w:hAnsiTheme="minorEastAsia" w:eastAsiaTheme="minorEastAsia"/>
          <w:szCs w:val="21"/>
        </w:rPr>
        <w:t>传真方式，于确认传输之时</w:t>
      </w:r>
      <w:r>
        <w:rPr>
          <w:rFonts w:hint="eastAsia" w:asciiTheme="minorEastAsia" w:hAnsiTheme="minorEastAsia" w:eastAsiaTheme="minorEastAsia"/>
          <w:szCs w:val="21"/>
        </w:rPr>
        <w:t>。</w:t>
      </w:r>
    </w:p>
    <w:p>
      <w:pPr>
        <w:pStyle w:val="42"/>
        <w:widowControl/>
        <w:numPr>
          <w:ilvl w:val="0"/>
          <w:numId w:val="36"/>
        </w:numPr>
        <w:tabs>
          <w:tab w:val="left" w:pos="709"/>
        </w:tabs>
        <w:autoSpaceDE w:val="0"/>
        <w:autoSpaceDN w:val="0"/>
        <w:adjustRightInd w:val="0"/>
        <w:snapToGrid w:val="0"/>
        <w:spacing w:before="93" w:beforeLines="30" w:after="93" w:afterLines="30" w:line="360" w:lineRule="auto"/>
        <w:ind w:left="709" w:hanging="709" w:firstLineChars="0"/>
        <w:textAlignment w:val="bottom"/>
        <w:rPr>
          <w:rFonts w:asciiTheme="minorEastAsia" w:hAnsiTheme="minorEastAsia" w:eastAsiaTheme="minorEastAsia"/>
          <w:szCs w:val="21"/>
        </w:rPr>
      </w:pPr>
      <w:r>
        <w:rPr>
          <w:rFonts w:asciiTheme="minorEastAsia" w:hAnsiTheme="minorEastAsia" w:eastAsiaTheme="minorEastAsia"/>
          <w:szCs w:val="21"/>
        </w:rPr>
        <w:t>除非一方另行</w:t>
      </w:r>
      <w:r>
        <w:rPr>
          <w:rFonts w:hint="eastAsia" w:asciiTheme="minorEastAsia" w:hAnsiTheme="minorEastAsia" w:eastAsiaTheme="minorEastAsia"/>
          <w:szCs w:val="21"/>
        </w:rPr>
        <w:t>明确</w:t>
      </w:r>
      <w:r>
        <w:rPr>
          <w:rFonts w:asciiTheme="minorEastAsia" w:hAnsiTheme="minorEastAsia" w:eastAsiaTheme="minorEastAsia"/>
          <w:szCs w:val="21"/>
        </w:rPr>
        <w:t>要求，双方可通过互联网电子邮件进行通讯联系或传送文件。因不能合理控制的原因导致任何互联网电子邮件遗失、延误、被截取、破坏或修改的，</w:t>
      </w:r>
      <w:r>
        <w:rPr>
          <w:rFonts w:hint="eastAsia" w:asciiTheme="minorEastAsia" w:hAnsiTheme="minorEastAsia" w:eastAsiaTheme="minorEastAsia"/>
          <w:szCs w:val="21"/>
        </w:rPr>
        <w:t>通知发出方不承担</w:t>
      </w:r>
      <w:r>
        <w:rPr>
          <w:rFonts w:asciiTheme="minorEastAsia" w:hAnsiTheme="minorEastAsia" w:eastAsiaTheme="minorEastAsia"/>
          <w:szCs w:val="21"/>
        </w:rPr>
        <w:t>因此造成的任何损失、损害、费用、伤害或不便。</w:t>
      </w:r>
    </w:p>
    <w:p>
      <w:pPr>
        <w:pStyle w:val="42"/>
        <w:widowControl/>
        <w:numPr>
          <w:ilvl w:val="0"/>
          <w:numId w:val="36"/>
        </w:numPr>
        <w:tabs>
          <w:tab w:val="left" w:pos="709"/>
        </w:tabs>
        <w:autoSpaceDE w:val="0"/>
        <w:autoSpaceDN w:val="0"/>
        <w:adjustRightInd w:val="0"/>
        <w:snapToGrid w:val="0"/>
        <w:spacing w:before="93" w:beforeLines="30" w:after="93" w:afterLines="30" w:line="360" w:lineRule="auto"/>
        <w:ind w:left="709" w:hanging="709" w:firstLineChars="0"/>
        <w:textAlignment w:val="bottom"/>
        <w:rPr>
          <w:rFonts w:cs="宋体" w:asciiTheme="minorEastAsia" w:hAnsiTheme="minorEastAsia" w:eastAsiaTheme="minorEastAsia"/>
          <w:szCs w:val="21"/>
        </w:rPr>
      </w:pPr>
      <w:r>
        <w:rPr>
          <w:rFonts w:hint="eastAsia" w:cs="新宋体-18030" w:asciiTheme="minorEastAsia" w:hAnsiTheme="minorEastAsia" w:eastAsiaTheme="minorEastAsia"/>
          <w:szCs w:val="21"/>
        </w:rPr>
        <w:t>除非双方另有明确约定，任何一方根据本合同向另一方提供资料和发送通知或者在服务过程中需要对相关技术问题进行澄清、咨询的联系人和联系方式如下：</w:t>
      </w:r>
    </w:p>
    <w:tbl>
      <w:tblPr>
        <w:tblStyle w:val="23"/>
        <w:tblW w:w="7953" w:type="dxa"/>
        <w:tblInd w:w="675" w:type="dxa"/>
        <w:tblLayout w:type="fixed"/>
        <w:tblCellMar>
          <w:top w:w="0" w:type="dxa"/>
          <w:left w:w="108" w:type="dxa"/>
          <w:bottom w:w="0" w:type="dxa"/>
          <w:right w:w="108" w:type="dxa"/>
        </w:tblCellMar>
      </w:tblPr>
      <w:tblGrid>
        <w:gridCol w:w="3843"/>
        <w:gridCol w:w="4110"/>
      </w:tblGrid>
      <w:tr>
        <w:tblPrEx>
          <w:tblCellMar>
            <w:top w:w="0" w:type="dxa"/>
            <w:left w:w="108" w:type="dxa"/>
            <w:bottom w:w="0" w:type="dxa"/>
            <w:right w:w="108" w:type="dxa"/>
          </w:tblCellMar>
        </w:tblPrEx>
        <w:tc>
          <w:tcPr>
            <w:tcW w:w="3843" w:type="dxa"/>
          </w:tcPr>
          <w:p>
            <w:pPr>
              <w:tabs>
                <w:tab w:val="left" w:pos="709"/>
              </w:tabs>
              <w:spacing w:line="360" w:lineRule="auto"/>
              <w:ind w:right="-57" w:rightChars="-27"/>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甲方</w:t>
            </w:r>
            <w:r>
              <w:rPr>
                <w:rFonts w:asciiTheme="minorEastAsia" w:hAnsiTheme="minorEastAsia" w:eastAsiaTheme="minorEastAsia"/>
                <w:color w:val="FF0000"/>
                <w:szCs w:val="21"/>
              </w:rPr>
              <w:t>联系人：</w:t>
            </w:r>
            <w:r>
              <w:rPr>
                <w:rFonts w:hint="eastAsia" w:ascii="宋体" w:hAnsi="宋体"/>
                <w:color w:val="FF0000"/>
                <w:szCs w:val="21"/>
                <w:u w:val="single"/>
              </w:rPr>
              <w:t xml:space="preserve"> </w:t>
            </w:r>
            <w:r>
              <w:rPr>
                <w:rFonts w:ascii="宋体" w:hAnsi="宋体"/>
                <w:color w:val="FF0000"/>
                <w:szCs w:val="21"/>
                <w:u w:val="single"/>
              </w:rPr>
              <w:t xml:space="preserve">       </w:t>
            </w:r>
          </w:p>
        </w:tc>
        <w:tc>
          <w:tcPr>
            <w:tcW w:w="4110" w:type="dxa"/>
          </w:tcPr>
          <w:p>
            <w:pPr>
              <w:tabs>
                <w:tab w:val="left" w:pos="709"/>
              </w:tabs>
              <w:spacing w:line="360" w:lineRule="auto"/>
              <w:ind w:right="-57" w:rightChars="-27"/>
              <w:rPr>
                <w:rFonts w:asciiTheme="minorEastAsia" w:hAnsiTheme="minorEastAsia" w:eastAsiaTheme="minorEastAsia"/>
                <w:color w:val="FF0000"/>
                <w:szCs w:val="21"/>
              </w:rPr>
            </w:pPr>
            <w:r>
              <w:rPr>
                <w:rFonts w:hint="eastAsia" w:asciiTheme="minorEastAsia" w:hAnsiTheme="minorEastAsia" w:eastAsiaTheme="minorEastAsia"/>
                <w:color w:val="FF0000"/>
                <w:szCs w:val="21"/>
              </w:rPr>
              <w:t>乙方</w:t>
            </w:r>
            <w:r>
              <w:rPr>
                <w:rFonts w:asciiTheme="minorEastAsia" w:hAnsiTheme="minorEastAsia" w:eastAsiaTheme="minorEastAsia"/>
                <w:color w:val="FF0000"/>
                <w:szCs w:val="21"/>
              </w:rPr>
              <w:t>联系人：</w:t>
            </w:r>
            <w:r>
              <w:rPr>
                <w:rFonts w:hint="eastAsia" w:ascii="宋体" w:hAnsi="宋体"/>
                <w:color w:val="FF0000"/>
                <w:szCs w:val="21"/>
                <w:u w:val="single"/>
              </w:rPr>
              <w:t xml:space="preserve"> </w:t>
            </w:r>
            <w:r>
              <w:rPr>
                <w:rFonts w:ascii="宋体" w:hAnsi="宋体"/>
                <w:color w:val="FF0000"/>
                <w:szCs w:val="21"/>
                <w:u w:val="single"/>
              </w:rPr>
              <w:t xml:space="preserve">       </w:t>
            </w:r>
          </w:p>
        </w:tc>
      </w:tr>
      <w:tr>
        <w:tblPrEx>
          <w:tblCellMar>
            <w:top w:w="0" w:type="dxa"/>
            <w:left w:w="108" w:type="dxa"/>
            <w:bottom w:w="0" w:type="dxa"/>
            <w:right w:w="108" w:type="dxa"/>
          </w:tblCellMar>
        </w:tblPrEx>
        <w:trPr>
          <w:trHeight w:val="80" w:hRule="atLeast"/>
        </w:trPr>
        <w:tc>
          <w:tcPr>
            <w:tcW w:w="3843" w:type="dxa"/>
          </w:tcPr>
          <w:p>
            <w:pPr>
              <w:tabs>
                <w:tab w:val="left" w:pos="709"/>
              </w:tabs>
              <w:spacing w:line="360" w:lineRule="auto"/>
              <w:ind w:right="-57" w:rightChars="-27"/>
              <w:rPr>
                <w:rFonts w:asciiTheme="minorEastAsia" w:hAnsiTheme="minorEastAsia" w:eastAsiaTheme="minorEastAsia"/>
                <w:color w:val="FF0000"/>
                <w:szCs w:val="21"/>
              </w:rPr>
            </w:pPr>
            <w:r>
              <w:rPr>
                <w:rFonts w:asciiTheme="minorEastAsia" w:hAnsiTheme="minorEastAsia" w:eastAsiaTheme="minorEastAsia"/>
                <w:color w:val="FF0000"/>
                <w:szCs w:val="21"/>
              </w:rPr>
              <w:t>电话：</w:t>
            </w:r>
            <w:r>
              <w:rPr>
                <w:rFonts w:hint="eastAsia" w:ascii="宋体" w:hAnsi="宋体"/>
                <w:color w:val="FF0000"/>
                <w:szCs w:val="21"/>
                <w:u w:val="single"/>
              </w:rPr>
              <w:t xml:space="preserve"> </w:t>
            </w:r>
            <w:r>
              <w:rPr>
                <w:rFonts w:ascii="宋体" w:hAnsi="宋体"/>
                <w:color w:val="FF0000"/>
                <w:szCs w:val="21"/>
                <w:u w:val="single"/>
              </w:rPr>
              <w:t xml:space="preserve">           </w:t>
            </w:r>
          </w:p>
          <w:p>
            <w:pPr>
              <w:tabs>
                <w:tab w:val="left" w:pos="709"/>
              </w:tabs>
              <w:spacing w:line="360" w:lineRule="auto"/>
              <w:ind w:right="-57" w:rightChars="-27"/>
              <w:rPr>
                <w:rFonts w:asciiTheme="minorEastAsia" w:hAnsiTheme="minorEastAsia" w:eastAsiaTheme="minorEastAsia"/>
                <w:color w:val="FF0000"/>
                <w:szCs w:val="21"/>
              </w:rPr>
            </w:pPr>
            <w:r>
              <w:rPr>
                <w:rFonts w:hint="eastAsia" w:asciiTheme="minorEastAsia" w:hAnsiTheme="minorEastAsia" w:eastAsiaTheme="minorEastAsia"/>
                <w:color w:val="FF0000"/>
                <w:szCs w:val="21"/>
              </w:rPr>
              <w:t>邮箱</w:t>
            </w:r>
            <w:r>
              <w:rPr>
                <w:rFonts w:asciiTheme="minorEastAsia" w:hAnsiTheme="minorEastAsia" w:eastAsiaTheme="minorEastAsia"/>
                <w:color w:val="FF0000"/>
                <w:szCs w:val="21"/>
              </w:rPr>
              <w:t>：</w:t>
            </w:r>
            <w:r>
              <w:rPr>
                <w:rFonts w:hint="eastAsia" w:ascii="宋体" w:hAnsi="宋体"/>
                <w:color w:val="FF0000"/>
                <w:szCs w:val="21"/>
                <w:u w:val="single"/>
              </w:rPr>
              <w:t xml:space="preserve"> </w:t>
            </w:r>
            <w:r>
              <w:rPr>
                <w:rFonts w:ascii="宋体" w:hAnsi="宋体"/>
                <w:color w:val="FF0000"/>
                <w:szCs w:val="21"/>
                <w:u w:val="single"/>
              </w:rPr>
              <w:t xml:space="preserve">           </w:t>
            </w:r>
          </w:p>
        </w:tc>
        <w:tc>
          <w:tcPr>
            <w:tcW w:w="4110" w:type="dxa"/>
          </w:tcPr>
          <w:p>
            <w:pPr>
              <w:tabs>
                <w:tab w:val="left" w:pos="709"/>
              </w:tabs>
              <w:spacing w:line="360" w:lineRule="auto"/>
              <w:ind w:right="-57" w:rightChars="-27"/>
              <w:rPr>
                <w:rFonts w:asciiTheme="minorEastAsia" w:hAnsiTheme="minorEastAsia" w:eastAsiaTheme="minorEastAsia"/>
                <w:color w:val="FF0000"/>
                <w:szCs w:val="21"/>
              </w:rPr>
            </w:pPr>
            <w:r>
              <w:rPr>
                <w:rFonts w:asciiTheme="minorEastAsia" w:hAnsiTheme="minorEastAsia" w:eastAsiaTheme="minorEastAsia"/>
                <w:color w:val="FF0000"/>
                <w:szCs w:val="21"/>
              </w:rPr>
              <w:t>电话：</w:t>
            </w:r>
            <w:r>
              <w:rPr>
                <w:rFonts w:hint="eastAsia" w:ascii="宋体" w:hAnsi="宋体"/>
                <w:color w:val="FF0000"/>
                <w:szCs w:val="21"/>
                <w:u w:val="single"/>
              </w:rPr>
              <w:t xml:space="preserve"> </w:t>
            </w:r>
            <w:r>
              <w:rPr>
                <w:rFonts w:ascii="宋体" w:hAnsi="宋体"/>
                <w:color w:val="FF0000"/>
                <w:szCs w:val="21"/>
                <w:u w:val="single"/>
              </w:rPr>
              <w:t xml:space="preserve">           </w:t>
            </w:r>
          </w:p>
          <w:p>
            <w:pPr>
              <w:tabs>
                <w:tab w:val="left" w:pos="709"/>
              </w:tabs>
              <w:spacing w:line="360" w:lineRule="auto"/>
              <w:ind w:right="-57" w:rightChars="-27"/>
              <w:rPr>
                <w:rFonts w:asciiTheme="minorEastAsia" w:hAnsiTheme="minorEastAsia" w:eastAsiaTheme="minorEastAsia"/>
                <w:color w:val="FF0000"/>
                <w:szCs w:val="21"/>
              </w:rPr>
            </w:pPr>
            <w:r>
              <w:rPr>
                <w:rFonts w:hint="eastAsia" w:asciiTheme="minorEastAsia" w:hAnsiTheme="minorEastAsia" w:eastAsiaTheme="minorEastAsia"/>
                <w:color w:val="FF0000"/>
                <w:szCs w:val="21"/>
              </w:rPr>
              <w:t>邮箱</w:t>
            </w:r>
            <w:r>
              <w:rPr>
                <w:rFonts w:asciiTheme="minorEastAsia" w:hAnsiTheme="minorEastAsia" w:eastAsiaTheme="minorEastAsia"/>
                <w:color w:val="FF0000"/>
                <w:szCs w:val="21"/>
              </w:rPr>
              <w:t>：</w:t>
            </w:r>
            <w:r>
              <w:rPr>
                <w:rFonts w:hint="eastAsia" w:ascii="宋体" w:hAnsi="宋体"/>
                <w:color w:val="FF0000"/>
                <w:szCs w:val="21"/>
                <w:u w:val="single"/>
              </w:rPr>
              <w:t xml:space="preserve"> </w:t>
            </w:r>
            <w:r>
              <w:rPr>
                <w:rFonts w:ascii="宋体" w:hAnsi="宋体"/>
                <w:color w:val="FF0000"/>
                <w:szCs w:val="21"/>
                <w:u w:val="single"/>
              </w:rPr>
              <w:t xml:space="preserve">           </w:t>
            </w:r>
          </w:p>
        </w:tc>
      </w:tr>
    </w:tbl>
    <w:p>
      <w:pPr>
        <w:widowControl/>
        <w:tabs>
          <w:tab w:val="left" w:pos="709"/>
        </w:tabs>
        <w:autoSpaceDE w:val="0"/>
        <w:autoSpaceDN w:val="0"/>
        <w:adjustRightInd w:val="0"/>
        <w:snapToGrid w:val="0"/>
        <w:spacing w:before="93" w:beforeLines="30" w:after="93" w:afterLines="30" w:line="360" w:lineRule="auto"/>
        <w:textAlignment w:val="bottom"/>
        <w:rPr>
          <w:rFonts w:asciiTheme="minorEastAsia" w:hAnsiTheme="minorEastAsia" w:eastAsiaTheme="minorEastAsia"/>
          <w:szCs w:val="21"/>
        </w:rPr>
      </w:pPr>
    </w:p>
    <w:p>
      <w:pPr>
        <w:pStyle w:val="64"/>
        <w:widowControl/>
        <w:tabs>
          <w:tab w:val="left" w:pos="1276"/>
          <w:tab w:val="clear" w:pos="720"/>
        </w:tabs>
        <w:adjustRightInd w:val="0"/>
        <w:snapToGrid w:val="0"/>
        <w:spacing w:before="93" w:beforeLines="30" w:after="93" w:afterLines="30" w:line="360" w:lineRule="auto"/>
        <w:jc w:val="left"/>
        <w:rPr>
          <w:rFonts w:asciiTheme="minorEastAsia" w:hAnsiTheme="minorEastAsia" w:eastAsiaTheme="minorEastAsia"/>
          <w:kern w:val="0"/>
          <w:sz w:val="21"/>
          <w:szCs w:val="21"/>
        </w:rPr>
      </w:pPr>
      <w:bookmarkStart w:id="99" w:name="_Toc364839382"/>
      <w:bookmarkStart w:id="100" w:name="_Toc299915700"/>
      <w:r>
        <w:rPr>
          <w:rFonts w:hint="eastAsia" w:asciiTheme="minorEastAsia" w:hAnsiTheme="minorEastAsia" w:eastAsiaTheme="minorEastAsia"/>
          <w:kern w:val="0"/>
          <w:sz w:val="21"/>
          <w:szCs w:val="21"/>
        </w:rPr>
        <w:t>法律适用和争议解决</w:t>
      </w:r>
      <w:bookmarkEnd w:id="99"/>
      <w:bookmarkEnd w:id="100"/>
    </w:p>
    <w:p>
      <w:pPr>
        <w:pStyle w:val="42"/>
        <w:widowControl/>
        <w:numPr>
          <w:ilvl w:val="0"/>
          <w:numId w:val="38"/>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本合同适用中华人民共和国（不含香港特别行政区、澳门特别行政区和台湾地区）法律。</w:t>
      </w:r>
    </w:p>
    <w:p>
      <w:pPr>
        <w:pStyle w:val="42"/>
        <w:widowControl/>
        <w:numPr>
          <w:ilvl w:val="0"/>
          <w:numId w:val="38"/>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因履行</w:t>
      </w:r>
      <w:r>
        <w:rPr>
          <w:rFonts w:hint="eastAsia" w:asciiTheme="minorEastAsia" w:hAnsiTheme="minorEastAsia" w:eastAsiaTheme="minorEastAsia"/>
          <w:szCs w:val="21"/>
        </w:rPr>
        <w:t>本</w:t>
      </w:r>
      <w:r>
        <w:rPr>
          <w:rFonts w:asciiTheme="minorEastAsia" w:hAnsiTheme="minorEastAsia" w:eastAsiaTheme="minorEastAsia"/>
          <w:szCs w:val="21"/>
        </w:rPr>
        <w:t>合同发生的或与本合同有关的一切争议，双方</w:t>
      </w:r>
      <w:r>
        <w:rPr>
          <w:rFonts w:hint="eastAsia" w:asciiTheme="minorEastAsia" w:hAnsiTheme="minorEastAsia" w:eastAsiaTheme="minorEastAsia"/>
          <w:szCs w:val="21"/>
        </w:rPr>
        <w:t>首先应</w:t>
      </w:r>
      <w:r>
        <w:rPr>
          <w:rFonts w:asciiTheme="minorEastAsia" w:hAnsiTheme="minorEastAsia" w:eastAsiaTheme="minorEastAsia"/>
          <w:szCs w:val="21"/>
        </w:rPr>
        <w:t>友好协商解决，</w:t>
      </w:r>
      <w:r>
        <w:rPr>
          <w:rFonts w:hint="eastAsia" w:asciiTheme="minorEastAsia" w:hAnsiTheme="minorEastAsia" w:eastAsiaTheme="minorEastAsia"/>
          <w:szCs w:val="21"/>
        </w:rPr>
        <w:t>如</w:t>
      </w:r>
      <w:r>
        <w:rPr>
          <w:rFonts w:asciiTheme="minorEastAsia" w:hAnsiTheme="minorEastAsia" w:eastAsiaTheme="minorEastAsia"/>
          <w:szCs w:val="21"/>
        </w:rPr>
        <w:t>经协商</w:t>
      </w:r>
      <w:r>
        <w:rPr>
          <w:rFonts w:hint="eastAsia" w:asciiTheme="minorEastAsia" w:hAnsiTheme="minorEastAsia" w:eastAsiaTheme="minorEastAsia"/>
          <w:szCs w:val="21"/>
        </w:rPr>
        <w:t>【六十（60）】日内</w:t>
      </w:r>
      <w:r>
        <w:rPr>
          <w:rFonts w:asciiTheme="minorEastAsia" w:hAnsiTheme="minorEastAsia" w:eastAsiaTheme="minorEastAsia"/>
          <w:szCs w:val="21"/>
        </w:rPr>
        <w:t>仍不能解决</w:t>
      </w:r>
      <w:r>
        <w:rPr>
          <w:rFonts w:hint="eastAsia" w:asciiTheme="minorEastAsia" w:hAnsiTheme="minorEastAsia" w:eastAsiaTheme="minorEastAsia"/>
          <w:szCs w:val="21"/>
        </w:rPr>
        <w:t>，</w:t>
      </w:r>
      <w:r>
        <w:rPr>
          <w:rFonts w:asciiTheme="minorEastAsia" w:hAnsiTheme="minorEastAsia" w:eastAsiaTheme="minorEastAsia"/>
          <w:szCs w:val="21"/>
        </w:rPr>
        <w:t>双方同意：向甲方所在地人民法院起诉。</w:t>
      </w:r>
    </w:p>
    <w:p>
      <w:pPr>
        <w:pStyle w:val="42"/>
        <w:widowControl/>
        <w:numPr>
          <w:ilvl w:val="0"/>
          <w:numId w:val="38"/>
        </w:numPr>
        <w:adjustRightInd w:val="0"/>
        <w:snapToGrid w:val="0"/>
        <w:spacing w:before="93" w:beforeLines="30" w:after="93" w:afterLines="30" w:line="360" w:lineRule="auto"/>
        <w:ind w:left="709" w:hanging="709" w:firstLineChars="0"/>
        <w:rPr>
          <w:rFonts w:asciiTheme="minorEastAsia" w:hAnsiTheme="minorEastAsia" w:eastAsiaTheme="minorEastAsia"/>
          <w:b/>
          <w:szCs w:val="21"/>
        </w:rPr>
      </w:pPr>
      <w:r>
        <w:rPr>
          <w:rFonts w:hint="eastAsia" w:asciiTheme="minorEastAsia" w:hAnsiTheme="minorEastAsia" w:eastAsiaTheme="minorEastAsia"/>
          <w:szCs w:val="21"/>
        </w:rPr>
        <w:t>争议解决期间</w:t>
      </w:r>
      <w:r>
        <w:rPr>
          <w:rFonts w:asciiTheme="minorEastAsia" w:hAnsiTheme="minorEastAsia" w:eastAsiaTheme="minorEastAsia"/>
          <w:szCs w:val="21"/>
        </w:rPr>
        <w:t>，除争议事项外，双方应继续履行本合同。</w:t>
      </w:r>
    </w:p>
    <w:p>
      <w:pPr>
        <w:pStyle w:val="64"/>
        <w:widowControl/>
        <w:tabs>
          <w:tab w:val="clear" w:pos="720"/>
        </w:tabs>
        <w:adjustRightInd w:val="0"/>
        <w:snapToGrid w:val="0"/>
        <w:spacing w:before="93" w:beforeLines="30" w:after="93" w:afterLines="30" w:line="360" w:lineRule="auto"/>
        <w:jc w:val="left"/>
        <w:rPr>
          <w:rFonts w:asciiTheme="minorEastAsia" w:hAnsiTheme="minorEastAsia" w:eastAsiaTheme="minorEastAsia"/>
          <w:sz w:val="21"/>
          <w:szCs w:val="21"/>
        </w:rPr>
      </w:pPr>
      <w:bookmarkStart w:id="101" w:name="_Toc364839383"/>
      <w:r>
        <w:rPr>
          <w:rFonts w:asciiTheme="minorEastAsia" w:hAnsiTheme="minorEastAsia" w:eastAsiaTheme="minorEastAsia"/>
          <w:sz w:val="21"/>
          <w:szCs w:val="21"/>
        </w:rPr>
        <w:t>其它</w:t>
      </w:r>
      <w:bookmarkEnd w:id="101"/>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在本</w:t>
      </w:r>
      <w:r>
        <w:rPr>
          <w:rFonts w:hint="eastAsia" w:asciiTheme="minorEastAsia" w:hAnsiTheme="minorEastAsia" w:eastAsiaTheme="minorEastAsia"/>
          <w:szCs w:val="21"/>
        </w:rPr>
        <w:t>在本合同签订时如乙方属于《保障中小企业款项支付条例》（“条例”）规定的中小企业，本合同所约定的付款期限、方式、条件和违约责任等交易条件应遵守该条例的规定。如本合同约定的任何交易条件违反该条例，甲方应按照符合该条例规定的交易条件履行合同，并应按照条例的规定与乙方协商变更本合同的该等交易条件，以保障乙方享有条例规定的合法权益</w:t>
      </w:r>
      <w:r>
        <w:rPr>
          <w:rFonts w:hint="eastAsia" w:asciiTheme="minorEastAsia" w:hAnsiTheme="minorEastAsia" w:eastAsiaTheme="minorEastAsia"/>
          <w:szCs w:val="21"/>
          <w:lang w:eastAsia="zh-CN"/>
        </w:rPr>
        <w:t>。</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本合同自甲乙双方</w:t>
      </w:r>
      <w:r>
        <w:rPr>
          <w:rFonts w:hint="eastAsia" w:asciiTheme="minorEastAsia" w:hAnsiTheme="minorEastAsia" w:eastAsiaTheme="minorEastAsia"/>
          <w:szCs w:val="21"/>
        </w:rPr>
        <w:t>法定代表人或授权代表</w:t>
      </w:r>
      <w:r>
        <w:rPr>
          <w:rFonts w:asciiTheme="minorEastAsia" w:hAnsiTheme="minorEastAsia" w:eastAsiaTheme="minorEastAsia"/>
          <w:szCs w:val="21"/>
        </w:rPr>
        <w:t>签</w:t>
      </w:r>
      <w:r>
        <w:rPr>
          <w:rFonts w:hint="eastAsia" w:asciiTheme="minorEastAsia" w:hAnsiTheme="minorEastAsia" w:eastAsiaTheme="minorEastAsia"/>
          <w:szCs w:val="21"/>
        </w:rPr>
        <w:t>字并盖章</w:t>
      </w:r>
      <w:r>
        <w:rPr>
          <w:rFonts w:asciiTheme="minorEastAsia" w:hAnsiTheme="minorEastAsia" w:eastAsiaTheme="minorEastAsia"/>
          <w:szCs w:val="21"/>
        </w:rPr>
        <w:t>之日起生效</w:t>
      </w:r>
      <w:r>
        <w:rPr>
          <w:rFonts w:hint="eastAsia" w:asciiTheme="minorEastAsia" w:hAnsiTheme="minorEastAsia" w:eastAsiaTheme="minorEastAsia"/>
          <w:szCs w:val="21"/>
        </w:rPr>
        <w:t>，</w:t>
      </w:r>
      <w:bookmarkStart w:id="102" w:name="OLE_LINK11"/>
      <w:bookmarkStart w:id="103" w:name="OLE_LINK12"/>
      <w:r>
        <w:rPr>
          <w:rFonts w:hint="eastAsia" w:asciiTheme="minorEastAsia" w:hAnsiTheme="minorEastAsia" w:eastAsiaTheme="minorEastAsia"/>
          <w:szCs w:val="21"/>
        </w:rPr>
        <w:t>自双方履行完本合同项下全部权利和义务后终止</w:t>
      </w:r>
      <w:bookmarkEnd w:id="102"/>
      <w:bookmarkEnd w:id="103"/>
      <w:r>
        <w:rPr>
          <w:rFonts w:asciiTheme="minorEastAsia" w:hAnsiTheme="minorEastAsia" w:eastAsiaTheme="minorEastAsia"/>
          <w:szCs w:val="21"/>
        </w:rPr>
        <w:t>。</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本合同签署以前双方就本合同约定的服务的提供和接受及</w:t>
      </w:r>
      <w:r>
        <w:rPr>
          <w:rFonts w:asciiTheme="minorEastAsia" w:hAnsiTheme="minorEastAsia" w:eastAsiaTheme="minorEastAsia"/>
          <w:szCs w:val="21"/>
        </w:rPr>
        <w:t>相关事宜</w:t>
      </w:r>
      <w:r>
        <w:rPr>
          <w:rFonts w:hint="eastAsia" w:asciiTheme="minorEastAsia" w:hAnsiTheme="minorEastAsia" w:eastAsiaTheme="minorEastAsia"/>
          <w:szCs w:val="21"/>
        </w:rPr>
        <w:t>达成的所有口头和</w:t>
      </w:r>
      <w:r>
        <w:rPr>
          <w:rFonts w:asciiTheme="minorEastAsia" w:hAnsiTheme="minorEastAsia" w:eastAsiaTheme="minorEastAsia"/>
          <w:szCs w:val="21"/>
        </w:rPr>
        <w:t>/</w:t>
      </w:r>
      <w:r>
        <w:rPr>
          <w:rFonts w:hint="eastAsia" w:asciiTheme="minorEastAsia" w:hAnsiTheme="minorEastAsia" w:eastAsiaTheme="minorEastAsia"/>
          <w:szCs w:val="21"/>
        </w:rPr>
        <w:t>或书面的声明、文件、信件及双方其它形式的通信在本合同生效后自动失效。</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未经另一方事先书面同意，任何一方不得以任何方式使用另一方的名称、商品商标、服务商标、企业标志、商号或品牌。</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如</w:t>
      </w:r>
      <w:r>
        <w:rPr>
          <w:rFonts w:hint="eastAsia" w:asciiTheme="minorEastAsia" w:hAnsiTheme="minorEastAsia" w:eastAsiaTheme="minorEastAsia"/>
          <w:szCs w:val="21"/>
        </w:rPr>
        <w:t>果</w:t>
      </w:r>
      <w:r>
        <w:rPr>
          <w:rFonts w:asciiTheme="minorEastAsia" w:hAnsiTheme="minorEastAsia" w:eastAsiaTheme="minorEastAsia"/>
          <w:szCs w:val="21"/>
        </w:rPr>
        <w:t>本合同</w:t>
      </w:r>
      <w:r>
        <w:rPr>
          <w:rFonts w:hint="eastAsia" w:asciiTheme="minorEastAsia" w:hAnsiTheme="minorEastAsia" w:eastAsiaTheme="minorEastAsia"/>
          <w:szCs w:val="21"/>
        </w:rPr>
        <w:t>的</w:t>
      </w:r>
      <w:r>
        <w:rPr>
          <w:rFonts w:asciiTheme="minorEastAsia" w:hAnsiTheme="minorEastAsia" w:eastAsiaTheme="minorEastAsia"/>
          <w:szCs w:val="21"/>
        </w:rPr>
        <w:t>任何条款</w:t>
      </w:r>
      <w:r>
        <w:rPr>
          <w:rFonts w:hint="eastAsia" w:asciiTheme="minorEastAsia" w:hAnsiTheme="minorEastAsia" w:eastAsiaTheme="minorEastAsia"/>
          <w:szCs w:val="21"/>
        </w:rPr>
        <w:t>或规定</w:t>
      </w:r>
      <w:r>
        <w:rPr>
          <w:rFonts w:asciiTheme="minorEastAsia" w:hAnsiTheme="minorEastAsia" w:eastAsiaTheme="minorEastAsia"/>
          <w:szCs w:val="21"/>
        </w:rPr>
        <w:t>被裁定</w:t>
      </w:r>
      <w:r>
        <w:rPr>
          <w:rFonts w:hint="eastAsia" w:asciiTheme="minorEastAsia" w:hAnsiTheme="minorEastAsia" w:eastAsiaTheme="minorEastAsia"/>
          <w:szCs w:val="21"/>
        </w:rPr>
        <w:t>为</w:t>
      </w:r>
      <w:r>
        <w:rPr>
          <w:rFonts w:asciiTheme="minorEastAsia" w:hAnsiTheme="minorEastAsia" w:eastAsiaTheme="minorEastAsia"/>
          <w:szCs w:val="21"/>
        </w:rPr>
        <w:t>无效、不合法或不可</w:t>
      </w:r>
      <w:r>
        <w:rPr>
          <w:rFonts w:hint="eastAsia" w:asciiTheme="minorEastAsia" w:hAnsiTheme="minorEastAsia" w:eastAsiaTheme="minorEastAsia"/>
          <w:szCs w:val="21"/>
        </w:rPr>
        <w:t>强制</w:t>
      </w:r>
      <w:r>
        <w:rPr>
          <w:rFonts w:asciiTheme="minorEastAsia" w:hAnsiTheme="minorEastAsia" w:eastAsiaTheme="minorEastAsia"/>
          <w:szCs w:val="21"/>
        </w:rPr>
        <w:t>执行，</w:t>
      </w:r>
      <w:r>
        <w:rPr>
          <w:rFonts w:hint="eastAsia" w:asciiTheme="minorEastAsia" w:hAnsiTheme="minorEastAsia" w:eastAsiaTheme="minorEastAsia"/>
          <w:szCs w:val="21"/>
        </w:rPr>
        <w:t>该条款或规定应视为被删除，本合同</w:t>
      </w:r>
      <w:r>
        <w:rPr>
          <w:rFonts w:asciiTheme="minorEastAsia" w:hAnsiTheme="minorEastAsia" w:eastAsiaTheme="minorEastAsia"/>
          <w:szCs w:val="21"/>
        </w:rPr>
        <w:t>其它条款</w:t>
      </w:r>
      <w:r>
        <w:rPr>
          <w:rFonts w:hint="eastAsia" w:asciiTheme="minorEastAsia" w:hAnsiTheme="minorEastAsia" w:eastAsiaTheme="minorEastAsia"/>
          <w:szCs w:val="21"/>
        </w:rPr>
        <w:t>不受影响，</w:t>
      </w:r>
      <w:r>
        <w:rPr>
          <w:rFonts w:asciiTheme="minorEastAsia" w:hAnsiTheme="minorEastAsia" w:eastAsiaTheme="minorEastAsia"/>
          <w:szCs w:val="21"/>
        </w:rPr>
        <w:t>仍</w:t>
      </w:r>
      <w:r>
        <w:rPr>
          <w:rFonts w:hint="eastAsia" w:asciiTheme="minorEastAsia" w:hAnsiTheme="minorEastAsia" w:eastAsiaTheme="minorEastAsia"/>
          <w:szCs w:val="21"/>
        </w:rPr>
        <w:t>继续</w:t>
      </w:r>
      <w:r>
        <w:rPr>
          <w:rFonts w:asciiTheme="minorEastAsia" w:hAnsiTheme="minorEastAsia" w:eastAsiaTheme="minorEastAsia"/>
          <w:szCs w:val="21"/>
        </w:rPr>
        <w:t>有效。</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本合同履行过程中，</w:t>
      </w:r>
      <w:r>
        <w:rPr>
          <w:rFonts w:hint="eastAsia" w:asciiTheme="minorEastAsia" w:hAnsiTheme="minorEastAsia" w:eastAsiaTheme="minorEastAsia"/>
          <w:szCs w:val="21"/>
        </w:rPr>
        <w:t>如</w:t>
      </w:r>
      <w:r>
        <w:rPr>
          <w:rFonts w:asciiTheme="minorEastAsia" w:hAnsiTheme="minorEastAsia" w:eastAsiaTheme="minorEastAsia"/>
          <w:szCs w:val="21"/>
        </w:rPr>
        <w:t>乙方</w:t>
      </w:r>
      <w:r>
        <w:rPr>
          <w:rFonts w:hint="eastAsia" w:asciiTheme="minorEastAsia" w:hAnsiTheme="minorEastAsia" w:eastAsiaTheme="minorEastAsia"/>
          <w:szCs w:val="21"/>
        </w:rPr>
        <w:t>发生重组、</w:t>
      </w:r>
      <w:r>
        <w:rPr>
          <w:rFonts w:asciiTheme="minorEastAsia" w:hAnsiTheme="minorEastAsia" w:eastAsiaTheme="minorEastAsia"/>
          <w:szCs w:val="21"/>
        </w:rPr>
        <w:t>合并、</w:t>
      </w:r>
      <w:r>
        <w:rPr>
          <w:rFonts w:hint="eastAsia" w:asciiTheme="minorEastAsia" w:hAnsiTheme="minorEastAsia" w:eastAsiaTheme="minorEastAsia"/>
          <w:szCs w:val="21"/>
        </w:rPr>
        <w:t>分立、重大股权或资产转让，应及时通知甲方。经甲方事先书面同意，乙方应安排具有相应资质的主体继续履行本合同，否则乙方不得执行前述重组、合并、分立或转让。乙方应根据甲方的要求，为继续履行本合同的主体安排履约担保。</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本合同</w:t>
      </w:r>
      <w:r>
        <w:rPr>
          <w:rFonts w:hint="eastAsia" w:asciiTheme="minorEastAsia" w:hAnsiTheme="minorEastAsia" w:eastAsiaTheme="minorEastAsia"/>
          <w:szCs w:val="21"/>
        </w:rPr>
        <w:t>解除或终止</w:t>
      </w:r>
      <w:r>
        <w:rPr>
          <w:rFonts w:asciiTheme="minorEastAsia" w:hAnsiTheme="minorEastAsia" w:eastAsiaTheme="minorEastAsia"/>
          <w:szCs w:val="21"/>
        </w:rPr>
        <w:t>后</w:t>
      </w:r>
      <w:r>
        <w:rPr>
          <w:rFonts w:hint="eastAsia" w:asciiTheme="minorEastAsia" w:hAnsiTheme="minorEastAsia" w:eastAsiaTheme="minorEastAsia"/>
          <w:szCs w:val="21"/>
        </w:rPr>
        <w:t>，本合同项下关于知识产权、保密、保证、责任、适用法律、争议解决和其它具有持续性效力的条款继续</w:t>
      </w:r>
      <w:r>
        <w:rPr>
          <w:rFonts w:asciiTheme="minorEastAsia" w:hAnsiTheme="minorEastAsia" w:eastAsiaTheme="minorEastAsia"/>
          <w:szCs w:val="21"/>
        </w:rPr>
        <w:t>有效。</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本</w:t>
      </w:r>
      <w:r>
        <w:rPr>
          <w:rFonts w:asciiTheme="minorEastAsia" w:hAnsiTheme="minorEastAsia" w:eastAsiaTheme="minorEastAsia"/>
          <w:szCs w:val="21"/>
        </w:rPr>
        <w:t>合同未尽事宜，应由双方协商</w:t>
      </w:r>
      <w:r>
        <w:rPr>
          <w:rFonts w:hint="eastAsia" w:asciiTheme="minorEastAsia" w:hAnsiTheme="minorEastAsia" w:eastAsiaTheme="minorEastAsia"/>
          <w:szCs w:val="21"/>
        </w:rPr>
        <w:t>确定</w:t>
      </w:r>
      <w:r>
        <w:rPr>
          <w:rFonts w:asciiTheme="minorEastAsia" w:hAnsiTheme="minorEastAsia" w:eastAsiaTheme="minorEastAsia"/>
          <w:szCs w:val="21"/>
        </w:rPr>
        <w:t>，并签订补充协议，补充协议与本合同具有同等法律效力。</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本合同的任何变更、修改或增减，须经双方协商</w:t>
      </w:r>
      <w:r>
        <w:rPr>
          <w:rFonts w:hint="eastAsia" w:asciiTheme="minorEastAsia" w:hAnsiTheme="minorEastAsia" w:eastAsiaTheme="minorEastAsia"/>
          <w:szCs w:val="21"/>
        </w:rPr>
        <w:t>一致、法定代表人或</w:t>
      </w:r>
      <w:r>
        <w:rPr>
          <w:rFonts w:asciiTheme="minorEastAsia" w:hAnsiTheme="minorEastAsia" w:eastAsiaTheme="minorEastAsia"/>
          <w:szCs w:val="21"/>
        </w:rPr>
        <w:t>授权代表签署书面文件</w:t>
      </w:r>
      <w:r>
        <w:rPr>
          <w:rFonts w:hint="eastAsia" w:asciiTheme="minorEastAsia" w:hAnsiTheme="minorEastAsia" w:eastAsiaTheme="minorEastAsia"/>
          <w:szCs w:val="21"/>
        </w:rPr>
        <w:t>并盖章</w:t>
      </w:r>
      <w:r>
        <w:rPr>
          <w:rFonts w:asciiTheme="minorEastAsia" w:hAnsiTheme="minorEastAsia" w:eastAsiaTheme="minorEastAsia"/>
          <w:szCs w:val="21"/>
        </w:rPr>
        <w:t>后</w:t>
      </w:r>
      <w:r>
        <w:rPr>
          <w:rFonts w:hint="eastAsia" w:asciiTheme="minorEastAsia" w:hAnsiTheme="minorEastAsia" w:eastAsiaTheme="minorEastAsia"/>
          <w:szCs w:val="21"/>
        </w:rPr>
        <w:t>生</w:t>
      </w:r>
      <w:r>
        <w:rPr>
          <w:rFonts w:asciiTheme="minorEastAsia" w:hAnsiTheme="minorEastAsia" w:eastAsiaTheme="minorEastAsia"/>
          <w:szCs w:val="21"/>
        </w:rPr>
        <w:t>效。</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本合同系双方协商、讨论的结果，合同内容非一方当事人单方拟定。本合同不属于格式合同，条款内容不属于格式条款。</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szCs w:val="21"/>
        </w:rPr>
        <w:t>本合同正文、附件及其后的修改文件和补充文件均应采用中文书写。附件及其后的修改文件和补充文件作为本合同不可分割的组成部分，与本合同正文具有同等法律效力。</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甲方授权</w:t>
      </w:r>
      <w:r>
        <w:rPr>
          <w:rFonts w:hint="eastAsia" w:asciiTheme="minorEastAsia" w:hAnsiTheme="minorEastAsia" w:eastAsiaTheme="minorEastAsia"/>
          <w:color w:val="FF0000"/>
          <w:szCs w:val="21"/>
          <w:lang w:eastAsia="zh-CN"/>
        </w:rPr>
        <w:t>中海油能源发展股份有限公司清洁能源分公司</w:t>
      </w:r>
      <w:r>
        <w:rPr>
          <w:rFonts w:hint="eastAsia" w:asciiTheme="minorEastAsia" w:hAnsiTheme="minorEastAsia" w:eastAsiaTheme="minorEastAsia"/>
          <w:color w:val="FF0000"/>
          <w:szCs w:val="21"/>
        </w:rPr>
        <w:t>执行本合同。</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asciiTheme="minorEastAsia" w:hAnsiTheme="minorEastAsia" w:eastAsiaTheme="minorEastAsia"/>
          <w:szCs w:val="21"/>
        </w:rPr>
        <w:t>本合同</w:t>
      </w:r>
      <w:r>
        <w:rPr>
          <w:rFonts w:hint="eastAsia" w:asciiTheme="minorEastAsia" w:hAnsiTheme="minorEastAsia" w:eastAsiaTheme="minorEastAsia"/>
          <w:szCs w:val="21"/>
        </w:rPr>
        <w:t>一式肆份，甲、乙双方各执贰份，</w:t>
      </w:r>
      <w:r>
        <w:rPr>
          <w:rFonts w:asciiTheme="minorEastAsia" w:hAnsiTheme="minorEastAsia" w:eastAsiaTheme="minorEastAsia"/>
          <w:szCs w:val="21"/>
        </w:rPr>
        <w:t>具有同等效力。</w:t>
      </w:r>
    </w:p>
    <w:p>
      <w:pPr>
        <w:pStyle w:val="42"/>
        <w:widowControl/>
        <w:numPr>
          <w:ilvl w:val="0"/>
          <w:numId w:val="39"/>
        </w:numPr>
        <w:adjustRightInd w:val="0"/>
        <w:snapToGrid w:val="0"/>
        <w:spacing w:before="93" w:beforeLines="30" w:after="93" w:afterLines="30" w:line="360" w:lineRule="auto"/>
        <w:ind w:left="709" w:hanging="709" w:firstLineChars="0"/>
        <w:rPr>
          <w:rFonts w:asciiTheme="minorEastAsia" w:hAnsiTheme="minorEastAsia" w:eastAsiaTheme="minorEastAsia"/>
          <w:szCs w:val="21"/>
        </w:rPr>
      </w:pPr>
      <w:r>
        <w:rPr>
          <w:rFonts w:hint="eastAsia" w:asciiTheme="minorEastAsia" w:hAnsiTheme="minorEastAsia" w:eastAsiaTheme="minorEastAsia"/>
          <w:color w:val="000000"/>
          <w:szCs w:val="21"/>
        </w:rPr>
        <w:t>下列附件作为本合同不可分割的一部分：</w:t>
      </w:r>
    </w:p>
    <w:p>
      <w:pPr>
        <w:widowControl/>
        <w:adjustRightInd w:val="0"/>
        <w:snapToGrid w:val="0"/>
        <w:spacing w:before="93" w:beforeLines="30" w:after="93" w:afterLines="30" w:line="360" w:lineRule="auto"/>
        <w:ind w:left="709"/>
        <w:rPr>
          <w:rFonts w:asciiTheme="minorEastAsia" w:hAnsiTheme="minorEastAsia" w:eastAsiaTheme="minorEastAsia"/>
          <w:szCs w:val="21"/>
        </w:rPr>
      </w:pPr>
      <w:r>
        <w:rPr>
          <w:rFonts w:hint="eastAsia" w:asciiTheme="minorEastAsia" w:hAnsiTheme="minorEastAsia" w:eastAsiaTheme="minorEastAsia"/>
          <w:szCs w:val="21"/>
        </w:rPr>
        <w:t>附件一：服务范围、内容及要求</w:t>
      </w:r>
    </w:p>
    <w:p>
      <w:pPr>
        <w:widowControl/>
        <w:adjustRightInd w:val="0"/>
        <w:snapToGrid w:val="0"/>
        <w:spacing w:before="93" w:beforeLines="30" w:after="93" w:afterLines="30" w:line="360" w:lineRule="auto"/>
        <w:ind w:left="709"/>
        <w:rPr>
          <w:rFonts w:asciiTheme="minorEastAsia" w:hAnsiTheme="minorEastAsia" w:eastAsiaTheme="minorEastAsia"/>
          <w:szCs w:val="21"/>
        </w:rPr>
      </w:pPr>
      <w:r>
        <w:rPr>
          <w:rFonts w:hint="eastAsia" w:asciiTheme="minorEastAsia" w:hAnsiTheme="minorEastAsia" w:eastAsiaTheme="minorEastAsia"/>
          <w:szCs w:val="21"/>
        </w:rPr>
        <w:t>附件二：服务内容清单及价目表</w:t>
      </w:r>
    </w:p>
    <w:p>
      <w:pPr>
        <w:widowControl/>
        <w:adjustRightInd w:val="0"/>
        <w:snapToGrid w:val="0"/>
        <w:spacing w:before="93" w:beforeLines="30" w:after="93" w:afterLines="30" w:line="360" w:lineRule="auto"/>
        <w:ind w:left="709"/>
        <w:rPr>
          <w:rFonts w:hint="eastAsia" w:asciiTheme="minorEastAsia" w:hAnsiTheme="minorEastAsia" w:eastAsiaTheme="minorEastAsia"/>
          <w:szCs w:val="21"/>
          <w:lang w:eastAsia="zh-CN"/>
        </w:rPr>
      </w:pPr>
      <w:r>
        <w:rPr>
          <w:rFonts w:hint="eastAsia" w:asciiTheme="minorEastAsia" w:hAnsiTheme="minorEastAsia" w:eastAsiaTheme="minorEastAsia"/>
          <w:szCs w:val="21"/>
        </w:rPr>
        <w:t>附件</w:t>
      </w: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：承包合同HSE协议</w:t>
      </w:r>
    </w:p>
    <w:p>
      <w:pPr>
        <w:widowControl/>
        <w:adjustRightInd w:val="0"/>
        <w:snapToGrid w:val="0"/>
        <w:spacing w:before="93" w:beforeLines="30" w:after="93" w:afterLines="30" w:line="360" w:lineRule="auto"/>
        <w:ind w:left="709"/>
        <w:rPr>
          <w:rFonts w:hint="eastAsia" w:asciiTheme="minorEastAsia" w:hAnsiTheme="minorEastAsia" w:eastAsiaTheme="minorEastAsia"/>
          <w:szCs w:val="21"/>
        </w:rPr>
      </w:pPr>
      <w:r>
        <w:rPr>
          <w:rFonts w:hint="eastAsia" w:asciiTheme="minorEastAsia" w:hAnsiTheme="minorEastAsia" w:eastAsiaTheme="minorEastAsia"/>
          <w:szCs w:val="21"/>
        </w:rPr>
        <w:t>附件</w:t>
      </w:r>
      <w:r>
        <w:rPr>
          <w:rFonts w:hint="eastAsia" w:asciiTheme="minorEastAsia" w:hAnsiTheme="minorEastAsia" w:eastAsiaTheme="minorEastAsia"/>
          <w:szCs w:val="21"/>
          <w:lang w:val="en-US" w:eastAsia="zh-CN"/>
        </w:rPr>
        <w:t>四</w:t>
      </w:r>
      <w:r>
        <w:rPr>
          <w:rFonts w:hint="eastAsia" w:asciiTheme="minorEastAsia" w:hAnsiTheme="minorEastAsia" w:eastAsiaTheme="minorEastAsia"/>
          <w:szCs w:val="21"/>
        </w:rPr>
        <w:t>：廉洁承诺书</w:t>
      </w:r>
    </w:p>
    <w:p>
      <w:pPr>
        <w:widowControl/>
        <w:adjustRightInd w:val="0"/>
        <w:snapToGrid w:val="0"/>
        <w:spacing w:before="93" w:beforeLines="30" w:after="93" w:afterLines="30" w:line="360" w:lineRule="auto"/>
        <w:ind w:left="709"/>
        <w:rPr>
          <w:rFonts w:hint="eastAsia" w:ascii="宋体" w:hAnsi="宋体" w:cs="宋体"/>
          <w:szCs w:val="21"/>
          <w:lang w:val="en-US" w:eastAsia="zh-CN"/>
        </w:rPr>
      </w:pPr>
      <w:r>
        <w:rPr>
          <w:rFonts w:hint="eastAsia" w:asciiTheme="minorEastAsia" w:hAnsiTheme="minorEastAsia" w:eastAsiaTheme="minorEastAsia"/>
          <w:szCs w:val="21"/>
          <w:lang w:val="en-US" w:eastAsia="zh-CN"/>
        </w:rPr>
        <w:t>附件五：</w:t>
      </w:r>
      <w:r>
        <w:rPr>
          <w:rFonts w:hint="eastAsia" w:ascii="宋体" w:hAnsi="宋体" w:cs="宋体"/>
          <w:szCs w:val="21"/>
          <w:lang w:val="en-US" w:eastAsia="zh-CN"/>
        </w:rPr>
        <w:t>农民工工资支付承诺函</w:t>
      </w:r>
    </w:p>
    <w:p>
      <w:pPr>
        <w:widowControl/>
        <w:adjustRightInd w:val="0"/>
        <w:snapToGrid w:val="0"/>
        <w:spacing w:before="93" w:beforeLines="30" w:after="93" w:afterLines="30" w:line="360" w:lineRule="auto"/>
        <w:ind w:left="709"/>
        <w:rPr>
          <w:rFonts w:hint="eastAsia" w:ascii="宋体" w:hAnsi="宋体" w:cs="宋体"/>
          <w:szCs w:val="21"/>
          <w:lang w:val="en-US" w:eastAsia="zh-CN"/>
        </w:rPr>
      </w:pPr>
      <w:r>
        <w:rPr>
          <w:rFonts w:hint="eastAsia"/>
          <w:color w:val="000000"/>
          <w:szCs w:val="21"/>
          <w:lang w:val="en-US" w:eastAsia="zh-CN"/>
        </w:rPr>
        <w:t>附件六：供应商合规承诺书</w:t>
      </w:r>
    </w:p>
    <w:p>
      <w:pPr>
        <w:tabs>
          <w:tab w:val="left" w:pos="850"/>
        </w:tabs>
        <w:autoSpaceDE w:val="0"/>
        <w:autoSpaceDN w:val="0"/>
        <w:spacing w:line="360" w:lineRule="auto"/>
        <w:jc w:val="center"/>
        <w:textAlignment w:val="bottom"/>
        <w:rPr>
          <w:rFonts w:asciiTheme="minorEastAsia" w:hAnsiTheme="minorEastAsia" w:eastAsiaTheme="minorEastAsia"/>
          <w:sz w:val="24"/>
          <w:szCs w:val="21"/>
        </w:rPr>
      </w:pPr>
    </w:p>
    <w:p>
      <w:pPr>
        <w:tabs>
          <w:tab w:val="left" w:pos="850"/>
        </w:tabs>
        <w:autoSpaceDE w:val="0"/>
        <w:autoSpaceDN w:val="0"/>
        <w:spacing w:line="360" w:lineRule="auto"/>
        <w:jc w:val="center"/>
        <w:textAlignment w:val="bottom"/>
        <w:rPr>
          <w:rFonts w:asciiTheme="minorEastAsia" w:hAnsiTheme="minorEastAsia" w:eastAsiaTheme="minorEastAsia"/>
          <w:sz w:val="24"/>
          <w:szCs w:val="21"/>
        </w:rPr>
      </w:pPr>
    </w:p>
    <w:p>
      <w:pPr>
        <w:tabs>
          <w:tab w:val="left" w:pos="850"/>
        </w:tabs>
        <w:autoSpaceDE w:val="0"/>
        <w:autoSpaceDN w:val="0"/>
        <w:spacing w:line="360" w:lineRule="auto"/>
        <w:jc w:val="center"/>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textAlignment w:val="bottom"/>
        <w:rPr>
          <w:rFonts w:asciiTheme="minorEastAsia" w:hAnsiTheme="minorEastAsia" w:eastAsiaTheme="minorEastAsia"/>
          <w:sz w:val="24"/>
          <w:szCs w:val="21"/>
        </w:rPr>
      </w:pPr>
    </w:p>
    <w:p>
      <w:pPr>
        <w:tabs>
          <w:tab w:val="left" w:pos="850"/>
        </w:tabs>
        <w:autoSpaceDE w:val="0"/>
        <w:autoSpaceDN w:val="0"/>
        <w:spacing w:line="360" w:lineRule="auto"/>
        <w:jc w:val="both"/>
        <w:textAlignment w:val="bottom"/>
        <w:rPr>
          <w:rFonts w:asciiTheme="minorEastAsia" w:hAnsiTheme="minorEastAsia" w:eastAsiaTheme="minorEastAsia"/>
          <w:sz w:val="24"/>
          <w:szCs w:val="21"/>
        </w:rPr>
      </w:pPr>
    </w:p>
    <w:p>
      <w:pPr>
        <w:tabs>
          <w:tab w:val="left" w:pos="850"/>
        </w:tabs>
        <w:autoSpaceDE w:val="0"/>
        <w:autoSpaceDN w:val="0"/>
        <w:spacing w:line="360" w:lineRule="auto"/>
        <w:jc w:val="center"/>
        <w:textAlignment w:val="bottom"/>
        <w:rPr>
          <w:rFonts w:asciiTheme="minorEastAsia" w:hAnsiTheme="minorEastAsia" w:eastAsiaTheme="minorEastAsia"/>
          <w:sz w:val="24"/>
          <w:szCs w:val="21"/>
        </w:rPr>
      </w:pPr>
    </w:p>
    <w:p>
      <w:pPr>
        <w:tabs>
          <w:tab w:val="left" w:pos="850"/>
        </w:tabs>
        <w:autoSpaceDE w:val="0"/>
        <w:autoSpaceDN w:val="0"/>
        <w:spacing w:line="360" w:lineRule="auto"/>
        <w:jc w:val="center"/>
        <w:textAlignment w:val="bottom"/>
        <w:rPr>
          <w:rFonts w:asciiTheme="minorEastAsia" w:hAnsiTheme="minorEastAsia" w:eastAsiaTheme="minorEastAsia"/>
          <w:b/>
          <w:szCs w:val="21"/>
        </w:rPr>
      </w:pPr>
      <w:r>
        <w:rPr>
          <w:rFonts w:hint="eastAsia" w:asciiTheme="minorEastAsia" w:hAnsiTheme="minorEastAsia" w:eastAsiaTheme="minorEastAsia"/>
          <w:b/>
          <w:szCs w:val="21"/>
        </w:rPr>
        <w:t>（</w:t>
      </w:r>
      <w:r>
        <w:rPr>
          <w:rFonts w:hint="eastAsia" w:asciiTheme="minorEastAsia" w:hAnsiTheme="minorEastAsia" w:eastAsiaTheme="minorEastAsia" w:cstheme="minorEastAsia"/>
          <w:b/>
          <w:sz w:val="21"/>
          <w:szCs w:val="21"/>
        </w:rPr>
        <w:t>本页无正文，为</w:t>
      </w:r>
      <w:r>
        <w:rPr>
          <w:rFonts w:hint="eastAsia" w:asciiTheme="minorEastAsia" w:hAnsiTheme="minorEastAsia" w:eastAsiaTheme="minorEastAsia" w:cstheme="minorEastAsia"/>
          <w:b/>
          <w:color w:val="FF0000"/>
          <w:sz w:val="21"/>
          <w:szCs w:val="21"/>
          <w:lang w:val="en-US" w:eastAsia="zh-CN"/>
        </w:rPr>
        <w:t>ZX2024ZCXKF0000</w:t>
      </w:r>
      <w:r>
        <w:rPr>
          <w:rFonts w:hint="eastAsia" w:asciiTheme="minorEastAsia" w:hAnsiTheme="minorEastAsia" w:eastAsiaTheme="minorEastAsia" w:cstheme="minorEastAsia"/>
          <w:b/>
          <w:sz w:val="21"/>
          <w:szCs w:val="21"/>
        </w:rPr>
        <w:t>该合同编号的签章页</w:t>
      </w:r>
      <w:r>
        <w:rPr>
          <w:rFonts w:hint="eastAsia" w:asciiTheme="minorEastAsia" w:hAnsiTheme="minorEastAsia" w:eastAsiaTheme="minorEastAsia"/>
          <w:b/>
          <w:szCs w:val="21"/>
        </w:rPr>
        <w:t>）</w:t>
      </w:r>
    </w:p>
    <w:p>
      <w:pPr>
        <w:tabs>
          <w:tab w:val="left" w:pos="850"/>
        </w:tabs>
        <w:autoSpaceDE w:val="0"/>
        <w:autoSpaceDN w:val="0"/>
        <w:spacing w:line="360" w:lineRule="auto"/>
        <w:ind w:firstLine="600"/>
        <w:textAlignment w:val="bottom"/>
        <w:rPr>
          <w:rFonts w:asciiTheme="minorEastAsia" w:hAnsiTheme="minorEastAsia" w:eastAsiaTheme="minorEastAsia"/>
          <w:szCs w:val="21"/>
        </w:rPr>
      </w:pPr>
    </w:p>
    <w:tbl>
      <w:tblPr>
        <w:tblStyle w:val="23"/>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line="360" w:lineRule="auto"/>
              <w:textAlignment w:val="bottom"/>
              <w:rPr>
                <w:rFonts w:asciiTheme="minorEastAsia" w:hAnsiTheme="minorEastAsia" w:eastAsiaTheme="minorEastAsia"/>
                <w:szCs w:val="21"/>
              </w:rPr>
            </w:pPr>
          </w:p>
          <w:p>
            <w:pPr>
              <w:tabs>
                <w:tab w:val="left" w:pos="850"/>
              </w:tabs>
              <w:autoSpaceDE w:val="0"/>
              <w:autoSpaceDN w:val="0"/>
              <w:spacing w:line="360" w:lineRule="auto"/>
              <w:textAlignment w:val="bottom"/>
              <w:rPr>
                <w:rFonts w:asciiTheme="minorEastAsia" w:hAnsiTheme="minorEastAsia" w:eastAsiaTheme="minorEastAsia"/>
                <w:szCs w:val="21"/>
              </w:rPr>
            </w:pPr>
          </w:p>
          <w:p>
            <w:pPr>
              <w:tabs>
                <w:tab w:val="left" w:pos="850"/>
              </w:tabs>
              <w:autoSpaceDE w:val="0"/>
              <w:autoSpaceDN w:val="0"/>
              <w:spacing w:line="360" w:lineRule="auto"/>
              <w:textAlignment w:val="bottom"/>
              <w:rPr>
                <w:rFonts w:hint="eastAsia" w:asciiTheme="minorEastAsia" w:hAnsiTheme="minorEastAsia" w:eastAsiaTheme="minorEastAsia"/>
                <w:szCs w:val="21"/>
                <w:lang w:eastAsia="zh-CN"/>
              </w:rPr>
            </w:pPr>
            <w:r>
              <w:rPr>
                <w:rFonts w:asciiTheme="minorEastAsia" w:hAnsiTheme="minorEastAsia" w:eastAsiaTheme="minorEastAsia"/>
                <w:szCs w:val="21"/>
              </w:rPr>
              <w:t>甲方</w:t>
            </w:r>
            <w:r>
              <w:rPr>
                <w:rFonts w:hint="eastAsia" w:asciiTheme="minorEastAsia" w:hAnsiTheme="minorEastAsia" w:eastAsiaTheme="minorEastAsia"/>
                <w:szCs w:val="21"/>
              </w:rPr>
              <w:t>（盖章）</w:t>
            </w:r>
            <w:r>
              <w:rPr>
                <w:rFonts w:hint="eastAsia" w:asciiTheme="minorEastAsia" w:hAnsiTheme="minorEastAsia"/>
                <w:szCs w:val="21"/>
                <w:lang w:eastAsia="zh-CN"/>
              </w:rPr>
              <w:t>中海油能源发展股份有限公司</w:t>
            </w:r>
          </w:p>
        </w:tc>
        <w:tc>
          <w:tcPr>
            <w:tcW w:w="2397" w:type="pct"/>
          </w:tcPr>
          <w:p>
            <w:pPr>
              <w:tabs>
                <w:tab w:val="left" w:pos="850"/>
              </w:tabs>
              <w:autoSpaceDE w:val="0"/>
              <w:autoSpaceDN w:val="0"/>
              <w:spacing w:line="360" w:lineRule="auto"/>
              <w:textAlignment w:val="bottom"/>
              <w:rPr>
                <w:rFonts w:asciiTheme="minorEastAsia" w:hAnsiTheme="minorEastAsia" w:eastAsiaTheme="minorEastAsia"/>
                <w:szCs w:val="21"/>
              </w:rPr>
            </w:pPr>
          </w:p>
          <w:p>
            <w:pPr>
              <w:tabs>
                <w:tab w:val="left" w:pos="850"/>
              </w:tabs>
              <w:autoSpaceDE w:val="0"/>
              <w:autoSpaceDN w:val="0"/>
              <w:spacing w:line="360" w:lineRule="auto"/>
              <w:textAlignment w:val="bottom"/>
              <w:rPr>
                <w:rFonts w:asciiTheme="minorEastAsia" w:hAnsiTheme="minorEastAsia" w:eastAsiaTheme="minorEastAsia"/>
                <w:szCs w:val="21"/>
              </w:rPr>
            </w:pPr>
          </w:p>
          <w:p>
            <w:pPr>
              <w:tabs>
                <w:tab w:val="left" w:pos="850"/>
              </w:tabs>
              <w:autoSpaceDE w:val="0"/>
              <w:autoSpaceDN w:val="0"/>
              <w:spacing w:line="360" w:lineRule="auto"/>
              <w:textAlignment w:val="bottom"/>
              <w:rPr>
                <w:rFonts w:asciiTheme="minorEastAsia" w:hAnsiTheme="minorEastAsia" w:eastAsiaTheme="minorEastAsia"/>
                <w:color w:val="FF0000"/>
                <w:szCs w:val="21"/>
              </w:rPr>
            </w:pPr>
            <w:r>
              <w:rPr>
                <w:rFonts w:asciiTheme="minorEastAsia" w:hAnsiTheme="minorEastAsia" w:eastAsiaTheme="minorEastAsia"/>
                <w:color w:val="FF0000"/>
                <w:szCs w:val="21"/>
              </w:rPr>
              <w:t>乙方</w:t>
            </w:r>
            <w:r>
              <w:rPr>
                <w:rFonts w:hint="eastAsia" w:asciiTheme="minorEastAsia" w:hAnsiTheme="minorEastAsia" w:eastAsiaTheme="minorEastAsia"/>
                <w:color w:val="FF0000"/>
                <w:szCs w:val="21"/>
              </w:rPr>
              <w:t>（盖章）</w:t>
            </w:r>
            <w:r>
              <w:rPr>
                <w:rFonts w:hint="eastAsia" w:asciiTheme="minorEastAsia" w:hAnsiTheme="minorEastAsia" w:eastAsiaTheme="minorEastAsia" w:cstheme="minorEastAsia"/>
                <w:color w:val="FF0000"/>
                <w:kern w:val="0"/>
                <w:szCs w:val="21"/>
                <w:u w:val="none"/>
                <w:lang w:val="en-US" w:eastAsia="zh-CN"/>
              </w:rPr>
              <w:t>BBB</w:t>
            </w:r>
          </w:p>
          <w:p>
            <w:pPr>
              <w:tabs>
                <w:tab w:val="left" w:pos="850"/>
              </w:tabs>
              <w:autoSpaceDE w:val="0"/>
              <w:autoSpaceDN w:val="0"/>
              <w:spacing w:line="360" w:lineRule="auto"/>
              <w:textAlignment w:val="bottom"/>
              <w:rPr>
                <w:rFonts w:asciiTheme="minorEastAsia" w:hAnsiTheme="minorEastAsia" w:eastAsiaTheme="minorEastAsia"/>
                <w:szCs w:val="21"/>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line="360" w:lineRule="auto"/>
              <w:textAlignment w:val="bottom"/>
              <w:rPr>
                <w:rFonts w:asciiTheme="minorEastAsia" w:hAnsiTheme="minorEastAsia" w:eastAsiaTheme="minorEastAsia"/>
                <w:szCs w:val="21"/>
              </w:rPr>
            </w:pPr>
            <w:r>
              <w:rPr>
                <w:rFonts w:asciiTheme="minorEastAsia" w:hAnsiTheme="minorEastAsia" w:eastAsiaTheme="minorEastAsia"/>
                <w:szCs w:val="21"/>
              </w:rPr>
              <w:t>法定代表人或授权代表签字：</w:t>
            </w:r>
          </w:p>
          <w:p>
            <w:pPr>
              <w:tabs>
                <w:tab w:val="left" w:pos="850"/>
              </w:tabs>
              <w:autoSpaceDE w:val="0"/>
              <w:autoSpaceDN w:val="0"/>
              <w:spacing w:line="360" w:lineRule="auto"/>
              <w:textAlignment w:val="bottom"/>
              <w:rPr>
                <w:rFonts w:asciiTheme="minorEastAsia" w:hAnsiTheme="minorEastAsia" w:eastAsiaTheme="minorEastAsia"/>
                <w:szCs w:val="21"/>
              </w:rPr>
            </w:pPr>
          </w:p>
          <w:p>
            <w:pPr>
              <w:tabs>
                <w:tab w:val="left" w:pos="850"/>
              </w:tabs>
              <w:autoSpaceDE w:val="0"/>
              <w:autoSpaceDN w:val="0"/>
              <w:spacing w:line="360" w:lineRule="auto"/>
              <w:textAlignment w:val="bottom"/>
              <w:rPr>
                <w:rFonts w:asciiTheme="minorEastAsia" w:hAnsiTheme="minorEastAsia" w:eastAsiaTheme="minorEastAsia"/>
                <w:szCs w:val="21"/>
              </w:rPr>
            </w:pPr>
          </w:p>
          <w:p>
            <w:pPr>
              <w:tabs>
                <w:tab w:val="left" w:pos="850"/>
              </w:tabs>
              <w:autoSpaceDE w:val="0"/>
              <w:autoSpaceDN w:val="0"/>
              <w:spacing w:line="360" w:lineRule="auto"/>
              <w:textAlignment w:val="bottom"/>
              <w:rPr>
                <w:rFonts w:asciiTheme="minorEastAsia" w:hAnsiTheme="minorEastAsia" w:eastAsiaTheme="minorEastAsia"/>
                <w:szCs w:val="21"/>
              </w:rPr>
            </w:pPr>
          </w:p>
          <w:p>
            <w:pPr>
              <w:tabs>
                <w:tab w:val="left" w:pos="850"/>
              </w:tabs>
              <w:autoSpaceDE w:val="0"/>
              <w:autoSpaceDN w:val="0"/>
              <w:spacing w:line="360" w:lineRule="auto"/>
              <w:textAlignment w:val="bottom"/>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tc>
        <w:tc>
          <w:tcPr>
            <w:tcW w:w="2397" w:type="pct"/>
            <w:vAlign w:val="center"/>
          </w:tcPr>
          <w:p>
            <w:pPr>
              <w:tabs>
                <w:tab w:val="left" w:pos="850"/>
              </w:tabs>
              <w:autoSpaceDE w:val="0"/>
              <w:autoSpaceDN w:val="0"/>
              <w:spacing w:line="360" w:lineRule="auto"/>
              <w:textAlignment w:val="bottom"/>
              <w:rPr>
                <w:rFonts w:asciiTheme="minorEastAsia" w:hAnsiTheme="minorEastAsia" w:eastAsiaTheme="minorEastAsia"/>
                <w:szCs w:val="21"/>
              </w:rPr>
            </w:pPr>
            <w:r>
              <w:rPr>
                <w:rFonts w:asciiTheme="minorEastAsia" w:hAnsiTheme="minorEastAsia" w:eastAsiaTheme="minorEastAsia"/>
                <w:szCs w:val="21"/>
              </w:rPr>
              <w:t>法定代表人或授权代表签字：</w:t>
            </w:r>
          </w:p>
          <w:p>
            <w:pPr>
              <w:tabs>
                <w:tab w:val="left" w:pos="850"/>
              </w:tabs>
              <w:autoSpaceDE w:val="0"/>
              <w:autoSpaceDN w:val="0"/>
              <w:spacing w:line="360" w:lineRule="auto"/>
              <w:textAlignment w:val="bottom"/>
              <w:rPr>
                <w:rFonts w:asciiTheme="minorEastAsia" w:hAnsiTheme="minorEastAsia" w:eastAsiaTheme="minorEastAsia"/>
                <w:szCs w:val="21"/>
              </w:rPr>
            </w:pPr>
          </w:p>
          <w:p>
            <w:pPr>
              <w:tabs>
                <w:tab w:val="left" w:pos="850"/>
              </w:tabs>
              <w:autoSpaceDE w:val="0"/>
              <w:autoSpaceDN w:val="0"/>
              <w:spacing w:line="360" w:lineRule="auto"/>
              <w:textAlignment w:val="bottom"/>
              <w:rPr>
                <w:rFonts w:asciiTheme="minorEastAsia" w:hAnsiTheme="minorEastAsia" w:eastAsiaTheme="minorEastAsia"/>
                <w:szCs w:val="21"/>
              </w:rPr>
            </w:pPr>
          </w:p>
          <w:p>
            <w:pPr>
              <w:tabs>
                <w:tab w:val="left" w:pos="850"/>
              </w:tabs>
              <w:autoSpaceDE w:val="0"/>
              <w:autoSpaceDN w:val="0"/>
              <w:spacing w:line="360" w:lineRule="auto"/>
              <w:textAlignment w:val="bottom"/>
              <w:rPr>
                <w:rFonts w:asciiTheme="minorEastAsia" w:hAnsiTheme="minorEastAsia" w:eastAsiaTheme="minorEastAsia"/>
                <w:szCs w:val="21"/>
              </w:rPr>
            </w:pPr>
          </w:p>
          <w:p>
            <w:pPr>
              <w:tabs>
                <w:tab w:val="left" w:pos="850"/>
              </w:tabs>
              <w:autoSpaceDE w:val="0"/>
              <w:autoSpaceDN w:val="0"/>
              <w:spacing w:line="360" w:lineRule="auto"/>
              <w:textAlignment w:val="bottom"/>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tc>
      </w:tr>
    </w:tbl>
    <w:p>
      <w:pPr>
        <w:tabs>
          <w:tab w:val="left" w:pos="850"/>
        </w:tabs>
        <w:autoSpaceDE w:val="0"/>
        <w:autoSpaceDN w:val="0"/>
        <w:adjustRightInd w:val="0"/>
        <w:snapToGrid w:val="0"/>
        <w:spacing w:line="360" w:lineRule="auto"/>
        <w:textAlignment w:val="bottom"/>
        <w:rPr>
          <w:rFonts w:asciiTheme="minorEastAsia" w:hAnsiTheme="minorEastAsia" w:eastAsiaTheme="minorEastAsia"/>
          <w:szCs w:val="21"/>
          <w:u w:val="single"/>
        </w:rPr>
      </w:pPr>
    </w:p>
    <w:p>
      <w:pPr>
        <w:tabs>
          <w:tab w:val="left" w:pos="850"/>
        </w:tabs>
        <w:autoSpaceDE w:val="0"/>
        <w:autoSpaceDN w:val="0"/>
        <w:adjustRightInd w:val="0"/>
        <w:snapToGrid w:val="0"/>
        <w:spacing w:line="360" w:lineRule="auto"/>
        <w:ind w:firstLine="211" w:firstLineChars="100"/>
        <w:textAlignment w:val="bottom"/>
        <w:rPr>
          <w:rFonts w:asciiTheme="minorEastAsia" w:hAnsiTheme="minorEastAsia" w:eastAsiaTheme="minorEastAsia"/>
          <w:color w:val="000000"/>
          <w:szCs w:val="21"/>
        </w:rPr>
      </w:pPr>
      <w:r>
        <w:rPr>
          <w:rFonts w:hint="eastAsia" w:asciiTheme="minorEastAsia" w:hAnsiTheme="minorEastAsia" w:eastAsiaTheme="minorEastAsia"/>
          <w:b/>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eastAsia="zh-CN"/>
        </w:rPr>
        <w:t>2024</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日</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b/>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eastAsia="zh-CN"/>
        </w:rPr>
        <w:t>2024</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日</w:t>
      </w:r>
    </w:p>
    <w:p>
      <w:pPr>
        <w:tabs>
          <w:tab w:val="left" w:pos="850"/>
        </w:tabs>
        <w:autoSpaceDE w:val="0"/>
        <w:autoSpaceDN w:val="0"/>
        <w:adjustRightInd w:val="0"/>
        <w:snapToGrid w:val="0"/>
        <w:spacing w:line="360" w:lineRule="auto"/>
        <w:ind w:firstLine="210" w:firstLineChars="100"/>
        <w:textAlignment w:val="bottom"/>
        <w:rPr>
          <w:rFonts w:asciiTheme="minorEastAsia" w:hAnsiTheme="minorEastAsia" w:eastAsiaTheme="minorEastAsia"/>
          <w:color w:val="000000"/>
          <w:szCs w:val="21"/>
        </w:rPr>
      </w:pPr>
    </w:p>
    <w:p>
      <w:pPr>
        <w:tabs>
          <w:tab w:val="left" w:pos="850"/>
        </w:tabs>
        <w:autoSpaceDE w:val="0"/>
        <w:autoSpaceDN w:val="0"/>
        <w:adjustRightInd w:val="0"/>
        <w:snapToGrid w:val="0"/>
        <w:spacing w:line="360" w:lineRule="auto"/>
        <w:ind w:firstLine="210" w:firstLineChars="100"/>
        <w:textAlignment w:val="bottom"/>
        <w:rPr>
          <w:rFonts w:asciiTheme="minorEastAsia" w:hAnsiTheme="minorEastAsia" w:eastAsiaTheme="minorEastAsia"/>
          <w:color w:val="000000"/>
          <w:szCs w:val="21"/>
        </w:rPr>
      </w:pPr>
    </w:p>
    <w:p>
      <w:pPr>
        <w:tabs>
          <w:tab w:val="left" w:pos="850"/>
        </w:tabs>
        <w:autoSpaceDE w:val="0"/>
        <w:autoSpaceDN w:val="0"/>
        <w:adjustRightInd w:val="0"/>
        <w:snapToGrid w:val="0"/>
        <w:spacing w:line="360" w:lineRule="auto"/>
        <w:ind w:firstLine="210" w:firstLineChars="100"/>
        <w:textAlignment w:val="bottom"/>
        <w:rPr>
          <w:rFonts w:asciiTheme="minorEastAsia" w:hAnsiTheme="minorEastAsia" w:eastAsiaTheme="minorEastAsia"/>
          <w:color w:val="000000"/>
          <w:szCs w:val="21"/>
        </w:rPr>
      </w:pPr>
    </w:p>
    <w:p>
      <w:pPr>
        <w:tabs>
          <w:tab w:val="left" w:pos="850"/>
        </w:tabs>
        <w:autoSpaceDE w:val="0"/>
        <w:autoSpaceDN w:val="0"/>
        <w:adjustRightInd w:val="0"/>
        <w:snapToGrid w:val="0"/>
        <w:spacing w:line="360" w:lineRule="auto"/>
        <w:ind w:firstLine="210" w:firstLineChars="100"/>
        <w:textAlignment w:val="bottom"/>
        <w:rPr>
          <w:rFonts w:asciiTheme="minorEastAsia" w:hAnsiTheme="minorEastAsia" w:eastAsiaTheme="minorEastAsia"/>
          <w:color w:val="000000"/>
          <w:szCs w:val="21"/>
        </w:rPr>
      </w:pPr>
    </w:p>
    <w:bookmarkEnd w:id="93"/>
    <w:bookmarkEnd w:id="94"/>
    <w:bookmarkEnd w:id="95"/>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ind w:firstLine="105" w:firstLineChars="50"/>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附件一：</w:t>
      </w:r>
      <w:r>
        <w:rPr>
          <w:rFonts w:hint="eastAsia" w:ascii="宋体" w:hAnsi="宋体"/>
          <w:b/>
          <w:szCs w:val="21"/>
        </w:rPr>
        <w:t>服务范围、内容及要求</w:t>
      </w:r>
    </w:p>
    <w:p>
      <w:pPr>
        <w:spacing w:line="460" w:lineRule="exact"/>
        <w:rPr>
          <w:rFonts w:asciiTheme="minorEastAsia" w:hAnsiTheme="minorEastAsia" w:eastAsiaTheme="minorEastAsia"/>
          <w:b/>
          <w:color w:val="000000"/>
          <w:szCs w:val="21"/>
        </w:rPr>
      </w:pPr>
    </w:p>
    <w:p>
      <w:pPr>
        <w:spacing w:line="460" w:lineRule="exact"/>
        <w:rPr>
          <w:rFonts w:asciiTheme="minorEastAsia" w:hAnsiTheme="minorEastAsia" w:eastAsiaTheme="minorEastAsia"/>
          <w:b/>
          <w:color w:val="000000"/>
          <w:szCs w:val="21"/>
        </w:rPr>
      </w:pPr>
    </w:p>
    <w:p>
      <w:pPr>
        <w:spacing w:line="460" w:lineRule="exact"/>
        <w:rPr>
          <w:rFonts w:asciiTheme="minorEastAsia" w:hAnsiTheme="minorEastAsia" w:eastAsiaTheme="minorEastAsia"/>
          <w:color w:val="000000"/>
          <w:szCs w:val="21"/>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pPr>
    </w:p>
    <w:p>
      <w:pPr>
        <w:jc w:val="left"/>
        <w:rPr>
          <w:rFonts w:asciiTheme="minorEastAsia" w:hAnsiTheme="minorEastAsia" w:eastAsiaTheme="minorEastAsia"/>
          <w:b/>
        </w:rPr>
        <w:sectPr>
          <w:headerReference r:id="rId3" w:type="first"/>
          <w:footerReference r:id="rId4" w:type="default"/>
          <w:footerReference r:id="rId5" w:type="even"/>
          <w:pgSz w:w="11906" w:h="16838"/>
          <w:pgMar w:top="1440" w:right="1800" w:bottom="1440" w:left="1800" w:header="851" w:footer="992" w:gutter="0"/>
          <w:pgNumType w:fmt="decimal" w:start="1"/>
          <w:cols w:space="425" w:num="1"/>
          <w:docGrid w:type="lines" w:linePitch="312" w:charSpace="0"/>
        </w:sectPr>
      </w:pPr>
    </w:p>
    <w:p>
      <w:pPr>
        <w:jc w:val="left"/>
        <w:rPr>
          <w:rFonts w:ascii="宋体" w:hAnsi="宋体"/>
          <w:b/>
          <w:szCs w:val="21"/>
        </w:rPr>
      </w:pPr>
      <w:r>
        <w:rPr>
          <w:rFonts w:hint="eastAsia" w:asciiTheme="minorEastAsia" w:hAnsiTheme="minorEastAsia" w:eastAsiaTheme="minorEastAsia"/>
          <w:b/>
        </w:rPr>
        <w:t>附件二：</w:t>
      </w:r>
      <w:r>
        <w:rPr>
          <w:rFonts w:hint="eastAsia" w:ascii="宋体" w:hAnsi="宋体"/>
          <w:b/>
          <w:szCs w:val="21"/>
        </w:rPr>
        <w:t>服务内容清单及价目表</w:t>
      </w: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sectPr>
          <w:pgSz w:w="16838" w:h="11906" w:orient="landscape"/>
          <w:pgMar w:top="1797" w:right="1440" w:bottom="1797" w:left="1440" w:header="851" w:footer="992" w:gutter="0"/>
          <w:pgNumType w:fmt="decimal"/>
          <w:cols w:space="425" w:num="1"/>
          <w:docGrid w:type="lines" w:linePitch="312" w:charSpace="0"/>
        </w:sectPr>
      </w:pPr>
    </w:p>
    <w:p>
      <w:pPr>
        <w:keepNext w:val="0"/>
        <w:keepLines w:val="0"/>
        <w:widowControl w:val="0"/>
        <w:suppressLineNumbers w:val="0"/>
        <w:spacing w:before="0" w:beforeAutospacing="0" w:after="0" w:afterAutospacing="0"/>
        <w:ind w:left="0" w:right="0"/>
        <w:jc w:val="left"/>
        <w:rPr>
          <w:rFonts w:hint="default" w:ascii="宋体" w:hAnsi="宋体"/>
          <w:b/>
        </w:rPr>
      </w:pPr>
      <w:r>
        <w:rPr>
          <w:rFonts w:hint="eastAsia" w:ascii="宋体" w:hAnsi="宋体"/>
          <w:b/>
        </w:rPr>
        <w:t>附件</w:t>
      </w:r>
      <w:r>
        <w:rPr>
          <w:rFonts w:hint="eastAsia" w:ascii="宋体" w:hAnsi="宋体"/>
          <w:b/>
          <w:lang w:val="en-US" w:eastAsia="zh-CN"/>
        </w:rPr>
        <w:t>三</w:t>
      </w:r>
      <w:r>
        <w:rPr>
          <w:rFonts w:hint="eastAsia" w:ascii="宋体" w:hAnsi="宋体"/>
          <w:b/>
        </w:rPr>
        <w:t>：</w:t>
      </w:r>
      <w:r>
        <w:rPr>
          <w:rFonts w:hint="default" w:ascii="宋体" w:hAnsi="宋体"/>
          <w:b/>
          <w:lang w:val="en-US" w:eastAsia="zh-CN"/>
        </w:rPr>
        <w:t>承包合同HSE协议</w:t>
      </w:r>
    </w:p>
    <w:p>
      <w:pPr>
        <w:pStyle w:val="64"/>
        <w:numPr>
          <w:ilvl w:val="0"/>
          <w:numId w:val="0"/>
        </w:numPr>
        <w:tabs>
          <w:tab w:val="left" w:pos="1440"/>
        </w:tabs>
        <w:spacing w:before="240" w:after="120" w:line="240" w:lineRule="auto"/>
        <w:jc w:val="both"/>
        <w:outlineLvl w:val="0"/>
        <w:rPr>
          <w:rFonts w:ascii="宋体" w:hAnsi="宋体"/>
          <w:b/>
        </w:rPr>
      </w:pPr>
    </w:p>
    <w:p>
      <w:pPr>
        <w:keepNext w:val="0"/>
        <w:keepLines w:val="0"/>
        <w:widowControl w:val="0"/>
        <w:suppressLineNumbers w:val="0"/>
        <w:spacing w:before="0" w:beforeAutospacing="0" w:after="0" w:afterAutospacing="0"/>
        <w:ind w:left="0" w:right="0"/>
        <w:jc w:val="center"/>
        <w:rPr>
          <w:rFonts w:hint="default" w:eastAsia="方正小标宋简体"/>
          <w:sz w:val="30"/>
          <w:szCs w:val="30"/>
        </w:rPr>
      </w:pPr>
      <w:r>
        <w:rPr>
          <w:rFonts w:hint="default" w:ascii="方正小标宋简体" w:hAnsi="方正小标宋简体" w:eastAsia="方正小标宋简体" w:cs="方正小标宋简体"/>
          <w:kern w:val="2"/>
          <w:sz w:val="30"/>
          <w:szCs w:val="30"/>
          <w:lang w:val="en-US" w:eastAsia="zh-CN" w:bidi="ar"/>
        </w:rPr>
        <w:t>承包合同</w:t>
      </w:r>
      <w:r>
        <w:rPr>
          <w:rFonts w:hint="default" w:ascii="Times New Roman" w:hAnsi="Times New Roman" w:eastAsia="方正小标宋简体" w:cs="Times New Roman"/>
          <w:kern w:val="2"/>
          <w:sz w:val="30"/>
          <w:szCs w:val="30"/>
          <w:lang w:val="en-US" w:eastAsia="zh-CN" w:bidi="ar"/>
        </w:rPr>
        <w:t>HSE</w:t>
      </w:r>
      <w:r>
        <w:rPr>
          <w:rFonts w:hint="default" w:ascii="方正小标宋简体" w:hAnsi="方正小标宋简体" w:eastAsia="方正小标宋简体" w:cs="方正小标宋简体"/>
          <w:kern w:val="2"/>
          <w:sz w:val="30"/>
          <w:szCs w:val="30"/>
          <w:lang w:val="en-US" w:eastAsia="zh-CN" w:bidi="ar"/>
        </w:rPr>
        <w:t>协议</w:t>
      </w:r>
    </w:p>
    <w:p>
      <w:pPr>
        <w:rPr>
          <w:rFonts w:hint="default" w:eastAsia="黑体"/>
          <w:sz w:val="21"/>
          <w:szCs w:val="21"/>
        </w:rPr>
      </w:pPr>
    </w:p>
    <w:p>
      <w:pPr>
        <w:keepNext w:val="0"/>
        <w:keepLines w:val="0"/>
        <w:widowControl/>
        <w:numPr>
          <w:ilvl w:val="1"/>
          <w:numId w:val="40"/>
        </w:numPr>
        <w:suppressLineNumbers w:val="0"/>
        <w:autoSpaceDE w:val="0"/>
        <w:autoSpaceDN/>
        <w:spacing w:before="0" w:beforeAutospacing="0" w:after="0" w:afterAutospacing="0" w:line="360" w:lineRule="auto"/>
        <w:ind w:left="566" w:right="0" w:hanging="424" w:hangingChars="202"/>
        <w:jc w:val="both"/>
        <w:outlineLvl w:val="0"/>
        <w:rPr>
          <w:rFonts w:hint="default" w:eastAsia="黑体"/>
          <w:kern w:val="0"/>
          <w:sz w:val="21"/>
          <w:szCs w:val="21"/>
        </w:rPr>
      </w:pPr>
      <w:bookmarkStart w:id="104" w:name="_Toc256000160"/>
      <w:r>
        <w:rPr>
          <w:rFonts w:hint="default" w:ascii="Times New Roman" w:hAnsi="Times New Roman" w:eastAsia="黑体" w:cs="Times New Roman"/>
          <w:kern w:val="0"/>
          <w:sz w:val="21"/>
          <w:szCs w:val="21"/>
          <w:lang w:val="en-US" w:eastAsia="zh-CN" w:bidi="ar"/>
        </w:rPr>
        <w:t>HSE</w:t>
      </w:r>
      <w:r>
        <w:rPr>
          <w:rFonts w:hint="default" w:ascii="黑体" w:hAnsi="宋体" w:eastAsia="黑体" w:cs="黑体"/>
          <w:kern w:val="0"/>
          <w:sz w:val="21"/>
          <w:szCs w:val="21"/>
          <w:lang w:val="en-US" w:eastAsia="zh-CN" w:bidi="ar"/>
        </w:rPr>
        <w:t>理念与方针和通用要求</w:t>
      </w:r>
      <w:bookmarkEnd w:id="104"/>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05" w:name="_Toc256000161"/>
      <w:r>
        <w:rPr>
          <w:rFonts w:hint="default" w:ascii="Times New Roman" w:hAnsi="Times New Roman" w:eastAsia="黑体" w:cs="Times New Roman"/>
          <w:kern w:val="0"/>
          <w:sz w:val="21"/>
          <w:szCs w:val="21"/>
          <w:lang w:val="en-US" w:eastAsia="zh-CN" w:bidi="ar"/>
        </w:rPr>
        <w:t>HSE</w:t>
      </w:r>
      <w:r>
        <w:rPr>
          <w:rFonts w:hint="default" w:ascii="黑体" w:hAnsi="宋体" w:eastAsia="黑体" w:cs="黑体"/>
          <w:kern w:val="0"/>
          <w:sz w:val="21"/>
          <w:szCs w:val="21"/>
          <w:lang w:val="en-US" w:eastAsia="zh-CN" w:bidi="ar"/>
        </w:rPr>
        <w:t>理念与方针</w:t>
      </w:r>
      <w:bookmarkEnd w:id="105"/>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b w:val="0"/>
          <w:bCs w:val="0"/>
          <w:sz w:val="21"/>
          <w:szCs w:val="21"/>
        </w:rPr>
      </w:pPr>
      <w:r>
        <w:rPr>
          <w:rFonts w:hint="eastAsia" w:ascii="宋体" w:hAnsi="宋体" w:eastAsia="宋体" w:cs="宋体"/>
          <w:b w:val="0"/>
          <w:bCs w:val="0"/>
          <w:kern w:val="0"/>
          <w:sz w:val="21"/>
          <w:szCs w:val="21"/>
        </w:rPr>
        <w:t>中国海油</w:t>
      </w:r>
      <w:r>
        <w:rPr>
          <w:rFonts w:hint="default" w:ascii="Times New Roman" w:hAnsi="Times New Roman" w:eastAsia="宋体" w:cs="Times New Roman"/>
          <w:b w:val="0"/>
          <w:bCs w:val="0"/>
          <w:kern w:val="0"/>
          <w:sz w:val="21"/>
          <w:szCs w:val="21"/>
        </w:rPr>
        <w:t>HSE</w:t>
      </w:r>
      <w:r>
        <w:rPr>
          <w:rFonts w:hint="eastAsia" w:ascii="宋体" w:hAnsi="宋体" w:eastAsia="宋体" w:cs="宋体"/>
          <w:b w:val="0"/>
          <w:bCs w:val="0"/>
          <w:kern w:val="0"/>
          <w:sz w:val="21"/>
          <w:szCs w:val="21"/>
        </w:rPr>
        <w:t>理念：</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（1）HSE是公司生存的基础、发展的保障；</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（2）管理HSE事务，不仅是经济责任，更是社会责任；</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（3）员工是公司最宝贵的资源和财富，以人为本，关爱生命；</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（4）设定目标，只有“执行”才能实现；</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（5）体系化管理，持续改进，坚信“没有最好，只有更好”；</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（6）安全行为“五想五不干”，注重细节、控制风险；</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（7）管理承包商，分享信息和经验，实现双赢；</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（8）尽量使用清洁无害的材料和能源，保护环境和资源；</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（9）不仅遵守法规标准，更要争先创优、努力提高行业水平；</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（10）HSE是企业整体素质的综合反映。</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b w:val="0"/>
          <w:bCs w:val="0"/>
          <w:sz w:val="21"/>
          <w:szCs w:val="21"/>
        </w:rPr>
      </w:pPr>
      <w:r>
        <w:rPr>
          <w:rFonts w:hint="eastAsia" w:ascii="宋体" w:hAnsi="宋体" w:eastAsia="宋体" w:cs="宋体"/>
          <w:b w:val="0"/>
          <w:bCs w:val="0"/>
          <w:kern w:val="0"/>
          <w:sz w:val="21"/>
          <w:szCs w:val="21"/>
        </w:rPr>
        <w:t>装备技术公司</w:t>
      </w:r>
      <w:r>
        <w:rPr>
          <w:rFonts w:hint="default" w:ascii="Times New Roman" w:hAnsi="Times New Roman" w:eastAsia="宋体" w:cs="Times New Roman"/>
          <w:b w:val="0"/>
          <w:bCs w:val="0"/>
          <w:kern w:val="0"/>
          <w:sz w:val="21"/>
          <w:szCs w:val="21"/>
        </w:rPr>
        <w:t>HSE</w:t>
      </w:r>
      <w:r>
        <w:rPr>
          <w:rFonts w:hint="eastAsia" w:ascii="宋体" w:hAnsi="宋体" w:eastAsia="宋体" w:cs="宋体"/>
          <w:b w:val="0"/>
          <w:bCs w:val="0"/>
          <w:kern w:val="0"/>
          <w:sz w:val="21"/>
          <w:szCs w:val="21"/>
        </w:rPr>
        <w:t>方针：</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以人为本、关爱生命；</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安全第一、预防为主；</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节能减排、清洁生产；</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遵纪守法、合规运营；</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持续改进、重在执行。</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b w:val="0"/>
          <w:bCs w:val="0"/>
          <w:sz w:val="21"/>
          <w:szCs w:val="21"/>
        </w:rPr>
      </w:pPr>
      <w:r>
        <w:rPr>
          <w:rFonts w:hint="eastAsia" w:ascii="宋体" w:hAnsi="宋体" w:eastAsia="宋体" w:cs="宋体"/>
          <w:b w:val="0"/>
          <w:bCs w:val="0"/>
          <w:kern w:val="0"/>
          <w:sz w:val="21"/>
          <w:szCs w:val="21"/>
        </w:rPr>
        <w:t>中国海油现场作业安全行为准则：“五想五不干”</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一想安全风险，不清楚不干；        二想安全措施，不完善不干；</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三想安全工具，未配备不干；        四想安全环境，不合格不干；</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cs="宋体"/>
          <w:b w:val="0"/>
          <w:bCs w:val="0"/>
          <w:sz w:val="21"/>
          <w:szCs w:val="21"/>
        </w:rPr>
      </w:pPr>
      <w:r>
        <w:rPr>
          <w:rFonts w:hint="eastAsia" w:ascii="宋体" w:hAnsi="宋体" w:eastAsia="宋体" w:cs="宋体"/>
          <w:b w:val="0"/>
          <w:bCs w:val="0"/>
          <w:kern w:val="2"/>
          <w:sz w:val="21"/>
          <w:szCs w:val="21"/>
          <w:lang w:val="en-US" w:eastAsia="zh-CN" w:bidi="ar"/>
        </w:rPr>
        <w:t>五想安全技能，不具备不干。</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06" w:name="_Toc256000162"/>
      <w:r>
        <w:rPr>
          <w:rFonts w:hint="default" w:ascii="Times New Roman" w:hAnsi="Times New Roman" w:eastAsia="黑体" w:cs="Times New Roman"/>
          <w:kern w:val="0"/>
          <w:sz w:val="21"/>
          <w:szCs w:val="21"/>
          <w:lang w:val="en-US" w:eastAsia="zh-CN" w:bidi="ar"/>
        </w:rPr>
        <w:t>HSE</w:t>
      </w:r>
      <w:r>
        <w:rPr>
          <w:rFonts w:hint="default" w:ascii="黑体" w:hAnsi="宋体" w:eastAsia="黑体" w:cs="黑体"/>
          <w:kern w:val="0"/>
          <w:sz w:val="21"/>
          <w:szCs w:val="21"/>
          <w:lang w:val="en-US" w:eastAsia="zh-CN" w:bidi="ar"/>
        </w:rPr>
        <w:t>通用要求</w:t>
      </w:r>
      <w:bookmarkEnd w:id="106"/>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双方应严格遵守国家、地方、行业有关的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法律法规、标准规范及双方认可的集团公司各项</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规章制度。</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双方应遵循平等协商的原则制定</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条款或</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协议。</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协议应与承包合同同时签订并具有相同的法律效力。</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协议的期限应与项目承包合同的期限一致。如果变更承包合同的期限，也应同步变更</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协议的期限。</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b/>
          <w:bCs/>
          <w:sz w:val="21"/>
          <w:szCs w:val="21"/>
        </w:rPr>
      </w:pPr>
      <w:r>
        <w:rPr>
          <w:rFonts w:hint="eastAsia" w:ascii="宋体" w:hAnsi="宋体" w:eastAsia="宋体" w:cs="宋体"/>
          <w:kern w:val="0"/>
          <w:sz w:val="21"/>
          <w:szCs w:val="21"/>
        </w:rPr>
        <w:t>乙方应取得相关执照、资格证书和许可证书，不得使用不符合国家规定的评价、认证和检验机构，并保证提供给甲方的安全生产许可证、施工资质等证书、从业人员信息等相关资料真实可靠，并对因上述资料不真实可靠造成的后果负法律责任。</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甲方应遵守设计要求，不得擅自压缩外包工程合同约定的工期，不违章指挥或者强令乙方及其从业人员冒险作业。</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乙方应严格按照设计要求、施工方案、</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方案组织施工。</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乙方应综合考虑本单位</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管理制度和甲方提出的要求，编制适用于项目的安全管理制度、操作规程等文件，以及</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计划、施工方案等，甲方应根据职责进行审批。在项目实施过程中双方应对</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计划的执行情况进行检查。</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乙方变更</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标准、管理程序和</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计划等应与甲方协商，甲方有权拒绝接受明显不符合甲方</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理念和方针的变更。</w:t>
      </w:r>
    </w:p>
    <w:p>
      <w:pPr>
        <w:keepNext w:val="0"/>
        <w:keepLines w:val="0"/>
        <w:widowControl/>
        <w:numPr>
          <w:ilvl w:val="1"/>
          <w:numId w:val="40"/>
        </w:numPr>
        <w:suppressLineNumbers w:val="0"/>
        <w:autoSpaceDE w:val="0"/>
        <w:autoSpaceDN/>
        <w:spacing w:before="0" w:beforeAutospacing="0" w:after="0" w:afterAutospacing="0" w:line="360" w:lineRule="auto"/>
        <w:ind w:left="566" w:right="0" w:hanging="424" w:hangingChars="202"/>
        <w:jc w:val="both"/>
        <w:outlineLvl w:val="0"/>
        <w:rPr>
          <w:rFonts w:hint="default" w:eastAsia="黑体"/>
          <w:b w:val="0"/>
          <w:bCs w:val="0"/>
          <w:kern w:val="0"/>
          <w:sz w:val="21"/>
          <w:szCs w:val="21"/>
        </w:rPr>
      </w:pPr>
      <w:bookmarkStart w:id="107" w:name="_Toc256000163"/>
      <w:r>
        <w:rPr>
          <w:rFonts w:hint="default" w:ascii="Times New Roman" w:hAnsi="Times New Roman" w:eastAsia="黑体" w:cs="Times New Roman"/>
          <w:b w:val="0"/>
          <w:bCs w:val="0"/>
          <w:kern w:val="0"/>
          <w:sz w:val="21"/>
          <w:szCs w:val="21"/>
          <w:lang w:val="en-US" w:eastAsia="zh-CN" w:bidi="ar"/>
        </w:rPr>
        <w:t>HSE</w:t>
      </w:r>
      <w:r>
        <w:rPr>
          <w:rFonts w:hint="default" w:ascii="黑体" w:hAnsi="宋体" w:eastAsia="黑体" w:cs="黑体"/>
          <w:b w:val="0"/>
          <w:bCs w:val="0"/>
          <w:kern w:val="0"/>
          <w:sz w:val="21"/>
          <w:szCs w:val="21"/>
          <w:lang w:val="en-US" w:eastAsia="zh-CN" w:bidi="ar"/>
        </w:rPr>
        <w:t>管理界面及责任</w:t>
      </w:r>
      <w:bookmarkEnd w:id="107"/>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b w:val="0"/>
          <w:bCs w:val="0"/>
          <w:kern w:val="0"/>
          <w:sz w:val="21"/>
          <w:szCs w:val="21"/>
        </w:rPr>
      </w:pPr>
      <w:bookmarkStart w:id="108" w:name="_Toc256000164"/>
      <w:r>
        <w:rPr>
          <w:rFonts w:hint="default" w:ascii="黑体" w:hAnsi="宋体" w:eastAsia="黑体" w:cs="黑体"/>
          <w:b w:val="0"/>
          <w:bCs w:val="0"/>
          <w:kern w:val="0"/>
          <w:sz w:val="21"/>
          <w:szCs w:val="21"/>
          <w:lang w:val="en-US" w:eastAsia="zh-CN" w:bidi="ar"/>
        </w:rPr>
        <w:t>甲方的</w:t>
      </w:r>
      <w:r>
        <w:rPr>
          <w:rFonts w:hint="default" w:ascii="Times New Roman" w:hAnsi="Times New Roman" w:eastAsia="黑体" w:cs="Times New Roman"/>
          <w:b w:val="0"/>
          <w:bCs w:val="0"/>
          <w:kern w:val="0"/>
          <w:sz w:val="21"/>
          <w:szCs w:val="21"/>
          <w:lang w:val="en-US" w:eastAsia="zh-CN" w:bidi="ar"/>
        </w:rPr>
        <w:t>HSE</w:t>
      </w:r>
      <w:r>
        <w:rPr>
          <w:rFonts w:hint="default" w:ascii="黑体" w:hAnsi="宋体" w:eastAsia="黑体" w:cs="黑体"/>
          <w:b w:val="0"/>
          <w:bCs w:val="0"/>
          <w:kern w:val="0"/>
          <w:sz w:val="21"/>
          <w:szCs w:val="21"/>
          <w:lang w:val="en-US" w:eastAsia="zh-CN" w:bidi="ar"/>
        </w:rPr>
        <w:t>管理界面</w:t>
      </w:r>
      <w:bookmarkEnd w:id="108"/>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b w:val="0"/>
          <w:bCs w:val="0"/>
          <w:sz w:val="21"/>
          <w:szCs w:val="21"/>
        </w:rPr>
      </w:pPr>
      <w:r>
        <w:rPr>
          <w:rFonts w:hint="eastAsia" w:ascii="宋体" w:hAnsi="宋体" w:eastAsia="宋体" w:cs="宋体"/>
          <w:b w:val="0"/>
          <w:bCs w:val="0"/>
          <w:kern w:val="0"/>
          <w:sz w:val="21"/>
          <w:szCs w:val="21"/>
        </w:rPr>
        <w:t>在甲方资产界内进行的各项施工作业，甲方全权负责该区域内的</w:t>
      </w:r>
      <w:r>
        <w:rPr>
          <w:rFonts w:hint="default" w:ascii="Times New Roman" w:hAnsi="Times New Roman" w:eastAsia="宋体" w:cs="Times New Roman"/>
          <w:b w:val="0"/>
          <w:bCs w:val="0"/>
          <w:kern w:val="0"/>
          <w:sz w:val="21"/>
          <w:szCs w:val="21"/>
        </w:rPr>
        <w:t>HSE</w:t>
      </w:r>
      <w:r>
        <w:rPr>
          <w:rFonts w:hint="eastAsia" w:ascii="宋体" w:hAnsi="宋体" w:eastAsia="宋体" w:cs="宋体"/>
          <w:b w:val="0"/>
          <w:bCs w:val="0"/>
          <w:kern w:val="0"/>
          <w:sz w:val="21"/>
          <w:szCs w:val="21"/>
        </w:rPr>
        <w:t>管理，但乙方应为自身的</w:t>
      </w:r>
      <w:r>
        <w:rPr>
          <w:rFonts w:hint="default" w:ascii="Times New Roman" w:hAnsi="Times New Roman" w:eastAsia="宋体" w:cs="Times New Roman"/>
          <w:b w:val="0"/>
          <w:bCs w:val="0"/>
          <w:kern w:val="0"/>
          <w:sz w:val="21"/>
          <w:szCs w:val="21"/>
        </w:rPr>
        <w:t>HSE</w:t>
      </w:r>
      <w:r>
        <w:rPr>
          <w:rFonts w:hint="eastAsia" w:ascii="宋体" w:hAnsi="宋体" w:eastAsia="宋体" w:cs="宋体"/>
          <w:b w:val="0"/>
          <w:bCs w:val="0"/>
          <w:kern w:val="0"/>
          <w:sz w:val="21"/>
          <w:szCs w:val="21"/>
        </w:rPr>
        <w:t>管理行为负全部责任，乙方自身的管理行为和作业行为必须遵照执行甲方的</w:t>
      </w:r>
      <w:r>
        <w:rPr>
          <w:rFonts w:hint="default" w:ascii="Times New Roman" w:hAnsi="Times New Roman" w:eastAsia="宋体" w:cs="Times New Roman"/>
          <w:b w:val="0"/>
          <w:bCs w:val="0"/>
          <w:kern w:val="0"/>
          <w:sz w:val="21"/>
          <w:szCs w:val="21"/>
        </w:rPr>
        <w:t>HSE</w:t>
      </w:r>
      <w:r>
        <w:rPr>
          <w:rFonts w:hint="eastAsia" w:ascii="宋体" w:hAnsi="宋体" w:eastAsia="宋体" w:cs="宋体"/>
          <w:b w:val="0"/>
          <w:bCs w:val="0"/>
          <w:kern w:val="0"/>
          <w:sz w:val="21"/>
          <w:szCs w:val="21"/>
        </w:rPr>
        <w:t>管理体系文件、其它有关</w:t>
      </w:r>
      <w:r>
        <w:rPr>
          <w:rFonts w:hint="default" w:ascii="Times New Roman" w:hAnsi="Times New Roman" w:eastAsia="宋体" w:cs="Times New Roman"/>
          <w:b w:val="0"/>
          <w:bCs w:val="0"/>
          <w:kern w:val="0"/>
          <w:sz w:val="21"/>
          <w:szCs w:val="21"/>
        </w:rPr>
        <w:t>HSE</w:t>
      </w:r>
      <w:r>
        <w:rPr>
          <w:rFonts w:hint="eastAsia" w:ascii="宋体" w:hAnsi="宋体" w:eastAsia="宋体" w:cs="宋体"/>
          <w:b w:val="0"/>
          <w:bCs w:val="0"/>
          <w:kern w:val="0"/>
          <w:sz w:val="21"/>
          <w:szCs w:val="21"/>
        </w:rPr>
        <w:t>的管理规定、程序和要求，以及项目的</w:t>
      </w:r>
      <w:r>
        <w:rPr>
          <w:rFonts w:hint="default" w:ascii="Times New Roman" w:hAnsi="Times New Roman" w:eastAsia="宋体" w:cs="Times New Roman"/>
          <w:b w:val="0"/>
          <w:bCs w:val="0"/>
          <w:kern w:val="0"/>
          <w:sz w:val="21"/>
          <w:szCs w:val="21"/>
        </w:rPr>
        <w:t>HSE</w:t>
      </w:r>
      <w:r>
        <w:rPr>
          <w:rFonts w:hint="eastAsia" w:ascii="宋体" w:hAnsi="宋体" w:eastAsia="宋体" w:cs="宋体"/>
          <w:b w:val="0"/>
          <w:bCs w:val="0"/>
          <w:kern w:val="0"/>
          <w:sz w:val="21"/>
          <w:szCs w:val="21"/>
        </w:rPr>
        <w:t>实施方案或风险控制措施。乙方有义务配合甲方的</w:t>
      </w:r>
      <w:r>
        <w:rPr>
          <w:rFonts w:hint="default" w:ascii="Times New Roman" w:hAnsi="Times New Roman" w:eastAsia="宋体" w:cs="Times New Roman"/>
          <w:b w:val="0"/>
          <w:bCs w:val="0"/>
          <w:kern w:val="0"/>
          <w:sz w:val="21"/>
          <w:szCs w:val="21"/>
        </w:rPr>
        <w:t>HSE</w:t>
      </w:r>
      <w:r>
        <w:rPr>
          <w:rFonts w:hint="eastAsia" w:ascii="宋体" w:hAnsi="宋体" w:eastAsia="宋体" w:cs="宋体"/>
          <w:b w:val="0"/>
          <w:bCs w:val="0"/>
          <w:kern w:val="0"/>
          <w:sz w:val="21"/>
          <w:szCs w:val="21"/>
        </w:rPr>
        <w:t>管理。如果乙方的体系文件、程序文件、工作惯例优于甲方的要求，可以在取得甲方审核批准的情况下执行。</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b w:val="0"/>
          <w:bCs w:val="0"/>
          <w:sz w:val="21"/>
          <w:szCs w:val="21"/>
        </w:rPr>
      </w:pPr>
      <w:r>
        <w:rPr>
          <w:rFonts w:hint="eastAsia" w:ascii="宋体" w:hAnsi="宋体" w:eastAsia="宋体" w:cs="宋体"/>
          <w:b w:val="0"/>
          <w:bCs w:val="0"/>
          <w:kern w:val="0"/>
          <w:sz w:val="21"/>
          <w:szCs w:val="21"/>
        </w:rPr>
        <w:t>甲方有权依据国家、行业、企业的标准、规范、规程和设计技术和生产指令要求对乙方的各项施工作业行使监督权利；有权派代表或现场监督进入施工现场的任何区域对合同的履行情况、施工质量、</w:t>
      </w:r>
      <w:r>
        <w:rPr>
          <w:rFonts w:hint="default" w:ascii="Times New Roman" w:hAnsi="Times New Roman" w:eastAsia="宋体" w:cs="Times New Roman"/>
          <w:b w:val="0"/>
          <w:bCs w:val="0"/>
          <w:kern w:val="0"/>
          <w:sz w:val="21"/>
          <w:szCs w:val="21"/>
        </w:rPr>
        <w:t>HSE</w:t>
      </w:r>
      <w:r>
        <w:rPr>
          <w:rFonts w:hint="eastAsia" w:ascii="宋体" w:hAnsi="宋体" w:eastAsia="宋体" w:cs="宋体"/>
          <w:b w:val="0"/>
          <w:bCs w:val="0"/>
          <w:kern w:val="0"/>
          <w:sz w:val="21"/>
          <w:szCs w:val="21"/>
        </w:rPr>
        <w:t>管理等方面进行监督、检查和项目工程进度进行督促。甲方对乙方的监督、检查、督促，并不能减轻乙方作为施工作业</w:t>
      </w:r>
      <w:r>
        <w:rPr>
          <w:rFonts w:hint="default" w:ascii="Times New Roman" w:hAnsi="Times New Roman" w:eastAsia="宋体" w:cs="Times New Roman"/>
          <w:b w:val="0"/>
          <w:bCs w:val="0"/>
          <w:kern w:val="0"/>
          <w:sz w:val="21"/>
          <w:szCs w:val="21"/>
        </w:rPr>
        <w:t>HSE</w:t>
      </w:r>
      <w:r>
        <w:rPr>
          <w:rFonts w:hint="eastAsia" w:ascii="宋体" w:hAnsi="宋体" w:eastAsia="宋体" w:cs="宋体"/>
          <w:b w:val="0"/>
          <w:bCs w:val="0"/>
          <w:kern w:val="0"/>
          <w:sz w:val="21"/>
          <w:szCs w:val="21"/>
        </w:rPr>
        <w:t>责任主体应承担的相关责任。</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b w:val="0"/>
          <w:bCs w:val="0"/>
          <w:sz w:val="21"/>
          <w:szCs w:val="21"/>
        </w:rPr>
      </w:pPr>
      <w:r>
        <w:rPr>
          <w:rFonts w:hint="eastAsia" w:ascii="宋体" w:hAnsi="宋体" w:eastAsia="宋体" w:cs="宋体"/>
          <w:b w:val="0"/>
          <w:bCs w:val="0"/>
          <w:kern w:val="0"/>
          <w:sz w:val="21"/>
          <w:szCs w:val="21"/>
        </w:rPr>
        <w:t>甲方有权对乙方事故上报和事故处理进度进行监督，对乙方上报的事故和事故处理方案提出建议，乙方上报的事故处理方案经甲方同意后方可实施。甲方的建议和监督不减轻、不免除乙方承担事故和事故处理的责任。</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09" w:name="_Toc256000165"/>
      <w:r>
        <w:rPr>
          <w:rFonts w:hint="default" w:ascii="黑体" w:hAnsi="宋体" w:eastAsia="黑体" w:cs="黑体"/>
          <w:kern w:val="0"/>
          <w:sz w:val="21"/>
          <w:szCs w:val="21"/>
          <w:lang w:val="en-US" w:eastAsia="zh-CN" w:bidi="ar"/>
        </w:rPr>
        <w:t>乙方的</w:t>
      </w:r>
      <w:r>
        <w:rPr>
          <w:rFonts w:hint="default" w:ascii="Times New Roman" w:hAnsi="Times New Roman" w:eastAsia="黑体" w:cs="Times New Roman"/>
          <w:kern w:val="0"/>
          <w:sz w:val="21"/>
          <w:szCs w:val="21"/>
          <w:lang w:val="en-US" w:eastAsia="zh-CN" w:bidi="ar"/>
        </w:rPr>
        <w:t>HSE</w:t>
      </w:r>
      <w:r>
        <w:rPr>
          <w:rFonts w:hint="default" w:ascii="黑体" w:hAnsi="宋体" w:eastAsia="黑体" w:cs="黑体"/>
          <w:kern w:val="0"/>
          <w:sz w:val="21"/>
          <w:szCs w:val="21"/>
          <w:lang w:val="en-US" w:eastAsia="zh-CN" w:bidi="ar"/>
        </w:rPr>
        <w:t>管理界面</w:t>
      </w:r>
      <w:bookmarkEnd w:id="109"/>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在乙方资产界内进行或由乙方使用在非双方资产界内组织进行的为甲方提供的各项施工作业，乙方的管理行为和作业行为可以遵照执行本单位的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管理体系文件及其它有关</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的管理规定、程序和要求，乙方应对其管理行为和作业行为负全部责任，但必须接受甲方的监督和检查。</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乙方有义务将本单位的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管理体系文件和其它有关</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的管理规定、程序和要求提交给甲方，以便于甲方审查、监督和检查。</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乙方的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管理体系文件和其它有关</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的管理规定、程序和要求应符合甲方</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管理体系文件和其它有关</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的管理规定、程序和要求的基本原则，甲方保留对乙方的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管理体系文件和其它有关</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的管理规定、程序和要求进行评估的权力，并有权就不符合部分提出修改意见，乙方有义务参照甲方意见进行相应的修改。</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甲方关于</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管理的本意，应得到善意的理解和执行。</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10" w:name="_Toc256000166"/>
      <w:r>
        <w:rPr>
          <w:rFonts w:hint="default" w:ascii="黑体" w:hAnsi="宋体" w:eastAsia="黑体" w:cs="黑体"/>
          <w:kern w:val="0"/>
          <w:sz w:val="21"/>
          <w:szCs w:val="21"/>
          <w:lang w:val="en-US" w:eastAsia="zh-CN" w:bidi="ar"/>
        </w:rPr>
        <w:t>甲方责任</w:t>
      </w:r>
      <w:bookmarkEnd w:id="110"/>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应严格遵守有关的法律法规、规章和标准，依法设置安全生产管理机构或者配备专职安全生产管理人员，对施工作业过程实施管理和监督。发现乙方违反法律法规、规章和标准的行为，有权制止，并追究违约责任。</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负责向乙方传达本企业的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理念、方针和目标，以及</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管理体系相关要求并监督乙方实施。</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根据乙方承担的工作范围，负责向乙方明确地理环境和地下埋设物等相关资料和必要标识。</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负责编制项目</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管理方案，指导和审核乙方编制承包工程的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管理方案和作业指导书等，并监督实施。</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负责审查乙方人员的资质，不具备相应资质的人员不得从事相应的工作；查验乙方自带设备机具（包括保险、特种设备有效检验报告等），不满足安全要求的禁止进场使用。</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负责监督检查乙方人员劳动防护用品的配备及正确使用情况。</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负责对乙方人员进行入场教育培训，监督、检查、考核乙方的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管理，协调乙方与其他同作业区域乙方之间的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其它未提及甲方</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责任部分详见本协议其它章节的具体条款。</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11" w:name="_Toc256000167"/>
      <w:r>
        <w:rPr>
          <w:rFonts w:hint="default" w:ascii="黑体" w:hAnsi="宋体" w:eastAsia="黑体" w:cs="黑体"/>
          <w:kern w:val="0"/>
          <w:sz w:val="21"/>
          <w:szCs w:val="21"/>
          <w:lang w:val="en-US" w:eastAsia="zh-CN" w:bidi="ar"/>
        </w:rPr>
        <w:t>乙方责任</w:t>
      </w:r>
      <w:bookmarkEnd w:id="111"/>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应当根据承揽项目的规模和特点，依法健全安全生产责任体系，完善安全生产管理基本制度，设置安全生产管理机构，根据作业现场情况配置安全监督实施作业过程的监督管理。</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服从甲方</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管理，承担所属施工队伍的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管理责任。根据甲方的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规定，编制符合乙方自身施工条件的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管理方案，并送交甲方审核，审核通过后执行。</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负责本单位人员的入厂三级安全教育，并提交相应证明材料；接受甲方组织的作业承包商人员</w:t>
      </w:r>
      <w:r>
        <w:rPr>
          <w:rFonts w:hint="default" w:ascii="Times New Roman" w:hAnsi="Times New Roman" w:eastAsia="宋体" w:cs="Times New Roman"/>
          <w:kern w:val="0"/>
          <w:sz w:val="21"/>
          <w:szCs w:val="21"/>
        </w:rPr>
        <w:t>24</w:t>
      </w:r>
      <w:r>
        <w:rPr>
          <w:rFonts w:hint="eastAsia" w:ascii="宋体" w:hAnsi="宋体" w:eastAsia="宋体" w:cs="宋体"/>
          <w:kern w:val="0"/>
          <w:sz w:val="21"/>
          <w:szCs w:val="21"/>
        </w:rPr>
        <w:t>学时入场安全教育，取得入场安全教育合格证，并积极参加作业过程中的甲方组织的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教育和培训。</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进场作业前及合同履行过程中，向甲方提供项目人员资质证书、自带的设备机具及相关符合性资料，确保进场人员和设备机具满足安全作业要求。</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为作业人员配备符合法律法规、规章和标准要求的劳动防护用品，并监督、教育作业人员按照使用规则佩戴、使用。</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服从和配合甲方统一的应急协调管理。自行负责承包项目工作内容、作业区域、作业时间等以外的事故应急救援。</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ascii="Times New Roman" w:hAnsi="Times New Roman" w:eastAsia="宋体" w:cs="Times New Roman"/>
          <w:sz w:val="21"/>
          <w:szCs w:val="21"/>
        </w:rPr>
      </w:pPr>
      <w:r>
        <w:rPr>
          <w:rFonts w:hint="eastAsia" w:ascii="宋体" w:hAnsi="宋体" w:eastAsia="宋体" w:cs="宋体"/>
          <w:kern w:val="0"/>
          <w:sz w:val="21"/>
          <w:szCs w:val="21"/>
        </w:rPr>
        <w:t>乙方应遵循施工当地的安全环保政策，若因未按照安全环保政策实施导致受到相关部门处罚，由乙方承担一切后果。</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eastAsia" w:hAnsi="Times New Roman" w:eastAsia="宋体" w:cs="Times New Roman"/>
          <w:sz w:val="21"/>
          <w:szCs w:val="21"/>
        </w:rPr>
      </w:pPr>
      <w:r>
        <w:rPr>
          <w:rFonts w:hint="eastAsia" w:ascii="宋体" w:hAnsi="宋体" w:eastAsia="宋体" w:cs="宋体"/>
          <w:kern w:val="0"/>
          <w:sz w:val="21"/>
          <w:szCs w:val="21"/>
        </w:rPr>
        <w:t>其它未提及乙方</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责任部分详见本协议其它章节的具体条款。</w:t>
      </w:r>
    </w:p>
    <w:p>
      <w:pPr>
        <w:keepNext w:val="0"/>
        <w:keepLines w:val="0"/>
        <w:widowControl/>
        <w:numPr>
          <w:ilvl w:val="1"/>
          <w:numId w:val="40"/>
        </w:numPr>
        <w:suppressLineNumbers w:val="0"/>
        <w:autoSpaceDE w:val="0"/>
        <w:autoSpaceDN/>
        <w:spacing w:before="0" w:beforeAutospacing="0" w:after="0" w:afterAutospacing="0" w:line="360" w:lineRule="auto"/>
        <w:ind w:left="566" w:right="0" w:hanging="424" w:hangingChars="202"/>
        <w:jc w:val="both"/>
        <w:outlineLvl w:val="0"/>
        <w:rPr>
          <w:rFonts w:hint="default" w:eastAsia="黑体"/>
          <w:kern w:val="0"/>
          <w:sz w:val="21"/>
          <w:szCs w:val="21"/>
        </w:rPr>
      </w:pPr>
      <w:bookmarkStart w:id="112" w:name="_Toc256000168"/>
      <w:r>
        <w:rPr>
          <w:rFonts w:hint="default" w:ascii="黑体" w:hAnsi="宋体" w:eastAsia="黑体" w:cs="黑体"/>
          <w:kern w:val="0"/>
          <w:sz w:val="21"/>
          <w:szCs w:val="21"/>
          <w:lang w:val="en-US" w:eastAsia="zh-CN" w:bidi="ar"/>
        </w:rPr>
        <w:t>组织机构及资源配置</w:t>
      </w:r>
      <w:bookmarkEnd w:id="112"/>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13" w:name="_Toc256000169"/>
      <w:r>
        <w:rPr>
          <w:rFonts w:hint="default" w:ascii="黑体" w:hAnsi="宋体" w:eastAsia="黑体" w:cs="黑体"/>
          <w:kern w:val="0"/>
          <w:sz w:val="21"/>
          <w:szCs w:val="21"/>
          <w:lang w:val="en-US" w:eastAsia="zh-CN" w:bidi="ar"/>
        </w:rPr>
        <w:t>安全管理机构及人员配置</w:t>
      </w:r>
      <w:bookmarkEnd w:id="113"/>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乙方应按有关法规要求和甲方要求设置安全管理组织机构，配备满足要求的安全管理人员，确保发挥现场监督作用。</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甲方应明确乙方关键岗位人员名单，包括但不限于乙方项目负责人、技术负责人、现场领队（负责人）、</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管理人员等人员，并明确上述关键岗位人员的执业资格、工作履历、技术能力、管理经验等要求，甲方保留对乙方关键岗位的挑选进行审核的权利，上述关键岗位人员变动时乙方应报告甲方并获得同意。</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乙方应切实加强劳务派遣和灵活用工人员安全管理，将劳务派遣和灵活用工人员纳入本单位统一管理，并严控危险岗位劳务派遣和灵活用工人员数量。</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乙方在开工前应向甲方上报安全生产管理人员配置计划，审核通过后严格按照配置计划派驻人员。</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乙方从事工种不足一年的人员占作业队伍的最高比例不超过</w:t>
      </w:r>
      <w:r>
        <w:rPr>
          <w:rFonts w:hint="default" w:ascii="Times New Roman" w:hAnsi="Times New Roman" w:eastAsia="宋体" w:cs="Times New Roman"/>
          <w:kern w:val="0"/>
          <w:sz w:val="21"/>
          <w:szCs w:val="21"/>
        </w:rPr>
        <w:t>**%</w:t>
      </w:r>
      <w:r>
        <w:rPr>
          <w:rFonts w:hint="eastAsia" w:ascii="宋体" w:hAnsi="宋体" w:eastAsia="宋体" w:cs="宋体"/>
          <w:kern w:val="0"/>
          <w:sz w:val="21"/>
          <w:szCs w:val="21"/>
        </w:rPr>
        <w:t>。（以实际要求为准）</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14" w:name="_Toc256000170"/>
      <w:r>
        <w:rPr>
          <w:rFonts w:hint="default" w:ascii="黑体" w:hAnsi="宋体" w:eastAsia="黑体" w:cs="黑体"/>
          <w:kern w:val="0"/>
          <w:sz w:val="21"/>
          <w:szCs w:val="21"/>
          <w:lang w:val="en-US" w:eastAsia="zh-CN" w:bidi="ar"/>
        </w:rPr>
        <w:t>资源配置</w:t>
      </w:r>
      <w:bookmarkEnd w:id="114"/>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b w:val="0"/>
          <w:bCs w:val="0"/>
          <w:sz w:val="21"/>
          <w:szCs w:val="21"/>
        </w:rPr>
      </w:pPr>
      <w:r>
        <w:rPr>
          <w:rFonts w:hint="eastAsia" w:ascii="宋体" w:hAnsi="宋体" w:eastAsia="宋体" w:cs="宋体"/>
          <w:kern w:val="0"/>
          <w:sz w:val="21"/>
          <w:szCs w:val="21"/>
        </w:rPr>
        <w:t>乙方应遵照相关法律、法规、规章和标准的有关规定，保证必要的安全投入，确保安全生产费用落实到位、专款专用，不断完善和改进工程安全生产条件。</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b w:val="0"/>
          <w:bCs w:val="0"/>
          <w:sz w:val="21"/>
          <w:szCs w:val="21"/>
        </w:rPr>
      </w:pPr>
      <w:r>
        <w:rPr>
          <w:rFonts w:hint="eastAsia" w:ascii="宋体" w:hAnsi="宋体" w:eastAsia="宋体" w:cs="宋体"/>
          <w:b w:val="0"/>
          <w:bCs w:val="0"/>
          <w:kern w:val="0"/>
          <w:sz w:val="21"/>
          <w:szCs w:val="21"/>
        </w:rPr>
        <w:t>乙方应为作业人员办理工伤保险、</w:t>
      </w:r>
      <w:r>
        <w:rPr>
          <w:rFonts w:hint="eastAsia" w:ascii="宋体" w:hAnsi="宋体" w:eastAsia="宋体" w:cs="宋体"/>
          <w:kern w:val="0"/>
          <w:sz w:val="21"/>
          <w:szCs w:val="21"/>
        </w:rPr>
        <w:t>人员</w:t>
      </w:r>
      <w:r>
        <w:rPr>
          <w:rFonts w:hint="eastAsia" w:ascii="宋体" w:hAnsi="宋体" w:eastAsia="宋体" w:cs="宋体"/>
          <w:b w:val="0"/>
          <w:bCs w:val="0"/>
          <w:kern w:val="0"/>
          <w:sz w:val="21"/>
          <w:szCs w:val="21"/>
        </w:rPr>
        <w:t>意外伤害保险，缴纳保险费用，由于其员工未能投保而带来的一切损失由责任方全权负责。</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15" w:name="_Toc256000171"/>
      <w:r>
        <w:rPr>
          <w:rFonts w:hint="default" w:ascii="黑体" w:hAnsi="宋体" w:eastAsia="黑体" w:cs="黑体"/>
          <w:kern w:val="0"/>
          <w:sz w:val="21"/>
          <w:szCs w:val="21"/>
          <w:lang w:val="en-US" w:eastAsia="zh-CN" w:bidi="ar"/>
        </w:rPr>
        <w:t>全员安全生产责任制建立及落实</w:t>
      </w:r>
      <w:bookmarkEnd w:id="115"/>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乙方应建立健全全员安全生产责任制，定期开展全员安全生产责任制培训，并进行公示，贯彻落实责任制的考核，确保不同层级、不同岗位人员清楚本岗位安全生产责任内容。</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16" w:name="_Toc256000172"/>
      <w:r>
        <w:rPr>
          <w:rFonts w:hint="default" w:ascii="黑体" w:hAnsi="宋体" w:eastAsia="黑体" w:cs="黑体"/>
          <w:kern w:val="0"/>
          <w:sz w:val="21"/>
          <w:szCs w:val="21"/>
          <w:lang w:val="en-US" w:eastAsia="zh-CN" w:bidi="ar"/>
        </w:rPr>
        <w:t>安全生产教育和培训</w:t>
      </w:r>
      <w:bookmarkEnd w:id="116"/>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b w:val="0"/>
          <w:bCs w:val="0"/>
          <w:sz w:val="21"/>
          <w:szCs w:val="21"/>
        </w:rPr>
      </w:pPr>
      <w:r>
        <w:rPr>
          <w:rFonts w:hint="eastAsia" w:ascii="宋体" w:hAnsi="宋体" w:eastAsia="宋体" w:cs="宋体"/>
          <w:b w:val="0"/>
          <w:bCs w:val="0"/>
          <w:kern w:val="0"/>
          <w:sz w:val="21"/>
          <w:szCs w:val="21"/>
        </w:rPr>
        <w:t>乙方应参加甲方组织的</w:t>
      </w:r>
      <w:r>
        <w:rPr>
          <w:rFonts w:hint="default" w:ascii="Times New Roman" w:hAnsi="Times New Roman" w:eastAsia="宋体" w:cs="Times New Roman"/>
          <w:b w:val="0"/>
          <w:bCs w:val="0"/>
          <w:kern w:val="0"/>
          <w:sz w:val="21"/>
          <w:szCs w:val="21"/>
        </w:rPr>
        <w:t>24</w:t>
      </w:r>
      <w:r>
        <w:rPr>
          <w:rFonts w:hint="eastAsia" w:ascii="宋体" w:hAnsi="宋体" w:eastAsia="宋体" w:cs="宋体"/>
          <w:b w:val="0"/>
          <w:bCs w:val="0"/>
          <w:kern w:val="0"/>
          <w:sz w:val="21"/>
          <w:szCs w:val="21"/>
        </w:rPr>
        <w:t>学时入场安全教育，取得入场安全教育合格证（证书有效期三年，每年再教育一次），经甲方核查合格后，方可进场作业。</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b w:val="0"/>
          <w:bCs w:val="0"/>
          <w:sz w:val="21"/>
          <w:szCs w:val="21"/>
        </w:rPr>
      </w:pPr>
      <w:r>
        <w:rPr>
          <w:rFonts w:hint="eastAsia" w:ascii="宋体" w:hAnsi="宋体" w:eastAsia="宋体" w:cs="宋体"/>
          <w:b w:val="0"/>
          <w:bCs w:val="0"/>
          <w:kern w:val="0"/>
          <w:sz w:val="21"/>
          <w:szCs w:val="21"/>
        </w:rPr>
        <w:t>乙方应按要求每年参加一次由甲方组织的承包商主要负责人安全履职能力培训和考核。</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乙方应制订年度</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培训计划并实施，为员工提供必要的培训，确保员工具有满足项目要求的技能及资质。</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乙方应针对不同岗位的安全基本知识及技能需求制定员工的通用和专业培训内容。</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乙方应落实甲方的培训要求，如甲方</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管理制度、事故警示、安全事故案例、国家指令性的学习要求，并将培训情况反馈给甲方。</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乙方项目领队（负责人）应在作业期间组织安全培训，开展制度、作业程序、现场突出问题和案例学习并做好记录。</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乙方特种作业人员、特种设备操作人员等应取得相应的人员资格证书，其他相关岗位人员应按照要求持证上岗。</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乙方所有培训结束时应保存培训记录，记录中至少包括：培训时间、培训内容、培训签字等，以便甲方及相关人员审核查阅。</w:t>
      </w:r>
    </w:p>
    <w:p>
      <w:pPr>
        <w:keepNext w:val="0"/>
        <w:keepLines w:val="0"/>
        <w:widowControl/>
        <w:numPr>
          <w:ilvl w:val="1"/>
          <w:numId w:val="40"/>
        </w:numPr>
        <w:suppressLineNumbers w:val="0"/>
        <w:autoSpaceDE w:val="0"/>
        <w:autoSpaceDN/>
        <w:spacing w:before="0" w:beforeAutospacing="0" w:after="0" w:afterAutospacing="0" w:line="360" w:lineRule="auto"/>
        <w:ind w:left="0" w:right="0" w:firstLine="0"/>
        <w:jc w:val="both"/>
        <w:outlineLvl w:val="0"/>
        <w:rPr>
          <w:rFonts w:hint="default" w:eastAsia="黑体"/>
          <w:kern w:val="0"/>
          <w:sz w:val="21"/>
          <w:szCs w:val="21"/>
        </w:rPr>
      </w:pPr>
      <w:bookmarkStart w:id="117" w:name="_Toc256000173"/>
      <w:r>
        <w:rPr>
          <w:rFonts w:hint="default" w:ascii="黑体" w:hAnsi="宋体" w:eastAsia="黑体" w:cs="黑体"/>
          <w:kern w:val="0"/>
          <w:sz w:val="21"/>
          <w:szCs w:val="21"/>
          <w:lang w:val="en-US" w:eastAsia="zh-CN" w:bidi="ar"/>
        </w:rPr>
        <w:t>风险与隐患管理</w:t>
      </w:r>
      <w:bookmarkEnd w:id="117"/>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18" w:name="_Toc256000174"/>
      <w:r>
        <w:rPr>
          <w:rFonts w:hint="default" w:ascii="黑体" w:hAnsi="宋体" w:eastAsia="黑体" w:cs="黑体"/>
          <w:kern w:val="0"/>
          <w:sz w:val="21"/>
          <w:szCs w:val="21"/>
          <w:lang w:val="en-US" w:eastAsia="zh-CN" w:bidi="ar"/>
        </w:rPr>
        <w:t>安全生产风险分级管控</w:t>
      </w:r>
      <w:bookmarkEnd w:id="118"/>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甲方应对项目进行风险辨识和风险评价，并将辨识和评价的结果告知乙方，对于辨识出的风险，应明确制定和实施防范措施的责任方。</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乙方应在甲方风险辨识和风险评价的基础上，结合项目实际情况，落实分级管控措施，并接受甲方监督。</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甲方应在资产界内醒目位置和重点区域，以安全风险告知栏、岗位安全风险告知卡等形式实施风险公告警示，存在重大安全风险的工作场所和岗位，设置明显警示标识。</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19" w:name="_Toc256000175"/>
      <w:r>
        <w:rPr>
          <w:rFonts w:hint="default" w:ascii="黑体" w:hAnsi="宋体" w:eastAsia="黑体" w:cs="黑体"/>
          <w:kern w:val="0"/>
          <w:sz w:val="21"/>
          <w:szCs w:val="21"/>
          <w:lang w:val="en-US" w:eastAsia="zh-CN" w:bidi="ar"/>
        </w:rPr>
        <w:t>隐患排查与治理</w:t>
      </w:r>
      <w:bookmarkEnd w:id="119"/>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乙方应加强对现场作业的安全指导、支持、监督检查，对于重大高风险项目或周期超过</w:t>
      </w:r>
      <w:r>
        <w:rPr>
          <w:rFonts w:hint="default" w:ascii="Times New Roman" w:hAnsi="Times New Roman" w:eastAsia="宋体" w:cs="Times New Roman"/>
          <w:kern w:val="0"/>
          <w:sz w:val="21"/>
          <w:szCs w:val="21"/>
        </w:rPr>
        <w:t>6</w:t>
      </w:r>
      <w:r>
        <w:rPr>
          <w:rFonts w:hint="eastAsia" w:ascii="宋体" w:hAnsi="宋体" w:eastAsia="宋体" w:cs="宋体"/>
          <w:kern w:val="0"/>
          <w:sz w:val="21"/>
          <w:szCs w:val="21"/>
        </w:rPr>
        <w:t>个月的项目，乙方主要负责人或受委托人员在作业期间要对现场进行安全检查，其他检查按照计划进行，及时发现隐患并进行消除。</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乙方应编制作业项目的安全检查表，明确检查内容，甲方利用安全检查表对乙方作业进行监督检查，乙方要及时按照制度或合同约定对检查发现的问题进行整改。</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right="0"/>
        <w:rPr>
          <w:rFonts w:hint="default" w:ascii="Times New Roman" w:hAnsi="Times New Roman" w:eastAsia="宋体" w:cs="Times New Roman"/>
          <w:sz w:val="21"/>
          <w:szCs w:val="21"/>
        </w:rPr>
      </w:pPr>
      <w:r>
        <w:rPr>
          <w:rFonts w:hint="eastAsia" w:ascii="宋体" w:hAnsi="宋体" w:eastAsia="宋体" w:cs="宋体"/>
          <w:kern w:val="0"/>
          <w:sz w:val="21"/>
          <w:szCs w:val="21"/>
        </w:rPr>
        <w:t>在项目实施的各阶段，甲方有权检查乙方的人员、设备和场地。对检查所发现的问题，乙方应组织整改。发现乙方严重违反条款规定或存在严重</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隐患时，甲方有权要求乙方停工整改。逾期整改不合格的，可解除合同。</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乙方对自检自查、甲方和外部检查、检验检测等发现的隐患建立统一台账，形成清单，定期对隐患排查治理情况进行统计分析，并向甲方报告。</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乙方在发现重大事故隐患后单方面不能立即治理的，应当采取必要的防范措施，并及时书面报告甲方协商解决，及时消除事故隐患。</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right="0"/>
        <w:rPr>
          <w:rFonts w:hint="default" w:ascii="Times New Roman" w:hAnsi="Times New Roman" w:eastAsia="宋体" w:cs="Times New Roman"/>
          <w:sz w:val="21"/>
          <w:szCs w:val="21"/>
        </w:rPr>
      </w:pPr>
      <w:r>
        <w:rPr>
          <w:rFonts w:hint="eastAsia" w:ascii="宋体" w:hAnsi="宋体" w:eastAsia="宋体" w:cs="宋体"/>
          <w:kern w:val="0"/>
          <w:sz w:val="21"/>
          <w:szCs w:val="21"/>
        </w:rPr>
        <w:t>甲方根据对乙方安全检查发现问题的频次、性质和程度，将按照甲方相关规章制度对乙方所应承担的违约责任进行处罚，并按要求通报采办共享中心。</w:t>
      </w:r>
    </w:p>
    <w:p>
      <w:pPr>
        <w:keepNext w:val="0"/>
        <w:keepLines w:val="0"/>
        <w:widowControl/>
        <w:numPr>
          <w:ilvl w:val="1"/>
          <w:numId w:val="40"/>
        </w:numPr>
        <w:suppressLineNumbers w:val="0"/>
        <w:autoSpaceDE w:val="0"/>
        <w:autoSpaceDN/>
        <w:spacing w:before="0" w:beforeAutospacing="0" w:after="0" w:afterAutospacing="0" w:line="360" w:lineRule="auto"/>
        <w:ind w:left="0" w:right="0" w:firstLine="0"/>
        <w:jc w:val="both"/>
        <w:outlineLvl w:val="0"/>
        <w:rPr>
          <w:rFonts w:hint="default" w:eastAsia="黑体"/>
          <w:kern w:val="0"/>
          <w:sz w:val="21"/>
          <w:szCs w:val="21"/>
        </w:rPr>
      </w:pPr>
      <w:bookmarkStart w:id="120" w:name="_Toc256000176"/>
      <w:r>
        <w:rPr>
          <w:rFonts w:hint="default" w:ascii="黑体" w:hAnsi="宋体" w:eastAsia="黑体" w:cs="黑体"/>
          <w:kern w:val="0"/>
          <w:sz w:val="21"/>
          <w:szCs w:val="21"/>
          <w:lang w:val="en-US" w:eastAsia="zh-CN" w:bidi="ar"/>
        </w:rPr>
        <w:t>实施和运行</w:t>
      </w:r>
      <w:bookmarkEnd w:id="120"/>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21" w:name="_Toc256000177"/>
      <w:r>
        <w:rPr>
          <w:rFonts w:hint="default" w:ascii="黑体" w:hAnsi="宋体" w:eastAsia="黑体" w:cs="黑体"/>
          <w:kern w:val="0"/>
          <w:sz w:val="21"/>
          <w:szCs w:val="21"/>
          <w:lang w:val="en-US" w:eastAsia="zh-CN" w:bidi="ar"/>
        </w:rPr>
        <w:t>设备设施管理</w:t>
      </w:r>
      <w:bookmarkEnd w:id="121"/>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提供满足法律法规和标准要求并满足合同需要的材料、工器具、机械设备、防护用品和检测仪器。严禁使用国家明令淘汰的设备。乙方使用的设备应具有出厂合格证明、检验证明（主管部门出具）、保险证明及自检证明等有效的证书和检验报告。</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乙方提供的机械设备应按照法律法规和标准要求配备齐全有效的保险、限位等安全设施和装置。</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甲方有权对乙方提供的机械设备进行进场验收，对于租赁设备应组织租赁单位和使用单位一同进行验收。</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建立和完善设备管理台账及设备检查标准，明确不同设备设施的检查频次、检查项目及责任人，做好工器具、机械设备和检测仪器维护保养管理，保障工器具、机械设备和检测仪器处于安全可靠、完好可用状态的要求。对于租用的工器具、机械设备和检测仪器，应明确提供方和使用方的安全责任。</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22" w:name="_Toc256000178"/>
      <w:r>
        <w:rPr>
          <w:rFonts w:hint="default" w:ascii="黑体" w:hAnsi="宋体" w:eastAsia="黑体" w:cs="黑体"/>
          <w:kern w:val="0"/>
          <w:sz w:val="21"/>
          <w:szCs w:val="21"/>
          <w:lang w:val="en-US" w:eastAsia="zh-CN" w:bidi="ar"/>
        </w:rPr>
        <w:t>作业安全管理</w:t>
      </w:r>
      <w:bookmarkEnd w:id="122"/>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针对合同涉及到的高风险作业应编制专项施工方案和安全技术措施，甲方应按程序对专项施工方案和安全技术措施进行审查和批准。必要时，涉及风险性高的作业的专项施工方案乙方应进行专家论证。专项施工方案应结合作业特点，识别作业过程中的安全风险，并制定相应的风险控制措施。</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乙方应加强关键工序、重要环节的现场监督，针对需要进行作业许可管理的作业，应明确配置现场作业监护人员的要求。</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乙方要严格遵守作业规范、操作规程和制度要求，对不符合要求的指令要及时与甲方进行协商和沟通，必要时与甲方和乙方上级主管部门或负责人员进行反映。</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针对高风险作业，如：进入受限空间、高温高压、吊装起重、拖航、绞车作业、危险品运输、易燃易爆</w:t>
      </w:r>
      <w:r>
        <w:rPr>
          <w:rFonts w:hint="default" w:ascii="Times New Roman" w:hAnsi="Times New Roman" w:eastAsia="宋体" w:cs="Times New Roman"/>
          <w:kern w:val="0"/>
          <w:sz w:val="21"/>
          <w:szCs w:val="21"/>
        </w:rPr>
        <w:t>/</w:t>
      </w:r>
      <w:r>
        <w:rPr>
          <w:rFonts w:hint="eastAsia" w:ascii="宋体" w:hAnsi="宋体" w:eastAsia="宋体" w:cs="宋体"/>
          <w:kern w:val="0"/>
          <w:sz w:val="21"/>
          <w:szCs w:val="21"/>
        </w:rPr>
        <w:t>有毒有害作业、联合作业和交叉作业等，实施前乙方应组织对作业现场进行检查，落实各项安全保障措施。甲乙双方应严格执行技术交底、指挥组织和工作许可等规定，应明确作业许可制度的管理程序、作业许可证样式以及审批权限和职责。</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23" w:name="_Toc256000179"/>
      <w:r>
        <w:rPr>
          <w:rFonts w:hint="default" w:ascii="黑体" w:hAnsi="宋体" w:eastAsia="黑体" w:cs="黑体"/>
          <w:kern w:val="0"/>
          <w:sz w:val="21"/>
          <w:szCs w:val="21"/>
          <w:lang w:val="en-US" w:eastAsia="zh-CN" w:bidi="ar"/>
        </w:rPr>
        <w:t>交通安全管理</w:t>
      </w:r>
      <w:bookmarkEnd w:id="123"/>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乙方应定期检查提供的车辆的技术及安全状况，装运易燃、易爆、剧毒、放射性等化学危险物品或爆破器材车辆应符合国家和公安交通部门的有关规定。</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使用的中国籍船舶，以及国家海事管理机构确定的关系海上交通安全的重要船用设备、部件和材料，应当符合有关法律、行政法规、规章以及强制性标准和技术规范的要求，经船舶检验机构检验合格，取得相应证书、文书。证书、文书的清单以国家海事管理机构制定并公布的为准。</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乙方应当按照规定的用途使用船舶、海上设施、船运集装箱以及重要船用设备、部件和材料，并应当依法定期进行安全技术检验。</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对于影响海上交通安全的海洋工程，乙方应当根据情况配备防止船舶碰撞的设施、设备并设置专用航标。</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24" w:name="_Toc256000180"/>
      <w:r>
        <w:rPr>
          <w:rFonts w:hint="default" w:ascii="黑体" w:hAnsi="宋体" w:eastAsia="黑体" w:cs="黑体"/>
          <w:kern w:val="0"/>
          <w:sz w:val="21"/>
          <w:szCs w:val="21"/>
          <w:lang w:val="en-US" w:eastAsia="zh-CN" w:bidi="ar"/>
        </w:rPr>
        <w:t>危险化学品管理</w:t>
      </w:r>
      <w:bookmarkEnd w:id="124"/>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乙方在危险化学品采购、销售、储存、运输及使用相关承包活动中，应在合同中明确危险化学品的基本安全管理要求及双方的义务与责任。</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的危险化学品应储存在专用仓库、专用场地或者专用储存室内，并设置专人管理、定期检查，储存方式、方法与储存数量应符合国家标准。乙方在甲方管理的场地使用易燃易爆、有毒有害危险品时，应遵守甲方的管理要求。</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乙方应将其作业使用的危险化学品的安全技术说明书（</w:t>
      </w:r>
      <w:r>
        <w:rPr>
          <w:rFonts w:hint="default" w:ascii="Times New Roman" w:hAnsi="Times New Roman" w:eastAsia="宋体" w:cs="Times New Roman"/>
          <w:kern w:val="0"/>
          <w:sz w:val="21"/>
          <w:szCs w:val="21"/>
        </w:rPr>
        <w:t>MSDS</w:t>
      </w:r>
      <w:r>
        <w:rPr>
          <w:rFonts w:hint="eastAsia" w:ascii="宋体" w:hAnsi="宋体" w:eastAsia="宋体" w:cs="宋体"/>
          <w:kern w:val="0"/>
          <w:sz w:val="21"/>
          <w:szCs w:val="21"/>
        </w:rPr>
        <w:t>）和安全标签设置在使用现场易于获取的位置。</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color w:val="4F81BD"/>
          <w:sz w:val="21"/>
          <w:szCs w:val="21"/>
        </w:rPr>
      </w:pPr>
      <w:r>
        <w:rPr>
          <w:rFonts w:hint="eastAsia" w:ascii="宋体" w:hAnsi="宋体" w:eastAsia="宋体" w:cs="宋体"/>
          <w:kern w:val="0"/>
          <w:sz w:val="21"/>
          <w:szCs w:val="21"/>
        </w:rPr>
        <w:t>乙方应对于过期或废弃危险化学品以及有毒有害废弃物进行合规处置，安排专人负责收集、包装，送交具有资质的单位按国家相关法规处置，并向环境保护行政主管部门申报危险废物的种类、产生量、流向、贮存、处置等有关资料，确保所有废弃危险化学品得到良好的处置。</w:t>
      </w:r>
    </w:p>
    <w:p>
      <w:pPr>
        <w:keepNext w:val="0"/>
        <w:keepLines w:val="0"/>
        <w:widowControl/>
        <w:numPr>
          <w:ilvl w:val="1"/>
          <w:numId w:val="40"/>
        </w:numPr>
        <w:suppressLineNumbers w:val="0"/>
        <w:autoSpaceDE w:val="0"/>
        <w:autoSpaceDN/>
        <w:spacing w:before="0" w:beforeAutospacing="0" w:after="0" w:afterAutospacing="0" w:line="360" w:lineRule="auto"/>
        <w:ind w:left="0" w:right="0" w:firstLine="0"/>
        <w:jc w:val="both"/>
        <w:outlineLvl w:val="0"/>
        <w:rPr>
          <w:rFonts w:hint="default" w:eastAsia="黑体"/>
          <w:kern w:val="0"/>
          <w:sz w:val="21"/>
          <w:szCs w:val="21"/>
        </w:rPr>
      </w:pPr>
      <w:bookmarkStart w:id="125" w:name="_Toc256000181"/>
      <w:r>
        <w:rPr>
          <w:rFonts w:hint="default" w:ascii="黑体" w:hAnsi="宋体" w:eastAsia="黑体" w:cs="黑体"/>
          <w:kern w:val="0"/>
          <w:sz w:val="21"/>
          <w:szCs w:val="21"/>
          <w:lang w:val="en-US" w:eastAsia="zh-CN" w:bidi="ar"/>
        </w:rPr>
        <w:t>信息沟通</w:t>
      </w:r>
      <w:bookmarkEnd w:id="125"/>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甲方应识别乙方的关键接口，建立与乙方的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桥接文件，明确双方应当遵守和执行的管理内容和要求，做到界面清晰、要求明确、内容具体、操作可行。桥接文件由双方项目负责人签字后，下发至双方现场管理人员。</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项目施工作业前，甲方应组织所有参与各方人员对桥接文件及适用于本项目的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制度规程进行宣贯培训。必要时通过考核确认参与各方人员了解桥接文件的内容和要求，确保桥接文件的有效落实。</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双方应建立有效的信息沟通渠道，有责任对项目进行风险评价并把风险及作业场所存在的危险互相告知。</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乙方应按照沟通与信息管理制度和沟通管理计划，明确沟通的内容和方式，并根据项目实施过程中的变化进行调整。</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乙方应根据</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工作的需要建立</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会议制度，包括但不限于周、月度例会、专题会议、澄清会、安全生产委员会会议等，做好相关记录，并向甲方通报会议情况。</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乙方应根据甲方要求参加甲方组织召集的</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会议，并将甲方各类工作会议的内容和要求及时传达、落实。</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双方应建立高层领导协调会机制，定期举行或按甲方的要求举行。高层协调会主要解决在项目执行过程中遇到的重要</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管理问题。</w:t>
      </w:r>
    </w:p>
    <w:p>
      <w:pPr>
        <w:keepNext w:val="0"/>
        <w:keepLines w:val="0"/>
        <w:widowControl/>
        <w:numPr>
          <w:ilvl w:val="1"/>
          <w:numId w:val="40"/>
        </w:numPr>
        <w:suppressLineNumbers w:val="0"/>
        <w:autoSpaceDE w:val="0"/>
        <w:autoSpaceDN/>
        <w:spacing w:before="0" w:beforeAutospacing="0" w:after="0" w:afterAutospacing="0" w:line="360" w:lineRule="auto"/>
        <w:ind w:left="0" w:right="0" w:firstLine="0"/>
        <w:jc w:val="both"/>
        <w:outlineLvl w:val="0"/>
        <w:rPr>
          <w:rFonts w:hint="default" w:eastAsia="黑体"/>
          <w:kern w:val="0"/>
          <w:sz w:val="21"/>
          <w:szCs w:val="21"/>
        </w:rPr>
      </w:pPr>
      <w:bookmarkStart w:id="126" w:name="_Toc256000182"/>
      <w:r>
        <w:rPr>
          <w:rFonts w:hint="default" w:ascii="黑体" w:hAnsi="宋体" w:eastAsia="黑体" w:cs="黑体"/>
          <w:kern w:val="0"/>
          <w:sz w:val="21"/>
          <w:szCs w:val="21"/>
          <w:lang w:val="en-US" w:eastAsia="zh-CN" w:bidi="ar"/>
        </w:rPr>
        <w:t>应急管理</w:t>
      </w:r>
      <w:bookmarkEnd w:id="126"/>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27" w:name="_Toc256000183"/>
      <w:r>
        <w:rPr>
          <w:rFonts w:hint="default" w:ascii="黑体" w:hAnsi="宋体" w:eastAsia="黑体" w:cs="黑体"/>
          <w:kern w:val="0"/>
          <w:sz w:val="21"/>
          <w:szCs w:val="21"/>
          <w:lang w:val="en-US" w:eastAsia="zh-CN" w:bidi="ar"/>
        </w:rPr>
        <w:t>应急预案管理</w:t>
      </w:r>
      <w:bookmarkEnd w:id="127"/>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乙方应在编制应急预案前，对项目现场进行事故风险辨识、评估和应急资源调查，依据危害辨识、风险评价的结果、法律法规等要求并结合以往事故、事件和紧急状况的案例经验，编制应急预案。</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乙方编制的应急预案应与甲方的应急预案进行有效衔接，并配置足够的应急设施、设备。</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乙方制定项目的应急预案，应明确应急管理职责、应急响应程序、应急资源、各方配合机制及应急演习计划等内容。乙方制定的应急预案应经过甲方审查和批准。</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乙方在进场后应在规定时间内将应急预案和应急物资计划（包括应急物资清单）提交甲方，并按计划进行采办、配备、补充、更新。</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28" w:name="_Toc256000184"/>
      <w:r>
        <w:rPr>
          <w:rFonts w:hint="default" w:ascii="黑体" w:hAnsi="宋体" w:eastAsia="黑体" w:cs="黑体"/>
          <w:kern w:val="0"/>
          <w:sz w:val="21"/>
          <w:szCs w:val="21"/>
          <w:lang w:val="en-US" w:eastAsia="zh-CN" w:bidi="ar"/>
        </w:rPr>
        <w:t>应急演练</w:t>
      </w:r>
      <w:bookmarkEnd w:id="128"/>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乙方应就应急预案的内容对其所有人员开展培训，制定演练计划，报送甲方审核并定期组织演练。</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乙方应在开工前以及随后的作业过程中定期组织应急演练，验证应急预案和程序的可行性，提高协调配合能力，锻炼员工应急能力。乙方应定期检查应急设备，始终保持完好状态。</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乙方有义务参加甲方定期组织的应急演练。乙方组织的所有应急演习的组织和实施必须符合甲方应急预案中有关应急演习的要求。</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应急演练结束后应急演练组织方应及时对演练情况进行总结，发现存在的问题，提出、落实建议措施，登记建档，做到持续改进。</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在其管理现场范围内具有紧急事件的应急处置权。现场发生突发事件时，乙方应迅速采取应急措施并立即报告甲方，双方按应急计划中明确的职责开展事故抢险，在乙方管理现场范围内的甲方应纳入乙方统一组织进行撤离与救援。</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乙方应对隐瞒、拖延报告事故或应急事件负责，甲方有权对乙方相关责任人进行处理。</w:t>
      </w:r>
    </w:p>
    <w:p>
      <w:pPr>
        <w:keepNext w:val="0"/>
        <w:keepLines w:val="0"/>
        <w:widowControl/>
        <w:numPr>
          <w:ilvl w:val="1"/>
          <w:numId w:val="40"/>
        </w:numPr>
        <w:suppressLineNumbers w:val="0"/>
        <w:autoSpaceDE w:val="0"/>
        <w:autoSpaceDN/>
        <w:spacing w:before="0" w:beforeAutospacing="0" w:after="0" w:afterAutospacing="0" w:line="360" w:lineRule="auto"/>
        <w:ind w:left="0" w:right="0" w:firstLine="0"/>
        <w:jc w:val="both"/>
        <w:outlineLvl w:val="0"/>
        <w:rPr>
          <w:rFonts w:hint="default" w:eastAsia="黑体"/>
          <w:kern w:val="0"/>
          <w:sz w:val="21"/>
          <w:szCs w:val="21"/>
        </w:rPr>
      </w:pPr>
      <w:bookmarkStart w:id="129" w:name="_Toc256000185"/>
      <w:r>
        <w:rPr>
          <w:rFonts w:hint="default" w:ascii="黑体" w:hAnsi="宋体" w:eastAsia="黑体" w:cs="黑体"/>
          <w:kern w:val="0"/>
          <w:sz w:val="21"/>
          <w:szCs w:val="21"/>
          <w:lang w:val="en-US" w:eastAsia="zh-CN" w:bidi="ar"/>
        </w:rPr>
        <w:t>事故事件管理</w:t>
      </w:r>
      <w:bookmarkEnd w:id="129"/>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30" w:name="_Toc256000186"/>
      <w:r>
        <w:rPr>
          <w:rFonts w:hint="default" w:ascii="黑体" w:hAnsi="宋体" w:eastAsia="黑体" w:cs="黑体"/>
          <w:kern w:val="0"/>
          <w:sz w:val="21"/>
          <w:szCs w:val="21"/>
          <w:lang w:val="en-US" w:eastAsia="zh-CN" w:bidi="ar"/>
        </w:rPr>
        <w:t>事故报告</w:t>
      </w:r>
      <w:bookmarkEnd w:id="130"/>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乙方应建立事故事件管理制度，明确事故事件的报告、调查、分析、改进和处理等要求，及时向甲方报送事故统计数据和分析结果。</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对发生的任何事故，乙方在施救的同时，应采取控制措施，避免事故范围扩大，并保护好现场。同时，按照甲方要求立即向甲方口头汇报，并及时书面报告，严禁瞒报、谎报、迟报、漏报事故。甲乙双方有责任按照应急预案规定的职责、分工和指挥权限，迅速、协同开展事故抢险、救援。</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在出现新的情况时，应在出现新情况后规定时间内按照报告程序进行补报，使甲方及时掌握事故动态。</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31" w:name="_Toc256000187"/>
      <w:r>
        <w:rPr>
          <w:rFonts w:hint="default" w:ascii="黑体" w:hAnsi="宋体" w:eastAsia="黑体" w:cs="黑体"/>
          <w:kern w:val="0"/>
          <w:sz w:val="21"/>
          <w:szCs w:val="21"/>
          <w:lang w:val="en-US" w:eastAsia="zh-CN" w:bidi="ar"/>
        </w:rPr>
        <w:t>事故调查与处理</w:t>
      </w:r>
      <w:bookmarkEnd w:id="131"/>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事故发生后，乙方应积极配合甲方、地方政府或上级机关的调查工作，调查期间关键岗位人员不应离开事故发生所在地，便于及时问询谈话。</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由于乙方原因造成人身伤害、设备损坏的，乙方应当承担赔偿责任。</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由于乙方的主要过失影响甲方质量健康安全环保业绩的，应按照《中国海油乙方安全环保责任事故累积记分暂行办法》处理。对乙方违反规定，甲方将按照《中国海洋石油集团公司供应商管理实施细则》进行违规处理。</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乙方在作业期间发生事故事件等</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违约行为，甲方将按照甲方相关规章制度，结合</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违约行为的频次、性质和等级，对其进行处罚，并按要求通报采办共享中心。</w:t>
      </w:r>
    </w:p>
    <w:p>
      <w:pPr>
        <w:keepNext w:val="0"/>
        <w:keepLines w:val="0"/>
        <w:widowControl/>
        <w:numPr>
          <w:ilvl w:val="1"/>
          <w:numId w:val="40"/>
        </w:numPr>
        <w:suppressLineNumbers w:val="0"/>
        <w:autoSpaceDE w:val="0"/>
        <w:autoSpaceDN/>
        <w:spacing w:before="0" w:beforeAutospacing="0" w:after="0" w:afterAutospacing="0" w:line="360" w:lineRule="auto"/>
        <w:ind w:left="566" w:right="0" w:hanging="424" w:hangingChars="202"/>
        <w:jc w:val="both"/>
        <w:outlineLvl w:val="0"/>
        <w:rPr>
          <w:rFonts w:hint="default" w:eastAsia="黑体"/>
          <w:kern w:val="0"/>
          <w:sz w:val="21"/>
          <w:szCs w:val="21"/>
        </w:rPr>
      </w:pPr>
      <w:bookmarkStart w:id="132" w:name="_Toc256000188"/>
      <w:r>
        <w:rPr>
          <w:rFonts w:hint="default" w:ascii="黑体" w:hAnsi="宋体" w:eastAsia="黑体" w:cs="黑体"/>
          <w:kern w:val="0"/>
          <w:sz w:val="21"/>
          <w:szCs w:val="21"/>
          <w:lang w:val="en-US" w:eastAsia="zh-CN" w:bidi="ar"/>
        </w:rPr>
        <w:t>环境保护管理</w:t>
      </w:r>
      <w:bookmarkEnd w:id="132"/>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33" w:name="_Toc256000189"/>
      <w:r>
        <w:rPr>
          <w:rFonts w:hint="default" w:ascii="黑体" w:hAnsi="宋体" w:eastAsia="黑体" w:cs="黑体"/>
          <w:kern w:val="0"/>
          <w:sz w:val="21"/>
          <w:szCs w:val="21"/>
          <w:lang w:val="en-US" w:eastAsia="zh-CN" w:bidi="ar"/>
        </w:rPr>
        <w:t>环境因素</w:t>
      </w:r>
      <w:bookmarkEnd w:id="133"/>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乙方应建立本项目环境因素辨识与评估管理制度，明确工作职责、方法、范围、流程、控制原则。</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乙方应不断识别生产经营活动中存在的环境因素，并结合法律法规及其它相关方的要求，形成环境因素清单，评价并确定重要环境因素。</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34" w:name="_Toc256000190"/>
      <w:r>
        <w:rPr>
          <w:rFonts w:hint="default" w:ascii="黑体" w:hAnsi="宋体" w:eastAsia="黑体" w:cs="黑体"/>
          <w:kern w:val="0"/>
          <w:sz w:val="21"/>
          <w:szCs w:val="21"/>
          <w:lang w:val="en-US" w:eastAsia="zh-CN" w:bidi="ar"/>
        </w:rPr>
        <w:t>环境管理</w:t>
      </w:r>
      <w:bookmarkEnd w:id="134"/>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乙方应加强作业过程污染物、废弃物、施工噪声、有毒物品和化学药剂的储存与使用、三废（废水、废气、废渣）、施工粉尘、节能减排等管理和控制，并严格落实，确保满足国家、地方政府、法律法规标准以及</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管理制度对环保的要求，做好环境保护工作。</w:t>
      </w:r>
    </w:p>
    <w:p>
      <w:pPr>
        <w:keepNext w:val="0"/>
        <w:keepLines w:val="0"/>
        <w:widowControl/>
        <w:numPr>
          <w:ilvl w:val="1"/>
          <w:numId w:val="40"/>
        </w:numPr>
        <w:suppressLineNumbers w:val="0"/>
        <w:autoSpaceDE w:val="0"/>
        <w:autoSpaceDN/>
        <w:spacing w:before="0" w:beforeAutospacing="0" w:after="0" w:afterAutospacing="0" w:line="360" w:lineRule="auto"/>
        <w:ind w:left="566" w:right="0" w:hanging="424" w:hangingChars="202"/>
        <w:jc w:val="both"/>
        <w:outlineLvl w:val="0"/>
        <w:rPr>
          <w:rFonts w:hint="default" w:eastAsia="黑体"/>
          <w:kern w:val="0"/>
          <w:sz w:val="21"/>
          <w:szCs w:val="21"/>
        </w:rPr>
      </w:pPr>
      <w:bookmarkStart w:id="135" w:name="_Toc256000191"/>
      <w:r>
        <w:rPr>
          <w:rFonts w:hint="default" w:ascii="黑体" w:hAnsi="宋体" w:eastAsia="黑体" w:cs="黑体"/>
          <w:kern w:val="0"/>
          <w:sz w:val="21"/>
          <w:szCs w:val="21"/>
          <w:lang w:val="en-US" w:eastAsia="zh-CN" w:bidi="ar"/>
        </w:rPr>
        <w:t>职业健康管理</w:t>
      </w:r>
      <w:bookmarkEnd w:id="135"/>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36" w:name="_Toc256000192"/>
      <w:r>
        <w:rPr>
          <w:rFonts w:hint="default" w:ascii="黑体" w:hAnsi="宋体" w:eastAsia="黑体" w:cs="黑体"/>
          <w:kern w:val="0"/>
          <w:sz w:val="21"/>
          <w:szCs w:val="21"/>
          <w:lang w:val="en-US" w:eastAsia="zh-CN" w:bidi="ar"/>
        </w:rPr>
        <w:t>职业危害防护</w:t>
      </w:r>
      <w:bookmarkEnd w:id="136"/>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乙方应按照项目</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计划的要求，实施职业健康防护措施，甲方应提供相应的支持。</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乙方应制定施工现场健康管理的相关制度，包括劳动保护、食堂管理、防暑降温、防寒保暖、医疗急救、现场休息及饮水点等，并采取必要的防范措施保证所有施工人员的健康。</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b/>
          <w:bCs/>
          <w:sz w:val="21"/>
          <w:szCs w:val="21"/>
        </w:rPr>
      </w:pPr>
      <w:r>
        <w:rPr>
          <w:rFonts w:hint="eastAsia" w:ascii="宋体" w:hAnsi="宋体" w:eastAsia="宋体" w:cs="宋体"/>
          <w:kern w:val="0"/>
          <w:sz w:val="21"/>
          <w:szCs w:val="21"/>
        </w:rPr>
        <w:t>乙方应根据作业风险特点和工作环境，为作业人员提供满足《</w:t>
      </w:r>
      <w:r>
        <w:rPr>
          <w:rFonts w:hint="default" w:ascii="Times New Roman" w:hAnsi="Times New Roman" w:eastAsia="宋体" w:cs="Times New Roman"/>
          <w:kern w:val="0"/>
          <w:sz w:val="21"/>
          <w:szCs w:val="21"/>
        </w:rPr>
        <w:t>GB/T 11651</w:t>
      </w:r>
      <w:r>
        <w:rPr>
          <w:rFonts w:hint="eastAsia" w:ascii="宋体" w:hAnsi="宋体" w:eastAsia="宋体" w:cs="宋体"/>
          <w:kern w:val="0"/>
          <w:sz w:val="21"/>
          <w:szCs w:val="21"/>
        </w:rPr>
        <w:t>个体防护装备选用规范》、《</w:t>
      </w:r>
      <w:r>
        <w:rPr>
          <w:rFonts w:hint="default" w:ascii="Times New Roman" w:hAnsi="Times New Roman" w:eastAsia="宋体" w:cs="Times New Roman"/>
          <w:kern w:val="0"/>
          <w:sz w:val="21"/>
          <w:szCs w:val="21"/>
        </w:rPr>
        <w:t xml:space="preserve">Q/HS 4005-2014 </w:t>
      </w:r>
      <w:r>
        <w:rPr>
          <w:rFonts w:hint="eastAsia" w:ascii="宋体" w:hAnsi="宋体" w:eastAsia="宋体" w:cs="宋体"/>
          <w:kern w:val="0"/>
          <w:sz w:val="21"/>
          <w:szCs w:val="21"/>
        </w:rPr>
        <w:t>个体防护装备使用和管理要求》标准，且符合中国海油作业现场要求的劳动防护用品。专业分包的作业承包商人员可穿戴本单位统一的、符合中国海油工作环境的劳保用品，劳务分包或劳务服务的作业承包商人员应穿戴满足海油发展统一要求的劳保用品。</w:t>
      </w:r>
    </w:p>
    <w:p>
      <w:pPr>
        <w:keepNext w:val="0"/>
        <w:keepLines w:val="0"/>
        <w:widowControl/>
        <w:numPr>
          <w:ilvl w:val="2"/>
          <w:numId w:val="40"/>
        </w:numPr>
        <w:suppressLineNumbers w:val="0"/>
        <w:autoSpaceDE w:val="0"/>
        <w:autoSpaceDN/>
        <w:spacing w:before="0" w:beforeAutospacing="0" w:after="0" w:afterAutospacing="0" w:line="360" w:lineRule="auto"/>
        <w:ind w:left="0" w:right="0" w:firstLine="0"/>
        <w:jc w:val="both"/>
        <w:outlineLvl w:val="1"/>
        <w:rPr>
          <w:rFonts w:hint="default" w:eastAsia="黑体"/>
          <w:kern w:val="0"/>
          <w:sz w:val="21"/>
          <w:szCs w:val="21"/>
        </w:rPr>
      </w:pPr>
      <w:bookmarkStart w:id="137" w:name="_Toc256000193"/>
      <w:r>
        <w:rPr>
          <w:rFonts w:hint="default" w:ascii="黑体" w:hAnsi="宋体" w:eastAsia="黑体" w:cs="黑体"/>
          <w:kern w:val="0"/>
          <w:sz w:val="21"/>
          <w:szCs w:val="21"/>
          <w:lang w:val="en-US" w:eastAsia="zh-CN" w:bidi="ar"/>
        </w:rPr>
        <w:t>职业病防治</w:t>
      </w:r>
      <w:bookmarkEnd w:id="137"/>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乙方应了解工作场所可能产生的职业病危害因素、危害后果和应当采取的职业病防护措施，有权拒绝违章指挥或强令进行没有职业病防护措施的作业。甲方应告知乙方作业场所职业病危害情况。</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乙方不得将产生职业病危害的作业转移给不具备职业病防护条件的单位和个人。</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甲方应监督检查乙方作业现场职业健康状况。</w:t>
      </w:r>
    </w:p>
    <w:p>
      <w:pPr>
        <w:keepNext w:val="0"/>
        <w:keepLines w:val="0"/>
        <w:widowControl/>
        <w:numPr>
          <w:ilvl w:val="1"/>
          <w:numId w:val="40"/>
        </w:numPr>
        <w:suppressLineNumbers w:val="0"/>
        <w:autoSpaceDE w:val="0"/>
        <w:autoSpaceDN/>
        <w:spacing w:before="0" w:beforeAutospacing="0" w:after="0" w:afterAutospacing="0" w:line="360" w:lineRule="auto"/>
        <w:ind w:left="566" w:right="0" w:hanging="424" w:hangingChars="202"/>
        <w:jc w:val="both"/>
        <w:outlineLvl w:val="0"/>
        <w:rPr>
          <w:rFonts w:hint="default" w:eastAsia="黑体"/>
          <w:kern w:val="0"/>
          <w:sz w:val="21"/>
          <w:szCs w:val="21"/>
        </w:rPr>
      </w:pPr>
      <w:bookmarkStart w:id="138" w:name="_Toc256000194"/>
      <w:r>
        <w:rPr>
          <w:rFonts w:hint="default" w:ascii="Times New Roman" w:hAnsi="Times New Roman" w:eastAsia="黑体" w:cs="Times New Roman"/>
          <w:kern w:val="0"/>
          <w:sz w:val="21"/>
          <w:szCs w:val="21"/>
          <w:lang w:val="en-US" w:eastAsia="zh-CN" w:bidi="ar"/>
        </w:rPr>
        <w:t>HSE</w:t>
      </w:r>
      <w:r>
        <w:rPr>
          <w:rFonts w:hint="default" w:ascii="黑体" w:hAnsi="宋体" w:eastAsia="黑体" w:cs="黑体"/>
          <w:kern w:val="0"/>
          <w:sz w:val="21"/>
          <w:szCs w:val="21"/>
          <w:lang w:val="en-US" w:eastAsia="zh-CN" w:bidi="ar"/>
        </w:rPr>
        <w:t>绩效考核</w:t>
      </w:r>
      <w:bookmarkEnd w:id="138"/>
    </w:p>
    <w:p>
      <w:pPr>
        <w:pStyle w:val="68"/>
        <w:keepNext w:val="0"/>
        <w:keepLines w:val="0"/>
        <w:widowControl w:val="0"/>
        <w:numPr>
          <w:ilvl w:val="3"/>
          <w:numId w:val="40"/>
        </w:numPr>
        <w:suppressLineNumbers w:val="0"/>
        <w:autoSpaceDE w:val="0"/>
        <w:autoSpaceDN/>
        <w:spacing w:before="100" w:beforeAutospacing="1" w:after="100" w:afterAutospacing="1" w:line="360" w:lineRule="auto"/>
        <w:ind w:right="0"/>
        <w:rPr>
          <w:rFonts w:hint="default" w:ascii="Times New Roman" w:hAnsi="Times New Roman" w:eastAsia="宋体" w:cs="Times New Roman"/>
          <w:sz w:val="21"/>
          <w:szCs w:val="21"/>
        </w:rPr>
      </w:pPr>
      <w:r>
        <w:rPr>
          <w:rFonts w:hint="eastAsia" w:ascii="宋体" w:hAnsi="宋体" w:eastAsia="宋体" w:cs="宋体"/>
          <w:kern w:val="0"/>
          <w:sz w:val="21"/>
          <w:szCs w:val="21"/>
        </w:rPr>
        <w:t>乙方应按照合同约定达到</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管理标准，甲方有权对乙方的现场</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管理绩效进行考核，并根据</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绩效考核结果认定乙方是否违约以及违约的程度。</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right="0"/>
        <w:rPr>
          <w:rFonts w:hint="default" w:ascii="Times New Roman" w:hAnsi="Times New Roman" w:eastAsia="宋体" w:cs="Times New Roman"/>
          <w:sz w:val="21"/>
          <w:szCs w:val="21"/>
        </w:rPr>
      </w:pPr>
      <w:r>
        <w:rPr>
          <w:rFonts w:hint="eastAsia" w:ascii="宋体" w:hAnsi="宋体" w:eastAsia="宋体" w:cs="宋体"/>
          <w:kern w:val="0"/>
          <w:sz w:val="21"/>
          <w:szCs w:val="21"/>
        </w:rPr>
        <w:t>甲方应在合同履行过程中对乙方开展</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考核或</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评估工作，对发现的不符合项，乙方要按时整改，提供整改报告，对拒不整改或情节严重的，参照协议</w:t>
      </w:r>
      <w:r>
        <w:rPr>
          <w:rFonts w:hint="default" w:ascii="Times New Roman" w:hAnsi="Times New Roman" w:eastAsia="宋体" w:cs="Times New Roman"/>
          <w:kern w:val="0"/>
          <w:sz w:val="21"/>
          <w:szCs w:val="21"/>
        </w:rPr>
        <w:t>4.2.6</w:t>
      </w:r>
      <w:r>
        <w:rPr>
          <w:rFonts w:hint="eastAsia" w:ascii="宋体" w:hAnsi="宋体" w:eastAsia="宋体" w:cs="宋体"/>
          <w:kern w:val="0"/>
          <w:sz w:val="21"/>
          <w:szCs w:val="21"/>
        </w:rPr>
        <w:t>条款处理。</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当甲方认为乙方对</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管理及绩效考核出现问题时，有权就存在的问题约谈乙方相关负责人，约谈情况记入乙方考核档案中。</w:t>
      </w:r>
    </w:p>
    <w:p>
      <w:pPr>
        <w:pStyle w:val="68"/>
        <w:keepNext w:val="0"/>
        <w:keepLines w:val="0"/>
        <w:widowControl w:val="0"/>
        <w:numPr>
          <w:ilvl w:val="3"/>
          <w:numId w:val="40"/>
        </w:numPr>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eastAsia" w:ascii="宋体" w:hAnsi="宋体" w:eastAsia="宋体" w:cs="宋体"/>
          <w:kern w:val="0"/>
          <w:sz w:val="21"/>
          <w:szCs w:val="21"/>
        </w:rPr>
        <w:t>因乙方</w:t>
      </w:r>
      <w:r>
        <w:rPr>
          <w:rFonts w:hint="default" w:ascii="Times New Roman" w:hAnsi="Times New Roman" w:eastAsia="宋体" w:cs="Times New Roman"/>
          <w:kern w:val="0"/>
          <w:sz w:val="21"/>
          <w:szCs w:val="21"/>
        </w:rPr>
        <w:t>HSE</w:t>
      </w:r>
      <w:r>
        <w:rPr>
          <w:rFonts w:hint="eastAsia" w:ascii="宋体" w:hAnsi="宋体" w:eastAsia="宋体" w:cs="宋体"/>
          <w:kern w:val="0"/>
          <w:sz w:val="21"/>
          <w:szCs w:val="21"/>
        </w:rPr>
        <w:t>违约而扣除工程进度款，不能减轻或解除乙方在合同中承担的任何责任和义务，也不能是导致乙方降低安全生产费投入的借口。</w:t>
      </w:r>
    </w:p>
    <w:p>
      <w:pPr>
        <w:pStyle w:val="68"/>
        <w:keepNext w:val="0"/>
        <w:keepLines w:val="0"/>
        <w:widowControl w:val="0"/>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 xml:space="preserve"> </w:t>
      </w:r>
    </w:p>
    <w:p>
      <w:pPr>
        <w:pStyle w:val="68"/>
        <w:keepNext w:val="0"/>
        <w:keepLines w:val="0"/>
        <w:widowControl w:val="0"/>
        <w:suppressLineNumbers w:val="0"/>
        <w:autoSpaceDE w:val="0"/>
        <w:autoSpaceDN/>
        <w:spacing w:before="100" w:beforeAutospacing="1" w:after="100" w:afterAutospacing="1" w:line="360" w:lineRule="auto"/>
        <w:ind w:left="-2" w:leftChars="-1" w:right="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 xml:space="preserve"> </w:t>
      </w:r>
    </w:p>
    <w:p>
      <w:pPr>
        <w:pStyle w:val="68"/>
        <w:keepNext w:val="0"/>
        <w:keepLines w:val="0"/>
        <w:widowControl w:val="0"/>
        <w:suppressLineNumbers w:val="0"/>
        <w:autoSpaceDE w:val="0"/>
        <w:autoSpaceDN/>
        <w:spacing w:before="100" w:beforeAutospacing="1" w:after="100" w:afterAutospacing="1" w:line="360" w:lineRule="auto"/>
        <w:ind w:right="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 xml:space="preserve"> </w:t>
      </w:r>
    </w:p>
    <w:p>
      <w:pPr>
        <w:keepNext w:val="0"/>
        <w:keepLines w:val="0"/>
        <w:widowControl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sz w:val="21"/>
          <w:szCs w:val="21"/>
        </w:rPr>
      </w:pPr>
      <w:r>
        <w:rPr>
          <w:rFonts w:hint="default" w:ascii="Times New Roman" w:hAnsi="Times New Roman" w:eastAsia="宋体" w:cs="Times New Roman"/>
          <w:kern w:val="2"/>
          <w:sz w:val="21"/>
          <w:szCs w:val="21"/>
          <w:lang w:val="en-US" w:eastAsia="zh-CN" w:bidi="ar"/>
        </w:rPr>
        <w:t xml:space="preserve"> </w:t>
      </w:r>
    </w:p>
    <w:p>
      <w:pPr>
        <w:jc w:val="left"/>
        <w:rPr>
          <w:rFonts w:asciiTheme="minorEastAsia" w:hAnsiTheme="minorEastAsia" w:eastAsiaTheme="minorEastAsia"/>
          <w:b/>
        </w:rPr>
      </w:pPr>
      <w:r>
        <w:rPr>
          <w:rFonts w:hint="eastAsia" w:asciiTheme="minorEastAsia" w:hAnsiTheme="minorEastAsia" w:eastAsiaTheme="minorEastAsia"/>
          <w:b/>
        </w:rPr>
        <w:t>附件</w:t>
      </w:r>
      <w:r>
        <w:rPr>
          <w:rFonts w:hint="eastAsia" w:asciiTheme="minorEastAsia" w:hAnsiTheme="minorEastAsia" w:eastAsiaTheme="minorEastAsia"/>
          <w:b/>
          <w:lang w:val="en-US" w:eastAsia="zh-CN"/>
        </w:rPr>
        <w:t>四</w:t>
      </w:r>
      <w:r>
        <w:rPr>
          <w:rFonts w:hint="eastAsia" w:asciiTheme="minorEastAsia" w:hAnsiTheme="minorEastAsia" w:eastAsiaTheme="minorEastAsia"/>
          <w:b/>
        </w:rPr>
        <w:t>：</w:t>
      </w:r>
    </w:p>
    <w:p>
      <w:pPr>
        <w:jc w:val="center"/>
        <w:rPr>
          <w:rFonts w:asciiTheme="minorEastAsia" w:hAnsiTheme="minorEastAsia" w:eastAsiaTheme="minorEastAsia"/>
          <w:b/>
          <w:sz w:val="24"/>
        </w:rPr>
      </w:pPr>
      <w:r>
        <w:rPr>
          <w:rFonts w:hint="eastAsia" w:asciiTheme="minorEastAsia" w:hAnsiTheme="minorEastAsia" w:eastAsiaTheme="minorEastAsia"/>
          <w:b/>
          <w:sz w:val="24"/>
        </w:rPr>
        <w:t>廉洁承诺书</w:t>
      </w:r>
    </w:p>
    <w:p>
      <w:pPr>
        <w:jc w:val="center"/>
        <w:rPr>
          <w:rFonts w:asciiTheme="minorEastAsia" w:hAnsiTheme="minorEastAsia" w:eastAsiaTheme="minorEastAsia"/>
          <w:b/>
          <w:sz w:val="24"/>
        </w:rPr>
      </w:pPr>
    </w:p>
    <w:p>
      <w:pPr>
        <w:spacing w:before="93" w:beforeLines="30" w:after="93" w:afterLines="30"/>
        <w:ind w:firstLine="420" w:firstLineChars="200"/>
        <w:rPr>
          <w:rFonts w:ascii="宋体" w:hAnsi="宋体"/>
          <w:szCs w:val="21"/>
        </w:rPr>
      </w:pPr>
      <w:r>
        <w:rPr>
          <w:rFonts w:hint="eastAsia" w:ascii="宋体" w:hAnsi="宋体"/>
          <w:szCs w:val="21"/>
        </w:rPr>
        <w:t>为进一步加强廉政建设，规范甲乙双方的各项活动，防止发生各种谋取不正当利益的违法违规行为，从源头上预防治理腐败，根据国家有关的法律法规规定，特制定本廉洁条款。</w:t>
      </w:r>
    </w:p>
    <w:p>
      <w:pPr>
        <w:spacing w:before="93" w:beforeLines="30" w:after="93" w:afterLines="30"/>
        <w:rPr>
          <w:rFonts w:ascii="宋体" w:hAnsi="宋体"/>
          <w:b/>
          <w:szCs w:val="21"/>
        </w:rPr>
      </w:pPr>
      <w:r>
        <w:rPr>
          <w:rFonts w:hint="eastAsia" w:ascii="宋体" w:hAnsi="宋体"/>
          <w:b/>
          <w:szCs w:val="21"/>
        </w:rPr>
        <w:t>第一条 甲乙双方的权利和义务</w:t>
      </w:r>
    </w:p>
    <w:p>
      <w:pPr>
        <w:spacing w:before="93" w:beforeLines="30" w:after="93" w:afterLines="30"/>
        <w:ind w:left="1039" w:leftChars="200" w:hanging="619" w:hangingChars="295"/>
        <w:rPr>
          <w:rFonts w:ascii="宋体" w:hAnsi="宋体"/>
          <w:szCs w:val="21"/>
        </w:rPr>
      </w:pPr>
      <w:r>
        <w:rPr>
          <w:rFonts w:hint="eastAsia" w:ascii="宋体" w:hAnsi="宋体"/>
          <w:szCs w:val="21"/>
        </w:rPr>
        <w:t>（一）在双方的业务交往中，共同遵守相关的法律法规。</w:t>
      </w:r>
    </w:p>
    <w:p>
      <w:pPr>
        <w:spacing w:before="93" w:beforeLines="30" w:after="93" w:afterLines="30"/>
        <w:ind w:left="1039" w:leftChars="200" w:hanging="619" w:hangingChars="295"/>
        <w:rPr>
          <w:rFonts w:ascii="宋体" w:hAnsi="宋体"/>
          <w:szCs w:val="21"/>
        </w:rPr>
      </w:pPr>
      <w:r>
        <w:rPr>
          <w:rFonts w:hint="eastAsia" w:ascii="宋体" w:hAnsi="宋体"/>
          <w:szCs w:val="21"/>
        </w:rPr>
        <w:t>（二）加强本单位廉政建设和对员工的廉洁从业教育，不断提高员工的廉洁自律意识。</w:t>
      </w:r>
    </w:p>
    <w:p>
      <w:pPr>
        <w:spacing w:before="93" w:beforeLines="30" w:after="93" w:afterLines="30"/>
        <w:ind w:left="1039" w:leftChars="200" w:hanging="619" w:hangingChars="295"/>
        <w:rPr>
          <w:rFonts w:ascii="宋体" w:hAnsi="宋体"/>
          <w:szCs w:val="21"/>
        </w:rPr>
      </w:pPr>
      <w:r>
        <w:rPr>
          <w:rFonts w:hint="eastAsia" w:ascii="宋体" w:hAnsi="宋体"/>
          <w:szCs w:val="21"/>
        </w:rPr>
        <w:t>（三）加强对本单位员工的监督与检查，并自觉接受对方廉政监督。当发现对方在彼此的业务交往中存在可能或有违法违规行为时，应及时给予提醒制止，并通报对方，进行调查、处理。</w:t>
      </w:r>
    </w:p>
    <w:p>
      <w:pPr>
        <w:spacing w:before="93" w:beforeLines="30" w:after="93" w:afterLines="30"/>
        <w:rPr>
          <w:rFonts w:ascii="宋体" w:hAnsi="宋体"/>
          <w:b/>
          <w:szCs w:val="21"/>
        </w:rPr>
      </w:pPr>
      <w:r>
        <w:rPr>
          <w:rFonts w:hint="eastAsia" w:ascii="宋体" w:hAnsi="宋体"/>
          <w:b/>
          <w:szCs w:val="21"/>
        </w:rPr>
        <w:t>第二条 甲方的责任</w:t>
      </w:r>
    </w:p>
    <w:p>
      <w:pPr>
        <w:spacing w:before="93" w:beforeLines="30" w:after="93" w:afterLines="30"/>
        <w:ind w:left="1039" w:leftChars="200" w:hanging="619" w:hangingChars="295"/>
        <w:rPr>
          <w:rFonts w:ascii="宋体" w:hAnsi="宋体"/>
          <w:szCs w:val="21"/>
        </w:rPr>
      </w:pPr>
      <w:r>
        <w:rPr>
          <w:rFonts w:hint="eastAsia" w:ascii="宋体" w:hAnsi="宋体"/>
          <w:szCs w:val="21"/>
        </w:rPr>
        <w:t>（一）不准向乙方索要或接受回扣、礼金、有价证券、贵重物品和好处费、感谢费等；不准在乙方报销任何由甲方或个人支付的费用。</w:t>
      </w:r>
    </w:p>
    <w:p>
      <w:pPr>
        <w:spacing w:before="93" w:beforeLines="30" w:after="93" w:afterLines="30"/>
        <w:ind w:left="1039" w:leftChars="200" w:hanging="619" w:hangingChars="295"/>
        <w:rPr>
          <w:rFonts w:ascii="宋体" w:hAnsi="宋体"/>
          <w:szCs w:val="21"/>
        </w:rPr>
      </w:pPr>
      <w:r>
        <w:rPr>
          <w:rFonts w:hint="eastAsia" w:ascii="宋体" w:hAnsi="宋体"/>
          <w:szCs w:val="21"/>
        </w:rPr>
        <w:t>（二）不准参加乙方安排的宴请和健身、娱乐等活动；不得接受乙方提供的通讯工具、交通工具和高档办公用品等。</w:t>
      </w:r>
    </w:p>
    <w:p>
      <w:pPr>
        <w:spacing w:before="93" w:beforeLines="30" w:after="93" w:afterLines="30"/>
        <w:ind w:left="1039" w:leftChars="200" w:hanging="619" w:hangingChars="295"/>
        <w:rPr>
          <w:rFonts w:ascii="宋体" w:hAnsi="宋体"/>
          <w:szCs w:val="21"/>
        </w:rPr>
      </w:pPr>
      <w:r>
        <w:rPr>
          <w:rFonts w:hint="eastAsia" w:ascii="宋体" w:hAnsi="宋体"/>
          <w:szCs w:val="21"/>
        </w:rPr>
        <w:t>（三）不准要求、暗示和接受乙方为个人装修住房、婚丧嫁娶、配偶子女的工作安排以及出国（境）旅游等提供方便。</w:t>
      </w:r>
    </w:p>
    <w:p>
      <w:pPr>
        <w:spacing w:before="93" w:beforeLines="30" w:after="93" w:afterLines="30"/>
        <w:ind w:left="1039" w:leftChars="200" w:hanging="619" w:hangingChars="295"/>
        <w:rPr>
          <w:rFonts w:ascii="宋体" w:hAnsi="宋体"/>
          <w:szCs w:val="21"/>
        </w:rPr>
      </w:pPr>
      <w:r>
        <w:rPr>
          <w:rFonts w:hint="eastAsia" w:ascii="宋体" w:hAnsi="宋体"/>
          <w:szCs w:val="21"/>
        </w:rPr>
        <w:t>（四）配偶、子女不得从事与乙方承包本工程有关的设备材料供应、工程分包、劳务等经济活动。</w:t>
      </w:r>
    </w:p>
    <w:p>
      <w:pPr>
        <w:spacing w:before="93" w:beforeLines="30" w:after="93" w:afterLines="30"/>
        <w:ind w:left="1039" w:leftChars="200" w:hanging="619" w:hangingChars="295"/>
        <w:rPr>
          <w:rFonts w:ascii="宋体" w:hAnsi="宋体"/>
          <w:szCs w:val="21"/>
        </w:rPr>
      </w:pPr>
      <w:r>
        <w:rPr>
          <w:rFonts w:hint="eastAsia" w:ascii="宋体" w:hAnsi="宋体"/>
          <w:szCs w:val="21"/>
        </w:rPr>
        <w:t>（五）不得以任何理由向乙方推荐分包单位或要求乙方购买项目合同规定外的材料、设备和服务等。</w:t>
      </w:r>
    </w:p>
    <w:p>
      <w:pPr>
        <w:spacing w:before="93" w:beforeLines="30" w:after="93" w:afterLines="30"/>
        <w:ind w:left="1039" w:leftChars="200" w:hanging="619" w:hangingChars="295"/>
        <w:rPr>
          <w:rFonts w:ascii="宋体" w:hAnsi="宋体"/>
          <w:szCs w:val="21"/>
        </w:rPr>
      </w:pPr>
      <w:r>
        <w:rPr>
          <w:rFonts w:hint="eastAsia" w:ascii="宋体" w:hAnsi="宋体"/>
          <w:szCs w:val="21"/>
        </w:rPr>
        <w:t>（六）其它不廉洁行为。</w:t>
      </w:r>
    </w:p>
    <w:p>
      <w:pPr>
        <w:spacing w:before="93" w:beforeLines="30" w:after="93" w:afterLines="30"/>
        <w:rPr>
          <w:rFonts w:ascii="宋体" w:hAnsi="宋体"/>
          <w:b/>
          <w:szCs w:val="21"/>
        </w:rPr>
      </w:pPr>
      <w:r>
        <w:rPr>
          <w:rFonts w:hint="eastAsia" w:ascii="宋体" w:hAnsi="宋体"/>
          <w:b/>
          <w:szCs w:val="21"/>
        </w:rPr>
        <w:t>第三条 乙方的责任</w:t>
      </w:r>
    </w:p>
    <w:p>
      <w:pPr>
        <w:spacing w:before="93" w:beforeLines="30" w:after="93" w:afterLines="30"/>
        <w:ind w:left="1039" w:leftChars="200" w:hanging="619" w:hangingChars="295"/>
        <w:rPr>
          <w:rFonts w:ascii="宋体" w:hAnsi="宋体"/>
          <w:szCs w:val="21"/>
        </w:rPr>
      </w:pPr>
      <w:r>
        <w:rPr>
          <w:rFonts w:hint="eastAsia" w:ascii="宋体" w:hAnsi="宋体"/>
          <w:szCs w:val="21"/>
        </w:rPr>
        <w:t>（一）不准以任何理由向甲方工作人员（含家属、子女，下同）行贿或馈赠礼物、礼金、有价证券、贵重物品及象征性低价物品。</w:t>
      </w:r>
    </w:p>
    <w:p>
      <w:pPr>
        <w:spacing w:before="93" w:beforeLines="30" w:after="93" w:afterLines="30"/>
        <w:ind w:left="1039" w:leftChars="200" w:hanging="619" w:hangingChars="295"/>
        <w:rPr>
          <w:rFonts w:ascii="宋体" w:hAnsi="宋体"/>
          <w:szCs w:val="21"/>
        </w:rPr>
      </w:pPr>
      <w:r>
        <w:rPr>
          <w:rFonts w:hint="eastAsia" w:ascii="宋体" w:hAnsi="宋体"/>
          <w:szCs w:val="21"/>
        </w:rPr>
        <w:t>（二）不准以任何名义为甲方工作人员报销应由对方或个人支付的费用。</w:t>
      </w:r>
    </w:p>
    <w:p>
      <w:pPr>
        <w:spacing w:before="93" w:beforeLines="30" w:after="93" w:afterLines="30"/>
        <w:ind w:left="1039" w:leftChars="200" w:hanging="619" w:hangingChars="295"/>
        <w:rPr>
          <w:rFonts w:ascii="宋体" w:hAnsi="宋体"/>
          <w:szCs w:val="21"/>
        </w:rPr>
      </w:pPr>
      <w:r>
        <w:rPr>
          <w:rFonts w:hint="eastAsia" w:ascii="宋体" w:hAnsi="宋体"/>
          <w:szCs w:val="21"/>
        </w:rPr>
        <w:t>（三）不准以任何理由安排甲方工作人员参加宴请及健身、娱乐和旅游等活动。</w:t>
      </w:r>
    </w:p>
    <w:p>
      <w:pPr>
        <w:spacing w:before="93" w:beforeLines="30" w:after="93" w:afterLines="30"/>
        <w:ind w:left="1039" w:leftChars="200" w:hanging="619" w:hangingChars="295"/>
        <w:rPr>
          <w:rFonts w:ascii="宋体" w:hAnsi="宋体"/>
          <w:szCs w:val="21"/>
        </w:rPr>
      </w:pPr>
      <w:r>
        <w:rPr>
          <w:rFonts w:hint="eastAsia" w:ascii="宋体" w:hAnsi="宋体"/>
          <w:szCs w:val="21"/>
        </w:rPr>
        <w:t>（四）不准为甲方单位和工作人员购置或提供通讯工具、交通工具和高档办公用品和装修住房等。</w:t>
      </w:r>
    </w:p>
    <w:p>
      <w:pPr>
        <w:spacing w:before="93" w:beforeLines="30" w:after="93" w:afterLines="30"/>
        <w:ind w:left="1039" w:leftChars="200" w:hanging="619" w:hangingChars="295"/>
        <w:rPr>
          <w:rFonts w:ascii="宋体" w:hAnsi="宋体"/>
          <w:szCs w:val="21"/>
        </w:rPr>
      </w:pPr>
      <w:r>
        <w:rPr>
          <w:rFonts w:hint="eastAsia" w:ascii="宋体" w:hAnsi="宋体"/>
          <w:szCs w:val="21"/>
        </w:rPr>
        <w:t>（五）其它不廉洁行为。</w:t>
      </w:r>
    </w:p>
    <w:p>
      <w:pPr>
        <w:spacing w:before="93" w:beforeLines="30" w:after="93" w:afterLines="30"/>
        <w:rPr>
          <w:rFonts w:ascii="宋体" w:hAnsi="宋体"/>
          <w:b/>
          <w:szCs w:val="21"/>
        </w:rPr>
      </w:pPr>
      <w:r>
        <w:rPr>
          <w:rFonts w:hint="eastAsia" w:ascii="宋体" w:hAnsi="宋体"/>
          <w:b/>
          <w:szCs w:val="21"/>
        </w:rPr>
        <w:t>第四条 违约责任</w:t>
      </w:r>
    </w:p>
    <w:p>
      <w:pPr>
        <w:spacing w:before="93" w:beforeLines="30" w:after="93" w:afterLines="30"/>
        <w:ind w:left="1039" w:leftChars="200" w:hanging="619" w:hangingChars="295"/>
        <w:rPr>
          <w:rFonts w:ascii="宋体" w:hAnsi="宋体"/>
          <w:szCs w:val="21"/>
        </w:rPr>
      </w:pPr>
      <w:r>
        <w:rPr>
          <w:rFonts w:hint="eastAsia" w:ascii="宋体" w:hAnsi="宋体"/>
          <w:szCs w:val="21"/>
        </w:rPr>
        <w:t>（一）甲方发现乙方有违反本条款或者采用不正当的手段贿赂甲方工作人员，甲方应向乙方领导举报，并取消乙方供应商资格，由此给甲方造成的损失均由乙方承担。</w:t>
      </w:r>
    </w:p>
    <w:p>
      <w:pPr>
        <w:ind w:left="1050" w:leftChars="200" w:hanging="630" w:hangingChars="300"/>
        <w:rPr>
          <w:rFonts w:ascii="宋体" w:hAnsi="宋体"/>
          <w:szCs w:val="21"/>
        </w:rPr>
      </w:pPr>
      <w:r>
        <w:rPr>
          <w:rFonts w:hint="eastAsia" w:ascii="宋体" w:hAnsi="宋体"/>
          <w:szCs w:val="21"/>
        </w:rPr>
        <w:t>（二）乙方如发现甲方工作人员有违反上述条款，应当向甲方领导举报，甲方不得找任何借口对乙方进行报复或刁难、延误工作。</w:t>
      </w:r>
    </w:p>
    <w:p>
      <w:pPr>
        <w:pStyle w:val="64"/>
        <w:numPr>
          <w:ilvl w:val="0"/>
          <w:numId w:val="0"/>
        </w:numPr>
        <w:spacing w:before="0" w:line="360" w:lineRule="auto"/>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附件五</w:t>
      </w:r>
    </w:p>
    <w:p>
      <w:pPr>
        <w:pStyle w:val="42"/>
        <w:adjustRightInd w:val="0"/>
        <w:snapToGrid w:val="0"/>
        <w:spacing w:line="360" w:lineRule="auto"/>
        <w:ind w:left="637" w:hanging="637" w:hangingChars="177"/>
        <w:jc w:val="center"/>
        <w:rPr>
          <w:rFonts w:hint="eastAsia" w:ascii="黑体" w:hAnsi="黑体" w:eastAsia="黑体"/>
          <w:sz w:val="36"/>
          <w:szCs w:val="36"/>
        </w:rPr>
      </w:pPr>
      <w:r>
        <w:rPr>
          <w:rFonts w:hint="eastAsia" w:ascii="黑体" w:hAnsi="黑体" w:eastAsia="黑体"/>
          <w:sz w:val="36"/>
          <w:szCs w:val="36"/>
        </w:rPr>
        <w:t>农民工工资支付承诺函</w:t>
      </w:r>
    </w:p>
    <w:p>
      <w:pPr>
        <w:pStyle w:val="42"/>
        <w:adjustRightInd w:val="0"/>
        <w:snapToGrid w:val="0"/>
        <w:spacing w:line="360" w:lineRule="auto"/>
        <w:ind w:left="637" w:hanging="637" w:hangingChars="177"/>
        <w:jc w:val="center"/>
        <w:rPr>
          <w:rFonts w:hint="eastAsia" w:ascii="黑体" w:hAnsi="黑体" w:eastAsia="黑体"/>
          <w:sz w:val="36"/>
          <w:szCs w:val="36"/>
        </w:rPr>
      </w:pPr>
    </w:p>
    <w:p>
      <w:pPr>
        <w:pStyle w:val="42"/>
        <w:adjustRightInd w:val="0"/>
        <w:snapToGrid w:val="0"/>
        <w:spacing w:line="360" w:lineRule="auto"/>
        <w:ind w:left="425" w:hanging="424" w:hangingChars="177"/>
        <w:rPr>
          <w:rFonts w:hint="eastAsia" w:ascii="宋体" w:hAnsi="宋体" w:eastAsia="宋体" w:cs="宋体"/>
          <w:i/>
          <w:iCs/>
          <w:sz w:val="24"/>
          <w:szCs w:val="24"/>
          <w:highlight w:val="none"/>
        </w:rPr>
      </w:pPr>
      <w:r>
        <w:rPr>
          <w:rFonts w:hint="eastAsia" w:ascii="宋体" w:hAnsi="宋体" w:eastAsia="宋体" w:cs="宋体"/>
          <w:sz w:val="24"/>
          <w:szCs w:val="24"/>
          <w:highlight w:val="none"/>
        </w:rPr>
        <w:t>致</w:t>
      </w:r>
      <w:r>
        <w:rPr>
          <w:rFonts w:hint="eastAsia" w:ascii="宋体" w:hAnsi="宋体" w:cs="宋体"/>
          <w:kern w:val="0"/>
          <w:sz w:val="24"/>
          <w:szCs w:val="24"/>
          <w:highlight w:val="none"/>
          <w:u w:val="none"/>
          <w:lang w:eastAsia="zh-CN"/>
        </w:rPr>
        <w:t>中海油能源发展股份有限公司</w:t>
      </w:r>
      <w:r>
        <w:rPr>
          <w:rFonts w:hint="eastAsia" w:ascii="宋体" w:hAnsi="宋体" w:eastAsia="宋体" w:cs="宋体"/>
          <w:sz w:val="24"/>
          <w:szCs w:val="24"/>
          <w:highlight w:val="none"/>
        </w:rPr>
        <w:t>：</w:t>
      </w:r>
    </w:p>
    <w:p>
      <w:pPr>
        <w:adjustRightInd w:val="0"/>
        <w:snapToGrid w:val="0"/>
        <w:spacing w:line="360" w:lineRule="auto"/>
        <w:ind w:firstLine="480" w:firstLineChars="200"/>
        <w:rPr>
          <w:rFonts w:hAnsi="宋体"/>
          <w:sz w:val="24"/>
        </w:rPr>
      </w:pPr>
      <w:r>
        <w:rPr>
          <w:rFonts w:hint="eastAsia" w:hAnsi="宋体"/>
          <w:sz w:val="24"/>
        </w:rPr>
        <w:t>根据《中华人民共和国民法典》《保障农民工工资支付条例》（国务院令第</w:t>
      </w:r>
      <w:r>
        <w:rPr>
          <w:rFonts w:hAnsi="宋体"/>
          <w:sz w:val="24"/>
        </w:rPr>
        <w:t>724</w:t>
      </w:r>
      <w:r>
        <w:rPr>
          <w:rFonts w:hint="eastAsia" w:hAnsi="宋体"/>
          <w:sz w:val="24"/>
        </w:rPr>
        <w:t>号）等有关规定，为保证主合同服务项目的顺利进行，确保本项目服务质量和进度，我单位向贵司承诺：</w:t>
      </w:r>
    </w:p>
    <w:p>
      <w:pPr>
        <w:pStyle w:val="42"/>
        <w:adjustRightInd w:val="0"/>
        <w:snapToGrid w:val="0"/>
        <w:spacing w:line="360" w:lineRule="auto"/>
        <w:ind w:left="425" w:hanging="424" w:hangingChars="177"/>
        <w:rPr>
          <w:rFonts w:ascii="Times New Roman" w:hAnsi="宋体"/>
          <w:sz w:val="24"/>
          <w:szCs w:val="24"/>
        </w:rPr>
      </w:pPr>
      <w:r>
        <w:rPr>
          <w:rFonts w:ascii="Times New Roman" w:hAnsi="宋体"/>
          <w:sz w:val="24"/>
          <w:szCs w:val="24"/>
        </w:rPr>
        <w:t>1</w:t>
      </w:r>
      <w:r>
        <w:rPr>
          <w:rFonts w:hint="eastAsia" w:ascii="Times New Roman" w:hAnsi="宋体"/>
          <w:sz w:val="24"/>
          <w:szCs w:val="24"/>
        </w:rPr>
        <w:t>、按照《中华人民共和国劳动合同法》相关规定，与农民工签订劳动合同，及时、足额发放工资、缴纳社会保险费用。工资将以货币形式直接发给农民工本人，严禁发放给不具备用工主体资格的组织和个人。我单位承诺，一旦发生拖欠农民工工资的情况，我单位将无条件接受贵司代扣本服务项目的进度款直接支付给农民工的决定，并对由此造成的一切后果承担全部责任。</w:t>
      </w:r>
    </w:p>
    <w:p>
      <w:pPr>
        <w:pStyle w:val="42"/>
        <w:adjustRightInd w:val="0"/>
        <w:snapToGrid w:val="0"/>
        <w:spacing w:line="360" w:lineRule="auto"/>
        <w:ind w:left="425" w:hanging="424" w:hangingChars="177"/>
        <w:rPr>
          <w:rFonts w:ascii="Times New Roman" w:hAnsi="宋体"/>
          <w:sz w:val="24"/>
          <w:szCs w:val="24"/>
        </w:rPr>
      </w:pPr>
      <w:r>
        <w:rPr>
          <w:rFonts w:hint="eastAsia" w:ascii="Times New Roman" w:hAnsi="宋体"/>
          <w:sz w:val="24"/>
          <w:szCs w:val="24"/>
        </w:rPr>
        <w:t>2、本项目协作单位雇用农民工的，我单位将要求协作单位与农民工签订劳动合同，并负责督促其遵守《保障农民工工资支付条例》等相关规定，及时结付农民工工资。如协作单位拖欠农民工工资的，将由我单位先行清偿。如贵司因协作单位未能及时支付农民工工资而遭受任何直接或间接损失，本单位将承担赔偿责任。</w:t>
      </w:r>
    </w:p>
    <w:p>
      <w:pPr>
        <w:pStyle w:val="42"/>
        <w:adjustRightInd w:val="0"/>
        <w:snapToGrid w:val="0"/>
        <w:spacing w:line="360" w:lineRule="auto"/>
        <w:ind w:left="425" w:hanging="424" w:hangingChars="177"/>
        <w:rPr>
          <w:rFonts w:ascii="Times New Roman" w:hAnsi="宋体"/>
          <w:sz w:val="24"/>
          <w:szCs w:val="24"/>
        </w:rPr>
      </w:pPr>
      <w:r>
        <w:rPr>
          <w:rFonts w:hint="eastAsia" w:ascii="Times New Roman" w:hAnsi="宋体"/>
          <w:sz w:val="24"/>
          <w:szCs w:val="24"/>
        </w:rPr>
        <w:t>3、本单位承诺，如发生违反法律法规规定拖欠或克扣农民工工资行为，本单位将无条件向贵司承担违约赔偿责任。</w:t>
      </w:r>
    </w:p>
    <w:p>
      <w:pPr>
        <w:pStyle w:val="42"/>
        <w:adjustRightInd w:val="0"/>
        <w:snapToGrid w:val="0"/>
        <w:spacing w:line="360" w:lineRule="auto"/>
        <w:ind w:left="425" w:hanging="424" w:hangingChars="177"/>
        <w:rPr>
          <w:rFonts w:ascii="Times New Roman" w:hAnsi="宋体"/>
          <w:sz w:val="24"/>
          <w:szCs w:val="24"/>
        </w:rPr>
      </w:pPr>
    </w:p>
    <w:p>
      <w:pPr>
        <w:pStyle w:val="42"/>
        <w:adjustRightInd w:val="0"/>
        <w:snapToGrid w:val="0"/>
        <w:spacing w:line="360" w:lineRule="auto"/>
        <w:ind w:left="425" w:hanging="424" w:hangingChars="177"/>
        <w:rPr>
          <w:rFonts w:ascii="Times New Roman" w:hAnsi="宋体"/>
          <w:sz w:val="24"/>
          <w:szCs w:val="24"/>
        </w:rPr>
      </w:pPr>
    </w:p>
    <w:p>
      <w:pPr>
        <w:adjustRightInd w:val="0"/>
        <w:snapToGrid w:val="0"/>
        <w:spacing w:line="360" w:lineRule="auto"/>
        <w:ind w:firstLine="3840" w:firstLineChars="1600"/>
        <w:rPr>
          <w:rFonts w:hAnsi="宋体"/>
          <w:sz w:val="24"/>
        </w:rPr>
      </w:pPr>
      <w:r>
        <w:rPr>
          <w:rFonts w:hint="eastAsia" w:hAnsi="宋体"/>
          <w:i w:val="0"/>
          <w:iCs/>
          <w:color w:val="FF0000"/>
          <w:sz w:val="24"/>
          <w:highlight w:val="none"/>
          <w:lang w:val="en-US" w:eastAsia="zh-CN"/>
        </w:rPr>
        <w:t>BBB</w:t>
      </w:r>
      <w:r>
        <w:rPr>
          <w:rFonts w:hint="eastAsia" w:hAnsi="宋体"/>
          <w:sz w:val="24"/>
        </w:rPr>
        <w:t>（盖章）</w:t>
      </w:r>
    </w:p>
    <w:p>
      <w:pPr>
        <w:pStyle w:val="42"/>
        <w:adjustRightInd w:val="0"/>
        <w:snapToGrid w:val="0"/>
        <w:spacing w:line="360" w:lineRule="auto"/>
        <w:ind w:left="210" w:leftChars="100" w:firstLine="3600" w:firstLineChars="1500"/>
        <w:rPr>
          <w:rFonts w:ascii="Times New Roman" w:hAnsi="宋体"/>
          <w:sz w:val="24"/>
          <w:szCs w:val="24"/>
        </w:rPr>
      </w:pPr>
      <w:r>
        <w:rPr>
          <w:rFonts w:hint="eastAsia" w:ascii="Times New Roman" w:hAnsi="宋体"/>
          <w:sz w:val="24"/>
          <w:szCs w:val="24"/>
        </w:rPr>
        <w:t>法定代表人或授权代表签字：</w:t>
      </w:r>
    </w:p>
    <w:p>
      <w:pPr>
        <w:pStyle w:val="64"/>
        <w:numPr>
          <w:ilvl w:val="0"/>
          <w:numId w:val="0"/>
        </w:numPr>
        <w:spacing w:before="0" w:line="360" w:lineRule="auto"/>
        <w:ind w:firstLine="3600" w:firstLineChars="1500"/>
        <w:jc w:val="both"/>
        <w:rPr>
          <w:rFonts w:hint="eastAsia" w:asciiTheme="minorEastAsia" w:hAnsiTheme="minorEastAsia" w:eastAsiaTheme="minorEastAsia"/>
          <w:b w:val="0"/>
          <w:bCs w:val="0"/>
          <w:lang w:val="en-US" w:eastAsia="zh-CN"/>
        </w:rPr>
      </w:pPr>
      <w:r>
        <w:rPr>
          <w:rFonts w:hint="eastAsia" w:ascii="Times New Roman" w:hAnsi="宋体"/>
          <w:b w:val="0"/>
          <w:bCs w:val="0"/>
          <w:sz w:val="24"/>
          <w:szCs w:val="24"/>
        </w:rPr>
        <w:t>签订日期：</w:t>
      </w: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42"/>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23"/>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8"/>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8"/>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6"/>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6"/>
        <w:rPr>
          <w:rFonts w:asciiTheme="minorEastAsia" w:hAnsiTheme="minorEastAsia"/>
          <w:sz w:val="24"/>
          <w:szCs w:val="24"/>
        </w:rPr>
      </w:pPr>
    </w:p>
    <w:tbl>
      <w:tblPr>
        <w:tblStyle w:val="23"/>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2"/>
        <w:ind w:left="0" w:leftChars="0" w:firstLine="0" w:firstLineChars="0"/>
        <w:rPr>
          <w:rFonts w:hint="eastAsia" w:ascii="宋体" w:hAnsi="宋体" w:cs="宋体"/>
          <w:sz w:val="20"/>
          <w:szCs w:val="20"/>
          <w:lang w:eastAsia="zh-CN"/>
        </w:rPr>
      </w:pPr>
    </w:p>
    <w:p>
      <w:pPr>
        <w:pStyle w:val="6"/>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41"/>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41"/>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41"/>
        <w:rPr>
          <w:rFonts w:hint="eastAsia"/>
          <w:lang w:val="en-US" w:eastAsia="zh-CN"/>
        </w:rPr>
      </w:pPr>
    </w:p>
    <w:p>
      <w:pPr>
        <w:rPr>
          <w:rFonts w:hint="eastAsia"/>
          <w:lang w:val="en-US" w:eastAsia="zh-CN"/>
        </w:rPr>
      </w:pPr>
    </w:p>
    <w:p>
      <w:pPr>
        <w:pStyle w:val="41"/>
        <w:rPr>
          <w:rFonts w:hint="eastAsia"/>
          <w:lang w:val="en-US" w:eastAsia="zh-CN"/>
        </w:rPr>
      </w:pPr>
    </w:p>
    <w:p>
      <w:pPr>
        <w:rPr>
          <w:rFonts w:hint="eastAsia"/>
          <w:lang w:val="en-US" w:eastAsia="zh-CN"/>
        </w:rPr>
      </w:pPr>
    </w:p>
    <w:p>
      <w:pPr>
        <w:pStyle w:val="41"/>
        <w:rPr>
          <w:rFonts w:hint="eastAsia"/>
          <w:lang w:val="en-US" w:eastAsia="zh-CN"/>
        </w:rPr>
      </w:pPr>
    </w:p>
    <w:p>
      <w:pPr>
        <w:rPr>
          <w:rFonts w:hint="eastAsia"/>
          <w:lang w:val="en-US" w:eastAsia="zh-CN"/>
        </w:rPr>
      </w:pPr>
    </w:p>
    <w:p>
      <w:pPr>
        <w:pStyle w:val="41"/>
        <w:rPr>
          <w:rFonts w:hint="eastAsia"/>
          <w:lang w:val="en-US" w:eastAsia="zh-CN"/>
        </w:rPr>
      </w:pPr>
    </w:p>
    <w:p>
      <w:pPr>
        <w:rPr>
          <w:rFonts w:hint="eastAsia"/>
          <w:lang w:val="en-US" w:eastAsia="zh-CN"/>
        </w:rPr>
      </w:pPr>
    </w:p>
    <w:p>
      <w:pPr>
        <w:pStyle w:val="41"/>
        <w:rPr>
          <w:rFonts w:hint="eastAsia"/>
          <w:lang w:val="en-US" w:eastAsia="zh-CN"/>
        </w:rPr>
      </w:pPr>
    </w:p>
    <w:p>
      <w:pPr>
        <w:rPr>
          <w:rFonts w:hint="eastAsia"/>
          <w:lang w:val="en-US" w:eastAsia="zh-CN"/>
        </w:rPr>
      </w:pPr>
    </w:p>
    <w:p>
      <w:pPr>
        <w:pStyle w:val="41"/>
        <w:rPr>
          <w:rFonts w:hint="eastAsia"/>
          <w:lang w:val="en-US" w:eastAsia="zh-CN"/>
        </w:rPr>
      </w:pPr>
    </w:p>
    <w:p>
      <w:pPr>
        <w:rPr>
          <w:rFonts w:hint="eastAsia"/>
          <w:lang w:val="en-US" w:eastAsia="zh-CN"/>
        </w:rPr>
      </w:pPr>
    </w:p>
    <w:p>
      <w:pPr>
        <w:pStyle w:val="41"/>
        <w:rPr>
          <w:rFonts w:hint="eastAsia"/>
          <w:lang w:val="en-US" w:eastAsia="zh-CN"/>
        </w:rPr>
      </w:pPr>
    </w:p>
    <w:p>
      <w:pPr>
        <w:rPr>
          <w:rFonts w:hint="eastAsia"/>
          <w:lang w:val="en-US" w:eastAsia="zh-CN"/>
        </w:rPr>
      </w:pPr>
    </w:p>
    <w:p>
      <w:pPr>
        <w:pStyle w:val="41"/>
        <w:rPr>
          <w:rFonts w:hint="eastAsia"/>
          <w:lang w:val="en-US" w:eastAsia="zh-CN"/>
        </w:rPr>
      </w:pPr>
    </w:p>
    <w:p>
      <w:pPr>
        <w:rPr>
          <w:rFonts w:hint="eastAsia"/>
          <w:lang w:val="en-US" w:eastAsia="zh-CN"/>
        </w:rPr>
      </w:pPr>
    </w:p>
    <w:p>
      <w:pPr>
        <w:pStyle w:val="41"/>
        <w:rPr>
          <w:rFonts w:hint="eastAsia"/>
          <w:lang w:val="en-US" w:eastAsia="zh-CN"/>
        </w:rPr>
      </w:pPr>
    </w:p>
    <w:p>
      <w:pPr>
        <w:rPr>
          <w:rFonts w:hint="eastAsia"/>
          <w:lang w:val="en-US" w:eastAsia="zh-CN"/>
        </w:rPr>
      </w:pPr>
    </w:p>
    <w:p>
      <w:pPr>
        <w:pStyle w:val="41"/>
        <w:rPr>
          <w:rFonts w:hint="eastAsia"/>
          <w:lang w:val="en-US" w:eastAsia="zh-CN"/>
        </w:rPr>
      </w:pPr>
    </w:p>
    <w:p>
      <w:pPr>
        <w:rPr>
          <w:rFonts w:hint="eastAsia"/>
          <w:lang w:val="en-US" w:eastAsia="zh-CN"/>
        </w:rPr>
      </w:pPr>
    </w:p>
    <w:p>
      <w:pPr>
        <w:pStyle w:val="41"/>
        <w:rPr>
          <w:rFonts w:hint="eastAsia"/>
          <w:lang w:val="en-US" w:eastAsia="zh-CN"/>
        </w:rPr>
      </w:pPr>
    </w:p>
    <w:p>
      <w:pPr>
        <w:rPr>
          <w:rFonts w:hint="eastAsia"/>
          <w:lang w:val="en-US" w:eastAsia="zh-CN"/>
        </w:rPr>
      </w:pPr>
    </w:p>
    <w:p>
      <w:pPr>
        <w:pStyle w:val="41"/>
        <w:rPr>
          <w:rFonts w:hint="eastAsia"/>
          <w:lang w:val="en-US" w:eastAsia="zh-CN"/>
        </w:rPr>
      </w:pPr>
    </w:p>
    <w:p>
      <w:pPr>
        <w:rPr>
          <w:rFonts w:hint="eastAsia"/>
          <w:lang w:val="en-US" w:eastAsia="zh-CN"/>
        </w:rPr>
      </w:pPr>
    </w:p>
    <w:p>
      <w:pPr>
        <w:pStyle w:val="41"/>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2"/>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6"/>
        <w:rPr>
          <w:rFonts w:ascii="微软雅黑" w:hAnsi="微软雅黑" w:eastAsia="微软雅黑"/>
          <w:b/>
          <w:spacing w:val="2"/>
          <w:sz w:val="32"/>
          <w:szCs w:val="32"/>
        </w:rPr>
      </w:pPr>
    </w:p>
    <w:p>
      <w:pPr>
        <w:pStyle w:val="6"/>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56"/>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56"/>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1"/>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2"/>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562"/>
        <w:gridCol w:w="3098"/>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4"/>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4"/>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2"/>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4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4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4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4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4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57"/>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7"/>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7"/>
        <w:adjustRightInd/>
        <w:jc w:val="center"/>
        <w:rPr>
          <w:rFonts w:hAnsi="宋体"/>
          <w:b/>
          <w:sz w:val="21"/>
          <w:szCs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pStyle w:val="6"/>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23"/>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1</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2</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3</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4</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5</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6</w:t>
            </w:r>
          </w:p>
        </w:tc>
        <w:tc>
          <w:tcPr>
            <w:tcW w:w="3969" w:type="dxa"/>
            <w:vAlign w:val="center"/>
          </w:tcPr>
          <w:p>
            <w:pPr>
              <w:pStyle w:val="53"/>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4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4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4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sectPr>
          <w:headerReference r:id="rId6" w:type="default"/>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42"/>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42"/>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42"/>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sz w:val="24"/>
          <w:szCs w:val="24"/>
          <w:lang w:val="en-US" w:eastAsia="zh-CN"/>
        </w:rPr>
        <w:t>管线辅助检修服务</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23"/>
        <w:tblW w:w="14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709"/>
        <w:gridCol w:w="4395"/>
        <w:gridCol w:w="750"/>
        <w:gridCol w:w="645"/>
        <w:gridCol w:w="855"/>
        <w:gridCol w:w="1305"/>
        <w:gridCol w:w="1170"/>
        <w:gridCol w:w="135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pStyle w:val="42"/>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序号</w:t>
            </w:r>
          </w:p>
        </w:tc>
        <w:tc>
          <w:tcPr>
            <w:tcW w:w="1709" w:type="dxa"/>
            <w:shd w:val="clear" w:color="auto" w:fill="auto"/>
            <w:vAlign w:val="center"/>
          </w:tcPr>
          <w:p>
            <w:pPr>
              <w:pStyle w:val="42"/>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服务项目</w:t>
            </w:r>
          </w:p>
        </w:tc>
        <w:tc>
          <w:tcPr>
            <w:tcW w:w="4395" w:type="dxa"/>
            <w:shd w:val="clear" w:color="auto" w:fill="auto"/>
            <w:vAlign w:val="center"/>
          </w:tcPr>
          <w:p>
            <w:pPr>
              <w:pStyle w:val="42"/>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服务内容</w:t>
            </w:r>
          </w:p>
        </w:tc>
        <w:tc>
          <w:tcPr>
            <w:tcW w:w="750" w:type="dxa"/>
            <w:shd w:val="clear" w:color="auto" w:fill="auto"/>
            <w:vAlign w:val="center"/>
          </w:tcPr>
          <w:p>
            <w:pPr>
              <w:pStyle w:val="42"/>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数量</w:t>
            </w:r>
          </w:p>
        </w:tc>
        <w:tc>
          <w:tcPr>
            <w:tcW w:w="645" w:type="dxa"/>
            <w:shd w:val="clear" w:color="auto" w:fill="auto"/>
            <w:vAlign w:val="center"/>
          </w:tcPr>
          <w:p>
            <w:pPr>
              <w:pStyle w:val="42"/>
              <w:spacing w:line="360" w:lineRule="auto"/>
              <w:ind w:firstLine="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单位</w:t>
            </w:r>
          </w:p>
        </w:tc>
        <w:tc>
          <w:tcPr>
            <w:tcW w:w="855" w:type="dxa"/>
            <w:shd w:val="clear" w:color="auto" w:fill="auto"/>
            <w:vAlign w:val="center"/>
          </w:tcPr>
          <w:p>
            <w:pPr>
              <w:pStyle w:val="42"/>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税率</w:t>
            </w:r>
          </w:p>
        </w:tc>
        <w:tc>
          <w:tcPr>
            <w:tcW w:w="1305" w:type="dxa"/>
            <w:shd w:val="clear" w:color="auto" w:fill="auto"/>
            <w:vAlign w:val="center"/>
          </w:tcPr>
          <w:p>
            <w:pPr>
              <w:pStyle w:val="42"/>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不含税单价</w:t>
            </w:r>
          </w:p>
        </w:tc>
        <w:tc>
          <w:tcPr>
            <w:tcW w:w="1170" w:type="dxa"/>
            <w:shd w:val="clear" w:color="auto" w:fill="auto"/>
            <w:vAlign w:val="center"/>
          </w:tcPr>
          <w:p>
            <w:pPr>
              <w:pStyle w:val="42"/>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含税单价</w:t>
            </w:r>
          </w:p>
        </w:tc>
        <w:tc>
          <w:tcPr>
            <w:tcW w:w="1350" w:type="dxa"/>
            <w:shd w:val="clear" w:color="auto" w:fill="auto"/>
            <w:vAlign w:val="center"/>
          </w:tcPr>
          <w:p>
            <w:pPr>
              <w:pStyle w:val="42"/>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不含税小计</w:t>
            </w:r>
          </w:p>
        </w:tc>
        <w:tc>
          <w:tcPr>
            <w:tcW w:w="1185" w:type="dxa"/>
            <w:shd w:val="clear" w:color="auto" w:fill="auto"/>
            <w:vAlign w:val="center"/>
          </w:tcPr>
          <w:p>
            <w:pPr>
              <w:pStyle w:val="42"/>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1</w:t>
            </w:r>
          </w:p>
        </w:tc>
        <w:tc>
          <w:tcPr>
            <w:tcW w:w="1709"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静电接地、跨接维修加固更换</w:t>
            </w:r>
          </w:p>
        </w:tc>
        <w:tc>
          <w:tcPr>
            <w:tcW w:w="43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微软雅黑" w:hAnsi="微软雅黑" w:eastAsia="微软雅黑" w:cs="微软雅黑"/>
                <w:i w:val="0"/>
                <w:iCs w:val="0"/>
                <w:color w:val="auto"/>
                <w:kern w:val="0"/>
                <w:sz w:val="21"/>
                <w:szCs w:val="21"/>
                <w:highlight w:val="none"/>
                <w:u w:val="none"/>
                <w:lang w:val="en-US" w:eastAsia="zh-CN" w:bidi="ar"/>
              </w:rPr>
              <w:t>静电接地接头更换加固，跨接线更换加固</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50.00 </w:t>
            </w:r>
          </w:p>
        </w:tc>
        <w:tc>
          <w:tcPr>
            <w:tcW w:w="64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根 </w:t>
            </w:r>
          </w:p>
        </w:tc>
        <w:tc>
          <w:tcPr>
            <w:tcW w:w="85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0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7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i w:val="0"/>
                <w:iCs w:val="0"/>
                <w:color w:val="000000"/>
                <w:kern w:val="0"/>
                <w:sz w:val="21"/>
                <w:szCs w:val="21"/>
                <w:u w:val="none"/>
                <w:lang w:val="en-US" w:eastAsia="zh-CN" w:bidi="ar"/>
              </w:rPr>
              <w:t>2</w:t>
            </w:r>
          </w:p>
        </w:tc>
        <w:tc>
          <w:tcPr>
            <w:tcW w:w="1709"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增加管托</w:t>
            </w:r>
          </w:p>
        </w:tc>
        <w:tc>
          <w:tcPr>
            <w:tcW w:w="43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增加管道与管廊之间的管托，支撑管道、降低与管廊之间的摩擦系数 </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120.00 </w:t>
            </w:r>
          </w:p>
        </w:tc>
        <w:tc>
          <w:tcPr>
            <w:tcW w:w="64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块 </w:t>
            </w:r>
          </w:p>
        </w:tc>
        <w:tc>
          <w:tcPr>
            <w:tcW w:w="85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0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7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i w:val="0"/>
                <w:iCs w:val="0"/>
                <w:color w:val="000000"/>
                <w:kern w:val="0"/>
                <w:sz w:val="21"/>
                <w:szCs w:val="21"/>
                <w:u w:val="none"/>
                <w:lang w:val="en-US" w:eastAsia="zh-CN" w:bidi="ar"/>
              </w:rPr>
              <w:t>3</w:t>
            </w:r>
          </w:p>
        </w:tc>
        <w:tc>
          <w:tcPr>
            <w:tcW w:w="1709"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更换管道标识</w:t>
            </w:r>
          </w:p>
        </w:tc>
        <w:tc>
          <w:tcPr>
            <w:tcW w:w="43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将旧的或者损坏的管道标识换成新标识，更好的识别管道介质和走向 </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50.00 </w:t>
            </w:r>
          </w:p>
        </w:tc>
        <w:tc>
          <w:tcPr>
            <w:tcW w:w="64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张 </w:t>
            </w:r>
          </w:p>
        </w:tc>
        <w:tc>
          <w:tcPr>
            <w:tcW w:w="85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0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7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i w:val="0"/>
                <w:iCs w:val="0"/>
                <w:color w:val="000000"/>
                <w:kern w:val="0"/>
                <w:sz w:val="21"/>
                <w:szCs w:val="21"/>
                <w:u w:val="none"/>
                <w:lang w:val="en-US" w:eastAsia="zh-CN" w:bidi="ar"/>
              </w:rPr>
              <w:t>4</w:t>
            </w:r>
          </w:p>
        </w:tc>
        <w:tc>
          <w:tcPr>
            <w:tcW w:w="1709"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盲板拆装和换垫</w:t>
            </w:r>
          </w:p>
        </w:tc>
        <w:tc>
          <w:tcPr>
            <w:tcW w:w="43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拆开法兰螺栓，抽出盲板和垫片，更换合格垫片，安装盲板，回装法兰螺栓，保证无泄漏 </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 </w:t>
            </w:r>
          </w:p>
        </w:tc>
        <w:tc>
          <w:tcPr>
            <w:tcW w:w="64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次 </w:t>
            </w:r>
          </w:p>
        </w:tc>
        <w:tc>
          <w:tcPr>
            <w:tcW w:w="85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0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7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i w:val="0"/>
                <w:iCs w:val="0"/>
                <w:color w:val="000000"/>
                <w:kern w:val="0"/>
                <w:sz w:val="21"/>
                <w:szCs w:val="21"/>
                <w:u w:val="none"/>
                <w:lang w:val="en-US" w:eastAsia="zh-CN" w:bidi="ar"/>
              </w:rPr>
              <w:t>5</w:t>
            </w:r>
          </w:p>
        </w:tc>
        <w:tc>
          <w:tcPr>
            <w:tcW w:w="1709"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阀门拆装和换垫</w:t>
            </w:r>
          </w:p>
        </w:tc>
        <w:tc>
          <w:tcPr>
            <w:tcW w:w="43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拆开阀门两侧法兰螺栓，取出阀门和垫片，更换合格阀门和垫片，安装阀门，回装法兰螺栓，保证无泄漏 </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 </w:t>
            </w:r>
          </w:p>
        </w:tc>
        <w:tc>
          <w:tcPr>
            <w:tcW w:w="64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次 </w:t>
            </w:r>
          </w:p>
        </w:tc>
        <w:tc>
          <w:tcPr>
            <w:tcW w:w="85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0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7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i w:val="0"/>
                <w:iCs w:val="0"/>
                <w:color w:val="000000"/>
                <w:kern w:val="0"/>
                <w:sz w:val="21"/>
                <w:szCs w:val="21"/>
                <w:u w:val="none"/>
                <w:lang w:val="en-US" w:eastAsia="zh-CN" w:bidi="ar"/>
              </w:rPr>
              <w:t>6</w:t>
            </w:r>
          </w:p>
        </w:tc>
        <w:tc>
          <w:tcPr>
            <w:tcW w:w="1709"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管道、阀门和管件在线消漏</w:t>
            </w:r>
          </w:p>
        </w:tc>
        <w:tc>
          <w:tcPr>
            <w:tcW w:w="43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通过加固法兰、增加管卡法兰卡以及压紧增加填料等手段进行在线消漏 </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 </w:t>
            </w:r>
          </w:p>
        </w:tc>
        <w:tc>
          <w:tcPr>
            <w:tcW w:w="64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处 </w:t>
            </w:r>
          </w:p>
        </w:tc>
        <w:tc>
          <w:tcPr>
            <w:tcW w:w="85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0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7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i w:val="0"/>
                <w:iCs w:val="0"/>
                <w:color w:val="000000"/>
                <w:kern w:val="0"/>
                <w:sz w:val="21"/>
                <w:szCs w:val="21"/>
                <w:u w:val="none"/>
                <w:lang w:val="en-US" w:eastAsia="zh-CN" w:bidi="ar"/>
              </w:rPr>
              <w:t>7</w:t>
            </w:r>
          </w:p>
        </w:tc>
        <w:tc>
          <w:tcPr>
            <w:tcW w:w="1709"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紧急补漏</w:t>
            </w:r>
          </w:p>
        </w:tc>
        <w:tc>
          <w:tcPr>
            <w:tcW w:w="43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对管道突发泄露进行应急抢修、补漏 </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2.00 </w:t>
            </w:r>
          </w:p>
        </w:tc>
        <w:tc>
          <w:tcPr>
            <w:tcW w:w="64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处 </w:t>
            </w:r>
          </w:p>
        </w:tc>
        <w:tc>
          <w:tcPr>
            <w:tcW w:w="85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0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7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i w:val="0"/>
                <w:iCs w:val="0"/>
                <w:color w:val="000000"/>
                <w:kern w:val="0"/>
                <w:sz w:val="21"/>
                <w:szCs w:val="21"/>
                <w:u w:val="none"/>
                <w:lang w:val="en-US" w:eastAsia="zh-CN" w:bidi="ar"/>
              </w:rPr>
              <w:t>8</w:t>
            </w:r>
          </w:p>
        </w:tc>
        <w:tc>
          <w:tcPr>
            <w:tcW w:w="1709"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管道清理</w:t>
            </w:r>
          </w:p>
        </w:tc>
        <w:tc>
          <w:tcPr>
            <w:tcW w:w="43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包括阀门法兰拆除、接管，准备介质，提压，清理以及污物回收，管道恢复 </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100.00 </w:t>
            </w:r>
          </w:p>
        </w:tc>
        <w:tc>
          <w:tcPr>
            <w:tcW w:w="64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米 </w:t>
            </w:r>
          </w:p>
        </w:tc>
        <w:tc>
          <w:tcPr>
            <w:tcW w:w="85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0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7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i w:val="0"/>
                <w:iCs w:val="0"/>
                <w:color w:val="000000"/>
                <w:kern w:val="0"/>
                <w:sz w:val="21"/>
                <w:szCs w:val="21"/>
                <w:u w:val="none"/>
                <w:lang w:val="en-US" w:eastAsia="zh-CN" w:bidi="ar"/>
              </w:rPr>
              <w:t>9</w:t>
            </w:r>
          </w:p>
        </w:tc>
        <w:tc>
          <w:tcPr>
            <w:tcW w:w="1709"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打磨</w:t>
            </w:r>
          </w:p>
        </w:tc>
        <w:tc>
          <w:tcPr>
            <w:tcW w:w="43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检测时的焊缝打磨，焊缝两侧各100mm。管道锈蚀打磨 </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380.00 </w:t>
            </w:r>
          </w:p>
        </w:tc>
        <w:tc>
          <w:tcPr>
            <w:tcW w:w="64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平方米 </w:t>
            </w:r>
          </w:p>
        </w:tc>
        <w:tc>
          <w:tcPr>
            <w:tcW w:w="85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0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7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i w:val="0"/>
                <w:iCs w:val="0"/>
                <w:color w:val="000000"/>
                <w:kern w:val="0"/>
                <w:sz w:val="21"/>
                <w:szCs w:val="21"/>
                <w:u w:val="none"/>
                <w:lang w:val="en-US" w:eastAsia="zh-CN" w:bidi="ar"/>
              </w:rPr>
              <w:t>10</w:t>
            </w:r>
          </w:p>
        </w:tc>
        <w:tc>
          <w:tcPr>
            <w:tcW w:w="1709"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焊接 </w:t>
            </w:r>
          </w:p>
        </w:tc>
        <w:tc>
          <w:tcPr>
            <w:tcW w:w="43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管道、管件更换，加装改造 </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 </w:t>
            </w:r>
          </w:p>
        </w:tc>
        <w:tc>
          <w:tcPr>
            <w:tcW w:w="64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道 </w:t>
            </w:r>
          </w:p>
        </w:tc>
        <w:tc>
          <w:tcPr>
            <w:tcW w:w="85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0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7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i w:val="0"/>
                <w:iCs w:val="0"/>
                <w:color w:val="000000"/>
                <w:kern w:val="0"/>
                <w:sz w:val="21"/>
                <w:szCs w:val="21"/>
                <w:u w:val="none"/>
                <w:lang w:val="en-US" w:eastAsia="zh-CN" w:bidi="ar"/>
              </w:rPr>
              <w:t>11</w:t>
            </w:r>
          </w:p>
        </w:tc>
        <w:tc>
          <w:tcPr>
            <w:tcW w:w="1709"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废物接收与处置 </w:t>
            </w:r>
          </w:p>
        </w:tc>
        <w:tc>
          <w:tcPr>
            <w:tcW w:w="43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所有施工过程中产生的污水、生活垃圾、固体废物等接收与处置，以及地面和绿化恢复，接收过程中涉及的特种车辆和工器具由服务方提供 </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5.00 </w:t>
            </w:r>
          </w:p>
        </w:tc>
        <w:tc>
          <w:tcPr>
            <w:tcW w:w="64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吨 </w:t>
            </w:r>
          </w:p>
        </w:tc>
        <w:tc>
          <w:tcPr>
            <w:tcW w:w="85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0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7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18"/>
                <w:szCs w:val="18"/>
                <w:lang w:eastAsia="zh-CN" w:bidi="ar"/>
              </w:rPr>
            </w:pPr>
            <w:r>
              <w:rPr>
                <w:rFonts w:hint="eastAsia" w:ascii="微软雅黑" w:hAnsi="微软雅黑" w:eastAsia="微软雅黑" w:cs="微软雅黑"/>
                <w:i w:val="0"/>
                <w:iCs w:val="0"/>
                <w:color w:val="000000"/>
                <w:kern w:val="0"/>
                <w:sz w:val="21"/>
                <w:szCs w:val="21"/>
                <w:u w:val="none"/>
                <w:lang w:val="en-US" w:eastAsia="zh-CN" w:bidi="ar"/>
              </w:rPr>
              <w:t>12</w:t>
            </w:r>
          </w:p>
        </w:tc>
        <w:tc>
          <w:tcPr>
            <w:tcW w:w="1709"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脚手架搭设和拆除 </w:t>
            </w:r>
          </w:p>
        </w:tc>
        <w:tc>
          <w:tcPr>
            <w:tcW w:w="43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施工过程中使用脚手架的搭设和拆除，脚手架的规格和施工方法应遵照国家规范 </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1985.00 </w:t>
            </w:r>
          </w:p>
        </w:tc>
        <w:tc>
          <w:tcPr>
            <w:tcW w:w="64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 xml:space="preserve"> 立方米 </w:t>
            </w:r>
          </w:p>
        </w:tc>
        <w:tc>
          <w:tcPr>
            <w:tcW w:w="85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0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7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5" w:type="dxa"/>
            <w:gridSpan w:val="8"/>
            <w:shd w:val="clear" w:color="auto" w:fill="auto"/>
            <w:vAlign w:val="top"/>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1350"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185" w:type="dxa"/>
            <w:shd w:val="clear" w:color="auto" w:fill="auto"/>
          </w:tcPr>
          <w:p>
            <w:pPr>
              <w:pStyle w:val="42"/>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0" w:type="dxa"/>
            <w:gridSpan w:val="10"/>
            <w:shd w:val="clear" w:color="auto" w:fill="auto"/>
            <w:vAlign w:val="top"/>
          </w:tcPr>
          <w:p>
            <w:pPr>
              <w:pStyle w:val="42"/>
              <w:spacing w:line="360" w:lineRule="auto"/>
              <w:ind w:firstLine="0" w:firstLineChars="0"/>
              <w:jc w:val="left"/>
              <w:rPr>
                <w:rFonts w:hint="default"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0" w:type="dxa"/>
            <w:gridSpan w:val="10"/>
            <w:shd w:val="clear" w:color="auto" w:fill="auto"/>
            <w:vAlign w:val="top"/>
          </w:tcPr>
          <w:p>
            <w:pPr>
              <w:pStyle w:val="42"/>
              <w:spacing w:line="360" w:lineRule="auto"/>
              <w:ind w:firstLine="0" w:firstLineChars="0"/>
              <w:jc w:val="left"/>
              <w:rPr>
                <w:rFonts w:hint="default"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工程类）服务期：合同签订之日起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天内完成，具体开工时间以甲方通知为准。</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42"/>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42"/>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42"/>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42"/>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42"/>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C00000"/>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42"/>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42"/>
        <w:spacing w:line="360" w:lineRule="auto"/>
        <w:ind w:right="560" w:firstLine="4830" w:firstLineChars="23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pPr>
        <w:pStyle w:val="6"/>
        <w:ind w:firstLine="0" w:firstLineChars="0"/>
        <w:rPr>
          <w:lang w:val="en-US" w:eastAsia="zh-CN"/>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新宋体-18030">
    <w:altName w:val="微软雅黑"/>
    <w:panose1 w:val="00000000000000000000"/>
    <w:charset w:val="86"/>
    <w:family w:val="modern"/>
    <w:pitch w:val="default"/>
    <w:sig w:usb0="00000000" w:usb1="00000000" w:usb2="000A005E" w:usb3="00000000" w:csb0="0004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8306"/>
      </w:tabs>
    </w:pPr>
    <w:r>
      <w:rPr>
        <w:rFonts w:hint="eastAsia"/>
      </w:rPr>
      <w:t>技术服务合同</w:t>
    </w:r>
    <w:r>
      <w:tab/>
    </w:r>
    <w:r>
      <w:rPr>
        <w:rFonts w:hint="eastAsia"/>
      </w:rPr>
      <w:t xml:space="preserve"> XK-14-ZC-</w:t>
    </w:r>
    <w:r>
      <w:rPr>
        <w:rFonts w:hint="eastAsia"/>
        <w:color w:val="FF0000"/>
      </w:rPr>
      <w:t>SSS</w:t>
    </w:r>
    <w:r>
      <w:rPr>
        <w:rFonts w:hint="eastAsia"/>
      </w:rPr>
      <w:t>-SZ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4F94"/>
    <w:multiLevelType w:val="singleLevel"/>
    <w:tmpl w:val="84A44F94"/>
    <w:lvl w:ilvl="0" w:tentative="0">
      <w:start w:val="2"/>
      <w:numFmt w:val="decimal"/>
      <w:suff w:val="space"/>
      <w:lvlText w:val="%1、"/>
      <w:lvlJc w:val="left"/>
    </w:lvl>
  </w:abstractNum>
  <w:abstractNum w:abstractNumId="1">
    <w:nsid w:val="C4816648"/>
    <w:multiLevelType w:val="singleLevel"/>
    <w:tmpl w:val="C4816648"/>
    <w:lvl w:ilvl="0" w:tentative="0">
      <w:start w:val="2"/>
      <w:numFmt w:val="decimal"/>
      <w:suff w:val="space"/>
      <w:lvlText w:val="%1、"/>
      <w:lvlJc w:val="left"/>
    </w:lvl>
  </w:abstractNum>
  <w:abstractNum w:abstractNumId="2">
    <w:nsid w:val="CEEFD90C"/>
    <w:multiLevelType w:val="singleLevel"/>
    <w:tmpl w:val="CEEFD90C"/>
    <w:lvl w:ilvl="0" w:tentative="0">
      <w:start w:val="3"/>
      <w:numFmt w:val="decimal"/>
      <w:suff w:val="nothing"/>
      <w:lvlText w:val="%1、"/>
      <w:lvlJc w:val="left"/>
    </w:lvl>
  </w:abstractNum>
  <w:abstractNum w:abstractNumId="3">
    <w:nsid w:val="D282E41F"/>
    <w:multiLevelType w:val="multilevel"/>
    <w:tmpl w:val="D282E41F"/>
    <w:lvl w:ilvl="0" w:tentative="0">
      <w:start w:val="1"/>
      <w:numFmt w:val="decimal"/>
      <w:lvlText w:val="6.%1"/>
      <w:lvlJc w:val="left"/>
      <w:pPr>
        <w:ind w:left="420" w:hanging="420"/>
      </w:pPr>
      <w:rPr>
        <w:rFonts w:hint="default" w:ascii="宋体" w:hAnsi="宋体" w:eastAsia="宋体" w:cs="宋体"/>
        <w:b w:val="0"/>
        <w:color w:val="auto"/>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FB796013"/>
    <w:multiLevelType w:val="multilevel"/>
    <w:tmpl w:val="FB796013"/>
    <w:lvl w:ilvl="0" w:tentative="0">
      <w:start w:val="1"/>
      <w:numFmt w:val="none"/>
      <w:suff w:val="nothing"/>
      <w:lvlText w:val="%1"/>
      <w:lvlJc w:val="left"/>
      <w:pPr>
        <w:ind w:left="0" w:firstLine="0"/>
      </w:pPr>
      <w:rPr>
        <w:rFonts w:hint="eastAsia" w:ascii="宋体" w:hAnsi="宋体" w:eastAsia="宋体" w:cs="宋体"/>
      </w:rPr>
    </w:lvl>
    <w:lvl w:ilvl="1" w:tentative="0">
      <w:start w:val="1"/>
      <w:numFmt w:val="decimal"/>
      <w:suff w:val="nothing"/>
      <w:lvlText w:val="%1%2　"/>
      <w:lvlJc w:val="left"/>
      <w:pPr>
        <w:ind w:left="568" w:firstLine="0"/>
      </w:pPr>
      <w:rPr>
        <w:rFonts w:hint="default" w:ascii="Times New Roman" w:hAnsi="Times New Roman" w:eastAsia="黑体" w:cs="Times New Roman"/>
        <w:b w:val="0"/>
        <w:i w:val="0"/>
        <w:sz w:val="28"/>
        <w:szCs w:val="28"/>
      </w:rPr>
    </w:lvl>
    <w:lvl w:ilvl="2" w:tentative="0">
      <w:start w:val="1"/>
      <w:numFmt w:val="decimal"/>
      <w:suff w:val="nothing"/>
      <w:lvlText w:val="%1%2.%3　"/>
      <w:lvlJc w:val="left"/>
      <w:pPr>
        <w:ind w:left="0" w:firstLine="0"/>
      </w:pPr>
      <w:rPr>
        <w:rFonts w:hint="default" w:ascii="Times New Roman" w:hAnsi="Times New Roman" w:eastAsia="黑体" w:cs="Times New Roman"/>
        <w:b w:val="0"/>
        <w:bCs w:val="0"/>
        <w:i w:val="0"/>
        <w:iCs w:val="0"/>
        <w:caps w:val="0"/>
        <w:color w:val="000000"/>
        <w:spacing w:val="0"/>
        <w:sz w:val="28"/>
        <w:szCs w:val="28"/>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4"/>
        <w:szCs w:val="24"/>
      </w:rPr>
    </w:lvl>
    <w:lvl w:ilvl="4" w:tentative="0">
      <w:start w:val="1"/>
      <w:numFmt w:val="decimal"/>
      <w:suff w:val="nothing"/>
      <w:lvlText w:val="%1%2.%3.%4.%5　"/>
      <w:lvlJc w:val="left"/>
      <w:pPr>
        <w:ind w:left="0" w:firstLine="0"/>
      </w:pPr>
      <w:rPr>
        <w:rFonts w:hint="default" w:ascii="黑体" w:hAnsi="宋体" w:eastAsia="黑体" w:cs="黑体"/>
        <w:b w:val="0"/>
        <w:i w:val="0"/>
        <w:sz w:val="24"/>
        <w:szCs w:val="24"/>
      </w:rPr>
    </w:lvl>
    <w:lvl w:ilvl="5" w:tentative="0">
      <w:start w:val="1"/>
      <w:numFmt w:val="decimal"/>
      <w:suff w:val="nothing"/>
      <w:lvlText w:val="%1%2.%3.%4.%5.%6　"/>
      <w:lvlJc w:val="left"/>
      <w:pPr>
        <w:ind w:left="0" w:firstLine="0"/>
      </w:pPr>
      <w:rPr>
        <w:rFonts w:hint="default" w:ascii="黑体" w:hAnsi="宋体" w:eastAsia="黑体" w:cs="黑体"/>
        <w:b w:val="0"/>
        <w:i w:val="0"/>
        <w:sz w:val="21"/>
        <w:szCs w:val="21"/>
      </w:rPr>
    </w:lvl>
    <w:lvl w:ilvl="6" w:tentative="0">
      <w:start w:val="1"/>
      <w:numFmt w:val="decimal"/>
      <w:suff w:val="nothing"/>
      <w:lvlText w:val="%1%2.%3.%4.%5.%6.%7　"/>
      <w:lvlJc w:val="left"/>
      <w:pPr>
        <w:ind w:left="0" w:firstLine="0"/>
      </w:pPr>
      <w:rPr>
        <w:rFonts w:hint="default" w:ascii="黑体" w:hAnsi="宋体"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5">
    <w:nsid w:val="020F6693"/>
    <w:multiLevelType w:val="singleLevel"/>
    <w:tmpl w:val="020F6693"/>
    <w:lvl w:ilvl="0" w:tentative="0">
      <w:start w:val="2"/>
      <w:numFmt w:val="decimal"/>
      <w:suff w:val="nothing"/>
      <w:lvlText w:val="%1、"/>
      <w:lvlJc w:val="left"/>
    </w:lvl>
  </w:abstractNum>
  <w:abstractNum w:abstractNumId="6">
    <w:nsid w:val="024D616C"/>
    <w:multiLevelType w:val="multilevel"/>
    <w:tmpl w:val="024D616C"/>
    <w:lvl w:ilvl="0" w:tentative="0">
      <w:start w:val="1"/>
      <w:numFmt w:val="decimal"/>
      <w:lvlText w:val="17.%1"/>
      <w:lvlJc w:val="left"/>
      <w:pPr>
        <w:ind w:left="1129" w:hanging="420"/>
      </w:pPr>
      <w:rPr>
        <w:rFonts w:hint="default" w:ascii="宋体" w:hAnsi="宋体" w:eastAsia="宋体" w:cs="宋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053A26E7"/>
    <w:multiLevelType w:val="multilevel"/>
    <w:tmpl w:val="053A26E7"/>
    <w:lvl w:ilvl="0" w:tentative="0">
      <w:start w:val="1"/>
      <w:numFmt w:val="decimal"/>
      <w:lvlText w:val="13.%1"/>
      <w:lvlJc w:val="left"/>
      <w:pPr>
        <w:ind w:left="1129" w:hanging="420"/>
      </w:pPr>
      <w:rPr>
        <w:rFonts w:hint="default" w:ascii="宋体" w:hAnsi="宋体" w:eastAsia="宋体" w:cs="宋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0EDB1D4E"/>
    <w:multiLevelType w:val="multilevel"/>
    <w:tmpl w:val="0EDB1D4E"/>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2.%2"/>
      <w:lvlJc w:val="left"/>
      <w:pPr>
        <w:tabs>
          <w:tab w:val="left" w:pos="840"/>
        </w:tabs>
        <w:ind w:left="840" w:hanging="420"/>
      </w:pPr>
      <w:rPr>
        <w:rFonts w:hint="default" w:ascii="宋体" w:hAnsi="宋体" w:eastAsia="宋体" w:cs="宋体"/>
        <w:b w:val="0"/>
        <w:i w:val="0"/>
        <w:color w:val="auto"/>
        <w:sz w:val="20"/>
        <w:szCs w:val="2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EFC1A7A"/>
    <w:multiLevelType w:val="multilevel"/>
    <w:tmpl w:val="0EFC1A7A"/>
    <w:lvl w:ilvl="0" w:tentative="0">
      <w:start w:val="1"/>
      <w:numFmt w:val="decimal"/>
      <w:lvlText w:val="19.%1"/>
      <w:lvlJc w:val="left"/>
      <w:pPr>
        <w:ind w:left="1129" w:hanging="420"/>
      </w:pPr>
      <w:rPr>
        <w:rFonts w:hint="default" w:ascii="宋体" w:hAnsi="宋体" w:eastAsia="宋体" w:cs="宋体"/>
        <w:b w:val="0"/>
        <w:i w:val="0"/>
        <w:color w:val="auto"/>
        <w:spacing w:val="0"/>
        <w:kern w:val="2"/>
        <w:sz w:val="20"/>
        <w:szCs w:val="20"/>
        <w:u w:val="none"/>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0">
    <w:nsid w:val="1149487F"/>
    <w:multiLevelType w:val="multilevel"/>
    <w:tmpl w:val="1149487F"/>
    <w:lvl w:ilvl="0" w:tentative="0">
      <w:start w:val="1"/>
      <w:numFmt w:val="decimal"/>
      <w:lvlText w:val="%1)"/>
      <w:lvlJc w:val="left"/>
      <w:pPr>
        <w:ind w:left="1549" w:hanging="420"/>
      </w:pPr>
    </w:lvl>
    <w:lvl w:ilvl="1" w:tentative="0">
      <w:start w:val="1"/>
      <w:numFmt w:val="lowerLetter"/>
      <w:lvlText w:val="%2)"/>
      <w:lvlJc w:val="left"/>
      <w:pPr>
        <w:ind w:left="1969" w:hanging="420"/>
      </w:pPr>
    </w:lvl>
    <w:lvl w:ilvl="2" w:tentative="0">
      <w:start w:val="1"/>
      <w:numFmt w:val="lowerRoman"/>
      <w:lvlText w:val="%3."/>
      <w:lvlJc w:val="right"/>
      <w:pPr>
        <w:ind w:left="2389" w:hanging="420"/>
      </w:pPr>
    </w:lvl>
    <w:lvl w:ilvl="3" w:tentative="0">
      <w:start w:val="1"/>
      <w:numFmt w:val="decimal"/>
      <w:lvlText w:val="%4."/>
      <w:lvlJc w:val="left"/>
      <w:pPr>
        <w:ind w:left="2809" w:hanging="420"/>
      </w:pPr>
    </w:lvl>
    <w:lvl w:ilvl="4" w:tentative="0">
      <w:start w:val="1"/>
      <w:numFmt w:val="lowerLetter"/>
      <w:lvlText w:val="%5)"/>
      <w:lvlJc w:val="left"/>
      <w:pPr>
        <w:ind w:left="3229" w:hanging="420"/>
      </w:pPr>
    </w:lvl>
    <w:lvl w:ilvl="5" w:tentative="0">
      <w:start w:val="1"/>
      <w:numFmt w:val="lowerRoman"/>
      <w:lvlText w:val="%6."/>
      <w:lvlJc w:val="right"/>
      <w:pPr>
        <w:ind w:left="3649" w:hanging="420"/>
      </w:pPr>
    </w:lvl>
    <w:lvl w:ilvl="6" w:tentative="0">
      <w:start w:val="1"/>
      <w:numFmt w:val="decimal"/>
      <w:lvlText w:val="%7."/>
      <w:lvlJc w:val="left"/>
      <w:pPr>
        <w:ind w:left="4069" w:hanging="420"/>
      </w:pPr>
    </w:lvl>
    <w:lvl w:ilvl="7" w:tentative="0">
      <w:start w:val="1"/>
      <w:numFmt w:val="lowerLetter"/>
      <w:lvlText w:val="%8)"/>
      <w:lvlJc w:val="left"/>
      <w:pPr>
        <w:ind w:left="4489" w:hanging="420"/>
      </w:pPr>
    </w:lvl>
    <w:lvl w:ilvl="8" w:tentative="0">
      <w:start w:val="1"/>
      <w:numFmt w:val="lowerRoman"/>
      <w:lvlText w:val="%9."/>
      <w:lvlJc w:val="right"/>
      <w:pPr>
        <w:ind w:left="4909" w:hanging="420"/>
      </w:pPr>
    </w:lvl>
  </w:abstractNum>
  <w:abstractNum w:abstractNumId="11">
    <w:nsid w:val="160F63DD"/>
    <w:multiLevelType w:val="multilevel"/>
    <w:tmpl w:val="160F63DD"/>
    <w:lvl w:ilvl="0" w:tentative="0">
      <w:start w:val="1"/>
      <w:numFmt w:val="decimal"/>
      <w:lvlText w:val="16.%1"/>
      <w:lvlJc w:val="left"/>
      <w:pPr>
        <w:tabs>
          <w:tab w:val="left" w:pos="840"/>
        </w:tabs>
        <w:ind w:left="840" w:hanging="420"/>
      </w:pPr>
      <w:rPr>
        <w:rFonts w:hint="eastAsia"/>
      </w:rPr>
    </w:lvl>
    <w:lvl w:ilvl="1" w:tentative="0">
      <w:start w:val="1"/>
      <w:numFmt w:val="decimal"/>
      <w:lvlText w:val="17.%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280"/>
        </w:tabs>
        <w:ind w:left="1965" w:hanging="112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8324A0E"/>
    <w:multiLevelType w:val="singleLevel"/>
    <w:tmpl w:val="18324A0E"/>
    <w:lvl w:ilvl="0" w:tentative="0">
      <w:start w:val="1"/>
      <w:numFmt w:val="decimal"/>
      <w:suff w:val="nothing"/>
      <w:lvlText w:val="%1、"/>
      <w:lvlJc w:val="left"/>
    </w:lvl>
  </w:abstractNum>
  <w:abstractNum w:abstractNumId="13">
    <w:nsid w:val="1B0668AC"/>
    <w:multiLevelType w:val="multilevel"/>
    <w:tmpl w:val="1B0668AC"/>
    <w:lvl w:ilvl="0" w:tentative="0">
      <w:start w:val="1"/>
      <w:numFmt w:val="decimal"/>
      <w:lvlText w:val="(%1)"/>
      <w:lvlJc w:val="left"/>
      <w:pPr>
        <w:tabs>
          <w:tab w:val="left" w:pos="420"/>
        </w:tabs>
        <w:ind w:left="420" w:hanging="420"/>
      </w:pPr>
      <w:rPr>
        <w:rFonts w:hint="default" w:ascii="Times New Roman" w:hAnsi="Times New Roman" w:cs="Times New Roman"/>
        <w:sz w:val="24"/>
        <w:szCs w:val="24"/>
      </w:rPr>
    </w:lvl>
    <w:lvl w:ilvl="1" w:tentative="0">
      <w:start w:val="1"/>
      <w:numFmt w:val="decimal"/>
      <w:lvlText w:val="12.%2"/>
      <w:lvlJc w:val="left"/>
      <w:pPr>
        <w:tabs>
          <w:tab w:val="left" w:pos="840"/>
        </w:tabs>
        <w:ind w:left="840" w:hanging="420"/>
      </w:pPr>
      <w:rPr>
        <w:rFonts w:hint="eastAsia"/>
        <w:b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12D6D24"/>
    <w:multiLevelType w:val="multilevel"/>
    <w:tmpl w:val="212D6D24"/>
    <w:lvl w:ilvl="0" w:tentative="0">
      <w:start w:val="1"/>
      <w:numFmt w:val="decimal"/>
      <w:lvlText w:val="20.%1"/>
      <w:lvlJc w:val="left"/>
      <w:pPr>
        <w:ind w:left="1039" w:hanging="420"/>
      </w:pPr>
      <w:rPr>
        <w:rFonts w:hint="default" w:ascii="宋体" w:hAnsi="宋体" w:eastAsia="宋体" w:cs="宋体"/>
        <w:b w:val="0"/>
        <w:i w:val="0"/>
        <w:color w:val="auto"/>
        <w:spacing w:val="0"/>
        <w:kern w:val="2"/>
        <w:sz w:val="20"/>
        <w:szCs w:val="20"/>
        <w:u w:val="none"/>
      </w:rPr>
    </w:lvl>
    <w:lvl w:ilvl="1" w:tentative="0">
      <w:start w:val="1"/>
      <w:numFmt w:val="lowerLetter"/>
      <w:lvlText w:val="%2)"/>
      <w:lvlJc w:val="left"/>
      <w:pPr>
        <w:ind w:left="1459" w:hanging="420"/>
      </w:pPr>
    </w:lvl>
    <w:lvl w:ilvl="2" w:tentative="0">
      <w:start w:val="1"/>
      <w:numFmt w:val="lowerRoman"/>
      <w:lvlText w:val="%3."/>
      <w:lvlJc w:val="right"/>
      <w:pPr>
        <w:ind w:left="1879" w:hanging="420"/>
      </w:pPr>
    </w:lvl>
    <w:lvl w:ilvl="3" w:tentative="0">
      <w:start w:val="1"/>
      <w:numFmt w:val="decimal"/>
      <w:lvlText w:val="%4."/>
      <w:lvlJc w:val="left"/>
      <w:pPr>
        <w:ind w:left="2299" w:hanging="420"/>
      </w:pPr>
    </w:lvl>
    <w:lvl w:ilvl="4" w:tentative="0">
      <w:start w:val="1"/>
      <w:numFmt w:val="lowerLetter"/>
      <w:lvlText w:val="%5)"/>
      <w:lvlJc w:val="left"/>
      <w:pPr>
        <w:ind w:left="2719" w:hanging="420"/>
      </w:pPr>
    </w:lvl>
    <w:lvl w:ilvl="5" w:tentative="0">
      <w:start w:val="1"/>
      <w:numFmt w:val="lowerRoman"/>
      <w:lvlText w:val="%6."/>
      <w:lvlJc w:val="right"/>
      <w:pPr>
        <w:ind w:left="3139" w:hanging="420"/>
      </w:pPr>
    </w:lvl>
    <w:lvl w:ilvl="6" w:tentative="0">
      <w:start w:val="1"/>
      <w:numFmt w:val="decimal"/>
      <w:lvlText w:val="%7."/>
      <w:lvlJc w:val="left"/>
      <w:pPr>
        <w:ind w:left="3559" w:hanging="420"/>
      </w:pPr>
    </w:lvl>
    <w:lvl w:ilvl="7" w:tentative="0">
      <w:start w:val="1"/>
      <w:numFmt w:val="lowerLetter"/>
      <w:lvlText w:val="%8)"/>
      <w:lvlJc w:val="left"/>
      <w:pPr>
        <w:ind w:left="3979" w:hanging="420"/>
      </w:pPr>
    </w:lvl>
    <w:lvl w:ilvl="8" w:tentative="0">
      <w:start w:val="1"/>
      <w:numFmt w:val="lowerRoman"/>
      <w:lvlText w:val="%9."/>
      <w:lvlJc w:val="right"/>
      <w:pPr>
        <w:ind w:left="4399" w:hanging="420"/>
      </w:pPr>
    </w:lvl>
  </w:abstractNum>
  <w:abstractNum w:abstractNumId="15">
    <w:nsid w:val="230F2EA5"/>
    <w:multiLevelType w:val="multilevel"/>
    <w:tmpl w:val="230F2EA5"/>
    <w:lvl w:ilvl="0" w:tentative="0">
      <w:start w:val="1"/>
      <w:numFmt w:val="decimal"/>
      <w:lvlText w:val="5.%1"/>
      <w:lvlJc w:val="left"/>
      <w:pPr>
        <w:ind w:left="420" w:hanging="420"/>
      </w:pPr>
      <w:rPr>
        <w:rFonts w:hint="default" w:ascii="宋体" w:hAnsi="宋体" w:eastAsia="宋体" w:cs="宋体"/>
        <w:b w:val="0"/>
        <w:color w:val="auto"/>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A4432F0"/>
    <w:multiLevelType w:val="multilevel"/>
    <w:tmpl w:val="2A4432F0"/>
    <w:lvl w:ilvl="0" w:tentative="0">
      <w:start w:val="1"/>
      <w:numFmt w:val="decimal"/>
      <w:lvlText w:val="(%1)"/>
      <w:lvlJc w:val="left"/>
      <w:pPr>
        <w:ind w:left="1129" w:hanging="420"/>
      </w:pPr>
      <w:rPr>
        <w:rFonts w:hint="default" w:ascii="Times New Roman" w:hAnsi="Times New Roman" w:cs="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7">
    <w:nsid w:val="2DF54DF2"/>
    <w:multiLevelType w:val="multilevel"/>
    <w:tmpl w:val="2DF54DF2"/>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decimal"/>
      <w:lvlText w:val="(%3)"/>
      <w:lvlJc w:val="left"/>
      <w:pPr>
        <w:ind w:left="1969" w:hanging="420"/>
      </w:pPr>
      <w:rPr>
        <w:rFonts w:hint="eastAsia"/>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8">
    <w:nsid w:val="305728CA"/>
    <w:multiLevelType w:val="multilevel"/>
    <w:tmpl w:val="305728CA"/>
    <w:lvl w:ilvl="0" w:tentative="0">
      <w:start w:val="4"/>
      <w:numFmt w:val="decimal"/>
      <w:lvlText w:val="%1"/>
      <w:lvlJc w:val="left"/>
      <w:pPr>
        <w:tabs>
          <w:tab w:val="left" w:pos="540"/>
        </w:tabs>
        <w:ind w:left="540" w:hanging="540"/>
      </w:pPr>
      <w:rPr>
        <w:rFonts w:hint="default"/>
        <w:color w:val="auto"/>
      </w:rPr>
    </w:lvl>
    <w:lvl w:ilvl="1" w:tentative="0">
      <w:start w:val="1"/>
      <w:numFmt w:val="decimal"/>
      <w:lvlText w:val="4.%2"/>
      <w:lvlJc w:val="left"/>
      <w:pPr>
        <w:tabs>
          <w:tab w:val="left" w:pos="540"/>
        </w:tabs>
        <w:ind w:left="540" w:hanging="540"/>
      </w:pPr>
      <w:rPr>
        <w:rFonts w:hint="default" w:ascii="宋体" w:hAnsi="宋体" w:eastAsia="宋体" w:cs="宋体"/>
        <w:b w:val="0"/>
        <w:color w:val="000000"/>
        <w:sz w:val="20"/>
        <w:szCs w:val="20"/>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9">
    <w:nsid w:val="307CDDE0"/>
    <w:multiLevelType w:val="multilevel"/>
    <w:tmpl w:val="307CDDE0"/>
    <w:lvl w:ilvl="0" w:tentative="0">
      <w:start w:val="1"/>
      <w:numFmt w:val="decimal"/>
      <w:lvlText w:val="8.%1"/>
      <w:lvlJc w:val="left"/>
      <w:pPr>
        <w:ind w:left="1129" w:hanging="420"/>
      </w:pPr>
      <w:rPr>
        <w:rFonts w:hint="default" w:ascii="宋体" w:hAnsi="宋体" w:eastAsia="宋体" w:cs="宋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0">
    <w:nsid w:val="325F36FB"/>
    <w:multiLevelType w:val="multilevel"/>
    <w:tmpl w:val="325F36FB"/>
    <w:lvl w:ilvl="0" w:tentative="0">
      <w:start w:val="1"/>
      <w:numFmt w:val="decimal"/>
      <w:lvlText w:val="2.%1"/>
      <w:lvlJc w:val="left"/>
      <w:pPr>
        <w:ind w:left="420" w:hanging="420"/>
      </w:pPr>
      <w:rPr>
        <w:rFonts w:hint="eastAsia"/>
      </w:rPr>
    </w:lvl>
    <w:lvl w:ilvl="1" w:tentative="0">
      <w:start w:val="1"/>
      <w:numFmt w:val="decimal"/>
      <w:lvlText w:val="2.%2"/>
      <w:lvlJc w:val="left"/>
      <w:pPr>
        <w:ind w:left="840" w:hanging="420"/>
      </w:pPr>
      <w:rPr>
        <w:rFonts w:hint="default" w:ascii="宋体" w:hAnsi="宋体" w:eastAsia="宋体" w:cs="宋体"/>
        <w:b w:val="0"/>
        <w:sz w:val="20"/>
        <w:szCs w:val="20"/>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22">
    <w:nsid w:val="3B2C3E48"/>
    <w:multiLevelType w:val="multilevel"/>
    <w:tmpl w:val="3B2C3E48"/>
    <w:lvl w:ilvl="0" w:tentative="0">
      <w:start w:val="1"/>
      <w:numFmt w:val="chineseCountingThousand"/>
      <w:pStyle w:val="64"/>
      <w:lvlText w:val="第%1条"/>
      <w:lvlJc w:val="left"/>
      <w:pPr>
        <w:tabs>
          <w:tab w:val="left" w:pos="720"/>
        </w:tabs>
        <w:ind w:left="720"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1"/>
        <w:szCs w:val="21"/>
        <w:u w:val="none"/>
        <w:vertAlign w:val="baseline"/>
        <w:lang w:val="en-US"/>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0B6C9A8"/>
    <w:multiLevelType w:val="singleLevel"/>
    <w:tmpl w:val="40B6C9A8"/>
    <w:lvl w:ilvl="0" w:tentative="0">
      <w:start w:val="1"/>
      <w:numFmt w:val="decimal"/>
      <w:suff w:val="nothing"/>
      <w:lvlText w:val="%1、"/>
      <w:lvlJc w:val="left"/>
    </w:lvl>
  </w:abstractNum>
  <w:abstractNum w:abstractNumId="24">
    <w:nsid w:val="41A87BC6"/>
    <w:multiLevelType w:val="multilevel"/>
    <w:tmpl w:val="41A87BC6"/>
    <w:lvl w:ilvl="0" w:tentative="0">
      <w:start w:val="1"/>
      <w:numFmt w:val="decimal"/>
      <w:lvlText w:val="11.%1"/>
      <w:lvlJc w:val="left"/>
      <w:pPr>
        <w:ind w:left="1129" w:hanging="420"/>
      </w:pPr>
      <w:rPr>
        <w:rFonts w:hint="default" w:ascii="宋体" w:hAnsi="宋体" w:eastAsia="宋体" w:cs="宋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5">
    <w:nsid w:val="475F5AFA"/>
    <w:multiLevelType w:val="multilevel"/>
    <w:tmpl w:val="475F5A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93D7FB2"/>
    <w:multiLevelType w:val="multilevel"/>
    <w:tmpl w:val="493D7FB2"/>
    <w:lvl w:ilvl="0" w:tentative="0">
      <w:start w:val="1"/>
      <w:numFmt w:val="decimal"/>
      <w:lvlText w:val="7.%1"/>
      <w:lvlJc w:val="left"/>
      <w:pPr>
        <w:ind w:left="1129" w:hanging="420"/>
      </w:pPr>
      <w:rPr>
        <w:rFonts w:hint="default" w:ascii="宋体" w:hAnsi="宋体" w:eastAsia="宋体" w:cs="宋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7">
    <w:nsid w:val="4A4C7FAB"/>
    <w:multiLevelType w:val="multilevel"/>
    <w:tmpl w:val="4A4C7FAB"/>
    <w:lvl w:ilvl="0" w:tentative="0">
      <w:start w:val="1"/>
      <w:numFmt w:val="decimal"/>
      <w:lvlText w:val="%1)"/>
      <w:lvlJc w:val="left"/>
      <w:pPr>
        <w:ind w:left="1413"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4CA1730C"/>
    <w:multiLevelType w:val="multilevel"/>
    <w:tmpl w:val="4CA1730C"/>
    <w:lvl w:ilvl="0" w:tentative="0">
      <w:start w:val="1"/>
      <w:numFmt w:val="decimal"/>
      <w:lvlText w:val="23.%1"/>
      <w:lvlJc w:val="left"/>
      <w:pPr>
        <w:ind w:left="1129" w:hanging="420"/>
      </w:pPr>
      <w:rPr>
        <w:rFonts w:hint="default" w:ascii="宋体" w:hAnsi="宋体" w:eastAsia="宋体" w:cs="宋体"/>
        <w:b w:val="0"/>
        <w:i w:val="0"/>
        <w:color w:val="auto"/>
        <w:sz w:val="20"/>
        <w:szCs w:val="2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9">
    <w:nsid w:val="4CA17647"/>
    <w:multiLevelType w:val="multilevel"/>
    <w:tmpl w:val="4CA17647"/>
    <w:lvl w:ilvl="0" w:tentative="0">
      <w:start w:val="1"/>
      <w:numFmt w:val="decimal"/>
      <w:lvlText w:val="15.%1"/>
      <w:lvlJc w:val="left"/>
      <w:pPr>
        <w:ind w:left="1129" w:hanging="420"/>
      </w:pPr>
      <w:rPr>
        <w:rFonts w:hint="default" w:ascii="宋体" w:hAnsi="宋体" w:eastAsia="宋体" w:cs="宋体"/>
        <w:b w:val="0"/>
        <w:i w:val="0"/>
        <w:color w:val="auto"/>
        <w:sz w:val="20"/>
        <w:szCs w:val="2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0">
    <w:nsid w:val="5124085E"/>
    <w:multiLevelType w:val="multilevel"/>
    <w:tmpl w:val="5124085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6DE59D5"/>
    <w:multiLevelType w:val="multilevel"/>
    <w:tmpl w:val="56DE59D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B2B50CC"/>
    <w:multiLevelType w:val="multilevel"/>
    <w:tmpl w:val="5B2B50CC"/>
    <w:lvl w:ilvl="0" w:tentative="0">
      <w:start w:val="1"/>
      <w:numFmt w:val="decimal"/>
      <w:lvlText w:val="9.%1"/>
      <w:lvlJc w:val="left"/>
      <w:pPr>
        <w:ind w:left="1339" w:hanging="420"/>
      </w:pPr>
      <w:rPr>
        <w:rFonts w:hint="default" w:ascii="宋体" w:hAnsi="宋体" w:eastAsia="宋体" w:cs="宋体"/>
        <w:b w:val="0"/>
        <w:i w:val="0"/>
        <w:color w:val="auto"/>
        <w:sz w:val="20"/>
        <w:szCs w:val="20"/>
      </w:rPr>
    </w:lvl>
    <w:lvl w:ilvl="1" w:tentative="0">
      <w:start w:val="1"/>
      <w:numFmt w:val="lowerLetter"/>
      <w:lvlText w:val="%2)"/>
      <w:lvlJc w:val="left"/>
      <w:pPr>
        <w:ind w:left="1759" w:hanging="420"/>
      </w:pPr>
    </w:lvl>
    <w:lvl w:ilvl="2" w:tentative="0">
      <w:start w:val="1"/>
      <w:numFmt w:val="lowerRoman"/>
      <w:lvlText w:val="%3."/>
      <w:lvlJc w:val="right"/>
      <w:pPr>
        <w:ind w:left="2179" w:hanging="420"/>
      </w:pPr>
    </w:lvl>
    <w:lvl w:ilvl="3" w:tentative="0">
      <w:start w:val="1"/>
      <w:numFmt w:val="decimal"/>
      <w:lvlText w:val="%4."/>
      <w:lvlJc w:val="left"/>
      <w:pPr>
        <w:ind w:left="2599" w:hanging="420"/>
      </w:pPr>
    </w:lvl>
    <w:lvl w:ilvl="4" w:tentative="0">
      <w:start w:val="1"/>
      <w:numFmt w:val="lowerLetter"/>
      <w:lvlText w:val="%5)"/>
      <w:lvlJc w:val="left"/>
      <w:pPr>
        <w:ind w:left="3019" w:hanging="420"/>
      </w:pPr>
    </w:lvl>
    <w:lvl w:ilvl="5" w:tentative="0">
      <w:start w:val="1"/>
      <w:numFmt w:val="lowerRoman"/>
      <w:lvlText w:val="%6."/>
      <w:lvlJc w:val="right"/>
      <w:pPr>
        <w:ind w:left="3439" w:hanging="420"/>
      </w:pPr>
    </w:lvl>
    <w:lvl w:ilvl="6" w:tentative="0">
      <w:start w:val="1"/>
      <w:numFmt w:val="decimal"/>
      <w:lvlText w:val="%7."/>
      <w:lvlJc w:val="left"/>
      <w:pPr>
        <w:ind w:left="3859" w:hanging="420"/>
      </w:pPr>
    </w:lvl>
    <w:lvl w:ilvl="7" w:tentative="0">
      <w:start w:val="1"/>
      <w:numFmt w:val="lowerLetter"/>
      <w:lvlText w:val="%8)"/>
      <w:lvlJc w:val="left"/>
      <w:pPr>
        <w:ind w:left="4279" w:hanging="420"/>
      </w:pPr>
    </w:lvl>
    <w:lvl w:ilvl="8" w:tentative="0">
      <w:start w:val="1"/>
      <w:numFmt w:val="lowerRoman"/>
      <w:lvlText w:val="%9."/>
      <w:lvlJc w:val="right"/>
      <w:pPr>
        <w:ind w:left="4699" w:hanging="420"/>
      </w:pPr>
    </w:lvl>
  </w:abstractNum>
  <w:abstractNum w:abstractNumId="33">
    <w:nsid w:val="5C0F7164"/>
    <w:multiLevelType w:val="multilevel"/>
    <w:tmpl w:val="5C0F7164"/>
    <w:lvl w:ilvl="0" w:tentative="0">
      <w:start w:val="1"/>
      <w:numFmt w:val="decimal"/>
      <w:lvlText w:val="14.%1"/>
      <w:lvlJc w:val="left"/>
      <w:pPr>
        <w:ind w:left="1129" w:hanging="420"/>
      </w:pPr>
      <w:rPr>
        <w:rFonts w:hint="default" w:ascii="宋体" w:hAnsi="宋体" w:eastAsia="宋体" w:cs="宋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4">
    <w:nsid w:val="61694D6C"/>
    <w:multiLevelType w:val="singleLevel"/>
    <w:tmpl w:val="61694D6C"/>
    <w:lvl w:ilvl="0" w:tentative="0">
      <w:start w:val="1"/>
      <w:numFmt w:val="decimal"/>
      <w:suff w:val="nothing"/>
      <w:lvlText w:val="%1、"/>
      <w:lvlJc w:val="left"/>
    </w:lvl>
  </w:abstractNum>
  <w:abstractNum w:abstractNumId="35">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AB6260A"/>
    <w:multiLevelType w:val="multilevel"/>
    <w:tmpl w:val="6AB6260A"/>
    <w:lvl w:ilvl="0" w:tentative="0">
      <w:start w:val="1"/>
      <w:numFmt w:val="decimal"/>
      <w:lvlText w:val="16.%1"/>
      <w:lvlJc w:val="left"/>
      <w:pPr>
        <w:ind w:left="1129" w:hanging="420"/>
      </w:pPr>
      <w:rPr>
        <w:rFonts w:hint="default" w:ascii="宋体" w:hAnsi="宋体" w:eastAsia="宋体" w:cs="宋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7">
    <w:nsid w:val="6B055A0E"/>
    <w:multiLevelType w:val="multilevel"/>
    <w:tmpl w:val="6B055A0E"/>
    <w:lvl w:ilvl="0" w:tentative="0">
      <w:start w:val="1"/>
      <w:numFmt w:val="decimal"/>
      <w:lvlText w:val="22.%1"/>
      <w:lvlJc w:val="left"/>
      <w:pPr>
        <w:ind w:left="1129" w:hanging="420"/>
      </w:pPr>
      <w:rPr>
        <w:rFonts w:hint="default" w:ascii="宋体" w:hAnsi="宋体" w:eastAsia="宋体" w:cs="宋体"/>
        <w:b w:val="0"/>
        <w:i w:val="0"/>
        <w:color w:val="auto"/>
        <w:sz w:val="20"/>
        <w:szCs w:val="2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8">
    <w:nsid w:val="73A14AE2"/>
    <w:multiLevelType w:val="multilevel"/>
    <w:tmpl w:val="73A14AE2"/>
    <w:lvl w:ilvl="0" w:tentative="0">
      <w:start w:val="1"/>
      <w:numFmt w:val="decimal"/>
      <w:lvlText w:val="18.%1"/>
      <w:lvlJc w:val="left"/>
      <w:pPr>
        <w:ind w:left="1129" w:hanging="420"/>
      </w:pPr>
      <w:rPr>
        <w:rFonts w:hint="default" w:ascii="宋体" w:hAnsi="宋体" w:eastAsia="宋体" w:cs="宋体"/>
        <w:b w:val="0"/>
        <w:i w:val="0"/>
        <w:color w:val="auto"/>
        <w:sz w:val="20"/>
        <w:szCs w:val="2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9">
    <w:nsid w:val="746F07F8"/>
    <w:multiLevelType w:val="multilevel"/>
    <w:tmpl w:val="746F07F8"/>
    <w:lvl w:ilvl="0" w:tentative="0">
      <w:start w:val="1"/>
      <w:numFmt w:val="decimal"/>
      <w:lvlText w:val="21.%1"/>
      <w:lvlJc w:val="left"/>
      <w:pPr>
        <w:ind w:left="1129" w:hanging="420"/>
      </w:pPr>
      <w:rPr>
        <w:rFonts w:hint="default" w:ascii="宋体" w:hAnsi="宋体" w:eastAsia="宋体" w:cs="宋体"/>
        <w:b w:val="0"/>
        <w:i w:val="0"/>
        <w:color w:val="auto"/>
        <w:sz w:val="20"/>
        <w:szCs w:val="2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0">
    <w:nsid w:val="75A16CED"/>
    <w:multiLevelType w:val="multilevel"/>
    <w:tmpl w:val="75A16CED"/>
    <w:lvl w:ilvl="0" w:tentative="0">
      <w:start w:val="1"/>
      <w:numFmt w:val="decimal"/>
      <w:lvlText w:val="%1"/>
      <w:lvlJc w:val="left"/>
      <w:pPr>
        <w:tabs>
          <w:tab w:val="left" w:pos="540"/>
        </w:tabs>
        <w:ind w:left="540" w:hanging="540"/>
      </w:pPr>
      <w:rPr>
        <w:rFonts w:hint="default"/>
        <w:color w:val="auto"/>
      </w:rPr>
    </w:lvl>
    <w:lvl w:ilvl="1" w:tentative="0">
      <w:start w:val="1"/>
      <w:numFmt w:val="decimal"/>
      <w:lvlText w:val="%1.%2"/>
      <w:lvlJc w:val="left"/>
      <w:pPr>
        <w:tabs>
          <w:tab w:val="left" w:pos="540"/>
        </w:tabs>
        <w:ind w:left="540" w:hanging="540"/>
      </w:pPr>
      <w:rPr>
        <w:rFonts w:hint="default" w:ascii="宋体" w:hAnsi="宋体" w:eastAsia="宋体" w:cs="宋体"/>
        <w:color w:val="auto"/>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41">
    <w:nsid w:val="78AB0270"/>
    <w:multiLevelType w:val="multilevel"/>
    <w:tmpl w:val="78AB0270"/>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9492715"/>
    <w:multiLevelType w:val="multilevel"/>
    <w:tmpl w:val="79492715"/>
    <w:lvl w:ilvl="0" w:tentative="0">
      <w:start w:val="1"/>
      <w:numFmt w:val="decimal"/>
      <w:lvlText w:val="10.%1"/>
      <w:lvlJc w:val="left"/>
      <w:pPr>
        <w:ind w:left="1129" w:hanging="420"/>
      </w:pPr>
      <w:rPr>
        <w:rFonts w:hint="default" w:ascii="宋体" w:hAnsi="宋体" w:eastAsia="宋体" w:cs="宋体"/>
        <w:b w:val="0"/>
        <w:color w:val="auto"/>
        <w:sz w:val="20"/>
        <w:szCs w:val="2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3">
    <w:nsid w:val="7981242F"/>
    <w:multiLevelType w:val="multilevel"/>
    <w:tmpl w:val="7981242F"/>
    <w:lvl w:ilvl="0" w:tentative="0">
      <w:start w:val="1"/>
      <w:numFmt w:val="decimal"/>
      <w:lvlText w:val="3.%1"/>
      <w:lvlJc w:val="left"/>
      <w:pPr>
        <w:ind w:left="1140" w:hanging="420"/>
      </w:pPr>
      <w:rPr>
        <w:rFonts w:hint="default" w:ascii="宋体" w:hAnsi="宋体" w:eastAsia="宋体" w:cs="宋体"/>
        <w:b w:val="0"/>
        <w:i w:val="0"/>
        <w:color w:val="auto"/>
        <w:sz w:val="20"/>
        <w:szCs w:val="20"/>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2"/>
  </w:num>
  <w:num w:numId="2">
    <w:abstractNumId w:val="5"/>
  </w:num>
  <w:num w:numId="3">
    <w:abstractNumId w:val="1"/>
  </w:num>
  <w:num w:numId="4">
    <w:abstractNumId w:val="2"/>
  </w:num>
  <w:num w:numId="5">
    <w:abstractNumId w:val="0"/>
  </w:num>
  <w:num w:numId="6">
    <w:abstractNumId w:val="40"/>
  </w:num>
  <w:num w:numId="7">
    <w:abstractNumId w:val="20"/>
  </w:num>
  <w:num w:numId="8">
    <w:abstractNumId w:val="43"/>
  </w:num>
  <w:num w:numId="9">
    <w:abstractNumId w:val="18"/>
  </w:num>
  <w:num w:numId="10">
    <w:abstractNumId w:val="30"/>
  </w:num>
  <w:num w:numId="11">
    <w:abstractNumId w:val="41"/>
  </w:num>
  <w:num w:numId="12">
    <w:abstractNumId w:val="27"/>
  </w:num>
  <w:num w:numId="13">
    <w:abstractNumId w:val="15"/>
  </w:num>
  <w:num w:numId="14">
    <w:abstractNumId w:val="3"/>
  </w:num>
  <w:num w:numId="15">
    <w:abstractNumId w:val="26"/>
  </w:num>
  <w:num w:numId="16">
    <w:abstractNumId w:val="19"/>
  </w:num>
  <w:num w:numId="17">
    <w:abstractNumId w:val="32"/>
  </w:num>
  <w:num w:numId="18">
    <w:abstractNumId w:val="11"/>
  </w:num>
  <w:num w:numId="19">
    <w:abstractNumId w:val="42"/>
  </w:num>
  <w:num w:numId="20">
    <w:abstractNumId w:val="13"/>
  </w:num>
  <w:num w:numId="21">
    <w:abstractNumId w:val="24"/>
  </w:num>
  <w:num w:numId="22">
    <w:abstractNumId w:val="8"/>
  </w:num>
  <w:num w:numId="23">
    <w:abstractNumId w:val="17"/>
  </w:num>
  <w:num w:numId="24">
    <w:abstractNumId w:val="7"/>
  </w:num>
  <w:num w:numId="25">
    <w:abstractNumId w:val="25"/>
  </w:num>
  <w:num w:numId="26">
    <w:abstractNumId w:val="33"/>
  </w:num>
  <w:num w:numId="27">
    <w:abstractNumId w:val="31"/>
  </w:num>
  <w:num w:numId="28">
    <w:abstractNumId w:val="29"/>
  </w:num>
  <w:num w:numId="29">
    <w:abstractNumId w:val="36"/>
  </w:num>
  <w:num w:numId="30">
    <w:abstractNumId w:val="10"/>
  </w:num>
  <w:num w:numId="31">
    <w:abstractNumId w:val="6"/>
  </w:num>
  <w:num w:numId="32">
    <w:abstractNumId w:val="38"/>
  </w:num>
  <w:num w:numId="33">
    <w:abstractNumId w:val="9"/>
  </w:num>
  <w:num w:numId="34">
    <w:abstractNumId w:val="16"/>
  </w:num>
  <w:num w:numId="35">
    <w:abstractNumId w:val="14"/>
  </w:num>
  <w:num w:numId="36">
    <w:abstractNumId w:val="39"/>
  </w:num>
  <w:num w:numId="37">
    <w:abstractNumId w:val="21"/>
  </w:num>
  <w:num w:numId="38">
    <w:abstractNumId w:val="37"/>
  </w:num>
  <w:num w:numId="39">
    <w:abstractNumId w:val="28"/>
  </w:num>
  <w:num w:numId="40">
    <w:abstractNumId w:val="4"/>
  </w:num>
  <w:num w:numId="41">
    <w:abstractNumId w:val="23"/>
  </w:num>
  <w:num w:numId="42">
    <w:abstractNumId w:val="12"/>
  </w:num>
  <w:num w:numId="43">
    <w:abstractNumId w:val="34"/>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7E3B30"/>
    <w:rsid w:val="02987ACD"/>
    <w:rsid w:val="031B4CE9"/>
    <w:rsid w:val="032F103F"/>
    <w:rsid w:val="034D72B2"/>
    <w:rsid w:val="036B136E"/>
    <w:rsid w:val="03A64228"/>
    <w:rsid w:val="03C549C8"/>
    <w:rsid w:val="040C6E91"/>
    <w:rsid w:val="042E39CF"/>
    <w:rsid w:val="0442138C"/>
    <w:rsid w:val="045E2080"/>
    <w:rsid w:val="04DB0285"/>
    <w:rsid w:val="04EE495B"/>
    <w:rsid w:val="05800AA3"/>
    <w:rsid w:val="059B46A8"/>
    <w:rsid w:val="064D75C2"/>
    <w:rsid w:val="06A00E6B"/>
    <w:rsid w:val="06A478F6"/>
    <w:rsid w:val="06C41C49"/>
    <w:rsid w:val="06ED21EB"/>
    <w:rsid w:val="073A2498"/>
    <w:rsid w:val="075333FB"/>
    <w:rsid w:val="07794418"/>
    <w:rsid w:val="087F37FD"/>
    <w:rsid w:val="08A40D88"/>
    <w:rsid w:val="08D65666"/>
    <w:rsid w:val="095A50FC"/>
    <w:rsid w:val="098E03C7"/>
    <w:rsid w:val="09B7349E"/>
    <w:rsid w:val="09F2269B"/>
    <w:rsid w:val="0A6F0775"/>
    <w:rsid w:val="0A9671D9"/>
    <w:rsid w:val="0AEB188B"/>
    <w:rsid w:val="0B29724A"/>
    <w:rsid w:val="0B4266BB"/>
    <w:rsid w:val="0B531E35"/>
    <w:rsid w:val="0BAC01B4"/>
    <w:rsid w:val="0BFD0F44"/>
    <w:rsid w:val="0C3A03CD"/>
    <w:rsid w:val="0C434FF4"/>
    <w:rsid w:val="0CAB2C38"/>
    <w:rsid w:val="0CBD2ABF"/>
    <w:rsid w:val="0CEE32B2"/>
    <w:rsid w:val="0D007BE0"/>
    <w:rsid w:val="0D026C09"/>
    <w:rsid w:val="0D2F3ECE"/>
    <w:rsid w:val="0D36577E"/>
    <w:rsid w:val="0DF513F2"/>
    <w:rsid w:val="0E70329F"/>
    <w:rsid w:val="0EA20611"/>
    <w:rsid w:val="0EA44750"/>
    <w:rsid w:val="0EB219BC"/>
    <w:rsid w:val="0F2D3164"/>
    <w:rsid w:val="0FAA4E26"/>
    <w:rsid w:val="0FD329CD"/>
    <w:rsid w:val="0FE442C8"/>
    <w:rsid w:val="0FF05B46"/>
    <w:rsid w:val="104E637E"/>
    <w:rsid w:val="10DC2046"/>
    <w:rsid w:val="116358B9"/>
    <w:rsid w:val="11A3156D"/>
    <w:rsid w:val="11C80560"/>
    <w:rsid w:val="11D51CD2"/>
    <w:rsid w:val="12404210"/>
    <w:rsid w:val="12CD4474"/>
    <w:rsid w:val="12D573EB"/>
    <w:rsid w:val="12DE0F4D"/>
    <w:rsid w:val="12F13DE0"/>
    <w:rsid w:val="136F1811"/>
    <w:rsid w:val="13991974"/>
    <w:rsid w:val="13A574D6"/>
    <w:rsid w:val="13AB3552"/>
    <w:rsid w:val="13EB3669"/>
    <w:rsid w:val="148A193E"/>
    <w:rsid w:val="14962BF2"/>
    <w:rsid w:val="15112F23"/>
    <w:rsid w:val="15560646"/>
    <w:rsid w:val="15F97AE2"/>
    <w:rsid w:val="160D2A82"/>
    <w:rsid w:val="1658087C"/>
    <w:rsid w:val="170B0129"/>
    <w:rsid w:val="17270097"/>
    <w:rsid w:val="1839700F"/>
    <w:rsid w:val="1940737B"/>
    <w:rsid w:val="19820A7A"/>
    <w:rsid w:val="19BE1AAB"/>
    <w:rsid w:val="1A182DF0"/>
    <w:rsid w:val="1AF347C3"/>
    <w:rsid w:val="1B5929C7"/>
    <w:rsid w:val="1BF931D7"/>
    <w:rsid w:val="1C4F5EF0"/>
    <w:rsid w:val="1CC02D2D"/>
    <w:rsid w:val="1D2F5DEB"/>
    <w:rsid w:val="1D506145"/>
    <w:rsid w:val="1DD763E7"/>
    <w:rsid w:val="1DFB16B0"/>
    <w:rsid w:val="1E7A4FD0"/>
    <w:rsid w:val="1E8349E3"/>
    <w:rsid w:val="1E846C1E"/>
    <w:rsid w:val="1ED61050"/>
    <w:rsid w:val="1F0C773E"/>
    <w:rsid w:val="1F1B2614"/>
    <w:rsid w:val="1F510B7E"/>
    <w:rsid w:val="1F6751CA"/>
    <w:rsid w:val="1F731332"/>
    <w:rsid w:val="1FE03C26"/>
    <w:rsid w:val="20B34A6E"/>
    <w:rsid w:val="20DA7F0E"/>
    <w:rsid w:val="210015CD"/>
    <w:rsid w:val="21374CB3"/>
    <w:rsid w:val="21B454D9"/>
    <w:rsid w:val="2258523D"/>
    <w:rsid w:val="227C146B"/>
    <w:rsid w:val="22B7139F"/>
    <w:rsid w:val="2363459D"/>
    <w:rsid w:val="23792D2F"/>
    <w:rsid w:val="23C7232D"/>
    <w:rsid w:val="240B77AE"/>
    <w:rsid w:val="2416236F"/>
    <w:rsid w:val="24587C1A"/>
    <w:rsid w:val="24780B22"/>
    <w:rsid w:val="24E77DFA"/>
    <w:rsid w:val="2535609A"/>
    <w:rsid w:val="255911D5"/>
    <w:rsid w:val="25A75231"/>
    <w:rsid w:val="25F31B81"/>
    <w:rsid w:val="27582E99"/>
    <w:rsid w:val="2768684B"/>
    <w:rsid w:val="277E732D"/>
    <w:rsid w:val="27A40D9A"/>
    <w:rsid w:val="27BF12D5"/>
    <w:rsid w:val="27DD40F7"/>
    <w:rsid w:val="28912EC0"/>
    <w:rsid w:val="289E4653"/>
    <w:rsid w:val="289F0B48"/>
    <w:rsid w:val="28CE7583"/>
    <w:rsid w:val="290D4A28"/>
    <w:rsid w:val="29452A44"/>
    <w:rsid w:val="295E1CE3"/>
    <w:rsid w:val="2984346A"/>
    <w:rsid w:val="299B3D6C"/>
    <w:rsid w:val="299B568F"/>
    <w:rsid w:val="29DB7569"/>
    <w:rsid w:val="2A332146"/>
    <w:rsid w:val="2A9F5694"/>
    <w:rsid w:val="2B4625A1"/>
    <w:rsid w:val="2BBF67B8"/>
    <w:rsid w:val="2C192C99"/>
    <w:rsid w:val="2C1F0E07"/>
    <w:rsid w:val="2CD163E1"/>
    <w:rsid w:val="2CD62941"/>
    <w:rsid w:val="2D311594"/>
    <w:rsid w:val="2D762283"/>
    <w:rsid w:val="2D7E7C14"/>
    <w:rsid w:val="2E136AA5"/>
    <w:rsid w:val="2E1B7152"/>
    <w:rsid w:val="2E494392"/>
    <w:rsid w:val="2EF2591B"/>
    <w:rsid w:val="2F80418D"/>
    <w:rsid w:val="2FEC00E5"/>
    <w:rsid w:val="3029773E"/>
    <w:rsid w:val="30413836"/>
    <w:rsid w:val="3062313F"/>
    <w:rsid w:val="309A1A6F"/>
    <w:rsid w:val="30E402A4"/>
    <w:rsid w:val="31293F09"/>
    <w:rsid w:val="314822FB"/>
    <w:rsid w:val="318007EE"/>
    <w:rsid w:val="31E43428"/>
    <w:rsid w:val="327D3291"/>
    <w:rsid w:val="32B3677D"/>
    <w:rsid w:val="32DF3A9C"/>
    <w:rsid w:val="3375117B"/>
    <w:rsid w:val="33F40DB5"/>
    <w:rsid w:val="34111CBD"/>
    <w:rsid w:val="348D0637"/>
    <w:rsid w:val="353067F3"/>
    <w:rsid w:val="35C7006A"/>
    <w:rsid w:val="363A6264"/>
    <w:rsid w:val="368A3B58"/>
    <w:rsid w:val="36A838BA"/>
    <w:rsid w:val="36BF0C66"/>
    <w:rsid w:val="36C831AB"/>
    <w:rsid w:val="36E8546D"/>
    <w:rsid w:val="37405D48"/>
    <w:rsid w:val="378F791B"/>
    <w:rsid w:val="379D6FCC"/>
    <w:rsid w:val="37F66AB8"/>
    <w:rsid w:val="380F27E4"/>
    <w:rsid w:val="381C4EB2"/>
    <w:rsid w:val="382973F6"/>
    <w:rsid w:val="38453E1F"/>
    <w:rsid w:val="38807B07"/>
    <w:rsid w:val="38D30218"/>
    <w:rsid w:val="38D3488A"/>
    <w:rsid w:val="39504729"/>
    <w:rsid w:val="39761180"/>
    <w:rsid w:val="39936654"/>
    <w:rsid w:val="39BF1693"/>
    <w:rsid w:val="3A1F750A"/>
    <w:rsid w:val="3A4F4169"/>
    <w:rsid w:val="3A5C7E1C"/>
    <w:rsid w:val="3AAE035C"/>
    <w:rsid w:val="3AB45DE6"/>
    <w:rsid w:val="3AE40F3E"/>
    <w:rsid w:val="3B2731C7"/>
    <w:rsid w:val="3B394512"/>
    <w:rsid w:val="3B3E70E9"/>
    <w:rsid w:val="3B720CEE"/>
    <w:rsid w:val="3B9D199D"/>
    <w:rsid w:val="3BBC6ED2"/>
    <w:rsid w:val="3BFA1DF4"/>
    <w:rsid w:val="3C6B58D1"/>
    <w:rsid w:val="3C83314E"/>
    <w:rsid w:val="3C905633"/>
    <w:rsid w:val="3C9C1A33"/>
    <w:rsid w:val="3CB74AC6"/>
    <w:rsid w:val="3CBB24EF"/>
    <w:rsid w:val="3CE26DBB"/>
    <w:rsid w:val="3D2D5518"/>
    <w:rsid w:val="3D891903"/>
    <w:rsid w:val="3E4037CC"/>
    <w:rsid w:val="3E615322"/>
    <w:rsid w:val="3E772188"/>
    <w:rsid w:val="3EE111F7"/>
    <w:rsid w:val="3EF30CA8"/>
    <w:rsid w:val="3F1E0693"/>
    <w:rsid w:val="3F476FDD"/>
    <w:rsid w:val="3F7854DF"/>
    <w:rsid w:val="3F9A4869"/>
    <w:rsid w:val="3FBC4A1D"/>
    <w:rsid w:val="3FDD5D2F"/>
    <w:rsid w:val="408E3CFE"/>
    <w:rsid w:val="40A971B0"/>
    <w:rsid w:val="415972F5"/>
    <w:rsid w:val="41755AFB"/>
    <w:rsid w:val="417E3DFD"/>
    <w:rsid w:val="41B11DA3"/>
    <w:rsid w:val="4279224C"/>
    <w:rsid w:val="42972BCC"/>
    <w:rsid w:val="42C41E24"/>
    <w:rsid w:val="431C1B42"/>
    <w:rsid w:val="43533C20"/>
    <w:rsid w:val="43542786"/>
    <w:rsid w:val="43D2652D"/>
    <w:rsid w:val="44373FFB"/>
    <w:rsid w:val="445A34E7"/>
    <w:rsid w:val="445C7035"/>
    <w:rsid w:val="44A00541"/>
    <w:rsid w:val="44AD4835"/>
    <w:rsid w:val="452178C6"/>
    <w:rsid w:val="452F4F21"/>
    <w:rsid w:val="45E91565"/>
    <w:rsid w:val="46052955"/>
    <w:rsid w:val="466E6504"/>
    <w:rsid w:val="47721B46"/>
    <w:rsid w:val="484D79E5"/>
    <w:rsid w:val="485E2C37"/>
    <w:rsid w:val="48B90C6B"/>
    <w:rsid w:val="4916306B"/>
    <w:rsid w:val="49677999"/>
    <w:rsid w:val="498B21B5"/>
    <w:rsid w:val="49B63741"/>
    <w:rsid w:val="49C02B87"/>
    <w:rsid w:val="4A3B3017"/>
    <w:rsid w:val="4AB61CA3"/>
    <w:rsid w:val="4BA45DBB"/>
    <w:rsid w:val="4BAE4AF4"/>
    <w:rsid w:val="4C5770B6"/>
    <w:rsid w:val="4C5A1839"/>
    <w:rsid w:val="4C7572CD"/>
    <w:rsid w:val="4C9F74B1"/>
    <w:rsid w:val="4CCB685C"/>
    <w:rsid w:val="4CED79F8"/>
    <w:rsid w:val="4DD059E1"/>
    <w:rsid w:val="4DED0341"/>
    <w:rsid w:val="4E0E49B4"/>
    <w:rsid w:val="4E1A19F6"/>
    <w:rsid w:val="4E294FCA"/>
    <w:rsid w:val="4E456F05"/>
    <w:rsid w:val="4E603CD2"/>
    <w:rsid w:val="4ECC5CC5"/>
    <w:rsid w:val="4F01352B"/>
    <w:rsid w:val="4F2547B0"/>
    <w:rsid w:val="4F385E88"/>
    <w:rsid w:val="4F9A75BC"/>
    <w:rsid w:val="500C7739"/>
    <w:rsid w:val="50333805"/>
    <w:rsid w:val="50406C68"/>
    <w:rsid w:val="50656FCA"/>
    <w:rsid w:val="50D90CCF"/>
    <w:rsid w:val="512129F0"/>
    <w:rsid w:val="512E4FFA"/>
    <w:rsid w:val="51700CBA"/>
    <w:rsid w:val="51835AAE"/>
    <w:rsid w:val="51971635"/>
    <w:rsid w:val="51E444D7"/>
    <w:rsid w:val="52272A53"/>
    <w:rsid w:val="52634E37"/>
    <w:rsid w:val="52B171FA"/>
    <w:rsid w:val="540E1365"/>
    <w:rsid w:val="54956561"/>
    <w:rsid w:val="54AA3DF7"/>
    <w:rsid w:val="54B26C85"/>
    <w:rsid w:val="54B61E08"/>
    <w:rsid w:val="54E84524"/>
    <w:rsid w:val="54F55D2D"/>
    <w:rsid w:val="54FD7A90"/>
    <w:rsid w:val="553A7C2D"/>
    <w:rsid w:val="553C0438"/>
    <w:rsid w:val="556772A4"/>
    <w:rsid w:val="55A84425"/>
    <w:rsid w:val="561D378D"/>
    <w:rsid w:val="56A30136"/>
    <w:rsid w:val="56B77204"/>
    <w:rsid w:val="570A3EBD"/>
    <w:rsid w:val="570D617E"/>
    <w:rsid w:val="577838E9"/>
    <w:rsid w:val="577D7CF3"/>
    <w:rsid w:val="57A84D6C"/>
    <w:rsid w:val="57E47675"/>
    <w:rsid w:val="57EE4CDC"/>
    <w:rsid w:val="57F618E2"/>
    <w:rsid w:val="583D707B"/>
    <w:rsid w:val="58403B3F"/>
    <w:rsid w:val="590B020F"/>
    <w:rsid w:val="5938747F"/>
    <w:rsid w:val="59766ED3"/>
    <w:rsid w:val="59B966C3"/>
    <w:rsid w:val="5A3316DD"/>
    <w:rsid w:val="5A3819DA"/>
    <w:rsid w:val="5A5C5ECC"/>
    <w:rsid w:val="5A864044"/>
    <w:rsid w:val="5A873F8B"/>
    <w:rsid w:val="5B5A6CFE"/>
    <w:rsid w:val="5B896B40"/>
    <w:rsid w:val="5BD55FCE"/>
    <w:rsid w:val="5BD85C58"/>
    <w:rsid w:val="5C227DB6"/>
    <w:rsid w:val="5D40278C"/>
    <w:rsid w:val="5D46011A"/>
    <w:rsid w:val="5D65502F"/>
    <w:rsid w:val="5DD06C57"/>
    <w:rsid w:val="5DFB6CB9"/>
    <w:rsid w:val="5E9E2A34"/>
    <w:rsid w:val="5F14140D"/>
    <w:rsid w:val="5F8A64CA"/>
    <w:rsid w:val="5FDD0E56"/>
    <w:rsid w:val="60086C66"/>
    <w:rsid w:val="60595BE0"/>
    <w:rsid w:val="60F40D61"/>
    <w:rsid w:val="611D63FB"/>
    <w:rsid w:val="6124336C"/>
    <w:rsid w:val="6152493E"/>
    <w:rsid w:val="617270AD"/>
    <w:rsid w:val="619D7EA0"/>
    <w:rsid w:val="62115573"/>
    <w:rsid w:val="625A33E9"/>
    <w:rsid w:val="62A80031"/>
    <w:rsid w:val="62CD0FA5"/>
    <w:rsid w:val="62F820BE"/>
    <w:rsid w:val="63AD5092"/>
    <w:rsid w:val="644D2F22"/>
    <w:rsid w:val="648D1ADE"/>
    <w:rsid w:val="64C25323"/>
    <w:rsid w:val="652A05D1"/>
    <w:rsid w:val="65494330"/>
    <w:rsid w:val="65A74DD4"/>
    <w:rsid w:val="65C57E73"/>
    <w:rsid w:val="65D51AA7"/>
    <w:rsid w:val="65F81FA5"/>
    <w:rsid w:val="660B1854"/>
    <w:rsid w:val="661B3639"/>
    <w:rsid w:val="66286A3B"/>
    <w:rsid w:val="665530AA"/>
    <w:rsid w:val="667306C5"/>
    <w:rsid w:val="667818A0"/>
    <w:rsid w:val="66C94D5E"/>
    <w:rsid w:val="681C674F"/>
    <w:rsid w:val="68836DC3"/>
    <w:rsid w:val="6887648C"/>
    <w:rsid w:val="68EA31C9"/>
    <w:rsid w:val="68FE71CA"/>
    <w:rsid w:val="68FF5939"/>
    <w:rsid w:val="691B4A91"/>
    <w:rsid w:val="69297877"/>
    <w:rsid w:val="692B5915"/>
    <w:rsid w:val="692C6424"/>
    <w:rsid w:val="69352903"/>
    <w:rsid w:val="6A0B4089"/>
    <w:rsid w:val="6AD356BF"/>
    <w:rsid w:val="6B33205C"/>
    <w:rsid w:val="6B9E7527"/>
    <w:rsid w:val="6BEB1B2A"/>
    <w:rsid w:val="6C3D3FC5"/>
    <w:rsid w:val="6CE6394F"/>
    <w:rsid w:val="6D783D26"/>
    <w:rsid w:val="6DEF510F"/>
    <w:rsid w:val="6DF01F33"/>
    <w:rsid w:val="6E146C1B"/>
    <w:rsid w:val="6E6C03DB"/>
    <w:rsid w:val="6E9523F6"/>
    <w:rsid w:val="6F3254E8"/>
    <w:rsid w:val="6F5B4BA2"/>
    <w:rsid w:val="6F615273"/>
    <w:rsid w:val="6FEB37AA"/>
    <w:rsid w:val="70F328F1"/>
    <w:rsid w:val="711F0324"/>
    <w:rsid w:val="715E6563"/>
    <w:rsid w:val="71635BDF"/>
    <w:rsid w:val="724E2F94"/>
    <w:rsid w:val="725620A9"/>
    <w:rsid w:val="72CE6A57"/>
    <w:rsid w:val="730B78D2"/>
    <w:rsid w:val="735F1183"/>
    <w:rsid w:val="73BA3D76"/>
    <w:rsid w:val="73ED7C13"/>
    <w:rsid w:val="745E3FF9"/>
    <w:rsid w:val="747A11FA"/>
    <w:rsid w:val="7593678E"/>
    <w:rsid w:val="76525BE7"/>
    <w:rsid w:val="76BF62FB"/>
    <w:rsid w:val="76C259ED"/>
    <w:rsid w:val="76D550BD"/>
    <w:rsid w:val="77506C1B"/>
    <w:rsid w:val="78CE2547"/>
    <w:rsid w:val="78FF3D20"/>
    <w:rsid w:val="79FE72AE"/>
    <w:rsid w:val="7A846AC2"/>
    <w:rsid w:val="7B2909D9"/>
    <w:rsid w:val="7B5876BE"/>
    <w:rsid w:val="7B850B4A"/>
    <w:rsid w:val="7BC47D5E"/>
    <w:rsid w:val="7C045E06"/>
    <w:rsid w:val="7C1B682B"/>
    <w:rsid w:val="7C7D516C"/>
    <w:rsid w:val="7CBA372B"/>
    <w:rsid w:val="7CBB0FC0"/>
    <w:rsid w:val="7D073BAD"/>
    <w:rsid w:val="7D26110F"/>
    <w:rsid w:val="7D7F0DE3"/>
    <w:rsid w:val="7DBA5E84"/>
    <w:rsid w:val="7E094B88"/>
    <w:rsid w:val="7E815898"/>
    <w:rsid w:val="7F2762B6"/>
    <w:rsid w:val="7F43615B"/>
    <w:rsid w:val="7F4A1012"/>
    <w:rsid w:val="7F744FD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1"/>
    <w:pPr>
      <w:spacing w:before="36"/>
      <w:ind w:left="780"/>
      <w:jc w:val="left"/>
    </w:pPr>
    <w:rPr>
      <w:rFonts w:ascii="宋体" w:hAnsi="宋体" w:eastAsia="宋体"/>
      <w:kern w:val="0"/>
      <w:szCs w:val="21"/>
      <w:lang w:eastAsia="en-US"/>
    </w:rPr>
  </w:style>
  <w:style w:type="paragraph" w:styleId="6">
    <w:name w:val="Normal Indent"/>
    <w:basedOn w:val="1"/>
    <w:next w:val="7"/>
    <w:qFormat/>
    <w:uiPriority w:val="0"/>
    <w:pPr>
      <w:ind w:firstLine="420" w:firstLineChars="200"/>
    </w:pPr>
    <w:rPr>
      <w:rFonts w:ascii="Times New Roman" w:hAnsi="Times New Roman"/>
      <w:szCs w:val="24"/>
    </w:rPr>
  </w:style>
  <w:style w:type="paragraph" w:customStyle="1" w:styleId="7">
    <w:name w:val="正文_19"/>
    <w:next w:val="6"/>
    <w:qFormat/>
    <w:uiPriority w:val="0"/>
    <w:pPr>
      <w:widowControl w:val="0"/>
      <w:jc w:val="both"/>
    </w:pPr>
    <w:rPr>
      <w:rFonts w:ascii="Calibri" w:hAnsi="Calibri" w:eastAsia="宋体" w:cs="Times New Roman"/>
      <w:kern w:val="2"/>
      <w:sz w:val="21"/>
      <w:szCs w:val="22"/>
      <w:lang w:val="en-US" w:eastAsia="zh-CN" w:bidi="ar-SA"/>
    </w:rPr>
  </w:style>
  <w:style w:type="paragraph" w:styleId="8">
    <w:name w:val="annotation text"/>
    <w:basedOn w:val="1"/>
    <w:link w:val="46"/>
    <w:unhideWhenUsed/>
    <w:qFormat/>
    <w:uiPriority w:val="99"/>
    <w:pPr>
      <w:jc w:val="left"/>
    </w:p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eastAsia="等线" w:cs="等线"/>
    </w:rPr>
  </w:style>
  <w:style w:type="paragraph" w:styleId="11">
    <w:name w:val="toc 3"/>
    <w:basedOn w:val="1"/>
    <w:next w:val="1"/>
    <w:unhideWhenUsed/>
    <w:qFormat/>
    <w:uiPriority w:val="39"/>
    <w:pPr>
      <w:widowControl/>
      <w:spacing w:after="100" w:line="259" w:lineRule="auto"/>
      <w:ind w:left="440"/>
    </w:pPr>
    <w:rPr>
      <w:rFonts w:cs="Times New Roman"/>
      <w:lang w:eastAsia="zh-CN"/>
    </w:rPr>
  </w:style>
  <w:style w:type="paragraph" w:styleId="12">
    <w:name w:val="Body Text Indent 2"/>
    <w:basedOn w:val="1"/>
    <w:qFormat/>
    <w:uiPriority w:val="0"/>
    <w:pPr>
      <w:autoSpaceDE w:val="0"/>
      <w:autoSpaceDN w:val="0"/>
      <w:adjustRightInd w:val="0"/>
      <w:ind w:left="479" w:leftChars="228"/>
      <w:jc w:val="left"/>
    </w:pPr>
    <w:rPr>
      <w:rFonts w:ascii="宋体"/>
      <w:color w:val="000000"/>
      <w:kern w:val="0"/>
      <w:sz w:val="24"/>
      <w:szCs w:val="20"/>
    </w:rPr>
  </w:style>
  <w:style w:type="paragraph" w:styleId="13">
    <w:name w:val="Balloon Text"/>
    <w:basedOn w:val="1"/>
    <w:link w:val="45"/>
    <w:semiHidden/>
    <w:unhideWhenUsed/>
    <w:qFormat/>
    <w:uiPriority w:val="99"/>
    <w:rPr>
      <w:sz w:val="18"/>
      <w:szCs w:val="18"/>
    </w:rPr>
  </w:style>
  <w:style w:type="paragraph" w:styleId="14">
    <w:name w:val="footer"/>
    <w:basedOn w:val="1"/>
    <w:link w:val="44"/>
    <w:unhideWhenUsed/>
    <w:qFormat/>
    <w:uiPriority w:val="99"/>
    <w:pPr>
      <w:tabs>
        <w:tab w:val="center" w:pos="4153"/>
        <w:tab w:val="right" w:pos="8306"/>
      </w:tabs>
      <w:snapToGrid w:val="0"/>
      <w:jc w:val="left"/>
    </w:pPr>
    <w:rPr>
      <w:sz w:val="18"/>
      <w:szCs w:val="18"/>
    </w:rPr>
  </w:style>
  <w:style w:type="paragraph" w:styleId="15">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608"/>
      </w:tabs>
      <w:spacing w:line="360" w:lineRule="auto"/>
      <w:ind w:firstLine="425" w:firstLineChars="177"/>
    </w:pPr>
  </w:style>
  <w:style w:type="paragraph" w:styleId="17">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8">
    <w:name w:val="toc 6"/>
    <w:basedOn w:val="1"/>
    <w:next w:val="1"/>
    <w:unhideWhenUsed/>
    <w:qFormat/>
    <w:uiPriority w:val="39"/>
    <w:pPr>
      <w:ind w:left="2100" w:leftChars="1000"/>
      <w:jc w:val="both"/>
    </w:pPr>
    <w:rPr>
      <w:rFonts w:ascii="Calibri" w:hAnsi="Calibri" w:eastAsia="宋体" w:cs="Times New Roman"/>
      <w:kern w:val="2"/>
      <w:sz w:val="21"/>
      <w:lang w:eastAsia="zh-CN"/>
    </w:r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20">
    <w:name w:val="Title"/>
    <w:basedOn w:val="1"/>
    <w:next w:val="1"/>
    <w:qFormat/>
    <w:uiPriority w:val="0"/>
    <w:pPr>
      <w:spacing w:before="240" w:after="60"/>
      <w:jc w:val="center"/>
      <w:outlineLvl w:val="0"/>
    </w:pPr>
    <w:rPr>
      <w:rFonts w:ascii="Arial" w:hAnsi="Arial" w:eastAsia="楷体_GB2312"/>
      <w:b/>
      <w:bCs/>
      <w:sz w:val="32"/>
      <w:szCs w:val="32"/>
    </w:rPr>
  </w:style>
  <w:style w:type="paragraph" w:styleId="21">
    <w:name w:val="annotation subject"/>
    <w:next w:val="8"/>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22">
    <w:name w:val="Body Text First Indent 2"/>
    <w:basedOn w:val="9"/>
    <w:semiHidden/>
    <w:unhideWhenUsed/>
    <w:qFormat/>
    <w:uiPriority w:val="99"/>
    <w:pPr>
      <w:ind w:firstLine="420" w:firstLineChars="20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style>
  <w:style w:type="character" w:styleId="27">
    <w:name w:val="page number"/>
    <w:basedOn w:val="25"/>
    <w:qFormat/>
    <w:uiPriority w:val="0"/>
    <w:rPr>
      <w:rFonts w:ascii="Times New Roman" w:hAnsi="Times New Roman" w:eastAsia="宋体"/>
      <w:sz w:val="18"/>
    </w:rPr>
  </w:style>
  <w:style w:type="character" w:styleId="28">
    <w:name w:val="FollowedHyperlink"/>
    <w:basedOn w:val="25"/>
    <w:semiHidden/>
    <w:unhideWhenUsed/>
    <w:qFormat/>
    <w:uiPriority w:val="99"/>
    <w:rPr>
      <w:color w:val="333333"/>
      <w:u w:val="none"/>
    </w:rPr>
  </w:style>
  <w:style w:type="character" w:styleId="29">
    <w:name w:val="Emphasis"/>
    <w:basedOn w:val="25"/>
    <w:qFormat/>
    <w:uiPriority w:val="20"/>
  </w:style>
  <w:style w:type="character" w:styleId="30">
    <w:name w:val="HTML Definition"/>
    <w:basedOn w:val="25"/>
    <w:semiHidden/>
    <w:unhideWhenUsed/>
    <w:qFormat/>
    <w:uiPriority w:val="99"/>
  </w:style>
  <w:style w:type="character" w:styleId="31">
    <w:name w:val="HTML Typewriter"/>
    <w:basedOn w:val="25"/>
    <w:semiHidden/>
    <w:unhideWhenUsed/>
    <w:qFormat/>
    <w:uiPriority w:val="99"/>
    <w:rPr>
      <w:rFonts w:hint="default" w:ascii="monospace" w:hAnsi="monospace" w:eastAsia="monospace" w:cs="monospace"/>
      <w:sz w:val="20"/>
    </w:rPr>
  </w:style>
  <w:style w:type="character" w:styleId="32">
    <w:name w:val="HTML Acronym"/>
    <w:basedOn w:val="25"/>
    <w:semiHidden/>
    <w:unhideWhenUsed/>
    <w:qFormat/>
    <w:uiPriority w:val="99"/>
  </w:style>
  <w:style w:type="character" w:styleId="33">
    <w:name w:val="HTML Variable"/>
    <w:basedOn w:val="25"/>
    <w:semiHidden/>
    <w:unhideWhenUsed/>
    <w:qFormat/>
    <w:uiPriority w:val="99"/>
  </w:style>
  <w:style w:type="character" w:styleId="34">
    <w:name w:val="Hyperlink"/>
    <w:basedOn w:val="25"/>
    <w:unhideWhenUsed/>
    <w:qFormat/>
    <w:uiPriority w:val="99"/>
    <w:rPr>
      <w:color w:val="0000FF" w:themeColor="hyperlink"/>
      <w:u w:val="single"/>
      <w14:textFill>
        <w14:solidFill>
          <w14:schemeClr w14:val="hlink"/>
        </w14:solidFill>
      </w14:textFill>
    </w:rPr>
  </w:style>
  <w:style w:type="character" w:styleId="35">
    <w:name w:val="HTML Code"/>
    <w:basedOn w:val="25"/>
    <w:semiHidden/>
    <w:unhideWhenUsed/>
    <w:qFormat/>
    <w:uiPriority w:val="99"/>
    <w:rPr>
      <w:rFonts w:hint="default" w:ascii="monospace" w:hAnsi="monospace" w:eastAsia="monospace" w:cs="monospace"/>
      <w:sz w:val="20"/>
    </w:rPr>
  </w:style>
  <w:style w:type="character" w:styleId="36">
    <w:name w:val="annotation reference"/>
    <w:basedOn w:val="25"/>
    <w:semiHidden/>
    <w:unhideWhenUsed/>
    <w:qFormat/>
    <w:uiPriority w:val="99"/>
    <w:rPr>
      <w:sz w:val="21"/>
      <w:szCs w:val="21"/>
    </w:rPr>
  </w:style>
  <w:style w:type="character" w:styleId="37">
    <w:name w:val="HTML Cite"/>
    <w:basedOn w:val="25"/>
    <w:semiHidden/>
    <w:unhideWhenUsed/>
    <w:qFormat/>
    <w:uiPriority w:val="99"/>
  </w:style>
  <w:style w:type="character" w:styleId="38">
    <w:name w:val="HTML Keyboard"/>
    <w:basedOn w:val="25"/>
    <w:semiHidden/>
    <w:unhideWhenUsed/>
    <w:qFormat/>
    <w:uiPriority w:val="99"/>
    <w:rPr>
      <w:rFonts w:hint="default" w:ascii="monospace" w:hAnsi="monospace" w:eastAsia="monospace" w:cs="monospace"/>
      <w:sz w:val="20"/>
    </w:rPr>
  </w:style>
  <w:style w:type="character" w:styleId="39">
    <w:name w:val="HTML Sample"/>
    <w:basedOn w:val="25"/>
    <w:semiHidden/>
    <w:unhideWhenUsed/>
    <w:qFormat/>
    <w:uiPriority w:val="99"/>
    <w:rPr>
      <w:rFonts w:ascii="monospace" w:hAnsi="monospace" w:eastAsia="monospace" w:cs="monospace"/>
    </w:rPr>
  </w:style>
  <w:style w:type="paragraph" w:customStyle="1" w:styleId="40">
    <w:name w:val="正文（文本）"/>
    <w:next w:val="18"/>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41">
    <w:name w:val="书目1"/>
    <w:basedOn w:val="1"/>
    <w:next w:val="1"/>
    <w:unhideWhenUsed/>
    <w:qFormat/>
    <w:uiPriority w:val="37"/>
  </w:style>
  <w:style w:type="paragraph" w:styleId="42">
    <w:name w:val="List Paragraph"/>
    <w:basedOn w:val="1"/>
    <w:qFormat/>
    <w:uiPriority w:val="34"/>
    <w:pPr>
      <w:widowControl/>
      <w:ind w:firstLine="420"/>
    </w:pPr>
    <w:rPr>
      <w:rFonts w:ascii="Calibri" w:hAnsi="Calibri" w:eastAsia="宋体" w:cs="Calibri"/>
      <w:kern w:val="0"/>
      <w:szCs w:val="21"/>
    </w:rPr>
  </w:style>
  <w:style w:type="character" w:customStyle="1" w:styleId="43">
    <w:name w:val="页眉 字符"/>
    <w:basedOn w:val="25"/>
    <w:link w:val="15"/>
    <w:qFormat/>
    <w:uiPriority w:val="0"/>
    <w:rPr>
      <w:sz w:val="18"/>
      <w:szCs w:val="18"/>
    </w:rPr>
  </w:style>
  <w:style w:type="character" w:customStyle="1" w:styleId="44">
    <w:name w:val="页脚 字符"/>
    <w:basedOn w:val="25"/>
    <w:link w:val="14"/>
    <w:qFormat/>
    <w:uiPriority w:val="99"/>
    <w:rPr>
      <w:sz w:val="18"/>
      <w:szCs w:val="18"/>
    </w:rPr>
  </w:style>
  <w:style w:type="character" w:customStyle="1" w:styleId="45">
    <w:name w:val="批注框文本 字符"/>
    <w:basedOn w:val="25"/>
    <w:link w:val="13"/>
    <w:semiHidden/>
    <w:qFormat/>
    <w:uiPriority w:val="99"/>
    <w:rPr>
      <w:sz w:val="18"/>
      <w:szCs w:val="18"/>
    </w:rPr>
  </w:style>
  <w:style w:type="character" w:customStyle="1" w:styleId="46">
    <w:name w:val="批注文字 字符"/>
    <w:basedOn w:val="25"/>
    <w:link w:val="8"/>
    <w:qFormat/>
    <w:uiPriority w:val="99"/>
  </w:style>
  <w:style w:type="paragraph" w:customStyle="1" w:styleId="47">
    <w:name w:val="Table Paragraph"/>
    <w:basedOn w:val="1"/>
    <w:qFormat/>
    <w:uiPriority w:val="0"/>
    <w:pPr>
      <w:jc w:val="left"/>
    </w:pPr>
    <w:rPr>
      <w:kern w:val="0"/>
      <w:sz w:val="22"/>
      <w:lang w:eastAsia="en-US"/>
    </w:rPr>
  </w:style>
  <w:style w:type="paragraph" w:customStyle="1" w:styleId="48">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9">
    <w:name w:val="正文文本 字符"/>
    <w:basedOn w:val="25"/>
    <w:link w:val="2"/>
    <w:qFormat/>
    <w:uiPriority w:val="1"/>
    <w:rPr>
      <w:rFonts w:ascii="宋体" w:hAnsi="宋体" w:cstheme="minorBidi"/>
      <w:sz w:val="21"/>
      <w:szCs w:val="21"/>
      <w:lang w:eastAsia="en-US"/>
    </w:rPr>
  </w:style>
  <w:style w:type="character" w:customStyle="1" w:styleId="50">
    <w:name w:val="font41"/>
    <w:basedOn w:val="25"/>
    <w:qFormat/>
    <w:uiPriority w:val="0"/>
    <w:rPr>
      <w:rFonts w:hint="eastAsia" w:ascii="宋体" w:hAnsi="宋体" w:eastAsia="宋体" w:cs="宋体"/>
      <w:color w:val="000000"/>
      <w:sz w:val="21"/>
      <w:szCs w:val="21"/>
      <w:u w:val="none"/>
    </w:rPr>
  </w:style>
  <w:style w:type="character" w:customStyle="1" w:styleId="51">
    <w:name w:val="font31"/>
    <w:basedOn w:val="25"/>
    <w:qFormat/>
    <w:uiPriority w:val="0"/>
    <w:rPr>
      <w:rFonts w:hint="default" w:ascii="Times New Roman" w:hAnsi="Times New Roman" w:cs="Times New Roman"/>
      <w:color w:val="000000"/>
      <w:sz w:val="21"/>
      <w:szCs w:val="21"/>
      <w:u w:val="none"/>
    </w:rPr>
  </w:style>
  <w:style w:type="paragraph" w:customStyle="1" w:styleId="52">
    <w:name w:val="默认段落字体 Para Char"/>
    <w:basedOn w:val="53"/>
    <w:next w:val="1"/>
    <w:qFormat/>
    <w:uiPriority w:val="0"/>
    <w:pPr>
      <w:widowControl w:val="0"/>
      <w:spacing w:before="80" w:after="80" w:line="360" w:lineRule="auto"/>
      <w:jc w:val="both"/>
    </w:pPr>
    <w:rPr>
      <w:rFonts w:ascii="Calibri" w:hAnsi="Calibri" w:cs="Times New Roman"/>
      <w:kern w:val="2"/>
      <w:szCs w:val="20"/>
    </w:rPr>
  </w:style>
  <w:style w:type="paragraph" w:customStyle="1" w:styleId="53">
    <w:name w:val="Normal_1"/>
    <w:next w:val="52"/>
    <w:qFormat/>
    <w:uiPriority w:val="0"/>
    <w:rPr>
      <w:rFonts w:ascii="Times New Roman" w:hAnsi="Times New Roman" w:eastAsia="Times New Roman" w:cs="Times New Roman"/>
      <w:sz w:val="24"/>
      <w:szCs w:val="24"/>
    </w:rPr>
  </w:style>
  <w:style w:type="paragraph" w:customStyle="1" w:styleId="54">
    <w:name w:val="Normal_0"/>
    <w:next w:val="52"/>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8">
    <w:name w:val="font01"/>
    <w:basedOn w:val="25"/>
    <w:qFormat/>
    <w:uiPriority w:val="0"/>
    <w:rPr>
      <w:rFonts w:hint="eastAsia" w:ascii="宋体" w:hAnsi="宋体" w:eastAsia="宋体" w:cs="宋体"/>
      <w:color w:val="000000"/>
      <w:sz w:val="20"/>
      <w:szCs w:val="20"/>
      <w:u w:val="none"/>
    </w:rPr>
  </w:style>
  <w:style w:type="character" w:customStyle="1" w:styleId="59">
    <w:name w:val="font51"/>
    <w:basedOn w:val="25"/>
    <w:qFormat/>
    <w:uiPriority w:val="0"/>
    <w:rPr>
      <w:rFonts w:hint="eastAsia" w:ascii="宋体" w:hAnsi="宋体" w:eastAsia="宋体" w:cs="宋体"/>
      <w:color w:val="000000"/>
      <w:sz w:val="22"/>
      <w:szCs w:val="22"/>
      <w:u w:val="none"/>
    </w:rPr>
  </w:style>
  <w:style w:type="character" w:customStyle="1" w:styleId="60">
    <w:name w:val="font21"/>
    <w:basedOn w:val="25"/>
    <w:qFormat/>
    <w:uiPriority w:val="0"/>
    <w:rPr>
      <w:rFonts w:hint="eastAsia" w:ascii="宋体" w:hAnsi="宋体" w:eastAsia="宋体" w:cs="宋体"/>
      <w:color w:val="000000"/>
      <w:sz w:val="22"/>
      <w:szCs w:val="22"/>
      <w:u w:val="none"/>
    </w:rPr>
  </w:style>
  <w:style w:type="character" w:customStyle="1" w:styleId="61">
    <w:name w:val="font11"/>
    <w:basedOn w:val="25"/>
    <w:qFormat/>
    <w:uiPriority w:val="0"/>
    <w:rPr>
      <w:rFonts w:hint="eastAsia" w:ascii="宋体" w:hAnsi="宋体" w:eastAsia="宋体" w:cs="宋体"/>
      <w:color w:val="000000"/>
      <w:sz w:val="24"/>
      <w:szCs w:val="24"/>
      <w:u w:val="none"/>
    </w:rPr>
  </w:style>
  <w:style w:type="paragraph" w:customStyle="1" w:styleId="6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标准书脚_奇数页"/>
    <w:qFormat/>
    <w:uiPriority w:val="0"/>
    <w:pPr>
      <w:spacing w:before="120"/>
      <w:jc w:val="right"/>
    </w:pPr>
    <w:rPr>
      <w:rFonts w:ascii="宋体" w:hAnsi="Times New Roman" w:eastAsia="宋体" w:cs="Times New Roman"/>
      <w:sz w:val="18"/>
      <w:szCs w:val="18"/>
      <w:lang w:val="en-US" w:eastAsia="zh-CN" w:bidi="ar-SA"/>
    </w:rPr>
  </w:style>
  <w:style w:type="paragraph" w:customStyle="1" w:styleId="64">
    <w:name w:val="标题2A"/>
    <w:basedOn w:val="3"/>
    <w:qFormat/>
    <w:uiPriority w:val="0"/>
    <w:pPr>
      <w:numPr>
        <w:ilvl w:val="0"/>
        <w:numId w:val="1"/>
      </w:numPr>
      <w:spacing w:before="360" w:after="360" w:line="578" w:lineRule="auto"/>
      <w:jc w:val="center"/>
    </w:pPr>
    <w:rPr>
      <w:rFonts w:eastAsia="宋体"/>
      <w:sz w:val="24"/>
    </w:rPr>
  </w:style>
  <w:style w:type="paragraph" w:customStyle="1" w:styleId="65">
    <w:name w:val="列出段落1"/>
    <w:basedOn w:val="1"/>
    <w:qFormat/>
    <w:uiPriority w:val="34"/>
    <w:pPr>
      <w:ind w:firstLine="420" w:firstLineChars="200"/>
    </w:pPr>
  </w:style>
  <w:style w:type="character" w:customStyle="1" w:styleId="66">
    <w:name w:val="DeltaView Insertion"/>
    <w:qFormat/>
    <w:uiPriority w:val="0"/>
    <w:rPr>
      <w:color w:val="0000FF"/>
      <w:spacing w:val="0"/>
      <w:u w:val="double"/>
    </w:rPr>
  </w:style>
  <w:style w:type="paragraph" w:customStyle="1" w:styleId="67">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标准文件_二级无标题"/>
    <w:basedOn w:val="1"/>
    <w:qFormat/>
    <w:uiPriority w:val="0"/>
    <w:rPr>
      <w:rFonts w:ascii="宋体"/>
      <w:kern w:val="0"/>
      <w:szCs w:val="21"/>
      <w:lang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2437</Words>
  <Characters>13896</Characters>
  <Lines>115</Lines>
  <Paragraphs>32</Paragraphs>
  <TotalTime>14</TotalTime>
  <ScaleCrop>false</ScaleCrop>
  <LinksUpToDate>false</LinksUpToDate>
  <CharactersWithSpaces>16301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高日飞</cp:lastModifiedBy>
  <cp:lastPrinted>2024-04-18T07:10:00Z</cp:lastPrinted>
  <dcterms:modified xsi:type="dcterms:W3CDTF">2024-09-14T01:51:07Z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5C4C16868BD642EA91E5C8CC514D5E7A</vt:lpwstr>
  </property>
</Properties>
</file>