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000000" w:themeColor="text1"/>
          <w:sz w:val="44"/>
          <w:szCs w:val="44"/>
          <w:highlight w:val="none"/>
          <w:lang w:val="en-US" w:eastAsia="zh-CN"/>
          <w14:textFill>
            <w14:solidFill>
              <w14:schemeClr w14:val="tx1"/>
            </w14:solidFill>
          </w14:textFill>
        </w:rPr>
        <w:t>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u w:val="none"/>
          <w14:textFill>
            <w14:solidFill>
              <w14:schemeClr w14:val="tx1"/>
            </w14:solidFill>
          </w14:textFill>
        </w:rPr>
      </w:pPr>
      <w:r>
        <w:rPr>
          <w:rFonts w:hint="eastAsia" w:asciiTheme="minorEastAsia" w:hAnsiTheme="minorEastAsia"/>
          <w:color w:val="000000" w:themeColor="text1"/>
          <w:spacing w:val="-3"/>
          <w:highlight w:val="none"/>
          <w:u w:val="none"/>
          <w:lang w:val="en-US" w:eastAsia="zh-CN"/>
          <w14:textFill>
            <w14:solidFill>
              <w14:schemeClr w14:val="tx1"/>
            </w14:solidFill>
          </w14:textFill>
        </w:rPr>
        <w:t>项目名称</w:t>
      </w:r>
      <w:r>
        <w:rPr>
          <w:rFonts w:asciiTheme="minorEastAsia" w:hAnsiTheme="minorEastAsia" w:eastAsiaTheme="minorEastAsia"/>
          <w:color w:val="000000" w:themeColor="text1"/>
          <w:spacing w:val="-3"/>
          <w:highlight w:val="none"/>
          <w:u w:val="none"/>
          <w14:textFill>
            <w14:solidFill>
              <w14:schemeClr w14:val="tx1"/>
            </w14:solidFill>
          </w14:textFill>
        </w:rPr>
        <w:t>：</w:t>
      </w:r>
      <w:r>
        <w:rPr>
          <w:rFonts w:hint="eastAsia" w:asciiTheme="minorEastAsia" w:hAnsiTheme="minorEastAsia"/>
          <w:sz w:val="24"/>
          <w:szCs w:val="24"/>
          <w:u w:val="none"/>
        </w:rPr>
        <w:t>物流公司舟山地区厂区保安服务专有协议</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u w:val="none"/>
          <w14:textFill>
            <w14:solidFill>
              <w14:schemeClr w14:val="tx1"/>
            </w14:solidFill>
          </w14:textFill>
        </w:rPr>
      </w:pPr>
      <w:r>
        <w:rPr>
          <w:rFonts w:hint="eastAsia" w:asciiTheme="minorEastAsia" w:hAnsiTheme="minorEastAsia"/>
          <w:color w:val="auto"/>
          <w:spacing w:val="0"/>
          <w:sz w:val="24"/>
          <w:szCs w:val="24"/>
          <w:highlight w:val="none"/>
          <w:u w:val="none"/>
          <w:lang w:val="en-US" w:eastAsia="zh-CN"/>
        </w:rPr>
        <w:t xml:space="preserve">     </w:t>
      </w:r>
      <w:r>
        <w:rPr>
          <w:rFonts w:hint="eastAsia" w:asciiTheme="minorEastAsia" w:hAnsiTheme="minorEastAsia" w:eastAsiaTheme="minorEastAsia"/>
          <w:color w:val="auto"/>
          <w:spacing w:val="0"/>
          <w:sz w:val="24"/>
          <w:szCs w:val="24"/>
          <w:highlight w:val="none"/>
          <w:u w:val="none"/>
        </w:rPr>
        <w:t>采购编号：询价文件GKXJ-2024-WL-2516</w:t>
      </w:r>
      <w:r>
        <w:rPr>
          <w:rFonts w:asciiTheme="minorEastAsia" w:hAnsiTheme="minorEastAsia" w:eastAsiaTheme="minorEastAsia"/>
          <w:color w:val="000000" w:themeColor="text1"/>
          <w:spacing w:val="-3"/>
          <w:highlight w:val="none"/>
          <w:u w:val="none"/>
          <w14:textFill>
            <w14:solidFill>
              <w14:schemeClr w14:val="tx1"/>
            </w14:solidFill>
          </w14:textFill>
        </w:rPr>
        <w:tab/>
      </w:r>
    </w:p>
    <w:p>
      <w:pPr>
        <w:pStyle w:val="8"/>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pacing w:val="-15"/>
          <w:sz w:val="28"/>
          <w:szCs w:val="28"/>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pacing w:val="-15"/>
          <w:sz w:val="28"/>
          <w:szCs w:val="28"/>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pacing w:val="-15"/>
          <w:sz w:val="28"/>
          <w:szCs w:val="28"/>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pacing w:val="-15"/>
          <w:sz w:val="28"/>
          <w:szCs w:val="28"/>
          <w:highlight w:val="none"/>
          <w:u w:val="none" w:color="auto"/>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000" w:firstLineChars="400"/>
        <w:textAlignment w:val="auto"/>
        <w:outlineLvl w:val="9"/>
        <w:rPr>
          <w:rFonts w:cs="宋体" w:asciiTheme="minorEastAsia" w:hAnsiTheme="minorEastAsia"/>
          <w:color w:val="000000" w:themeColor="text1"/>
          <w:sz w:val="28"/>
          <w:szCs w:val="28"/>
          <w:highlight w:val="none"/>
          <w:u w:val="none" w:color="auto"/>
          <w14:textFill>
            <w14:solidFill>
              <w14:schemeClr w14:val="tx1"/>
            </w14:solidFill>
          </w14:textFill>
        </w:rPr>
      </w:pPr>
      <w:r>
        <w:rPr>
          <w:rFonts w:cs="宋体" w:asciiTheme="minorEastAsia" w:hAnsiTheme="minorEastAsia"/>
          <w:color w:val="000000" w:themeColor="text1"/>
          <w:spacing w:val="-15"/>
          <w:sz w:val="28"/>
          <w:szCs w:val="28"/>
          <w:highlight w:val="none"/>
          <w:u w:val="none" w:color="auto"/>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none" w:color="auto"/>
          <w14:textFill>
            <w14:solidFill>
              <w14:schemeClr w14:val="tx1"/>
            </w14:solidFill>
          </w14:textFill>
        </w:rPr>
        <w:t>中海油能源发展采办共享中心上海区域中心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u w:val="none" w:color="auto"/>
          <w14:textFill>
            <w14:solidFill>
              <w14:schemeClr w14:val="tx1"/>
            </w14:solidFill>
          </w14:textFill>
        </w:rPr>
      </w:pPr>
    </w:p>
    <w:p>
      <w:pPr>
        <w:spacing w:line="360" w:lineRule="auto"/>
        <w:ind w:firstLine="3080" w:firstLineChars="1100"/>
        <w:jc w:val="left"/>
        <w:rPr>
          <w:rFonts w:asciiTheme="minorEastAsia" w:hAnsiTheme="minorEastAsia"/>
          <w:color w:val="000000" w:themeColor="text1"/>
          <w:sz w:val="24"/>
          <w:szCs w:val="24"/>
          <w:highlight w:val="none"/>
          <w:u w:val="none" w:color="auto"/>
          <w14:textFill>
            <w14:solidFill>
              <w14:schemeClr w14:val="tx1"/>
            </w14:solidFill>
          </w14:textFill>
        </w:rPr>
      </w:pPr>
      <w:r>
        <w:rPr>
          <w:rFonts w:hint="eastAsia" w:cs="Times New Roman" w:asciiTheme="minorEastAsia" w:hAnsiTheme="minorEastAsia"/>
          <w:color w:val="000000" w:themeColor="text1"/>
          <w:sz w:val="28"/>
          <w:szCs w:val="28"/>
          <w:highlight w:val="none"/>
          <w:u w:val="none" w:color="auto"/>
          <w14:textFill>
            <w14:solidFill>
              <w14:schemeClr w14:val="tx1"/>
            </w14:solidFill>
          </w14:textFill>
        </w:rPr>
        <w:t>2024年</w:t>
      </w:r>
      <w:r>
        <w:rPr>
          <w:rFonts w:hint="eastAsia" w:cs="Times New Roman" w:asciiTheme="minorEastAsia" w:hAnsiTheme="minorEastAsia"/>
          <w:color w:val="000000" w:themeColor="text1"/>
          <w:sz w:val="28"/>
          <w:szCs w:val="28"/>
          <w:highlight w:val="none"/>
          <w:u w:val="none" w:color="auto"/>
          <w:lang w:val="en-US" w:eastAsia="zh-CN"/>
          <w14:textFill>
            <w14:solidFill>
              <w14:schemeClr w14:val="tx1"/>
            </w14:solidFill>
          </w14:textFill>
        </w:rPr>
        <w:t>10</w:t>
      </w:r>
      <w:r>
        <w:rPr>
          <w:rFonts w:hint="eastAsia" w:cs="Times New Roman" w:asciiTheme="minorEastAsia" w:hAnsiTheme="minorEastAsia"/>
          <w:color w:val="000000" w:themeColor="text1"/>
          <w:sz w:val="28"/>
          <w:szCs w:val="28"/>
          <w:highlight w:val="none"/>
          <w:u w:val="none" w:color="auto"/>
          <w14:textFill>
            <w14:solidFill>
              <w14:schemeClr w14:val="tx1"/>
            </w14:solidFill>
          </w14:textFill>
        </w:rPr>
        <w:t>月</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Cs w:val="21"/>
          <w:highlight w:val="none"/>
          <w:u w:val="single"/>
          <w14:textFill>
            <w14:solidFill>
              <w14:schemeClr w14:val="tx1"/>
            </w14:solidFill>
          </w14:textFill>
        </w:rPr>
        <w:t>物流公司舟山地区厂区保安服务</w:t>
      </w:r>
      <w:r>
        <w:rPr>
          <w:rFonts w:hint="eastAsia" w:asciiTheme="minorEastAsia" w:hAnsiTheme="minorEastAsia"/>
          <w:color w:val="000000" w:themeColor="text1"/>
          <w:sz w:val="21"/>
          <w:szCs w:val="21"/>
          <w:highlight w:val="none"/>
          <w:u w:val="single"/>
          <w:lang w:eastAsia="zh-CN"/>
          <w14:textFill>
            <w14:solidFill>
              <w14:schemeClr w14:val="tx1"/>
            </w14:solidFill>
          </w14:textFill>
        </w:rPr>
        <w:t>专有协议</w:t>
      </w:r>
      <w:r>
        <w:rPr>
          <w:rFonts w:hint="eastAsia" w:asciiTheme="minorEastAsia" w:hAnsiTheme="minorEastAsia"/>
          <w:color w:val="000000" w:themeColor="text1"/>
          <w:sz w:val="21"/>
          <w:szCs w:val="21"/>
          <w:highlight w:val="none"/>
          <w14:textFill>
            <w14:solidFill>
              <w14:schemeClr w14:val="tx1"/>
            </w14:solidFill>
          </w14:textFill>
        </w:rPr>
        <w:t>进行</w:t>
      </w:r>
      <w:r>
        <w:rPr>
          <w:rFonts w:hint="eastAsia" w:asciiTheme="minorEastAsia" w:hAnsiTheme="minorEastAsia"/>
          <w:color w:val="000000" w:themeColor="text1"/>
          <w:sz w:val="21"/>
          <w:szCs w:val="21"/>
          <w:highlight w:val="none"/>
          <w:lang w:eastAsia="zh-CN"/>
          <w14:textFill>
            <w14:solidFill>
              <w14:schemeClr w14:val="tx1"/>
            </w14:solidFill>
          </w14:textFill>
        </w:rPr>
        <w:t>公开询</w:t>
      </w:r>
      <w:bookmarkStart w:id="105" w:name="_GoBack"/>
      <w:bookmarkEnd w:id="105"/>
      <w:r>
        <w:rPr>
          <w:rFonts w:hint="eastAsia" w:asciiTheme="minorEastAsia" w:hAnsiTheme="minorEastAsia"/>
          <w:color w:val="000000" w:themeColor="text1"/>
          <w:sz w:val="21"/>
          <w:szCs w:val="21"/>
          <w:highlight w:val="none"/>
          <w:lang w:eastAsia="zh-CN"/>
          <w14:textFill>
            <w14:solidFill>
              <w14:schemeClr w14:val="tx1"/>
            </w14:solidFill>
          </w14:textFill>
        </w:rPr>
        <w:t>价</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1"/>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需求单位：中海油（舟山）能源物流有限公司</w:t>
      </w:r>
    </w:p>
    <w:p>
      <w:pPr>
        <w:pStyle w:val="8"/>
        <w:ind w:left="415" w:leftChars="135" w:right="10" w:hanging="132" w:hangingChars="63"/>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技术联系人:李凌刚</w:t>
      </w:r>
    </w:p>
    <w:p>
      <w:pPr>
        <w:pStyle w:val="8"/>
        <w:ind w:left="415" w:leftChars="135" w:right="10" w:hanging="132" w:hangingChars="63"/>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联系电话：15957064153</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highlight w:val="none"/>
          <w:lang w:eastAsia="zh-CN"/>
          <w14:textFill>
            <w14:solidFill>
              <w14:schemeClr w14:val="tx1"/>
            </w14:solidFill>
          </w14:textFill>
        </w:rPr>
        <w:t>邮箱：ex_lilg@cnooc.com.cn</w:t>
      </w:r>
    </w:p>
    <w:p>
      <w:pPr>
        <w:rPr>
          <w:rFonts w:hint="eastAsia"/>
          <w:lang w:val="en-US" w:eastAsia="zh-CN"/>
        </w:rPr>
      </w:pP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联系单位：中海油能源发展股份有限公司采办共享中心</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商务联系人：王郁炜</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联系电话：021-22833343</w:t>
      </w:r>
    </w:p>
    <w:p>
      <w:pPr>
        <w:ind w:firstLine="210" w:firstLineChars="100"/>
        <w:rPr>
          <w:rFonts w:hint="eastAsia"/>
          <w:lang w:val="en-US" w:eastAsia="zh-CN"/>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邮箱：wangyw3@cnooc.com.cn</w:t>
      </w: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0"/>
        <w:tblW w:w="5547" w:type="pct"/>
        <w:jc w:val="center"/>
        <w:tblLayout w:type="autofit"/>
        <w:tblCellMar>
          <w:top w:w="0" w:type="dxa"/>
          <w:left w:w="0" w:type="dxa"/>
          <w:bottom w:w="0" w:type="dxa"/>
          <w:right w:w="0" w:type="dxa"/>
        </w:tblCellMar>
      </w:tblPr>
      <w:tblGrid>
        <w:gridCol w:w="618"/>
        <w:gridCol w:w="528"/>
        <w:gridCol w:w="2269"/>
        <w:gridCol w:w="5811"/>
      </w:tblGrid>
      <w:tr>
        <w:tblPrEx>
          <w:tblCellMar>
            <w:top w:w="0" w:type="dxa"/>
            <w:left w:w="0" w:type="dxa"/>
            <w:bottom w:w="0" w:type="dxa"/>
            <w:right w:w="0" w:type="dxa"/>
          </w:tblCellMar>
        </w:tblPrEx>
        <w:trPr>
          <w:trHeight w:val="454" w:hRule="atLeast"/>
          <w:jc w:val="center"/>
        </w:trPr>
        <w:tc>
          <w:tcPr>
            <w:tcW w:w="621" w:type="pct"/>
            <w:gridSpan w:val="2"/>
            <w:tcBorders>
              <w:top w:val="single" w:color="000000" w:sz="4" w:space="0"/>
              <w:left w:val="single" w:color="000000" w:sz="4" w:space="0"/>
              <w:bottom w:val="single" w:color="000000" w:sz="4" w:space="0"/>
              <w:right w:val="single" w:color="000000" w:sz="4" w:space="0"/>
            </w:tcBorders>
            <w:vAlign w:val="center"/>
          </w:tcPr>
          <w:p>
            <w:pPr>
              <w:pStyle w:val="4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tcBorders>
              <w:top w:val="single" w:color="000000" w:sz="4" w:space="0"/>
              <w:left w:val="nil"/>
              <w:bottom w:val="single" w:color="000000" w:sz="4" w:space="0"/>
              <w:right w:val="single" w:color="000000" w:sz="4" w:space="0"/>
            </w:tcBorders>
            <w:vAlign w:val="center"/>
          </w:tcPr>
          <w:p>
            <w:pPr>
              <w:pStyle w:val="4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8" w:type="pct"/>
            <w:tcBorders>
              <w:top w:val="single" w:color="000000" w:sz="4" w:space="0"/>
              <w:left w:val="nil"/>
              <w:bottom w:val="single" w:color="000000" w:sz="4" w:space="0"/>
              <w:right w:val="single" w:color="000000" w:sz="4" w:space="0"/>
            </w:tcBorders>
            <w:vAlign w:val="center"/>
          </w:tcPr>
          <w:p>
            <w:pPr>
              <w:pStyle w:val="4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5" w:type="pct"/>
            <w:vMerge w:val="restart"/>
            <w:tcBorders>
              <w:top w:val="nil"/>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5" w:type="pct"/>
            <w:vMerge w:val="restart"/>
            <w:tcBorders>
              <w:top w:val="nil"/>
              <w:left w:val="nil"/>
              <w:right w:val="single" w:color="000000" w:sz="6" w:space="0"/>
            </w:tcBorders>
            <w:textDirection w:val="tbRlV"/>
            <w:vAlign w:val="center"/>
          </w:tcPr>
          <w:p>
            <w:pPr>
              <w:pStyle w:val="41"/>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8" w:type="pct"/>
            <w:tcBorders>
              <w:top w:val="single" w:color="000000" w:sz="4" w:space="0"/>
              <w:left w:val="nil"/>
              <w:bottom w:val="single" w:color="000000" w:sz="4" w:space="0"/>
              <w:right w:val="single" w:color="000000" w:sz="4" w:space="0"/>
            </w:tcBorders>
            <w:vAlign w:val="center"/>
          </w:tcPr>
          <w:p>
            <w:pPr>
              <w:pStyle w:val="4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nil"/>
              <w:right w:val="single" w:color="000000" w:sz="4"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8" w:type="pct"/>
            <w:tcBorders>
              <w:top w:val="single" w:color="000000" w:sz="4" w:space="0"/>
              <w:left w:val="nil"/>
              <w:bottom w:val="nil"/>
              <w:right w:val="single" w:color="000000" w:sz="4" w:space="0"/>
            </w:tcBorders>
            <w:vAlign w:val="center"/>
          </w:tcPr>
          <w:p>
            <w:pPr>
              <w:pStyle w:val="4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8"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8" w:type="pct"/>
            <w:tcBorders>
              <w:top w:val="single" w:color="000000" w:sz="4" w:space="0"/>
              <w:left w:val="nil"/>
              <w:bottom w:val="single" w:color="000000" w:sz="4" w:space="0"/>
              <w:right w:val="single" w:color="000000" w:sz="4" w:space="0"/>
            </w:tcBorders>
            <w:vAlign w:val="center"/>
          </w:tcPr>
          <w:p>
            <w:pPr>
              <w:pStyle w:val="4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8"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w:t>
            </w:r>
          </w:p>
        </w:tc>
      </w:tr>
      <w:tr>
        <w:tblPrEx>
          <w:tblCellMar>
            <w:top w:w="0" w:type="dxa"/>
            <w:left w:w="0" w:type="dxa"/>
            <w:bottom w:w="0" w:type="dxa"/>
            <w:right w:w="0" w:type="dxa"/>
          </w:tblCellMar>
        </w:tblPrEx>
        <w:trPr>
          <w:trHeight w:val="696"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2"/>
                <w:sz w:val="21"/>
                <w:szCs w:val="21"/>
                <w:highlight w:val="none"/>
                <w:lang w:val="en-US" w:eastAsia="zh-CN" w:bidi="ar-SA"/>
              </w:rPr>
              <w:t>专业资质</w:t>
            </w:r>
          </w:p>
        </w:tc>
        <w:tc>
          <w:tcPr>
            <w:tcW w:w="3148"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保安服务公司浙江省公安厅颁发的保安服务许可证。</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非舟山地区注册的保安服务公司，应当向服务所在地设区的市级人民政府公安机关备案。</w:t>
            </w:r>
          </w:p>
        </w:tc>
      </w:tr>
      <w:tr>
        <w:tblPrEx>
          <w:tblCellMar>
            <w:top w:w="0" w:type="dxa"/>
            <w:left w:w="0" w:type="dxa"/>
            <w:bottom w:w="0" w:type="dxa"/>
            <w:right w:w="0" w:type="dxa"/>
          </w:tblCellMar>
        </w:tblPrEx>
        <w:trPr>
          <w:trHeight w:val="696"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1"/>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4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（不涉及）</w:t>
            </w:r>
          </w:p>
        </w:tc>
        <w:tc>
          <w:tcPr>
            <w:tcW w:w="3148"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2"/>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w:t>
            </w:r>
          </w:p>
          <w:p>
            <w:pPr>
              <w:pStyle w:val="41"/>
              <w:jc w:val="both"/>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并可</w:t>
            </w:r>
            <w:r>
              <w:rPr>
                <w:rFonts w:hint="eastAsia" w:ascii="仿宋" w:hAnsi="仿宋" w:eastAsia="仿宋" w:cs="仿宋"/>
                <w:color w:val="000000" w:themeColor="text1"/>
                <w:sz w:val="21"/>
                <w:szCs w:val="21"/>
                <w:highlight w:val="none"/>
                <w:lang w:eastAsia="zh-CN"/>
                <w14:textFill>
                  <w14:solidFill>
                    <w14:schemeClr w14:val="tx1"/>
                  </w14:solidFill>
                </w14:textFill>
              </w:rPr>
              <w:t>在中国国家认证认可监督管理委员会网站（</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1427"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pPr>
              <w:pStyle w:val="41"/>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8"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1日</w:t>
            </w:r>
            <w:r>
              <w:rPr>
                <w:rFonts w:hint="eastAsia" w:ascii="仿宋" w:hAnsi="仿宋" w:eastAsia="仿宋" w:cs="仿宋"/>
                <w:strike w:val="0"/>
                <w:dstrike w:val="0"/>
                <w:color w:val="auto"/>
                <w:sz w:val="21"/>
                <w:szCs w:val="21"/>
                <w:highlight w:val="none"/>
                <w:lang w:eastAsia="zh-CN"/>
              </w:rPr>
              <w:t>-报价截止日前）内应答人或其法定代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1"/>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1"/>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8" w:type="pct"/>
            <w:tcBorders>
              <w:top w:val="single" w:color="000000" w:sz="4" w:space="0"/>
              <w:left w:val="nil"/>
              <w:bottom w:val="single" w:color="000000" w:sz="4" w:space="0"/>
              <w:right w:val="single" w:color="000000" w:sz="4" w:space="0"/>
            </w:tcBorders>
            <w:vAlign w:val="center"/>
          </w:tcPr>
          <w:p>
            <w:pPr>
              <w:pStyle w:val="4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48"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提供附件5.9：制造商承诺书及相关支持文件</w:t>
            </w:r>
          </w:p>
        </w:tc>
      </w:tr>
      <w:tr>
        <w:tblPrEx>
          <w:tblCellMar>
            <w:top w:w="0" w:type="dxa"/>
            <w:left w:w="0" w:type="dxa"/>
            <w:bottom w:w="0" w:type="dxa"/>
            <w:right w:w="0" w:type="dxa"/>
          </w:tblCellMar>
        </w:tblPrEx>
        <w:trPr>
          <w:trHeight w:val="479"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8"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（如适用）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）。（不涉及）</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（如适用）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具有有效代理证书，且满足资质要求，且不能为项目代理。（不涉及）</w:t>
            </w:r>
          </w:p>
          <w:p>
            <w:pPr>
              <w:tabs>
                <w:tab w:val="left" w:pos="770"/>
              </w:tabs>
              <w:spacing w:line="240" w:lineRule="auto"/>
              <w:ind w:left="0" w:right="134" w:firstLine="0" w:firstLineChars="0"/>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3.服务商需满足：1</w:t>
            </w:r>
            <w:r>
              <w:rPr>
                <w:rFonts w:hint="eastAsia" w:ascii="仿宋" w:hAnsi="仿宋" w:eastAsia="仿宋" w:cs="仿宋"/>
                <w:b/>
                <w:bCs/>
                <w:color w:val="auto"/>
                <w:sz w:val="21"/>
                <w:szCs w:val="21"/>
                <w:highlight w:val="none"/>
                <w:lang w:eastAsia="zh-CN"/>
              </w:rPr>
              <w:t>）不得将中国海油作为唯一服务客户，承诺中国海油非其唯一服务客户并提供支持性材料（海油外业绩）；</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eastAsia="zh-CN"/>
              </w:rPr>
              <w:t>）自有社保人数≥</w:t>
            </w: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lang w:eastAsia="zh-CN"/>
              </w:rPr>
              <w:t>人，须提供近三月社保证明</w:t>
            </w:r>
            <w:r>
              <w:rPr>
                <w:rFonts w:hint="eastAsia" w:ascii="仿宋" w:hAnsi="仿宋" w:eastAsia="仿宋" w:cs="仿宋"/>
                <w:b/>
                <w:bCs/>
                <w:color w:val="auto"/>
                <w:szCs w:val="21"/>
                <w:highlight w:val="none"/>
                <w:lang w:val="en-US" w:eastAsia="zh-CN"/>
              </w:rPr>
              <w:t>（退休返聘人员不在自有社保人数内，大学、事业单位可不提供社保证明）</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如适用</w:t>
            </w:r>
            <w:r>
              <w:rPr>
                <w:rFonts w:hint="eastAsia" w:ascii="仿宋" w:hAnsi="仿宋" w:eastAsia="仿宋" w:cs="仿宋"/>
                <w:b/>
                <w:bCs/>
                <w:color w:val="auto"/>
                <w:sz w:val="21"/>
                <w:szCs w:val="21"/>
                <w:highlight w:val="none"/>
                <w:lang w:eastAsia="zh-CN"/>
              </w:rPr>
              <w:t>）；3）实缴注册资本金不能为零，</w:t>
            </w:r>
            <w:r>
              <w:rPr>
                <w:rFonts w:hint="eastAsia" w:ascii="仿宋" w:hAnsi="仿宋" w:eastAsia="仿宋" w:cs="仿宋"/>
                <w:b/>
                <w:bCs/>
                <w:color w:val="auto"/>
                <w:szCs w:val="21"/>
                <w:highlight w:val="none"/>
                <w:lang w:val="en-US" w:eastAsia="zh-CN"/>
              </w:rPr>
              <w:t xml:space="preserve">须提供注册资本缴纳证明， 注册资本金缴纳证明可提供银行转账记录、企业主管部门出具的相关文件、国家企业信用信息公示系统、第三方网站（包括但不 限于天眼查、企查查）截图、第三方机构出具的验资报告等。大 学、事业单位可不提供实缴注册资本缴纳证明。 </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如适用</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服务商实缴注册资金要求:</w:t>
            </w:r>
            <w:r>
              <w:rPr>
                <w:rFonts w:hint="eastAsia" w:ascii="仿宋" w:hAnsi="仿宋" w:eastAsia="仿宋" w:cs="仿宋"/>
                <w:b/>
                <w:bCs/>
                <w:color w:val="auto"/>
                <w:kern w:val="2"/>
                <w:sz w:val="21"/>
                <w:szCs w:val="21"/>
                <w:highlight w:val="none"/>
                <w:lang w:val="en-US" w:eastAsia="zh-CN" w:bidi="ar-SA"/>
              </w:rPr>
              <w:t>应答人实缴注册资本金不能为零，应答时需提供相关证明文件。</w:t>
            </w:r>
          </w:p>
          <w:p>
            <w:pPr>
              <w:pStyle w:val="2"/>
              <w:rPr>
                <w:rFonts w:hint="eastAsia"/>
                <w:lang w:eastAsia="zh-CN"/>
              </w:rPr>
            </w:pPr>
          </w:p>
          <w:p>
            <w:pPr>
              <w:ind w:firstLine="0" w:firstLineChars="0"/>
              <w:rPr>
                <w:rFonts w:hint="eastAsia"/>
                <w:color w:val="auto"/>
                <w:highlight w:val="none"/>
                <w:lang w:eastAsia="zh-CN"/>
              </w:rPr>
            </w:pPr>
            <w:r>
              <w:rPr>
                <w:rFonts w:hint="eastAsia" w:ascii="仿宋" w:hAnsi="仿宋" w:eastAsia="仿宋" w:cs="仿宋"/>
                <w:b w:val="0"/>
                <w:bCs w:val="0"/>
                <w:color w:val="auto"/>
                <w:sz w:val="21"/>
                <w:szCs w:val="21"/>
                <w:highlight w:val="none"/>
                <w:lang w:val="en-US" w:eastAsia="zh-CN"/>
              </w:rPr>
              <w:t>制造商：由于适用性太广，请参考《关于进一步明确制造商的定义与使用原则的通知》（不涉及）</w:t>
            </w:r>
          </w:p>
        </w:tc>
      </w:tr>
      <w:tr>
        <w:tblPrEx>
          <w:tblCellMar>
            <w:top w:w="0" w:type="dxa"/>
            <w:left w:w="0" w:type="dxa"/>
            <w:bottom w:w="0" w:type="dxa"/>
            <w:right w:w="0" w:type="dxa"/>
          </w:tblCellMar>
        </w:tblPrEx>
        <w:trPr>
          <w:trHeight w:val="10106" w:hRule="atLeast"/>
          <w:jc w:val="center"/>
        </w:trPr>
        <w:tc>
          <w:tcPr>
            <w:tcW w:w="33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48"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sz w:val="21"/>
                <w:szCs w:val="21"/>
                <w:highlight w:val="none"/>
                <w14:textFill>
                  <w14:solidFill>
                    <w14:schemeClr w14:val="tx1"/>
                  </w14:solidFill>
                </w14:textFill>
              </w:rPr>
              <w:t>货物类</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20xx年1月1日至应答截止日（以合同签署时间为准），应答人应具有至少XX个合同</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（注意：不多于2个）</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的XX产品的已完成的供货业绩,结算金额不低于XX万元人民币。</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应答人所提交的业绩证明文件必须至少体现以下内容：合同签署时间、合同签署页（应有双方盖章）、制造商名称、货物名称及到货验收材料。</w:t>
            </w:r>
            <w:r>
              <w:rPr>
                <w:rFonts w:hint="eastAsia" w:ascii="仿宋" w:hAnsi="仿宋" w:eastAsia="仿宋" w:cs="仿宋"/>
                <w:color w:val="auto"/>
                <w:sz w:val="21"/>
                <w:szCs w:val="21"/>
                <w:highlight w:val="none"/>
                <w:lang w:val="en-US" w:eastAsia="zh-CN"/>
              </w:rPr>
              <w:t>不涉及</w:t>
            </w:r>
          </w:p>
          <w:p>
            <w:pPr>
              <w:rPr>
                <w:highlight w:val="none"/>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服务类</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2" w:firstLineChars="200"/>
              <w:jc w:val="left"/>
              <w:textAlignment w:val="auto"/>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近3年内（2021年1月1日至投标截止日）应答人应具有至少一项厂区保安服务同类似业绩。</w:t>
            </w:r>
          </w:p>
          <w:p>
            <w:pPr>
              <w:keepNext w:val="0"/>
              <w:keepLines w:val="0"/>
              <w:pageBreakBefore w:val="0"/>
              <w:widowControl w:val="0"/>
              <w:kinsoku/>
              <w:wordWrap/>
              <w:overflowPunct/>
              <w:topLinePunct w:val="0"/>
              <w:autoSpaceDE/>
              <w:autoSpaceDN/>
              <w:bidi w:val="0"/>
              <w:adjustRightInd/>
              <w:snapToGrid/>
              <w:spacing w:line="240" w:lineRule="auto"/>
              <w:ind w:right="1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b/>
                <w:bCs/>
                <w:color w:val="000000" w:themeColor="text1"/>
                <w:sz w:val="21"/>
                <w:szCs w:val="21"/>
                <w:highlight w:val="none"/>
                <w14:textFill>
                  <w14:solidFill>
                    <w14:schemeClr w14:val="tx1"/>
                  </w14:solidFill>
                </w14:textFill>
              </w:rPr>
              <w:t>）</w:t>
            </w:r>
            <w:r>
              <w:rPr>
                <w:rFonts w:hint="eastAsia" w:ascii="仿宋" w:hAnsi="仿宋" w:eastAsia="仿宋" w:cs="仿宋"/>
                <w:b/>
                <w:bCs/>
                <w:color w:val="auto"/>
                <w:sz w:val="21"/>
                <w:szCs w:val="21"/>
                <w:highlight w:val="none"/>
                <w:lang w:val="en-US" w:eastAsia="zh-CN"/>
              </w:rPr>
              <w:t>合同</w:t>
            </w:r>
            <w:r>
              <w:rPr>
                <w:rFonts w:hint="eastAsia" w:ascii="仿宋" w:hAnsi="仿宋" w:eastAsia="仿宋" w:cs="仿宋"/>
                <w:b/>
                <w:bCs/>
                <w:color w:val="auto"/>
                <w:sz w:val="21"/>
                <w:szCs w:val="21"/>
                <w:highlight w:val="none"/>
              </w:rPr>
              <w:t>所对应的结算发票</w:t>
            </w:r>
            <w:r>
              <w:rPr>
                <w:rFonts w:hint="eastAsia" w:ascii="仿宋" w:hAnsi="仿宋" w:eastAsia="仿宋" w:cs="仿宋"/>
                <w:b/>
                <w:bCs/>
                <w:color w:val="000000" w:themeColor="text1"/>
                <w:highlight w:val="none"/>
                <w:lang w:eastAsia="zh-CN"/>
                <w14:textFill>
                  <w14:solidFill>
                    <w14:schemeClr w14:val="tx1"/>
                  </w14:solidFill>
                </w14:textFill>
              </w:rPr>
              <w:t>；</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3</w:t>
            </w:r>
            <w:r>
              <w:rPr>
                <w:rFonts w:hint="eastAsia" w:ascii="仿宋" w:hAnsi="仿宋" w:eastAsia="仿宋" w:cs="仿宋"/>
                <w:b/>
                <w:bCs/>
                <w:color w:val="000000" w:themeColor="text1"/>
                <w:sz w:val="21"/>
                <w:szCs w:val="21"/>
                <w:highlight w:val="none"/>
                <w:lang w:eastAsia="zh-CN"/>
                <w14:textFill>
                  <w14:solidFill>
                    <w14:schemeClr w14:val="tx1"/>
                  </w14:solidFill>
                </w14:textFill>
              </w:rPr>
              <w:t>）</w:t>
            </w:r>
            <w:r>
              <w:rPr>
                <w:rFonts w:hint="eastAsia" w:ascii="仿宋" w:hAnsi="仿宋" w:eastAsia="仿宋" w:cs="仿宋"/>
                <w:b/>
                <w:bCs/>
                <w:color w:val="000000" w:themeColor="text1"/>
                <w:highlight w:val="none"/>
                <w:lang w:val="en-US" w:eastAsia="zh-CN"/>
                <w14:textFill>
                  <w14:solidFill>
                    <w14:schemeClr w14:val="tx1"/>
                  </w14:solidFill>
                </w14:textFill>
              </w:rPr>
              <w:t>国家税务总局全国增值税发票查验平台的发票查验截图</w:t>
            </w:r>
            <w:r>
              <w:rPr>
                <w:rFonts w:hint="eastAsia" w:ascii="仿宋" w:hAnsi="仿宋" w:eastAsia="仿宋" w:cs="仿宋"/>
                <w:b/>
                <w:bCs/>
                <w:color w:val="000000" w:themeColor="text1"/>
                <w:sz w:val="21"/>
                <w:szCs w:val="21"/>
                <w:highlight w:val="non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422" w:firstLineChars="200"/>
              <w:jc w:val="left"/>
              <w:textAlignment w:val="auto"/>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应答人所提交的业绩证明文件必须至少体现以下内容：合同签署时间、项目名称及服务验收证明材料。</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工程类</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auto"/>
              <w:ind w:right="10" w:firstLine="420" w:firstLineChars="200"/>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20xx年1月1日至应答截止日（以合同签署时间为准），应答人应具有至少XX个合同（注意：不多于2个）的XX竣工验收业绩,结算金额不低于XX万元人民币。</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应答人须按规定格式提交业绩表，并提交相关业绩证明文件。业绩证明文件</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必须至少体现以下内容：合同签署时间、项目名称及竣工验收证明材料。具体</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包括：1）合同复印件（含相关技术附件）；2）竣工验收证明材料；</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auto"/>
                <w:sz w:val="21"/>
                <w:szCs w:val="21"/>
                <w:highlight w:val="none"/>
                <w:lang w:val="en-US" w:eastAsia="zh-CN"/>
              </w:rPr>
              <w:t>不涉及</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000000" w:sz="6" w:space="0"/>
              <w:bottom w:val="nil"/>
              <w:right w:val="single" w:color="000000" w:sz="4"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8"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1、付款方式：银行电汇；</w:t>
            </w:r>
          </w:p>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2、甲方应于验收合格且确认收到的发票及相关支持文件无异议之日起[ 45 ]日内支付相应的服务费用。如付款到期日为非银行工作日，则付款到期日顺延至下一个银行工作日。</w:t>
            </w:r>
          </w:p>
          <w:p>
            <w:pPr>
              <w:pStyle w:val="7"/>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3</w:t>
            </w:r>
            <w:r>
              <w:rPr>
                <w:rFonts w:hint="eastAsia" w:ascii="仿宋" w:hAnsi="仿宋" w:eastAsia="仿宋" w:cs="仿宋"/>
                <w:bCs/>
                <w:color w:val="000000" w:themeColor="text1"/>
                <w:kern w:val="0"/>
                <w:szCs w:val="21"/>
                <w:highlight w:val="none"/>
                <w14:textFill>
                  <w14:solidFill>
                    <w14:schemeClr w14:val="tx1"/>
                  </w14:solidFill>
                </w14:textFill>
              </w:rPr>
              <w:t>、结算方式：季度结算</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tc>
        <w:tc>
          <w:tcPr>
            <w:tcW w:w="285" w:type="pct"/>
            <w:vMerge w:val="continue"/>
            <w:tcBorders>
              <w:left w:val="single" w:color="000000" w:sz="6" w:space="0"/>
              <w:right w:val="single" w:color="000000" w:sz="6" w:space="0"/>
            </w:tcBorders>
            <w:vAlign w:val="center"/>
          </w:tcPr>
          <w:p/>
        </w:tc>
        <w:tc>
          <w:tcPr>
            <w:tcW w:w="1229"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8"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ascii="仿宋" w:hAnsi="仿宋" w:eastAsia="仿宋" w:cs="仿宋"/>
                <w:bCs/>
                <w:color w:val="000000" w:themeColor="text1"/>
                <w:kern w:val="0"/>
                <w:szCs w:val="21"/>
                <w:highlight w:val="none"/>
                <w:lang w:eastAsia="zh-CN"/>
                <w14:textFill>
                  <w14:solidFill>
                    <w14:schemeClr w14:val="tx1"/>
                  </w14:solidFill>
                </w14:textFill>
              </w:rPr>
              <w:t>详见附件</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3，以实际签订合同条款为准。</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8" w:type="pct"/>
            <w:tcBorders>
              <w:top w:val="single" w:color="000000" w:sz="4" w:space="0"/>
              <w:left w:val="nil"/>
              <w:bottom w:val="single" w:color="000000" w:sz="4" w:space="0"/>
              <w:right w:val="single" w:color="000000" w:sz="4" w:space="0"/>
            </w:tcBorders>
            <w:vAlign w:val="center"/>
          </w:tcPr>
          <w:p>
            <w:pPr>
              <w:pStyle w:val="4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1"/>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5"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8"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5" w:type="pct"/>
            <w:vMerge w:val="restart"/>
            <w:tcBorders>
              <w:top w:val="single" w:color="auto" w:sz="4" w:space="0"/>
              <w:left w:val="single" w:color="auto" w:sz="4" w:space="0"/>
              <w:bottom w:val="single" w:color="auto" w:sz="4" w:space="0"/>
              <w:right w:val="single" w:color="auto" w:sz="4"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5"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8"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见技术文件</w:t>
            </w:r>
          </w:p>
        </w:tc>
      </w:tr>
      <w:tr>
        <w:tblPrEx>
          <w:tblCellMar>
            <w:top w:w="0" w:type="dxa"/>
            <w:left w:w="0" w:type="dxa"/>
            <w:bottom w:w="0" w:type="dxa"/>
            <w:right w:w="0" w:type="dxa"/>
          </w:tblCellMar>
        </w:tblPrEx>
        <w:trPr>
          <w:trHeight w:val="454" w:hRule="atLeast"/>
          <w:jc w:val="center"/>
        </w:trPr>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8"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见技术文件</w:t>
            </w:r>
          </w:p>
        </w:tc>
      </w:tr>
      <w:tr>
        <w:tblPrEx>
          <w:tblCellMar>
            <w:top w:w="0" w:type="dxa"/>
            <w:left w:w="0" w:type="dxa"/>
            <w:bottom w:w="0" w:type="dxa"/>
            <w:right w:w="0" w:type="dxa"/>
          </w:tblCellMar>
        </w:tblPrEx>
        <w:trPr>
          <w:trHeight w:val="454" w:hRule="atLeast"/>
          <w:jc w:val="center"/>
        </w:trPr>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48"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见技术文件</w:t>
            </w:r>
          </w:p>
        </w:tc>
      </w:tr>
      <w:tr>
        <w:tblPrEx>
          <w:tblCellMar>
            <w:top w:w="0" w:type="dxa"/>
            <w:left w:w="0" w:type="dxa"/>
            <w:bottom w:w="0" w:type="dxa"/>
            <w:right w:w="0" w:type="dxa"/>
          </w:tblCellMar>
        </w:tblPrEx>
        <w:trPr>
          <w:trHeight w:val="454" w:hRule="atLeast"/>
          <w:jc w:val="center"/>
        </w:trPr>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8" w:type="pct"/>
            <w:tcBorders>
              <w:top w:val="single" w:color="000000" w:sz="4" w:space="0"/>
              <w:left w:val="single" w:color="auto" w:sz="4" w:space="0"/>
              <w:bottom w:val="single" w:color="000000" w:sz="4" w:space="0"/>
              <w:right w:val="single" w:color="000000" w:sz="4" w:space="0"/>
            </w:tcBorders>
            <w:vAlign w:val="center"/>
          </w:tcPr>
          <w:p>
            <w:pPr>
              <w:pStyle w:val="41"/>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8"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5" w:type="pct"/>
            <w:tcBorders>
              <w:top w:val="single" w:color="auto" w:sz="4" w:space="0"/>
              <w:left w:val="single" w:color="auto" w:sz="4" w:space="0"/>
              <w:bottom w:val="single" w:color="auto" w:sz="4" w:space="0"/>
              <w:right w:val="single" w:color="auto" w:sz="4" w:space="0"/>
            </w:tcBorders>
            <w:vAlign w:val="center"/>
          </w:tcPr>
          <w:p>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1"/>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8"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5" w:type="pct"/>
            <w:gridSpan w:val="2"/>
            <w:tcBorders>
              <w:top w:val="single" w:color="auto" w:sz="4" w:space="0"/>
              <w:left w:val="single" w:color="auto" w:sz="4" w:space="0"/>
              <w:bottom w:val="single" w:color="auto" w:sz="4" w:space="0"/>
              <w:right w:val="single" w:color="000000" w:sz="4" w:space="0"/>
            </w:tcBorders>
            <w:vAlign w:val="center"/>
          </w:tcPr>
          <w:p>
            <w:pPr>
              <w:pStyle w:val="41"/>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1"/>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8"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p>
        </w:tc>
      </w:tr>
    </w:tbl>
    <w:p/>
    <w:p>
      <w:pPr>
        <w:pStyle w:val="6"/>
      </w:pPr>
    </w:p>
    <w:p/>
    <w:p>
      <w:pPr>
        <w:pStyle w:val="6"/>
      </w:pPr>
    </w:p>
    <w:p>
      <w:pPr>
        <w:pStyle w:val="6"/>
        <w:ind w:firstLine="0" w:firstLineChars="0"/>
        <w:rPr>
          <w:lang w:val="en-US" w:eastAsia="zh-CN"/>
        </w:rPr>
      </w:pPr>
    </w:p>
    <w:p>
      <w:pPr>
        <w:rPr>
          <w:lang w:val="en-US" w:eastAsia="zh-CN"/>
        </w:rPr>
      </w:pPr>
    </w:p>
    <w:p>
      <w:pPr>
        <w:pStyle w:val="6"/>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3"/>
      </w:pPr>
      <w:r>
        <w:t>一、项目概况及总体要求</w:t>
      </w:r>
    </w:p>
    <w:p>
      <w:pPr>
        <w:pStyle w:val="36"/>
        <w:widowControl/>
        <w:jc w:val="left"/>
        <w:outlineLvl w:val="0"/>
        <w:rPr>
          <w:rFonts w:hint="eastAsia" w:ascii="微软雅黑" w:hAnsi="微软雅黑" w:eastAsia="微软雅黑"/>
        </w:rPr>
      </w:pPr>
      <w:r>
        <w:rPr>
          <w:rFonts w:hint="eastAsia" w:ascii="微软雅黑" w:hAnsi="微软雅黑" w:eastAsia="微软雅黑"/>
        </w:rPr>
        <w:t>依据舟山海关《关于东海油气田开发海关事务监管操作指引》和经修订的《1974国际海上人命安全公约》（SOLAS公约）、《国际船舶和港口设施保安规则》（ＩＳＰＳ规则）和《中华人民共和国港口设施保安规则》等文件精神要求，为加强公司港口设施保安工作，满足相关部门的监管要求。</w:t>
      </w:r>
      <w:bookmarkStart w:id="0" w:name="_Toc53649304"/>
      <w:bookmarkStart w:id="1" w:name="_Toc53648692"/>
      <w:r>
        <w:rPr>
          <w:rFonts w:hint="eastAsia" w:ascii="微软雅黑" w:hAnsi="微软雅黑" w:eastAsia="微软雅黑"/>
        </w:rPr>
        <w:t>服务范围包括</w:t>
      </w:r>
      <w:r>
        <w:rPr>
          <w:rFonts w:ascii="微软雅黑" w:hAnsi="微软雅黑" w:eastAsia="微软雅黑"/>
        </w:rPr>
        <w:t>门卫、巡逻、守护，</w:t>
      </w:r>
      <w:r>
        <w:rPr>
          <w:rFonts w:hint="eastAsia" w:ascii="微软雅黑" w:hAnsi="微软雅黑" w:eastAsia="微软雅黑"/>
        </w:rPr>
        <w:t>消防管理、</w:t>
      </w:r>
      <w:r>
        <w:rPr>
          <w:rFonts w:ascii="微软雅黑" w:hAnsi="微软雅黑" w:eastAsia="微软雅黑"/>
        </w:rPr>
        <w:t>安全检查以及安全技术防范</w:t>
      </w:r>
      <w:r>
        <w:rPr>
          <w:rFonts w:hint="eastAsia" w:ascii="微软雅黑" w:hAnsi="微软雅黑" w:eastAsia="微软雅黑"/>
        </w:rPr>
        <w:t>等。</w:t>
      </w:r>
      <w:bookmarkEnd w:id="0"/>
      <w:bookmarkEnd w:id="1"/>
    </w:p>
    <w:p>
      <w:pPr>
        <w:pStyle w:val="3"/>
      </w:pPr>
      <w:r>
        <w:t>二、</w:t>
      </w:r>
      <w:r>
        <w:rPr>
          <w:rFonts w:hint="eastAsia"/>
        </w:rPr>
        <w:t>服务</w:t>
      </w:r>
      <w:r>
        <w:t>内容和范围</w:t>
      </w:r>
    </w:p>
    <w:p>
      <w:pPr>
        <w:pStyle w:val="8"/>
        <w:spacing w:line="257" w:lineRule="auto"/>
        <w:ind w:right="115" w:rightChars="55" w:firstLine="199" w:firstLineChars="95"/>
        <w:rPr>
          <w:lang w:eastAsia="zh-CN"/>
        </w:rPr>
      </w:pPr>
      <w:r>
        <w:rPr>
          <w:rFonts w:hint="eastAsia"/>
          <w:lang w:eastAsia="zh-CN"/>
        </w:rPr>
        <w:t>1、服务内容</w:t>
      </w:r>
    </w:p>
    <w:p>
      <w:pPr>
        <w:pStyle w:val="8"/>
        <w:spacing w:line="257" w:lineRule="auto"/>
        <w:ind w:right="115" w:rightChars="55" w:firstLine="199" w:firstLineChars="95"/>
        <w:rPr>
          <w:rFonts w:hint="eastAsia"/>
          <w:lang w:eastAsia="zh-CN"/>
        </w:rPr>
      </w:pPr>
      <w:r>
        <w:rPr>
          <w:rFonts w:hint="eastAsia"/>
          <w:lang w:eastAsia="zh-CN"/>
        </w:rPr>
        <w:t>舟山</w:t>
      </w:r>
      <w:r>
        <w:rPr>
          <w:rFonts w:hint="eastAsia"/>
          <w:lang w:val="en-US" w:eastAsia="zh-CN"/>
        </w:rPr>
        <w:t>物流公司</w:t>
      </w:r>
      <w:r>
        <w:rPr>
          <w:rFonts w:hint="eastAsia"/>
          <w:lang w:eastAsia="zh-CN"/>
        </w:rPr>
        <w:t>厂区保安服务</w:t>
      </w:r>
    </w:p>
    <w:p>
      <w:pPr>
        <w:pStyle w:val="8"/>
        <w:spacing w:line="257" w:lineRule="auto"/>
        <w:ind w:right="115" w:rightChars="55" w:firstLine="199" w:firstLineChars="95"/>
        <w:rPr>
          <w:lang w:eastAsia="zh-CN"/>
        </w:rPr>
      </w:pPr>
      <w:r>
        <w:rPr>
          <w:rFonts w:hint="eastAsia"/>
          <w:lang w:eastAsia="zh-CN"/>
        </w:rPr>
        <w:t>2、工作量清单</w:t>
      </w:r>
    </w:p>
    <w:tbl>
      <w:tblPr>
        <w:tblStyle w:val="21"/>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99"/>
        <w:gridCol w:w="1323"/>
        <w:gridCol w:w="1323"/>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722" w:type="dxa"/>
            <w:gridSpan w:val="2"/>
          </w:tcPr>
          <w:p>
            <w:pPr>
              <w:pStyle w:val="8"/>
              <w:spacing w:line="257" w:lineRule="auto"/>
              <w:ind w:right="115" w:rightChars="55" w:firstLine="0" w:firstLineChars="0"/>
              <w:jc w:val="center"/>
              <w:rPr>
                <w:b/>
                <w:lang w:eastAsia="zh-CN"/>
              </w:rPr>
            </w:pPr>
            <w:r>
              <w:rPr>
                <w:rFonts w:hint="eastAsia"/>
                <w:b/>
                <w:lang w:eastAsia="zh-CN"/>
              </w:rPr>
              <w:t>项目名称</w:t>
            </w:r>
          </w:p>
        </w:tc>
        <w:tc>
          <w:tcPr>
            <w:tcW w:w="1247" w:type="dxa"/>
          </w:tcPr>
          <w:p>
            <w:pPr>
              <w:pStyle w:val="8"/>
              <w:spacing w:line="257" w:lineRule="auto"/>
              <w:ind w:right="115" w:rightChars="55" w:firstLine="0" w:firstLineChars="0"/>
              <w:jc w:val="center"/>
              <w:rPr>
                <w:b/>
                <w:lang w:eastAsia="zh-CN"/>
              </w:rPr>
            </w:pPr>
            <w:r>
              <w:rPr>
                <w:rFonts w:hint="eastAsia"/>
                <w:b/>
                <w:lang w:val="en-US" w:eastAsia="zh-CN"/>
              </w:rPr>
              <w:t>预计</w:t>
            </w:r>
            <w:r>
              <w:rPr>
                <w:rFonts w:hint="eastAsia"/>
                <w:b/>
                <w:lang w:eastAsia="zh-CN"/>
              </w:rPr>
              <w:t>数量</w:t>
            </w:r>
          </w:p>
        </w:tc>
        <w:tc>
          <w:tcPr>
            <w:tcW w:w="1065" w:type="dxa"/>
          </w:tcPr>
          <w:p>
            <w:pPr>
              <w:pStyle w:val="8"/>
              <w:spacing w:line="257" w:lineRule="auto"/>
              <w:ind w:right="115" w:rightChars="55" w:firstLine="0" w:firstLineChars="0"/>
              <w:jc w:val="center"/>
              <w:rPr>
                <w:rFonts w:hint="default"/>
                <w:b/>
                <w:lang w:val="en-US" w:eastAsia="zh-CN"/>
              </w:rPr>
            </w:pPr>
            <w:r>
              <w:rPr>
                <w:rFonts w:hint="eastAsia"/>
                <w:b/>
                <w:lang w:val="en-US" w:eastAsia="zh-CN"/>
              </w:rPr>
              <w:t>单位</w:t>
            </w:r>
          </w:p>
        </w:tc>
        <w:tc>
          <w:tcPr>
            <w:tcW w:w="3904" w:type="dxa"/>
          </w:tcPr>
          <w:p>
            <w:pPr>
              <w:pStyle w:val="8"/>
              <w:spacing w:line="257" w:lineRule="auto"/>
              <w:ind w:right="115" w:rightChars="55" w:firstLine="0" w:firstLineChars="0"/>
              <w:jc w:val="center"/>
              <w:rPr>
                <w:rFonts w:hint="default"/>
                <w:b/>
                <w:lang w:val="en-US" w:eastAsia="zh-CN"/>
              </w:rPr>
            </w:pPr>
            <w:r>
              <w:rPr>
                <w:rFonts w:hint="eastAsia"/>
                <w:b/>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31" w:type="dxa"/>
            <w:vMerge w:val="restart"/>
            <w:vAlign w:val="center"/>
          </w:tcPr>
          <w:p>
            <w:pPr>
              <w:pStyle w:val="8"/>
              <w:spacing w:line="257" w:lineRule="auto"/>
              <w:ind w:left="0" w:leftChars="0" w:right="115" w:rightChars="55" w:firstLine="0" w:firstLineChars="0"/>
              <w:rPr>
                <w:rFonts w:hint="eastAsia"/>
                <w:lang w:eastAsia="zh-CN"/>
              </w:rPr>
            </w:pPr>
            <w:r>
              <w:rPr>
                <w:rFonts w:hint="eastAsia"/>
                <w:lang w:eastAsia="zh-CN"/>
              </w:rPr>
              <w:t>舟山</w:t>
            </w:r>
            <w:r>
              <w:rPr>
                <w:rFonts w:hint="eastAsia"/>
                <w:lang w:val="en-US" w:eastAsia="zh-CN"/>
              </w:rPr>
              <w:t>物流公司</w:t>
            </w:r>
            <w:r>
              <w:rPr>
                <w:rFonts w:hint="eastAsia"/>
                <w:lang w:eastAsia="zh-CN"/>
              </w:rPr>
              <w:t>厂区保安服务</w:t>
            </w:r>
          </w:p>
          <w:p>
            <w:pPr>
              <w:pStyle w:val="8"/>
              <w:spacing w:line="257" w:lineRule="auto"/>
              <w:ind w:right="115" w:rightChars="55" w:firstLine="0" w:firstLineChars="0"/>
              <w:jc w:val="center"/>
              <w:rPr>
                <w:rFonts w:hint="eastAsia"/>
                <w:lang w:eastAsia="zh-CN"/>
              </w:rPr>
            </w:pPr>
          </w:p>
        </w:tc>
        <w:tc>
          <w:tcPr>
            <w:tcW w:w="1691" w:type="dxa"/>
            <w:vAlign w:val="center"/>
          </w:tcPr>
          <w:p>
            <w:pPr>
              <w:keepNext w:val="0"/>
              <w:keepLines w:val="0"/>
              <w:widowControl/>
              <w:suppressLineNumbers w:val="0"/>
              <w:jc w:val="center"/>
              <w:textAlignment w:val="center"/>
              <w:rPr>
                <w:lang w:eastAsia="zh-CN"/>
              </w:rPr>
            </w:pPr>
            <w:r>
              <w:rPr>
                <w:rFonts w:hint="eastAsia" w:ascii="宋体" w:hAnsi="宋体" w:eastAsia="宋体" w:cs="宋体"/>
                <w:i w:val="0"/>
                <w:iCs w:val="0"/>
                <w:color w:val="000000"/>
                <w:kern w:val="0"/>
                <w:sz w:val="22"/>
                <w:szCs w:val="22"/>
                <w:u w:val="none"/>
                <w:lang w:val="en-US" w:eastAsia="zh-CN" w:bidi="ar"/>
              </w:rPr>
              <w:t>老塘山厂区保安服务</w:t>
            </w:r>
          </w:p>
        </w:tc>
        <w:tc>
          <w:tcPr>
            <w:tcW w:w="1247" w:type="dxa"/>
            <w:vAlign w:val="center"/>
          </w:tcPr>
          <w:p>
            <w:pPr>
              <w:keepNext w:val="0"/>
              <w:keepLines w:val="0"/>
              <w:widowControl/>
              <w:suppressLineNumbers w:val="0"/>
              <w:jc w:val="center"/>
              <w:textAlignment w:val="center"/>
              <w:rPr>
                <w:lang w:eastAsia="zh-CN"/>
              </w:rPr>
            </w:pPr>
            <w:r>
              <w:rPr>
                <w:rFonts w:hint="eastAsia" w:ascii="宋体" w:hAnsi="宋体" w:eastAsia="宋体" w:cs="宋体"/>
                <w:i w:val="0"/>
                <w:iCs w:val="0"/>
                <w:color w:val="000000"/>
                <w:kern w:val="0"/>
                <w:sz w:val="22"/>
                <w:szCs w:val="22"/>
                <w:u w:val="none"/>
                <w:lang w:val="en-US" w:eastAsia="zh-CN" w:bidi="ar"/>
              </w:rPr>
              <w:t>12</w:t>
            </w:r>
          </w:p>
        </w:tc>
        <w:tc>
          <w:tcPr>
            <w:tcW w:w="106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3904" w:type="dxa"/>
            <w:vAlign w:val="center"/>
          </w:tcPr>
          <w:p>
            <w:pPr>
              <w:keepNext w:val="0"/>
              <w:keepLines w:val="0"/>
              <w:widowControl/>
              <w:suppressLineNumbers w:val="0"/>
              <w:jc w:val="center"/>
              <w:textAlignment w:val="center"/>
              <w:rPr>
                <w:rFonts w:hint="default" w:ascii="微软雅黑" w:hAnsi="微软雅黑" w:eastAsia="微软雅黑"/>
                <w:spacing w:val="0"/>
                <w:sz w:val="21"/>
                <w:szCs w:val="21"/>
                <w:lang w:val="en-US"/>
              </w:rPr>
            </w:pPr>
            <w:r>
              <w:rPr>
                <w:rFonts w:hint="eastAsia" w:ascii="宋体" w:hAnsi="宋体" w:eastAsia="宋体" w:cs="宋体"/>
                <w:i w:val="0"/>
                <w:iCs w:val="0"/>
                <w:color w:val="000000"/>
                <w:kern w:val="0"/>
                <w:sz w:val="22"/>
                <w:szCs w:val="22"/>
                <w:u w:val="none"/>
                <w:lang w:val="en-US" w:eastAsia="zh-CN" w:bidi="ar"/>
              </w:rPr>
              <w:t>老塘山厂区24小时门岗、码头出入控制，人员、车辆、物资进出门的管理和厂区防火、防盗、防投毒、治安巡逻等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31" w:type="dxa"/>
            <w:vMerge w:val="continue"/>
            <w:vAlign w:val="center"/>
          </w:tcPr>
          <w:p>
            <w:pPr>
              <w:pStyle w:val="8"/>
              <w:spacing w:line="257" w:lineRule="auto"/>
              <w:ind w:right="115" w:rightChars="55" w:firstLine="0" w:firstLineChars="0"/>
              <w:jc w:val="center"/>
              <w:rPr>
                <w:rFonts w:hint="eastAsia"/>
                <w:lang w:eastAsia="zh-CN"/>
              </w:rPr>
            </w:pPr>
          </w:p>
        </w:tc>
        <w:tc>
          <w:tcPr>
            <w:tcW w:w="1691" w:type="dxa"/>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望海湾厂区保安服务</w:t>
            </w:r>
          </w:p>
        </w:tc>
        <w:tc>
          <w:tcPr>
            <w:tcW w:w="1247" w:type="dxa"/>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12</w:t>
            </w:r>
          </w:p>
        </w:tc>
        <w:tc>
          <w:tcPr>
            <w:tcW w:w="106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3904" w:type="dxa"/>
            <w:vAlign w:val="center"/>
          </w:tcPr>
          <w:p>
            <w:pPr>
              <w:keepNext w:val="0"/>
              <w:keepLines w:val="0"/>
              <w:widowControl/>
              <w:suppressLineNumbers w:val="0"/>
              <w:jc w:val="center"/>
              <w:textAlignment w:val="center"/>
              <w:rPr>
                <w:rFonts w:hint="eastAsia" w:cstheme="minorBidi"/>
                <w:spacing w:val="0"/>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望海湾厂区24小时门岗、厂区出入控制，人员、车辆、物资进出门的管理和厂区防火、防盗、防投毒、治安巡逻等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031" w:type="dxa"/>
            <w:vMerge w:val="continue"/>
            <w:vAlign w:val="center"/>
          </w:tcPr>
          <w:p>
            <w:pPr>
              <w:pStyle w:val="8"/>
              <w:spacing w:line="257" w:lineRule="auto"/>
              <w:ind w:right="115" w:rightChars="55" w:firstLine="0" w:firstLineChars="0"/>
              <w:jc w:val="center"/>
              <w:rPr>
                <w:rFonts w:hint="eastAsia"/>
                <w:lang w:eastAsia="zh-CN"/>
              </w:rPr>
            </w:pPr>
          </w:p>
        </w:tc>
        <w:tc>
          <w:tcPr>
            <w:tcW w:w="1691" w:type="dxa"/>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临时保安服务</w:t>
            </w:r>
          </w:p>
        </w:tc>
        <w:tc>
          <w:tcPr>
            <w:tcW w:w="1247" w:type="dxa"/>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30</w:t>
            </w:r>
          </w:p>
        </w:tc>
        <w:tc>
          <w:tcPr>
            <w:tcW w:w="106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3904" w:type="dxa"/>
            <w:vAlign w:val="center"/>
          </w:tcPr>
          <w:p>
            <w:pPr>
              <w:keepNext w:val="0"/>
              <w:keepLines w:val="0"/>
              <w:widowControl/>
              <w:suppressLineNumbers w:val="0"/>
              <w:jc w:val="center"/>
              <w:textAlignment w:val="center"/>
              <w:rPr>
                <w:rFonts w:hint="eastAsia" w:cstheme="minorBidi"/>
                <w:spacing w:val="0"/>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按照甲方临时需求及时派遣临时保安人员开展保安服务工作，增派不少于2名保安人员进行执勤、巡逻等，每次服务时间不超过8小时</w:t>
            </w:r>
          </w:p>
        </w:tc>
      </w:tr>
    </w:tbl>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3、</w:t>
      </w:r>
      <w:r>
        <w:rPr>
          <w:rFonts w:hint="eastAsia" w:ascii="微软雅黑" w:hAnsi="微软雅黑" w:eastAsia="微软雅黑"/>
        </w:rPr>
        <w:t>服务地点</w:t>
      </w:r>
    </w:p>
    <w:p>
      <w:pPr>
        <w:widowControl/>
        <w:ind w:left="425"/>
        <w:jc w:val="left"/>
        <w:rPr>
          <w:rFonts w:ascii="微软雅黑" w:hAnsi="微软雅黑" w:eastAsia="微软雅黑"/>
        </w:rPr>
      </w:pPr>
      <w:r>
        <w:rPr>
          <w:rFonts w:hint="eastAsia" w:ascii="微软雅黑" w:hAnsi="微软雅黑" w:eastAsia="微软雅黑"/>
        </w:rPr>
        <w:t>舟山市定海区老塘山港区和舟山市定海区岑港望海湾厂区</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4、服务时间</w:t>
      </w:r>
    </w:p>
    <w:p>
      <w:pPr>
        <w:pStyle w:val="36"/>
        <w:widowControl/>
        <w:numPr>
          <w:ilvl w:val="0"/>
          <w:numId w:val="0"/>
        </w:numPr>
        <w:ind w:left="420" w:leftChars="0"/>
        <w:jc w:val="left"/>
        <w:rPr>
          <w:rFonts w:hint="eastAsia" w:ascii="微软雅黑" w:hAnsi="微软雅黑" w:eastAsia="微软雅黑"/>
          <w:lang w:val="en-US" w:eastAsia="zh-CN"/>
        </w:rPr>
      </w:pPr>
      <w:r>
        <w:rPr>
          <w:rFonts w:hint="eastAsia" w:ascii="微软雅黑" w:hAnsi="微软雅黑" w:eastAsia="微软雅黑"/>
          <w:lang w:val="en-US" w:eastAsia="zh-CN"/>
        </w:rPr>
        <w:t>2024.11.8起1年</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5、</w:t>
      </w:r>
      <w:r>
        <w:rPr>
          <w:rFonts w:hint="eastAsia" w:ascii="微软雅黑" w:hAnsi="微软雅黑" w:eastAsia="微软雅黑"/>
        </w:rPr>
        <w:t>工作范围</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5.1甲方工作范围：</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5.1.1</w:t>
      </w:r>
      <w:r>
        <w:rPr>
          <w:rFonts w:hint="eastAsia" w:ascii="微软雅黑" w:hAnsi="微软雅黑" w:eastAsia="微软雅黑"/>
        </w:rPr>
        <w:t>负责提供保安</w:t>
      </w:r>
      <w:r>
        <w:rPr>
          <w:rFonts w:ascii="微软雅黑" w:hAnsi="微软雅黑" w:eastAsia="微软雅黑"/>
        </w:rPr>
        <w:t>服务所需的</w:t>
      </w:r>
      <w:r>
        <w:rPr>
          <w:rFonts w:hint="eastAsia" w:ascii="微软雅黑" w:hAnsi="微软雅黑" w:eastAsia="微软雅黑"/>
        </w:rPr>
        <w:t>保安</w:t>
      </w:r>
      <w:r>
        <w:rPr>
          <w:rFonts w:ascii="微软雅黑" w:hAnsi="微软雅黑" w:eastAsia="微软雅黑"/>
        </w:rPr>
        <w:t>室</w:t>
      </w:r>
      <w:r>
        <w:rPr>
          <w:rFonts w:hint="eastAsia" w:ascii="微软雅黑" w:hAnsi="微软雅黑" w:eastAsia="微软雅黑"/>
        </w:rPr>
        <w:t>、值班岗亭</w:t>
      </w:r>
      <w:r>
        <w:rPr>
          <w:rFonts w:ascii="微软雅黑" w:hAnsi="微软雅黑" w:eastAsia="微软雅黑"/>
        </w:rPr>
        <w:t>及相应的空调、</w:t>
      </w:r>
      <w:r>
        <w:rPr>
          <w:rFonts w:hint="eastAsia" w:ascii="微软雅黑" w:hAnsi="微软雅黑" w:eastAsia="微软雅黑"/>
        </w:rPr>
        <w:t>桌椅</w:t>
      </w:r>
      <w:r>
        <w:rPr>
          <w:rFonts w:ascii="微软雅黑" w:hAnsi="微软雅黑" w:eastAsia="微软雅黑"/>
        </w:rPr>
        <w:t>；</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5.1.2</w:t>
      </w:r>
      <w:r>
        <w:rPr>
          <w:rFonts w:hint="eastAsia" w:ascii="微软雅黑" w:hAnsi="微软雅黑" w:eastAsia="微软雅黑"/>
        </w:rPr>
        <w:t>负责按时支付保安</w:t>
      </w:r>
      <w:r>
        <w:rPr>
          <w:rFonts w:ascii="微软雅黑" w:hAnsi="微软雅黑" w:eastAsia="微软雅黑"/>
        </w:rPr>
        <w:t>服务费用。</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5.2</w:t>
      </w:r>
      <w:r>
        <w:rPr>
          <w:rFonts w:hint="eastAsia" w:ascii="微软雅黑" w:hAnsi="微软雅黑" w:eastAsia="微软雅黑"/>
        </w:rPr>
        <w:t>乙方工作范围</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5.2.1</w:t>
      </w:r>
      <w:r>
        <w:rPr>
          <w:rFonts w:hint="eastAsia" w:ascii="微软雅黑" w:hAnsi="微软雅黑" w:eastAsia="微软雅黑"/>
        </w:rPr>
        <w:t>全面负责厂区24小时门岗、码头出入控制，人员、车辆、物资进出门的管理和厂区防火、防盗、防投毒、治安巡逻</w:t>
      </w:r>
      <w:r>
        <w:rPr>
          <w:rFonts w:hint="eastAsia" w:ascii="微软雅黑" w:hAnsi="微软雅黑" w:eastAsia="微软雅黑"/>
          <w:lang w:val="en-US" w:eastAsia="zh-CN"/>
        </w:rPr>
        <w:t>等</w:t>
      </w:r>
      <w:r>
        <w:rPr>
          <w:rFonts w:hint="eastAsia" w:ascii="微软雅黑" w:hAnsi="微软雅黑" w:eastAsia="微软雅黑"/>
        </w:rPr>
        <w:t>，及时发现和消除安全隐患；</w:t>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5.2.2</w:t>
      </w:r>
      <w:r>
        <w:rPr>
          <w:rFonts w:hint="eastAsia" w:ascii="微软雅黑" w:hAnsi="微软雅黑" w:eastAsia="微软雅黑"/>
        </w:rPr>
        <w:t>全面负责厂区内安全秩序维护</w:t>
      </w:r>
      <w:r>
        <w:rPr>
          <w:rFonts w:hint="eastAsia" w:ascii="微软雅黑" w:hAnsi="微软雅黑" w:eastAsia="微软雅黑"/>
          <w:lang w:eastAsia="zh-CN"/>
        </w:rPr>
        <w:t>，</w:t>
      </w:r>
      <w:r>
        <w:rPr>
          <w:rFonts w:hint="eastAsia" w:ascii="微软雅黑" w:hAnsi="微软雅黑" w:eastAsia="微软雅黑"/>
          <w:lang w:val="en-US" w:eastAsia="zh-CN"/>
        </w:rPr>
        <w:t>厂区主要进出通道</w:t>
      </w:r>
      <w:r>
        <w:rPr>
          <w:rFonts w:hint="eastAsia" w:ascii="微软雅黑" w:hAnsi="微软雅黑" w:eastAsia="微软雅黑"/>
        </w:rPr>
        <w:t>交通秩序维护</w:t>
      </w:r>
      <w:r>
        <w:rPr>
          <w:rFonts w:hint="eastAsia" w:ascii="微软雅黑" w:hAnsi="微软雅黑" w:eastAsia="微软雅黑"/>
          <w:lang w:val="en-US" w:eastAsia="zh-CN"/>
        </w:rPr>
        <w:t>和</w:t>
      </w:r>
      <w:r>
        <w:rPr>
          <w:rFonts w:hint="eastAsia" w:ascii="微软雅黑" w:hAnsi="微软雅黑" w:eastAsia="微软雅黑"/>
        </w:rPr>
        <w:t>车辆指挥与停放</w:t>
      </w:r>
      <w:r>
        <w:rPr>
          <w:rFonts w:hint="eastAsia" w:ascii="微软雅黑" w:hAnsi="微软雅黑" w:eastAsia="微软雅黑"/>
          <w:lang w:eastAsia="zh-CN"/>
        </w:rPr>
        <w:t>，</w:t>
      </w:r>
      <w:r>
        <w:rPr>
          <w:rFonts w:hint="eastAsia" w:ascii="微软雅黑" w:hAnsi="微软雅黑" w:eastAsia="微软雅黑"/>
        </w:rPr>
        <w:t>重点部位（库房、配电房、空压机房）的区域治安巡查；</w:t>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5.2.3</w:t>
      </w:r>
      <w:r>
        <w:rPr>
          <w:rFonts w:hint="eastAsia" w:ascii="微软雅黑" w:hAnsi="微软雅黑" w:eastAsia="微软雅黑"/>
        </w:rPr>
        <w:t>厂区内安全隐患检查、排除及上报、违规纠正，有针对性地开展安全教育和提示；</w:t>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5.2.4</w:t>
      </w:r>
      <w:r>
        <w:rPr>
          <w:rFonts w:hint="eastAsia" w:ascii="微软雅黑" w:hAnsi="微软雅黑" w:eastAsia="微软雅黑"/>
        </w:rPr>
        <w:t>厂区突发事件处置、灾害预防、火灾扑救等，随时准备提供紧急援助；</w:t>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5.2.5</w:t>
      </w:r>
      <w:r>
        <w:rPr>
          <w:rFonts w:hint="eastAsia" w:ascii="微软雅黑" w:hAnsi="微软雅黑" w:eastAsia="微软雅黑"/>
        </w:rPr>
        <w:t>在甲方安全装备部组织和领导下，做好厂区内部治安综合治理工作；</w:t>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5.2.6</w:t>
      </w:r>
      <w:r>
        <w:rPr>
          <w:rFonts w:hint="eastAsia" w:ascii="微软雅黑" w:hAnsi="微软雅黑" w:eastAsia="微软雅黑"/>
        </w:rPr>
        <w:t>保安队伍要积极配合甲方开展的每季度港口设施保安训练。甲方开展港口设施保安训练时，全部保安人员必须到岗，服从甲方安排的训练指令；</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5.2.7</w:t>
      </w:r>
      <w:r>
        <w:rPr>
          <w:rFonts w:hint="eastAsia" w:ascii="微软雅黑" w:hAnsi="微软雅黑" w:eastAsia="微软雅黑"/>
        </w:rPr>
        <w:t>其它属于安全保卫专项管理范围内的工作及甲方临时交办的任务。</w:t>
      </w:r>
      <w:r>
        <w:rPr>
          <w:rFonts w:ascii="微软雅黑" w:hAnsi="微软雅黑" w:eastAsia="微软雅黑"/>
        </w:rPr>
        <w:drawing>
          <wp:anchor distT="0" distB="0" distL="114300" distR="114300" simplePos="0" relativeHeight="251660288" behindDoc="0" locked="0" layoutInCell="1" allowOverlap="1">
            <wp:simplePos x="0" y="0"/>
            <wp:positionH relativeFrom="column">
              <wp:posOffset>6191250</wp:posOffset>
            </wp:positionH>
            <wp:positionV relativeFrom="paragraph">
              <wp:posOffset>9791700</wp:posOffset>
            </wp:positionV>
            <wp:extent cx="409575" cy="456565"/>
            <wp:effectExtent l="0" t="0" r="952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9575" cy="456565"/>
                    </a:xfrm>
                    <a:prstGeom prst="rect">
                      <a:avLst/>
                    </a:prstGeom>
                    <a:noFill/>
                    <a:ln>
                      <a:noFill/>
                    </a:ln>
                  </pic:spPr>
                </pic:pic>
              </a:graphicData>
            </a:graphic>
          </wp:anchor>
        </w:drawing>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5.2.8</w:t>
      </w:r>
      <w:r>
        <w:rPr>
          <w:rFonts w:ascii="微软雅黑" w:hAnsi="微软雅黑" w:eastAsia="微软雅黑"/>
        </w:rPr>
        <w:t>自行解决</w:t>
      </w:r>
      <w:r>
        <w:rPr>
          <w:rFonts w:hint="eastAsia" w:ascii="微软雅黑" w:hAnsi="微软雅黑" w:eastAsia="微软雅黑"/>
        </w:rPr>
        <w:t>保安人员的</w:t>
      </w:r>
      <w:r>
        <w:rPr>
          <w:rFonts w:ascii="微软雅黑" w:hAnsi="微软雅黑" w:eastAsia="微软雅黑"/>
        </w:rPr>
        <w:t>食宿</w:t>
      </w:r>
      <w:r>
        <w:rPr>
          <w:rFonts w:hint="eastAsia" w:ascii="微软雅黑" w:hAnsi="微软雅黑" w:eastAsia="微软雅黑"/>
        </w:rPr>
        <w:t>；</w:t>
      </w:r>
    </w:p>
    <w:p>
      <w:pPr>
        <w:pStyle w:val="36"/>
        <w:widowControl/>
        <w:numPr>
          <w:ilvl w:val="0"/>
          <w:numId w:val="0"/>
        </w:numPr>
        <w:ind w:left="840" w:leftChars="0"/>
        <w:jc w:val="left"/>
        <w:rPr>
          <w:rFonts w:hint="default" w:ascii="微软雅黑" w:hAnsi="微软雅黑" w:eastAsia="微软雅黑"/>
          <w:lang w:val="en-US" w:eastAsia="zh-CN"/>
        </w:rPr>
      </w:pPr>
      <w:r>
        <w:rPr>
          <w:rFonts w:hint="eastAsia" w:ascii="微软雅黑" w:hAnsi="微软雅黑" w:eastAsia="微软雅黑"/>
          <w:lang w:val="en-US" w:eastAsia="zh-CN"/>
        </w:rPr>
        <w:t>5.2.9</w:t>
      </w:r>
      <w:r>
        <w:rPr>
          <w:rFonts w:hint="eastAsia" w:ascii="微软雅黑" w:hAnsi="微软雅黑" w:eastAsia="微软雅黑"/>
        </w:rPr>
        <w:t>按照</w:t>
      </w:r>
      <w:r>
        <w:rPr>
          <w:rFonts w:ascii="微软雅黑" w:hAnsi="微软雅黑" w:eastAsia="微软雅黑"/>
        </w:rPr>
        <w:t>法律规定，</w:t>
      </w:r>
      <w:r>
        <w:rPr>
          <w:rFonts w:hint="eastAsia" w:ascii="微软雅黑" w:hAnsi="微软雅黑" w:eastAsia="微软雅黑"/>
        </w:rPr>
        <w:t>为</w:t>
      </w:r>
      <w:r>
        <w:rPr>
          <w:rFonts w:ascii="微软雅黑" w:hAnsi="微软雅黑" w:eastAsia="微软雅黑"/>
        </w:rPr>
        <w:t>保安人员</w:t>
      </w:r>
      <w:r>
        <w:rPr>
          <w:rFonts w:hint="eastAsia" w:ascii="微软雅黑" w:hAnsi="微软雅黑" w:eastAsia="微软雅黑"/>
        </w:rPr>
        <w:t>按时</w:t>
      </w:r>
      <w:r>
        <w:rPr>
          <w:rFonts w:ascii="微软雅黑" w:hAnsi="微软雅黑" w:eastAsia="微软雅黑"/>
        </w:rPr>
        <w:t>缴纳各类</w:t>
      </w:r>
      <w:r>
        <w:rPr>
          <w:rFonts w:hint="eastAsia" w:ascii="微软雅黑" w:hAnsi="微软雅黑" w:eastAsia="微软雅黑"/>
        </w:rPr>
        <w:t>保险</w:t>
      </w:r>
      <w:r>
        <w:rPr>
          <w:rFonts w:ascii="微软雅黑" w:hAnsi="微软雅黑" w:eastAsia="微软雅黑"/>
        </w:rPr>
        <w:t>。</w:t>
      </w:r>
    </w:p>
    <w:p>
      <w:pPr>
        <w:pStyle w:val="3"/>
      </w:pPr>
      <w:r>
        <w:t>三、执行标准</w:t>
      </w:r>
      <w:r>
        <w:rPr>
          <w:rFonts w:hint="eastAsia"/>
        </w:rPr>
        <w:t>/规范</w:t>
      </w:r>
    </w:p>
    <w:p>
      <w:pPr>
        <w:pStyle w:val="36"/>
        <w:widowControl/>
        <w:numPr>
          <w:ilvl w:val="0"/>
          <w:numId w:val="3"/>
        </w:numPr>
        <w:ind w:firstLineChars="0"/>
        <w:jc w:val="left"/>
        <w:outlineLvl w:val="0"/>
        <w:rPr>
          <w:rFonts w:ascii="微软雅黑" w:hAnsi="微软雅黑" w:eastAsia="微软雅黑"/>
        </w:rPr>
      </w:pPr>
      <w:bookmarkStart w:id="2" w:name="_Toc54797885"/>
      <w:r>
        <w:rPr>
          <w:rFonts w:hint="eastAsia" w:ascii="微软雅黑" w:hAnsi="微软雅黑" w:eastAsia="微软雅黑"/>
        </w:rPr>
        <w:t>规范性引用文件</w:t>
      </w:r>
      <w:bookmarkEnd w:id="2"/>
    </w:p>
    <w:p>
      <w:pPr>
        <w:ind w:firstLine="420" w:firstLineChars="200"/>
        <w:rPr>
          <w:rFonts w:ascii="微软雅黑" w:hAnsi="微软雅黑" w:eastAsia="微软雅黑"/>
        </w:rPr>
      </w:pPr>
      <w:r>
        <w:rPr>
          <w:rFonts w:ascii="微软雅黑" w:hAnsi="微软雅黑" w:eastAsia="微软雅黑"/>
        </w:rPr>
        <w:t>《中华人民共和国劳动法》</w:t>
      </w:r>
    </w:p>
    <w:p>
      <w:pPr>
        <w:ind w:firstLine="420" w:firstLineChars="200"/>
        <w:rPr>
          <w:rFonts w:ascii="微软雅黑" w:hAnsi="微软雅黑" w:eastAsia="微软雅黑"/>
        </w:rPr>
      </w:pPr>
      <w:r>
        <w:rPr>
          <w:rFonts w:ascii="微软雅黑" w:hAnsi="微软雅黑" w:eastAsia="微软雅黑"/>
        </w:rPr>
        <w:t>《保安服务管理条例》</w:t>
      </w:r>
    </w:p>
    <w:p>
      <w:pPr>
        <w:pStyle w:val="36"/>
        <w:widowControl/>
        <w:numPr>
          <w:ilvl w:val="0"/>
          <w:numId w:val="3"/>
        </w:numPr>
        <w:ind w:firstLineChars="0"/>
        <w:jc w:val="left"/>
        <w:outlineLvl w:val="0"/>
        <w:rPr>
          <w:rFonts w:ascii="微软雅黑" w:hAnsi="微软雅黑" w:eastAsia="微软雅黑"/>
        </w:rPr>
      </w:pPr>
      <w:bookmarkStart w:id="3" w:name="_Toc54797886"/>
      <w:r>
        <w:rPr>
          <w:rFonts w:hint="eastAsia" w:ascii="微软雅黑" w:hAnsi="微软雅黑" w:eastAsia="微软雅黑"/>
        </w:rPr>
        <w:t>术语和定义</w:t>
      </w:r>
      <w:bookmarkEnd w:id="3"/>
    </w:p>
    <w:p>
      <w:pPr>
        <w:ind w:firstLine="420" w:firstLineChars="200"/>
        <w:rPr>
          <w:rFonts w:hint="eastAsia" w:ascii="微软雅黑" w:hAnsi="微软雅黑" w:eastAsia="微软雅黑"/>
        </w:rPr>
      </w:pPr>
      <w:r>
        <w:rPr>
          <w:rFonts w:ascii="微软雅黑" w:hAnsi="微软雅黑" w:eastAsia="微软雅黑"/>
        </w:rPr>
        <w:t>本</w:t>
      </w:r>
      <w:r>
        <w:rPr>
          <w:rFonts w:hint="eastAsia" w:ascii="微软雅黑" w:hAnsi="微软雅黑" w:eastAsia="微软雅黑"/>
        </w:rPr>
        <w:t>技术要求用于保安服务业务外包模式，相应服务人员由乙方负责管理，甲方只对业务成果进行验收，不参与乙方人员直接管理。</w:t>
      </w:r>
    </w:p>
    <w:p>
      <w:pPr>
        <w:pStyle w:val="3"/>
      </w:pPr>
      <w:r>
        <w:rPr>
          <w:rFonts w:hint="eastAsia"/>
        </w:rPr>
        <w:t>四、服务要求</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 xml:space="preserve">1、 </w:t>
      </w:r>
      <w:r>
        <w:rPr>
          <w:rFonts w:hint="eastAsia" w:ascii="微软雅黑" w:hAnsi="微软雅黑" w:eastAsia="微软雅黑"/>
        </w:rPr>
        <w:t>人员配备要求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07"/>
        <w:gridCol w:w="327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pStyle w:val="36"/>
              <w:widowControl/>
              <w:numPr>
                <w:ilvl w:val="0"/>
                <w:numId w:val="0"/>
              </w:numPr>
              <w:jc w:val="center"/>
              <w:rPr>
                <w:rFonts w:hint="eastAsia"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序号</w:t>
            </w:r>
          </w:p>
        </w:tc>
        <w:tc>
          <w:tcPr>
            <w:tcW w:w="170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服务项目</w:t>
            </w:r>
          </w:p>
        </w:tc>
        <w:tc>
          <w:tcPr>
            <w:tcW w:w="327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工作内容</w:t>
            </w:r>
          </w:p>
        </w:tc>
        <w:tc>
          <w:tcPr>
            <w:tcW w:w="272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人员配置要求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pStyle w:val="36"/>
              <w:widowControl/>
              <w:numPr>
                <w:ilvl w:val="0"/>
                <w:numId w:val="0"/>
              </w:numPr>
              <w:jc w:val="center"/>
              <w:rPr>
                <w:rFonts w:hint="eastAsia"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1</w:t>
            </w:r>
          </w:p>
        </w:tc>
        <w:tc>
          <w:tcPr>
            <w:tcW w:w="170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rPr>
              <w:t>老塘山港区</w:t>
            </w:r>
            <w:r>
              <w:rPr>
                <w:rFonts w:hint="eastAsia" w:ascii="微软雅黑" w:hAnsi="微软雅黑" w:eastAsia="微软雅黑"/>
                <w:sz w:val="18"/>
                <w:szCs w:val="20"/>
                <w:highlight w:val="none"/>
                <w:lang w:val="en-US" w:eastAsia="zh-CN"/>
              </w:rPr>
              <w:t>保安服务</w:t>
            </w:r>
          </w:p>
        </w:tc>
        <w:tc>
          <w:tcPr>
            <w:tcW w:w="3277" w:type="dxa"/>
            <w:vAlign w:val="center"/>
          </w:tcPr>
          <w:p>
            <w:pPr>
              <w:pStyle w:val="36"/>
              <w:widowControl/>
              <w:numPr>
                <w:ilvl w:val="0"/>
                <w:numId w:val="0"/>
              </w:numPr>
              <w:jc w:val="center"/>
              <w:rPr>
                <w:rFonts w:ascii="微软雅黑" w:hAnsi="微软雅黑" w:eastAsia="微软雅黑"/>
                <w:sz w:val="18"/>
                <w:szCs w:val="20"/>
                <w:highlight w:val="none"/>
                <w:vertAlign w:val="baseline"/>
              </w:rPr>
            </w:pPr>
            <w:r>
              <w:rPr>
                <w:rFonts w:hint="eastAsia" w:ascii="微软雅黑" w:hAnsi="微软雅黑" w:eastAsia="微软雅黑"/>
                <w:sz w:val="18"/>
                <w:szCs w:val="20"/>
                <w:highlight w:val="none"/>
                <w:vertAlign w:val="baseline"/>
              </w:rPr>
              <w:t>厂区24小时门岗、码头出入控制，人员、车辆、物资进出门的管理和厂区防火、防盗、防投毒、治安巡逻</w:t>
            </w:r>
          </w:p>
        </w:tc>
        <w:tc>
          <w:tcPr>
            <w:tcW w:w="272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每班配置不少于3人，人员加班时长不得违反劳动法要求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pStyle w:val="36"/>
              <w:widowControl/>
              <w:numPr>
                <w:ilvl w:val="0"/>
                <w:numId w:val="0"/>
              </w:numPr>
              <w:jc w:val="center"/>
              <w:rPr>
                <w:rFonts w:hint="eastAsia"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2</w:t>
            </w:r>
          </w:p>
        </w:tc>
        <w:tc>
          <w:tcPr>
            <w:tcW w:w="170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rPr>
              <w:t>望海湾厂区</w:t>
            </w:r>
            <w:r>
              <w:rPr>
                <w:rFonts w:hint="eastAsia" w:ascii="微软雅黑" w:hAnsi="微软雅黑" w:eastAsia="微软雅黑"/>
                <w:sz w:val="18"/>
                <w:szCs w:val="20"/>
                <w:highlight w:val="none"/>
                <w:lang w:val="en-US" w:eastAsia="zh-CN"/>
              </w:rPr>
              <w:t>保安服务</w:t>
            </w:r>
          </w:p>
        </w:tc>
        <w:tc>
          <w:tcPr>
            <w:tcW w:w="3277" w:type="dxa"/>
            <w:vAlign w:val="center"/>
          </w:tcPr>
          <w:p>
            <w:pPr>
              <w:pStyle w:val="36"/>
              <w:widowControl/>
              <w:numPr>
                <w:ilvl w:val="0"/>
                <w:numId w:val="0"/>
              </w:numPr>
              <w:jc w:val="center"/>
              <w:rPr>
                <w:rFonts w:ascii="微软雅黑" w:hAnsi="微软雅黑" w:eastAsia="微软雅黑"/>
                <w:sz w:val="18"/>
                <w:szCs w:val="20"/>
                <w:highlight w:val="none"/>
                <w:vertAlign w:val="baseline"/>
              </w:rPr>
            </w:pPr>
            <w:r>
              <w:rPr>
                <w:rFonts w:hint="eastAsia" w:ascii="微软雅黑" w:hAnsi="微软雅黑" w:eastAsia="微软雅黑"/>
                <w:sz w:val="18"/>
                <w:szCs w:val="20"/>
                <w:highlight w:val="none"/>
                <w:vertAlign w:val="baseline"/>
              </w:rPr>
              <w:t>厂区24小时门岗、码头出入控制，人员、车辆、物资进出门的管理和厂区防火、防盗、防投毒、治安巡逻</w:t>
            </w:r>
          </w:p>
        </w:tc>
        <w:tc>
          <w:tcPr>
            <w:tcW w:w="2727" w:type="dxa"/>
            <w:vAlign w:val="center"/>
          </w:tcPr>
          <w:p>
            <w:pPr>
              <w:pStyle w:val="36"/>
              <w:widowControl/>
              <w:numPr>
                <w:ilvl w:val="0"/>
                <w:numId w:val="0"/>
              </w:numPr>
              <w:jc w:val="center"/>
              <w:rPr>
                <w:rFonts w:ascii="微软雅黑" w:hAnsi="微软雅黑" w:eastAsia="微软雅黑"/>
                <w:sz w:val="18"/>
                <w:szCs w:val="20"/>
                <w:highlight w:val="none"/>
                <w:vertAlign w:val="baseline"/>
              </w:rPr>
            </w:pPr>
            <w:r>
              <w:rPr>
                <w:rFonts w:hint="eastAsia" w:ascii="微软雅黑" w:hAnsi="微软雅黑" w:eastAsia="微软雅黑"/>
                <w:sz w:val="18"/>
                <w:szCs w:val="20"/>
                <w:highlight w:val="none"/>
                <w:vertAlign w:val="baseline"/>
                <w:lang w:val="en-US" w:eastAsia="zh-CN"/>
              </w:rPr>
              <w:t>每班配置不少于2人，人员加班时长不得违反劳动法要求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pStyle w:val="36"/>
              <w:widowControl/>
              <w:numPr>
                <w:ilvl w:val="0"/>
                <w:numId w:val="0"/>
              </w:numPr>
              <w:jc w:val="center"/>
              <w:rPr>
                <w:rFonts w:hint="eastAsia"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3</w:t>
            </w:r>
          </w:p>
        </w:tc>
        <w:tc>
          <w:tcPr>
            <w:tcW w:w="1707" w:type="dxa"/>
            <w:vAlign w:val="center"/>
          </w:tcPr>
          <w:p>
            <w:pPr>
              <w:pStyle w:val="36"/>
              <w:widowControl/>
              <w:numPr>
                <w:ilvl w:val="0"/>
                <w:numId w:val="0"/>
              </w:numPr>
              <w:jc w:val="center"/>
              <w:rPr>
                <w:rFonts w:hint="eastAsia"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rPr>
              <w:t>临时保安</w:t>
            </w:r>
            <w:r>
              <w:rPr>
                <w:rFonts w:hint="eastAsia" w:ascii="微软雅黑" w:hAnsi="微软雅黑" w:eastAsia="微软雅黑"/>
                <w:sz w:val="18"/>
                <w:szCs w:val="20"/>
                <w:highlight w:val="none"/>
                <w:lang w:val="en-US" w:eastAsia="zh-CN"/>
              </w:rPr>
              <w:t>服务</w:t>
            </w:r>
          </w:p>
        </w:tc>
        <w:tc>
          <w:tcPr>
            <w:tcW w:w="3277" w:type="dxa"/>
            <w:vAlign w:val="center"/>
          </w:tcPr>
          <w:p>
            <w:pPr>
              <w:pStyle w:val="36"/>
              <w:widowControl/>
              <w:numPr>
                <w:ilvl w:val="0"/>
                <w:numId w:val="0"/>
              </w:numPr>
              <w:jc w:val="center"/>
              <w:rPr>
                <w:rFonts w:ascii="微软雅黑" w:hAnsi="微软雅黑" w:eastAsia="微软雅黑"/>
                <w:sz w:val="18"/>
                <w:szCs w:val="20"/>
                <w:highlight w:val="none"/>
                <w:vertAlign w:val="baseline"/>
              </w:rPr>
            </w:pPr>
            <w:r>
              <w:rPr>
                <w:rFonts w:hint="eastAsia" w:ascii="微软雅黑" w:hAnsi="微软雅黑" w:eastAsia="微软雅黑"/>
                <w:sz w:val="18"/>
                <w:szCs w:val="20"/>
                <w:highlight w:val="none"/>
                <w:vertAlign w:val="baseline"/>
              </w:rPr>
              <w:t>国家及政府举办重大活动、发生突发事件（自然灾害、事故灾难、公共卫生事件和社会安全事件）</w:t>
            </w:r>
            <w:r>
              <w:rPr>
                <w:rFonts w:hint="eastAsia" w:ascii="微软雅黑" w:hAnsi="微软雅黑" w:eastAsia="微软雅黑"/>
                <w:sz w:val="18"/>
                <w:szCs w:val="20"/>
                <w:highlight w:val="none"/>
                <w:vertAlign w:val="baseline"/>
                <w:lang w:eastAsia="zh-CN"/>
              </w:rPr>
              <w:t>、</w:t>
            </w:r>
            <w:r>
              <w:rPr>
                <w:rFonts w:hint="eastAsia" w:ascii="微软雅黑" w:hAnsi="微软雅黑" w:eastAsia="微软雅黑"/>
                <w:sz w:val="18"/>
                <w:szCs w:val="20"/>
                <w:highlight w:val="none"/>
                <w:vertAlign w:val="baseline"/>
                <w:lang w:val="en-US" w:eastAsia="zh-CN"/>
              </w:rPr>
              <w:t>甲方开展安全演练</w:t>
            </w:r>
            <w:r>
              <w:rPr>
                <w:rFonts w:hint="eastAsia" w:ascii="微软雅黑" w:hAnsi="微软雅黑" w:eastAsia="微软雅黑"/>
                <w:sz w:val="18"/>
                <w:szCs w:val="20"/>
                <w:highlight w:val="none"/>
                <w:vertAlign w:val="baseline"/>
              </w:rPr>
              <w:t>等甲方认为有必要增加临时保安人员时，按照甲方需求派遣临时保安人员开展保安服务工作。</w:t>
            </w:r>
          </w:p>
        </w:tc>
        <w:tc>
          <w:tcPr>
            <w:tcW w:w="2727" w:type="dxa"/>
            <w:vAlign w:val="center"/>
          </w:tcPr>
          <w:p>
            <w:pPr>
              <w:pStyle w:val="36"/>
              <w:widowControl/>
              <w:numPr>
                <w:ilvl w:val="0"/>
                <w:numId w:val="0"/>
              </w:numPr>
              <w:jc w:val="center"/>
              <w:rPr>
                <w:rFonts w:hint="default" w:ascii="微软雅黑" w:hAnsi="微软雅黑" w:eastAsia="微软雅黑"/>
                <w:sz w:val="18"/>
                <w:szCs w:val="20"/>
                <w:highlight w:val="none"/>
                <w:vertAlign w:val="baseline"/>
                <w:lang w:val="en-US" w:eastAsia="zh-CN"/>
              </w:rPr>
            </w:pPr>
            <w:r>
              <w:rPr>
                <w:rFonts w:hint="eastAsia" w:ascii="微软雅黑" w:hAnsi="微软雅黑" w:eastAsia="微软雅黑"/>
                <w:sz w:val="18"/>
                <w:szCs w:val="20"/>
                <w:highlight w:val="none"/>
                <w:vertAlign w:val="baseline"/>
                <w:lang w:val="en-US" w:eastAsia="zh-CN"/>
              </w:rPr>
              <w:t>每班最低配置不少于2人</w:t>
            </w:r>
          </w:p>
        </w:tc>
      </w:tr>
    </w:tbl>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2、</w:t>
      </w:r>
      <w:r>
        <w:rPr>
          <w:rFonts w:hint="eastAsia" w:ascii="微软雅黑" w:hAnsi="微软雅黑" w:eastAsia="微软雅黑"/>
        </w:rPr>
        <w:t>保安服务管理要求</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2.1</w:t>
      </w:r>
      <w:r>
        <w:rPr>
          <w:rFonts w:hint="eastAsia" w:ascii="微软雅黑" w:hAnsi="微软雅黑" w:eastAsia="微软雅黑"/>
        </w:rPr>
        <w:t>依托行业标准，根据甲方管理规定与服务要求，制订切实可行的厂区保安服务整体方案和应急预案，突发事件反应迅速，预案处置有力；</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2.2</w:t>
      </w:r>
      <w:r>
        <w:rPr>
          <w:rFonts w:hint="eastAsia" w:ascii="微软雅黑" w:hAnsi="微软雅黑" w:eastAsia="微软雅黑"/>
        </w:rPr>
        <w:t>依法办事，文明上岗，严格管理，保障甲方财产安全，维护厂区正常的生产、经营秩序；</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2.3</w:t>
      </w:r>
      <w:r>
        <w:rPr>
          <w:rFonts w:hint="eastAsia" w:ascii="微软雅黑" w:hAnsi="微软雅黑" w:eastAsia="微软雅黑"/>
        </w:rPr>
        <w:t>全年无责任事故发生，甲方对保安服务满意率在95%或以上；</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2.4</w:t>
      </w:r>
      <w:r>
        <w:rPr>
          <w:rFonts w:hint="eastAsia" w:ascii="微软雅黑" w:hAnsi="微软雅黑" w:eastAsia="微软雅黑"/>
        </w:rPr>
        <w:t>实行24小时制，每月28日制定下月的值班表，并报甲方；</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2.5</w:t>
      </w:r>
      <w:r>
        <w:rPr>
          <w:rFonts w:hint="eastAsia" w:ascii="微软雅黑" w:hAnsi="微软雅黑" w:eastAsia="微软雅黑"/>
        </w:rPr>
        <w:t>每天交接班，保安人员必须提前15分钟到岗，并做好必要的交接工作；</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2.6</w:t>
      </w:r>
      <w:r>
        <w:rPr>
          <w:rFonts w:hint="eastAsia" w:ascii="微软雅黑" w:hAnsi="微软雅黑" w:eastAsia="微软雅黑"/>
        </w:rPr>
        <w:t>保安人员上岗时必须穿着规定制服，妥善保管和正确使用乙方配发的保安器械，确保电子巡更系统始终处于完好和工作状态；</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2.7</w:t>
      </w:r>
      <w:r>
        <w:rPr>
          <w:rFonts w:hint="eastAsia" w:ascii="微软雅黑" w:hAnsi="微软雅黑" w:eastAsia="微软雅黑"/>
        </w:rPr>
        <w:t>从厂区安全实际出发，经常开展在岗人员业务培训和紧急预案演练</w:t>
      </w:r>
      <w:r>
        <w:rPr>
          <w:rFonts w:hint="eastAsia" w:ascii="微软雅黑" w:hAnsi="微软雅黑" w:eastAsia="微软雅黑"/>
          <w:lang w:eastAsia="zh-CN"/>
        </w:rPr>
        <w:t>，</w:t>
      </w:r>
      <w:r>
        <w:rPr>
          <w:rFonts w:hint="eastAsia" w:ascii="微软雅黑" w:hAnsi="微软雅黑" w:eastAsia="微软雅黑"/>
          <w:lang w:val="en-US" w:eastAsia="zh-CN"/>
        </w:rPr>
        <w:t>至少3个月1次并做好培训和演练记录</w:t>
      </w:r>
      <w:r>
        <w:rPr>
          <w:rFonts w:hint="eastAsia" w:ascii="微软雅黑" w:hAnsi="微软雅黑" w:eastAsia="微软雅黑"/>
        </w:rPr>
        <w:t>；</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2.8</w:t>
      </w:r>
      <w:r>
        <w:rPr>
          <w:rFonts w:hint="eastAsia" w:ascii="微软雅黑" w:hAnsi="微软雅黑" w:eastAsia="微软雅黑"/>
        </w:rPr>
        <w:t>内部管理体制健全，设立保安队长责任制度，全面负责日常保安队伍的规范化管理。</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3、</w:t>
      </w:r>
      <w:r>
        <w:rPr>
          <w:rFonts w:hint="eastAsia" w:ascii="微软雅黑" w:hAnsi="微软雅黑" w:eastAsia="微软雅黑"/>
        </w:rPr>
        <w:t>安保员执勤要求</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3.1</w:t>
      </w:r>
      <w:r>
        <w:rPr>
          <w:rFonts w:hint="eastAsia" w:ascii="微软雅黑" w:hAnsi="微软雅黑" w:eastAsia="微软雅黑"/>
        </w:rPr>
        <w:t>安保员执行勤务时，着统一安保服装，佩戴统一安保标志，持有保安人员工作证件，着装整齐，语言文明，手势规范，站姿端正，精神饱满。</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3.2</w:t>
      </w:r>
      <w:r>
        <w:rPr>
          <w:rFonts w:hint="eastAsia" w:ascii="微软雅黑" w:hAnsi="微软雅黑" w:eastAsia="微软雅黑"/>
        </w:rPr>
        <w:t>未经许可不准将无关人员带入厂界，更不得带入要害部位，不得私自让无证物资出大门，不得向他人泄露甲方机密和安全设施，更不得包庇放纵违法犯罪人员，杜绝同违法分子互相勾结，从事违法活动。</w:t>
      </w:r>
    </w:p>
    <w:p>
      <w:pPr>
        <w:pStyle w:val="36"/>
        <w:widowControl/>
        <w:numPr>
          <w:ilvl w:val="0"/>
          <w:numId w:val="0"/>
        </w:numPr>
        <w:ind w:left="840" w:leftChars="0"/>
        <w:jc w:val="left"/>
        <w:rPr>
          <w:rFonts w:hint="default" w:ascii="微软雅黑" w:hAnsi="微软雅黑" w:eastAsia="微软雅黑"/>
          <w:color w:val="auto"/>
          <w:highlight w:val="yellow"/>
          <w:lang w:val="en-US"/>
        </w:rPr>
      </w:pPr>
      <w:r>
        <w:rPr>
          <w:rFonts w:hint="eastAsia" w:ascii="微软雅黑" w:hAnsi="微软雅黑" w:eastAsia="微软雅黑"/>
          <w:highlight w:val="none"/>
          <w:lang w:val="en-US" w:eastAsia="zh-CN"/>
        </w:rPr>
        <w:t>3.3</w:t>
      </w:r>
      <w:r>
        <w:rPr>
          <w:rFonts w:hint="eastAsia" w:ascii="微软雅黑" w:hAnsi="微软雅黑" w:eastAsia="微软雅黑"/>
          <w:highlight w:val="none"/>
        </w:rPr>
        <w:t>对出入的人员和物资要细致查验。在查验出入证件与核对出入车辆、物资和人员所携带的物品进要仔细查验，认真核实</w:t>
      </w:r>
      <w:r>
        <w:rPr>
          <w:rFonts w:hint="eastAsia" w:ascii="微软雅黑" w:hAnsi="微软雅黑" w:eastAsia="微软雅黑"/>
          <w:highlight w:val="none"/>
          <w:lang w:eastAsia="zh-CN"/>
        </w:rPr>
        <w:t>“</w:t>
      </w:r>
      <w:r>
        <w:rPr>
          <w:rFonts w:hint="eastAsia" w:ascii="微软雅黑" w:hAnsi="微软雅黑" w:eastAsia="微软雅黑"/>
          <w:highlight w:val="none"/>
          <w:lang w:val="en-US" w:eastAsia="zh-CN"/>
        </w:rPr>
        <w:t>智能基地</w:t>
      </w:r>
      <w:r>
        <w:rPr>
          <w:rFonts w:hint="eastAsia" w:ascii="微软雅黑" w:hAnsi="微软雅黑" w:eastAsia="微软雅黑"/>
          <w:highlight w:val="none"/>
          <w:lang w:eastAsia="zh-CN"/>
        </w:rPr>
        <w:t>”</w:t>
      </w:r>
      <w:r>
        <w:rPr>
          <w:rFonts w:hint="eastAsia" w:ascii="微软雅黑" w:hAnsi="微软雅黑" w:eastAsia="微软雅黑"/>
          <w:highlight w:val="none"/>
          <w:lang w:val="en-US" w:eastAsia="zh-CN"/>
        </w:rPr>
        <w:t>系统放行条，发现异常及时反馈安全装备部，如发现车辆所载货物捆扎存在不安全风险需及时提醒并要求其捆扎固定好货物才可放行</w:t>
      </w:r>
      <w:r>
        <w:rPr>
          <w:rFonts w:hint="eastAsia" w:ascii="微软雅黑" w:hAnsi="微软雅黑" w:eastAsia="微软雅黑"/>
          <w:color w:val="auto"/>
          <w:highlight w:val="none"/>
          <w:lang w:val="en-US" w:eastAsia="zh-CN"/>
        </w:rPr>
        <w:t>，否则禁止放行。</w:t>
      </w:r>
    </w:p>
    <w:p>
      <w:pPr>
        <w:pStyle w:val="36"/>
        <w:widowControl/>
        <w:numPr>
          <w:ilvl w:val="0"/>
          <w:numId w:val="0"/>
        </w:numPr>
        <w:ind w:left="840" w:leftChars="0"/>
        <w:jc w:val="left"/>
        <w:rPr>
          <w:rFonts w:ascii="微软雅黑" w:hAnsi="微软雅黑" w:eastAsia="微软雅黑"/>
          <w:highlight w:val="none"/>
        </w:rPr>
      </w:pPr>
      <w:r>
        <w:rPr>
          <w:rFonts w:hint="eastAsia" w:ascii="微软雅黑" w:hAnsi="微软雅黑" w:eastAsia="微软雅黑"/>
          <w:highlight w:val="none"/>
          <w:lang w:val="en-US" w:eastAsia="zh-CN"/>
        </w:rPr>
        <w:t>3.4</w:t>
      </w:r>
      <w:r>
        <w:rPr>
          <w:rFonts w:hint="eastAsia" w:ascii="微软雅黑" w:hAnsi="微软雅黑" w:eastAsia="微软雅黑"/>
          <w:highlight w:val="none"/>
        </w:rPr>
        <w:t xml:space="preserve">安保员服从甲方的调配和指挥，积极主动配合甲方做好防范工作。  </w:t>
      </w:r>
    </w:p>
    <w:p>
      <w:pPr>
        <w:pStyle w:val="36"/>
        <w:widowControl/>
        <w:numPr>
          <w:ilvl w:val="0"/>
          <w:numId w:val="0"/>
        </w:numPr>
        <w:ind w:left="840" w:leftChars="0"/>
        <w:jc w:val="left"/>
        <w:rPr>
          <w:rFonts w:ascii="微软雅黑" w:hAnsi="微软雅黑" w:eastAsia="微软雅黑"/>
          <w:highlight w:val="none"/>
        </w:rPr>
      </w:pPr>
      <w:r>
        <w:rPr>
          <w:rFonts w:hint="eastAsia" w:ascii="微软雅黑" w:hAnsi="微软雅黑" w:eastAsia="微软雅黑"/>
          <w:highlight w:val="none"/>
          <w:lang w:val="en-US" w:eastAsia="zh-CN"/>
        </w:rPr>
        <w:t>3.5</w:t>
      </w:r>
      <w:r>
        <w:rPr>
          <w:rFonts w:hint="eastAsia" w:ascii="微软雅黑" w:hAnsi="微软雅黑" w:eastAsia="微软雅黑"/>
          <w:highlight w:val="none"/>
        </w:rPr>
        <w:t xml:space="preserve">遵守甲方有关规章制度、证件办理流程，以及使用的各种证件、标志、车辆号等。 掌握甲方内部机构的分布、位置、联系方式。  </w:t>
      </w:r>
    </w:p>
    <w:p>
      <w:pPr>
        <w:pStyle w:val="36"/>
        <w:widowControl/>
        <w:numPr>
          <w:ilvl w:val="0"/>
          <w:numId w:val="0"/>
        </w:numPr>
        <w:ind w:left="840" w:leftChars="0"/>
        <w:jc w:val="left"/>
        <w:rPr>
          <w:rFonts w:ascii="微软雅黑" w:hAnsi="微软雅黑" w:eastAsia="微软雅黑"/>
          <w:highlight w:val="none"/>
        </w:rPr>
      </w:pPr>
      <w:r>
        <w:rPr>
          <w:rFonts w:hint="eastAsia" w:ascii="微软雅黑" w:hAnsi="微软雅黑" w:eastAsia="微软雅黑"/>
          <w:highlight w:val="none"/>
          <w:lang w:val="en-US" w:eastAsia="zh-CN"/>
        </w:rPr>
        <w:t>3.6</w:t>
      </w:r>
      <w:r>
        <w:rPr>
          <w:rFonts w:hint="eastAsia" w:ascii="微软雅黑" w:hAnsi="微软雅黑" w:eastAsia="微软雅黑"/>
          <w:highlight w:val="none"/>
        </w:rPr>
        <w:t xml:space="preserve">掌握值守区域周围的地形、物资、环境状况、施工状况、道路情况等；熟悉应设备的位置、性能和使用方法，掌握处置一般问题和紧急情况的方法。 </w:t>
      </w:r>
    </w:p>
    <w:p>
      <w:pPr>
        <w:pStyle w:val="36"/>
        <w:widowControl/>
        <w:numPr>
          <w:ilvl w:val="0"/>
          <w:numId w:val="0"/>
        </w:numPr>
        <w:ind w:left="840" w:leftChars="0"/>
        <w:jc w:val="left"/>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3.7</w:t>
      </w:r>
      <w:r>
        <w:rPr>
          <w:rFonts w:hint="eastAsia" w:ascii="微软雅黑" w:hAnsi="微软雅黑" w:eastAsia="微软雅黑"/>
          <w:highlight w:val="none"/>
        </w:rPr>
        <w:t>门岗必须24小时有人值守，不得脱岗、空岗、睡岗</w:t>
      </w:r>
      <w:r>
        <w:rPr>
          <w:rFonts w:hint="eastAsia" w:ascii="微软雅黑" w:hAnsi="微软雅黑" w:eastAsia="微软雅黑"/>
          <w:highlight w:val="none"/>
          <w:lang w:eastAsia="zh-CN"/>
        </w:rPr>
        <w:t>；</w:t>
      </w:r>
      <w:r>
        <w:rPr>
          <w:rFonts w:hint="eastAsia" w:ascii="微软雅黑" w:hAnsi="微软雅黑" w:eastAsia="微软雅黑"/>
          <w:highlight w:val="none"/>
        </w:rPr>
        <w:t>栈桥口</w:t>
      </w:r>
      <w:r>
        <w:rPr>
          <w:rFonts w:hint="eastAsia" w:ascii="微软雅黑" w:hAnsi="微软雅黑" w:eastAsia="微软雅黑"/>
          <w:highlight w:val="none"/>
          <w:lang w:val="en-US" w:eastAsia="zh-CN"/>
        </w:rPr>
        <w:t>岗亭值守人员由甲方通知</w:t>
      </w:r>
      <w:r>
        <w:rPr>
          <w:rFonts w:hint="eastAsia" w:ascii="微软雅黑" w:hAnsi="微软雅黑" w:eastAsia="微软雅黑"/>
          <w:highlight w:val="none"/>
        </w:rPr>
        <w:t>，</w:t>
      </w:r>
      <w:r>
        <w:rPr>
          <w:rFonts w:hint="eastAsia" w:ascii="微软雅黑" w:hAnsi="微软雅黑" w:eastAsia="微软雅黑"/>
          <w:highlight w:val="none"/>
          <w:lang w:val="en-US" w:eastAsia="zh-CN"/>
        </w:rPr>
        <w:t>甲方提前24-48小时通知具体值守人员数量和值守时间，乙方需按甲方要求增派人员至现场。</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3.8</w:t>
      </w:r>
      <w:r>
        <w:rPr>
          <w:rFonts w:hint="eastAsia" w:ascii="微软雅黑" w:hAnsi="微软雅黑" w:eastAsia="微软雅黑"/>
        </w:rPr>
        <w:t>严格遵守交接班制度，按规定时间交接班，接班人员做好上岗前准备，按规定着装，携带执勤用品，准时接班。交班人员应告知本班发生的情况和处理结果，并交待需要续继办理的事项。接班者未到或未办理交接班手续，当班者不能离开，不准脱岗、空岗、睡岗，不准迟到、早退。</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3.9</w:t>
      </w:r>
      <w:r>
        <w:rPr>
          <w:rFonts w:hint="eastAsia" w:ascii="微软雅黑" w:hAnsi="微软雅黑" w:eastAsia="微软雅黑"/>
        </w:rPr>
        <w:t>保安人员必须按照甲方有关安全规定进行上岗前安全培训，加强队伍安全管理。</w:t>
      </w:r>
    </w:p>
    <w:p>
      <w:pPr>
        <w:pStyle w:val="36"/>
        <w:widowControl/>
        <w:numPr>
          <w:ilvl w:val="0"/>
          <w:numId w:val="0"/>
        </w:numPr>
        <w:ind w:left="840" w:leftChars="0"/>
        <w:jc w:val="left"/>
        <w:rPr>
          <w:rFonts w:ascii="微软雅黑" w:hAnsi="微软雅黑" w:eastAsia="微软雅黑"/>
          <w:color w:val="auto"/>
        </w:rPr>
      </w:pPr>
      <w:r>
        <w:rPr>
          <w:rFonts w:hint="eastAsia" w:ascii="微软雅黑" w:hAnsi="微软雅黑" w:eastAsia="微软雅黑"/>
          <w:lang w:val="en-US" w:eastAsia="zh-CN"/>
        </w:rPr>
        <w:t>3.10</w:t>
      </w:r>
      <w:r>
        <w:rPr>
          <w:rFonts w:hint="eastAsia" w:ascii="Times New Roman" w:hAnsi="Times New Roman" w:cs="Times New Roman"/>
          <w:color w:val="auto"/>
          <w:szCs w:val="21"/>
        </w:rPr>
        <w:t>保安人员必须严格遵守甲方</w:t>
      </w:r>
      <w:r>
        <w:rPr>
          <w:rFonts w:hint="eastAsia" w:ascii="Times New Roman" w:hAnsi="Times New Roman" w:cs="Times New Roman"/>
          <w:color w:val="auto"/>
          <w:szCs w:val="21"/>
          <w:lang w:val="en-US" w:eastAsia="zh-CN"/>
        </w:rPr>
        <w:t>有</w:t>
      </w:r>
      <w:r>
        <w:rPr>
          <w:rFonts w:hint="eastAsia" w:ascii="Times New Roman" w:hAnsi="Times New Roman" w:cs="Times New Roman"/>
          <w:color w:val="auto"/>
          <w:szCs w:val="21"/>
        </w:rPr>
        <w:t>关</w:t>
      </w:r>
      <w:r>
        <w:rPr>
          <w:rFonts w:hint="eastAsia" w:ascii="Times New Roman" w:hAnsi="Times New Roman" w:cs="Times New Roman"/>
          <w:color w:val="auto"/>
          <w:szCs w:val="21"/>
          <w:lang w:val="en-US" w:eastAsia="zh-CN"/>
        </w:rPr>
        <w:t>安全</w:t>
      </w:r>
      <w:r>
        <w:rPr>
          <w:rFonts w:hint="eastAsia" w:ascii="Times New Roman" w:hAnsi="Times New Roman" w:cs="Times New Roman"/>
          <w:color w:val="auto"/>
          <w:szCs w:val="21"/>
        </w:rPr>
        <w:t>规章制度，服从</w:t>
      </w:r>
      <w:r>
        <w:rPr>
          <w:rFonts w:hint="eastAsia" w:ascii="Times New Roman" w:hAnsi="Times New Roman" w:cs="Times New Roman"/>
          <w:color w:val="auto"/>
          <w:szCs w:val="21"/>
          <w:lang w:val="en-US" w:eastAsia="zh-CN"/>
        </w:rPr>
        <w:t>甲方</w:t>
      </w:r>
      <w:r>
        <w:rPr>
          <w:rFonts w:hint="eastAsia" w:ascii="Times New Roman" w:hAnsi="Times New Roman" w:cs="Times New Roman"/>
          <w:color w:val="auto"/>
          <w:szCs w:val="21"/>
        </w:rPr>
        <w:t>相关管理部门管理</w:t>
      </w:r>
      <w:r>
        <w:rPr>
          <w:rFonts w:hint="eastAsia" w:ascii="微软雅黑" w:hAnsi="微软雅黑" w:eastAsia="微软雅黑"/>
          <w:color w:val="auto"/>
        </w:rPr>
        <w:t>。</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3.11</w:t>
      </w:r>
      <w:r>
        <w:rPr>
          <w:rFonts w:hint="eastAsia" w:ascii="微软雅黑" w:hAnsi="微软雅黑" w:eastAsia="微软雅黑"/>
        </w:rPr>
        <w:t xml:space="preserve">合同执行期间，甲方每月对乙方服务质量进行检查、考核。 </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4、</w:t>
      </w:r>
      <w:r>
        <w:rPr>
          <w:rFonts w:hint="eastAsia" w:ascii="微软雅黑" w:hAnsi="微软雅黑" w:eastAsia="微软雅黑"/>
        </w:rPr>
        <w:t>车辆进出厂区管理</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4.1</w:t>
      </w:r>
      <w:r>
        <w:rPr>
          <w:rFonts w:hint="eastAsia" w:ascii="微软雅黑" w:hAnsi="微软雅黑" w:eastAsia="微软雅黑"/>
        </w:rPr>
        <w:t>负责厂区车</w:t>
      </w:r>
      <w:r>
        <w:rPr>
          <w:rFonts w:hint="eastAsia" w:ascii="微软雅黑" w:hAnsi="微软雅黑" w:eastAsia="微软雅黑"/>
          <w:lang w:val="en-US" w:eastAsia="zh-CN"/>
        </w:rPr>
        <w:t>辆</w:t>
      </w:r>
      <w:r>
        <w:rPr>
          <w:rFonts w:hint="eastAsia" w:ascii="微软雅黑" w:hAnsi="微软雅黑" w:eastAsia="微软雅黑"/>
        </w:rPr>
        <w:t>出入门开启闭合；</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4.2</w:t>
      </w:r>
      <w:r>
        <w:rPr>
          <w:rFonts w:hint="eastAsia" w:ascii="微软雅黑" w:hAnsi="微软雅黑" w:eastAsia="微软雅黑"/>
        </w:rPr>
        <w:t>负责来访车辆进出厂区的车辆管理工作；</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4.3</w:t>
      </w:r>
      <w:r>
        <w:rPr>
          <w:rFonts w:hint="eastAsia" w:ascii="微软雅黑" w:hAnsi="微软雅黑" w:eastAsia="微软雅黑"/>
        </w:rPr>
        <w:t>严格为来访车辆办理进出手续，车辆进出必须取得业主相关同意；</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4.4</w:t>
      </w:r>
      <w:r>
        <w:rPr>
          <w:rFonts w:hint="eastAsia" w:ascii="微软雅黑" w:hAnsi="微软雅黑" w:eastAsia="微软雅黑"/>
        </w:rPr>
        <w:t>制止装载未经认可的材料、设备和必须品车辆进入厂区；</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4.5</w:t>
      </w:r>
      <w:r>
        <w:rPr>
          <w:rFonts w:hint="eastAsia" w:ascii="微软雅黑" w:hAnsi="微软雅黑" w:eastAsia="微软雅黑"/>
        </w:rPr>
        <w:t>检查随车的人员是否佩戴有效出入证及最低劳动保护用品的执行情况；</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4.6</w:t>
      </w:r>
      <w:r>
        <w:rPr>
          <w:rFonts w:hint="eastAsia" w:ascii="微软雅黑" w:hAnsi="微软雅黑" w:eastAsia="微软雅黑"/>
        </w:rPr>
        <w:t>对临时进出厂的送货、参观车辆进行登记与管制；</w:t>
      </w:r>
    </w:p>
    <w:p>
      <w:pPr>
        <w:pStyle w:val="36"/>
        <w:widowControl/>
        <w:numPr>
          <w:ilvl w:val="0"/>
          <w:numId w:val="0"/>
        </w:numPr>
        <w:ind w:left="840" w:leftChars="0"/>
        <w:jc w:val="left"/>
        <w:rPr>
          <w:rFonts w:ascii="微软雅黑" w:hAnsi="微软雅黑" w:eastAsia="微软雅黑"/>
          <w:color w:val="auto"/>
          <w:highlight w:val="none"/>
        </w:rPr>
      </w:pPr>
      <w:r>
        <w:rPr>
          <w:rFonts w:hint="eastAsia" w:ascii="微软雅黑" w:hAnsi="微软雅黑" w:eastAsia="微软雅黑"/>
          <w:lang w:val="en-US" w:eastAsia="zh-CN"/>
        </w:rPr>
        <w:t>4.7</w:t>
      </w:r>
      <w:r>
        <w:rPr>
          <w:rFonts w:hint="eastAsia" w:ascii="微软雅黑" w:hAnsi="微软雅黑" w:eastAsia="微软雅黑"/>
        </w:rPr>
        <w:t>负责对承包商所有出厂物资的检验、核对，包括驾驶室和车厢检查，</w:t>
      </w:r>
      <w:r>
        <w:rPr>
          <w:rFonts w:hint="eastAsia" w:ascii="微软雅黑" w:hAnsi="微软雅黑" w:eastAsia="微软雅黑"/>
          <w:color w:val="auto"/>
          <w:highlight w:val="none"/>
        </w:rPr>
        <w:t>如发现任何未授权的物件，在安保报告中详细记录</w:t>
      </w:r>
      <w:r>
        <w:rPr>
          <w:rFonts w:hint="eastAsia" w:ascii="微软雅黑" w:hAnsi="微软雅黑" w:eastAsia="微软雅黑"/>
          <w:color w:val="auto"/>
          <w:highlight w:val="none"/>
          <w:lang w:val="en-US" w:eastAsia="zh-CN"/>
        </w:rPr>
        <w:t>并做好拍照存档</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第一时间上报安全装备部</w:t>
      </w:r>
      <w:r>
        <w:rPr>
          <w:rFonts w:hint="eastAsia" w:ascii="微软雅黑" w:hAnsi="微软雅黑" w:eastAsia="微软雅黑"/>
          <w:color w:val="auto"/>
          <w:highlight w:val="none"/>
        </w:rPr>
        <w:t>；</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4.8</w:t>
      </w:r>
      <w:r>
        <w:rPr>
          <w:rFonts w:hint="eastAsia" w:ascii="微软雅黑" w:hAnsi="微软雅黑" w:eastAsia="微软雅黑"/>
        </w:rPr>
        <w:t>制止驾驶员在厂区内非吸烟区吸烟；</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4.9</w:t>
      </w:r>
      <w:r>
        <w:rPr>
          <w:rFonts w:hint="eastAsia" w:ascii="微软雅黑" w:hAnsi="微软雅黑" w:eastAsia="微软雅黑"/>
        </w:rPr>
        <w:t>车辆进出厂区停放于指定停车区域，禁止随意停放行为；</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4.10</w:t>
      </w:r>
      <w:r>
        <w:rPr>
          <w:rFonts w:hint="eastAsia" w:ascii="微软雅黑" w:hAnsi="微软雅黑" w:eastAsia="微软雅黑"/>
        </w:rPr>
        <w:t>控制来访车辆在厂区内行驶范围，未经业主许可禁止进入生产区域。</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4.11</w:t>
      </w:r>
      <w:r>
        <w:rPr>
          <w:rFonts w:hint="eastAsia" w:ascii="微软雅黑" w:hAnsi="微软雅黑" w:eastAsia="微软雅黑"/>
        </w:rPr>
        <w:t>指挥、疏导出入车辆，维护出入门卫的正常秩序。</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5、</w:t>
      </w:r>
      <w:r>
        <w:rPr>
          <w:rFonts w:hint="eastAsia" w:ascii="微软雅黑" w:hAnsi="微软雅黑" w:eastAsia="微软雅黑"/>
        </w:rPr>
        <w:t>人员进出厂区管理</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5.1</w:t>
      </w:r>
      <w:r>
        <w:rPr>
          <w:rFonts w:hint="eastAsia" w:ascii="微软雅黑" w:hAnsi="微软雅黑" w:eastAsia="微软雅黑"/>
        </w:rPr>
        <w:t>负责厂区员工出入门开启闭合；</w:t>
      </w:r>
    </w:p>
    <w:p>
      <w:pPr>
        <w:pStyle w:val="36"/>
        <w:widowControl/>
        <w:numPr>
          <w:ilvl w:val="0"/>
          <w:numId w:val="0"/>
        </w:numPr>
        <w:ind w:left="840" w:leftChars="0"/>
        <w:jc w:val="left"/>
        <w:rPr>
          <w:rFonts w:ascii="微软雅黑" w:hAnsi="微软雅黑" w:eastAsia="微软雅黑"/>
          <w:highlight w:val="none"/>
        </w:rPr>
      </w:pPr>
      <w:r>
        <w:rPr>
          <w:rFonts w:hint="eastAsia" w:ascii="微软雅黑" w:hAnsi="微软雅黑" w:eastAsia="微软雅黑"/>
          <w:highlight w:val="none"/>
          <w:lang w:val="en-US" w:eastAsia="zh-CN"/>
        </w:rPr>
        <w:t>5.2</w:t>
      </w:r>
      <w:r>
        <w:rPr>
          <w:rFonts w:hint="eastAsia" w:ascii="微软雅黑" w:hAnsi="微软雅黑" w:eastAsia="微软雅黑"/>
          <w:highlight w:val="none"/>
        </w:rPr>
        <w:t>负责外来人员进出厂区的管理工作，包括</w:t>
      </w:r>
      <w:r>
        <w:rPr>
          <w:rFonts w:hint="eastAsia" w:ascii="微软雅黑" w:hAnsi="微软雅黑" w:eastAsia="微软雅黑"/>
          <w:highlight w:val="none"/>
          <w:lang w:val="en-US" w:eastAsia="zh-CN"/>
        </w:rPr>
        <w:t>但不仅限于</w:t>
      </w:r>
      <w:r>
        <w:rPr>
          <w:rFonts w:hint="eastAsia" w:ascii="微软雅黑" w:hAnsi="微软雅黑" w:eastAsia="微软雅黑"/>
          <w:highlight w:val="none"/>
        </w:rPr>
        <w:t>：</w:t>
      </w:r>
      <w:r>
        <w:rPr>
          <w:rFonts w:hint="eastAsia" w:ascii="微软雅黑" w:hAnsi="微软雅黑" w:eastAsia="微软雅黑"/>
          <w:highlight w:val="none"/>
          <w:lang w:val="en-US" w:eastAsia="zh-CN"/>
        </w:rPr>
        <w:t>核实</w:t>
      </w:r>
      <w:r>
        <w:rPr>
          <w:rFonts w:hint="eastAsia" w:ascii="微软雅黑" w:hAnsi="微软雅黑" w:eastAsia="微软雅黑"/>
          <w:highlight w:val="none"/>
          <w:lang w:eastAsia="zh-CN"/>
        </w:rPr>
        <w:t>“</w:t>
      </w:r>
      <w:r>
        <w:rPr>
          <w:rFonts w:hint="eastAsia" w:ascii="微软雅黑" w:hAnsi="微软雅黑" w:eastAsia="微软雅黑"/>
          <w:highlight w:val="none"/>
          <w:lang w:val="en-US" w:eastAsia="zh-CN"/>
        </w:rPr>
        <w:t>智能基地</w:t>
      </w:r>
      <w:r>
        <w:rPr>
          <w:rFonts w:hint="eastAsia" w:ascii="微软雅黑" w:hAnsi="微软雅黑" w:eastAsia="微软雅黑"/>
          <w:highlight w:val="none"/>
          <w:lang w:eastAsia="zh-CN"/>
        </w:rPr>
        <w:t>”</w:t>
      </w:r>
      <w:r>
        <w:rPr>
          <w:rFonts w:hint="eastAsia" w:ascii="微软雅黑" w:hAnsi="微软雅黑" w:eastAsia="微软雅黑"/>
          <w:highlight w:val="none"/>
          <w:lang w:val="en-US" w:eastAsia="zh-CN"/>
        </w:rPr>
        <w:t>系统申报记录。</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5.3</w:t>
      </w:r>
      <w:r>
        <w:rPr>
          <w:rFonts w:hint="eastAsia" w:ascii="微软雅黑" w:hAnsi="微软雅黑" w:eastAsia="微软雅黑"/>
        </w:rPr>
        <w:t>必须接收和指引所有获得认可的外来人员，并确认进入厂区的外来人员都得到了业主相关人员的批准，确保外来人员离开时归</w:t>
      </w:r>
      <w:r>
        <w:rPr>
          <w:rFonts w:hint="eastAsia" w:ascii="微软雅黑" w:hAnsi="微软雅黑" w:eastAsia="微软雅黑"/>
          <w:lang w:val="en-US" w:eastAsia="zh-CN"/>
        </w:rPr>
        <w:t>发放物件，包括</w:t>
      </w:r>
      <w:r>
        <w:rPr>
          <w:rFonts w:hint="eastAsia" w:ascii="微软雅黑" w:hAnsi="微软雅黑" w:eastAsia="微软雅黑"/>
          <w:highlight w:val="none"/>
          <w:lang w:val="en-US" w:eastAsia="zh-CN"/>
        </w:rPr>
        <w:t>但不仅限于</w:t>
      </w:r>
      <w:r>
        <w:rPr>
          <w:rFonts w:hint="eastAsia" w:ascii="微软雅黑" w:hAnsi="微软雅黑" w:eastAsia="微软雅黑"/>
          <w:highlight w:val="none"/>
        </w:rPr>
        <w:t>：</w:t>
      </w:r>
      <w:r>
        <w:rPr>
          <w:rFonts w:hint="eastAsia" w:ascii="微软雅黑" w:hAnsi="微软雅黑" w:eastAsia="微软雅黑"/>
          <w:highlight w:val="none"/>
          <w:lang w:val="en-US" w:eastAsia="zh-CN"/>
        </w:rPr>
        <w:t>安全帽、反光背心等</w:t>
      </w:r>
      <w:r>
        <w:rPr>
          <w:rFonts w:hint="eastAsia" w:ascii="微软雅黑" w:hAnsi="微软雅黑" w:eastAsia="微软雅黑"/>
        </w:rPr>
        <w:t>；</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5.4</w:t>
      </w:r>
      <w:r>
        <w:rPr>
          <w:rFonts w:hint="eastAsia" w:ascii="微软雅黑" w:hAnsi="微软雅黑" w:eastAsia="微软雅黑"/>
        </w:rPr>
        <w:t>对外来人员进行安全告知；</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5.5</w:t>
      </w:r>
      <w:r>
        <w:rPr>
          <w:rFonts w:hint="eastAsia" w:ascii="微软雅黑" w:hAnsi="微软雅黑" w:eastAsia="微软雅黑"/>
        </w:rPr>
        <w:t>制止外来人员在厂区内非吸烟区吸烟；</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5.6</w:t>
      </w:r>
      <w:r>
        <w:rPr>
          <w:rFonts w:hint="eastAsia" w:ascii="微软雅黑" w:hAnsi="微软雅黑" w:eastAsia="微软雅黑"/>
        </w:rPr>
        <w:t>禁止未经业主许可进入厂区人员进入现场；</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5.7</w:t>
      </w:r>
      <w:r>
        <w:rPr>
          <w:rFonts w:hint="eastAsia" w:ascii="微软雅黑" w:hAnsi="微软雅黑" w:eastAsia="微软雅黑"/>
        </w:rPr>
        <w:t>外来人员进入厂区后，通过监控设备及巡检进行监督，发现外来人员违法违规行为和危险情况立即通知业主，并妥善处理；</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5.8</w:t>
      </w:r>
      <w:r>
        <w:rPr>
          <w:rFonts w:hint="eastAsia" w:ascii="微软雅黑" w:hAnsi="微软雅黑" w:eastAsia="微软雅黑"/>
        </w:rPr>
        <w:t>文明值勤，做好甲方来访人员的接待工作。</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6、</w:t>
      </w:r>
      <w:r>
        <w:rPr>
          <w:rFonts w:hint="eastAsia" w:ascii="微软雅黑" w:hAnsi="微软雅黑" w:eastAsia="微软雅黑"/>
        </w:rPr>
        <w:t>人员车辆进出码头管理</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6.1</w:t>
      </w:r>
      <w:r>
        <w:rPr>
          <w:rFonts w:hint="eastAsia" w:ascii="微软雅黑" w:hAnsi="微软雅黑" w:eastAsia="微软雅黑"/>
        </w:rPr>
        <w:t>负责进出码头的车辆、人员管理工作；</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6.2</w:t>
      </w:r>
      <w:r>
        <w:rPr>
          <w:rFonts w:hint="eastAsia" w:ascii="微软雅黑" w:hAnsi="微软雅黑" w:eastAsia="微软雅黑"/>
        </w:rPr>
        <w:t>严格检查进入码头车辆及人员，车辆人员进出必须取得业主相关同意，禁止无关车辆、人员进入码头，禁止未经允许的车辆上码头接送人员</w:t>
      </w:r>
      <w:r>
        <w:rPr>
          <w:rFonts w:hint="eastAsia" w:ascii="微软雅黑" w:hAnsi="微软雅黑" w:eastAsia="微软雅黑"/>
          <w:lang w:val="en-US" w:eastAsia="zh-CN"/>
        </w:rPr>
        <w:t>及货物</w:t>
      </w:r>
      <w:r>
        <w:rPr>
          <w:rFonts w:hint="eastAsia" w:ascii="微软雅黑" w:hAnsi="微软雅黑" w:eastAsia="微软雅黑"/>
        </w:rPr>
        <w:t>，禁止人员驾驶电瓶车进入码头；</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6.3</w:t>
      </w:r>
      <w:r>
        <w:rPr>
          <w:rFonts w:hint="eastAsia" w:ascii="微软雅黑" w:hAnsi="微软雅黑" w:eastAsia="微软雅黑"/>
        </w:rPr>
        <w:t>制止装载未经认可的材料、设备和必须品车辆进入码头；</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6.4</w:t>
      </w:r>
      <w:r>
        <w:rPr>
          <w:rFonts w:hint="eastAsia" w:ascii="微软雅黑" w:hAnsi="微软雅黑" w:eastAsia="微软雅黑"/>
        </w:rPr>
        <w:t>检查随车的人员是否佩戴有效出入证及最低劳动保护用品的执行情况；</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6.5</w:t>
      </w:r>
      <w:r>
        <w:rPr>
          <w:rFonts w:hint="eastAsia" w:ascii="微软雅黑" w:hAnsi="微软雅黑" w:eastAsia="微软雅黑"/>
        </w:rPr>
        <w:t>对临时进出码头的送货、参观车辆、人员进行登记与管制，检查核实</w:t>
      </w:r>
      <w:r>
        <w:rPr>
          <w:rFonts w:hint="eastAsia" w:ascii="微软雅黑" w:hAnsi="微软雅黑" w:eastAsia="微软雅黑"/>
          <w:highlight w:val="none"/>
          <w:lang w:eastAsia="zh-CN"/>
        </w:rPr>
        <w:t>“</w:t>
      </w:r>
      <w:r>
        <w:rPr>
          <w:rFonts w:hint="eastAsia" w:ascii="微软雅黑" w:hAnsi="微软雅黑" w:eastAsia="微软雅黑"/>
          <w:highlight w:val="none"/>
          <w:lang w:val="en-US" w:eastAsia="zh-CN"/>
        </w:rPr>
        <w:t>智能基地</w:t>
      </w:r>
      <w:r>
        <w:rPr>
          <w:rFonts w:hint="eastAsia" w:ascii="微软雅黑" w:hAnsi="微软雅黑" w:eastAsia="微软雅黑"/>
          <w:highlight w:val="none"/>
          <w:lang w:eastAsia="zh-CN"/>
        </w:rPr>
        <w:t>”</w:t>
      </w:r>
      <w:r>
        <w:rPr>
          <w:rFonts w:hint="eastAsia" w:ascii="微软雅黑" w:hAnsi="微软雅黑" w:eastAsia="微软雅黑"/>
          <w:highlight w:val="none"/>
          <w:lang w:val="en-US" w:eastAsia="zh-CN"/>
        </w:rPr>
        <w:t>系统申报记录</w:t>
      </w:r>
      <w:r>
        <w:rPr>
          <w:rFonts w:hint="eastAsia" w:ascii="微软雅黑" w:hAnsi="微软雅黑" w:eastAsia="微软雅黑"/>
        </w:rPr>
        <w:t>；</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7、</w:t>
      </w:r>
      <w:r>
        <w:rPr>
          <w:rFonts w:hint="eastAsia" w:ascii="微软雅黑" w:hAnsi="微软雅黑" w:eastAsia="微软雅黑"/>
        </w:rPr>
        <w:t>巡查</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7.1</w:t>
      </w:r>
      <w:r>
        <w:rPr>
          <w:rFonts w:hint="eastAsia" w:ascii="微软雅黑" w:hAnsi="微软雅黑" w:eastAsia="微软雅黑"/>
        </w:rPr>
        <w:t>保安人员在厂区巡逻应穿戴安全帽、安全鞋，挂链口哨，携带手电，夜班佩戴反光带。</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7.2</w:t>
      </w:r>
      <w:r>
        <w:rPr>
          <w:rFonts w:hint="eastAsia" w:ascii="微软雅黑" w:hAnsi="微软雅黑" w:eastAsia="微软雅黑"/>
        </w:rPr>
        <w:t>服务期间内，保安人员必须坚持每天定时对整个厂区进行巡查（每2小时巡查一次，</w:t>
      </w:r>
      <w:r>
        <w:rPr>
          <w:rFonts w:hint="eastAsia" w:ascii="微软雅黑" w:hAnsi="微软雅黑" w:eastAsia="微软雅黑"/>
          <w:highlight w:val="none"/>
        </w:rPr>
        <w:t>根据巡逻路线设置电子签到点</w:t>
      </w:r>
      <w:r>
        <w:rPr>
          <w:rFonts w:hint="eastAsia" w:ascii="微软雅黑" w:hAnsi="微软雅黑" w:eastAsia="微软雅黑"/>
        </w:rPr>
        <w:t>），避免厂区内业主一切财产收到危害、偷窃和破坏，并向业主汇报所有潜在危险情况、未上锁的保险箱、保险库和办公室等。</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7.3</w:t>
      </w:r>
      <w:r>
        <w:rPr>
          <w:rFonts w:hint="eastAsia" w:ascii="微软雅黑" w:hAnsi="微软雅黑" w:eastAsia="微软雅黑"/>
        </w:rPr>
        <w:t>保安人员在巡逻工作中，不得进入未经甲方许可的生产区域；不能触摸现场仪表、仪器，自动保护装置、电闸、电源箱、带电线路、高压高温泄漏管道、转动机器、电动机等。</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7.4</w:t>
      </w:r>
      <w:r>
        <w:rPr>
          <w:rFonts w:hint="eastAsia" w:ascii="微软雅黑" w:hAnsi="微软雅黑" w:eastAsia="微软雅黑"/>
        </w:rPr>
        <w:t>通过巡视与检查，震慑不法分子，发现可疑人员及时汇报，并在保证安全的情况下有效制止。</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7.5</w:t>
      </w:r>
      <w:r>
        <w:rPr>
          <w:rFonts w:hint="eastAsia" w:ascii="微软雅黑" w:hAnsi="微软雅黑" w:eastAsia="微软雅黑"/>
        </w:rPr>
        <w:t>检查、发现各类隐患，防止打架、盗窃等治安事件发生。</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8、</w:t>
      </w:r>
      <w:r>
        <w:rPr>
          <w:rFonts w:hint="eastAsia" w:ascii="微软雅黑" w:hAnsi="微软雅黑" w:eastAsia="微软雅黑"/>
        </w:rPr>
        <w:t>紧急响应</w:t>
      </w:r>
    </w:p>
    <w:p>
      <w:pPr>
        <w:pStyle w:val="36"/>
        <w:widowControl/>
        <w:numPr>
          <w:ilvl w:val="0"/>
          <w:numId w:val="0"/>
        </w:numPr>
        <w:ind w:left="840" w:leftChars="0"/>
        <w:jc w:val="left"/>
        <w:rPr>
          <w:rFonts w:ascii="微软雅黑" w:hAnsi="微软雅黑" w:eastAsia="微软雅黑"/>
          <w:color w:val="auto"/>
        </w:rPr>
      </w:pPr>
      <w:r>
        <w:rPr>
          <w:rFonts w:hint="eastAsia" w:ascii="微软雅黑" w:hAnsi="微软雅黑" w:eastAsia="微软雅黑"/>
          <w:lang w:val="en-US" w:eastAsia="zh-CN"/>
        </w:rPr>
        <w:t>8.1</w:t>
      </w:r>
      <w:r>
        <w:rPr>
          <w:rFonts w:hint="eastAsia" w:ascii="微软雅黑" w:hAnsi="微软雅黑" w:eastAsia="微软雅黑"/>
          <w:color w:val="auto"/>
          <w:lang w:val="en-US" w:eastAsia="zh-CN"/>
        </w:rPr>
        <w:t>保安人员应熟悉对火灾或其他紧急情况的应急程序，如发生紧急情况，保安人员第一时间上报安全装备部。</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8.2</w:t>
      </w:r>
      <w:r>
        <w:rPr>
          <w:rFonts w:hint="eastAsia" w:ascii="微软雅黑" w:hAnsi="微软雅黑" w:eastAsia="微软雅黑"/>
        </w:rPr>
        <w:t>除紧急情况外，保安人员不得离开其执勤区域。遇到异常情况发生时，安保应尽快通知其主管或其他保安人员，或在明显位置设置预先约定的标志。</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8.3</w:t>
      </w:r>
      <w:r>
        <w:rPr>
          <w:rFonts w:hint="eastAsia" w:ascii="微软雅黑" w:hAnsi="微软雅黑" w:eastAsia="微软雅黑"/>
        </w:rPr>
        <w:t>保安人员应熟知火灾或其他紧急情况的报告程序。即对火灾或其他紧急通知情况报告时提供精确的发生地点、事故发展态势以及现场就近可直接用于处理事故的设备或有关单位。</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8.4</w:t>
      </w:r>
      <w:r>
        <w:rPr>
          <w:rFonts w:hint="eastAsia" w:ascii="微软雅黑" w:hAnsi="微软雅黑" w:eastAsia="微软雅黑"/>
        </w:rPr>
        <w:t>在灭火时，保安人员在甲方安保主管的指挥下，疏散现场人员，引领消防车进入火场，在火场外围设立警戒线。</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8.5</w:t>
      </w:r>
      <w:r>
        <w:rPr>
          <w:rFonts w:hint="eastAsia" w:ascii="微软雅黑" w:hAnsi="微软雅黑" w:eastAsia="微软雅黑"/>
        </w:rPr>
        <w:t>保安人员应备有在紧急情况时与管理部门联系人以及昼夜联系电话的有关指导说明。</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9、</w:t>
      </w:r>
      <w:r>
        <w:rPr>
          <w:rFonts w:hint="eastAsia" w:ascii="微软雅黑" w:hAnsi="微软雅黑" w:eastAsia="微软雅黑"/>
        </w:rPr>
        <w:t>培训</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9.1</w:t>
      </w:r>
      <w:r>
        <w:rPr>
          <w:rFonts w:hint="eastAsia" w:ascii="微软雅黑" w:hAnsi="微软雅黑" w:eastAsia="微软雅黑"/>
        </w:rPr>
        <w:t>定期</w:t>
      </w:r>
      <w:r>
        <w:rPr>
          <w:rFonts w:ascii="微软雅黑" w:hAnsi="微软雅黑" w:eastAsia="微软雅黑"/>
        </w:rPr>
        <w:t>开展</w:t>
      </w:r>
      <w:r>
        <w:rPr>
          <w:rFonts w:hint="eastAsia" w:ascii="微软雅黑" w:hAnsi="微软雅黑" w:eastAsia="微软雅黑"/>
        </w:rPr>
        <w:t>如下</w:t>
      </w:r>
      <w:r>
        <w:rPr>
          <w:rFonts w:ascii="微软雅黑" w:hAnsi="微软雅黑" w:eastAsia="微软雅黑"/>
        </w:rPr>
        <w:t>培训：</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bCs/>
          <w:caps/>
          <w:szCs w:val="21"/>
        </w:rPr>
        <w:t>甲方</w:t>
      </w:r>
      <w:r>
        <w:rPr>
          <w:rFonts w:hint="eastAsia" w:ascii="微软雅黑" w:hAnsi="微软雅黑" w:eastAsia="微软雅黑"/>
          <w:szCs w:val="21"/>
        </w:rPr>
        <w:t>有关规章制度、证件办理流程工作职责、岗位要求；</w:t>
      </w:r>
      <w:r>
        <w:rPr>
          <w:rFonts w:ascii="微软雅黑" w:hAnsi="微软雅黑" w:eastAsia="微软雅黑"/>
          <w:szCs w:val="21"/>
        </w:rPr>
        <w:t xml:space="preserve"> </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szCs w:val="21"/>
        </w:rPr>
        <w:t>安保队伍内部的管理制度和工作方案；</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szCs w:val="21"/>
        </w:rPr>
        <w:t>服务区域内及周围的地形设施、环境情况、道路交通情况；</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szCs w:val="21"/>
        </w:rPr>
        <w:t>应急设备的位置、性能和使用方法；</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szCs w:val="21"/>
        </w:rPr>
        <w:t>处置一般问题和紧急情况的方法；</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szCs w:val="21"/>
        </w:rPr>
        <w:t>港口设施保安知识培训；</w:t>
      </w:r>
    </w:p>
    <w:p>
      <w:pPr>
        <w:pStyle w:val="36"/>
        <w:numPr>
          <w:ilvl w:val="0"/>
          <w:numId w:val="4"/>
        </w:numPr>
        <w:tabs>
          <w:tab w:val="left" w:pos="624"/>
        </w:tabs>
        <w:spacing w:line="360" w:lineRule="auto"/>
        <w:ind w:firstLine="420"/>
        <w:rPr>
          <w:rFonts w:ascii="微软雅黑" w:hAnsi="微软雅黑" w:eastAsia="微软雅黑"/>
          <w:szCs w:val="21"/>
        </w:rPr>
      </w:pPr>
      <w:r>
        <w:rPr>
          <w:rFonts w:hint="eastAsia" w:ascii="微软雅黑" w:hAnsi="微软雅黑" w:eastAsia="微软雅黑"/>
          <w:szCs w:val="21"/>
        </w:rPr>
        <w:t>其它</w:t>
      </w:r>
      <w:r>
        <w:rPr>
          <w:rFonts w:hint="eastAsia" w:ascii="微软雅黑" w:hAnsi="微软雅黑" w:eastAsia="微软雅黑"/>
          <w:bCs/>
          <w:caps/>
          <w:szCs w:val="21"/>
        </w:rPr>
        <w:t>甲方</w:t>
      </w:r>
      <w:r>
        <w:rPr>
          <w:rFonts w:hint="eastAsia" w:ascii="微软雅黑" w:hAnsi="微软雅黑" w:eastAsia="微软雅黑"/>
          <w:szCs w:val="21"/>
        </w:rPr>
        <w:t>要求培训的内容。</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10、</w:t>
      </w:r>
      <w:r>
        <w:rPr>
          <w:rFonts w:hint="eastAsia" w:ascii="微软雅黑" w:hAnsi="微软雅黑" w:eastAsia="微软雅黑"/>
        </w:rPr>
        <w:t>保安人员严禁行为</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10.1</w:t>
      </w:r>
      <w:r>
        <w:rPr>
          <w:rFonts w:hint="eastAsia" w:ascii="微软雅黑" w:hAnsi="微软雅黑" w:eastAsia="微软雅黑"/>
        </w:rPr>
        <w:t>限制他人人身自由、搜查他人身体或侮辱、殴打他人。 </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10.2</w:t>
      </w:r>
      <w:r>
        <w:rPr>
          <w:rFonts w:hint="eastAsia" w:ascii="微软雅黑" w:hAnsi="微软雅黑" w:eastAsia="微软雅黑"/>
        </w:rPr>
        <w:t>扣押、没收他人证件、财物。 </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10.3</w:t>
      </w:r>
      <w:r>
        <w:rPr>
          <w:rFonts w:hint="eastAsia" w:ascii="微软雅黑" w:hAnsi="微软雅黑" w:eastAsia="微软雅黑"/>
        </w:rPr>
        <w:t xml:space="preserve">阴碍国家执法人员执行公务。  </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10.4</w:t>
      </w:r>
      <w:r>
        <w:rPr>
          <w:rFonts w:hint="eastAsia" w:ascii="微软雅黑" w:hAnsi="微软雅黑" w:eastAsia="微软雅黑"/>
        </w:rPr>
        <w:t>参与追索债务、采用暴力或者以暴力相威胁的</w:t>
      </w:r>
      <w:r>
        <w:rPr>
          <w:rFonts w:hint="eastAsia" w:ascii="微软雅黑" w:hAnsi="微软雅黑" w:eastAsia="微软雅黑"/>
          <w:lang w:val="en-US" w:eastAsia="zh-CN"/>
        </w:rPr>
        <w:t>手</w:t>
      </w:r>
      <w:r>
        <w:rPr>
          <w:rFonts w:hint="eastAsia" w:ascii="微软雅黑" w:hAnsi="微软雅黑" w:eastAsia="微软雅黑"/>
        </w:rPr>
        <w:t>段处置纠纷。</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10.5</w:t>
      </w:r>
      <w:r>
        <w:rPr>
          <w:rFonts w:hint="eastAsia" w:ascii="微软雅黑" w:hAnsi="微软雅黑" w:eastAsia="微软雅黑"/>
        </w:rPr>
        <w:t>删改或者扩散安保服务中形成的资料</w:t>
      </w:r>
      <w:r>
        <w:rPr>
          <w:rFonts w:ascii="微软雅黑" w:hAnsi="微软雅黑" w:eastAsia="微软雅黑"/>
        </w:rPr>
        <w:t>记</w:t>
      </w:r>
      <w:r>
        <w:rPr>
          <w:rFonts w:hint="eastAsia" w:ascii="微软雅黑" w:hAnsi="微软雅黑" w:eastAsia="微软雅黑"/>
        </w:rPr>
        <w:t xml:space="preserve">录。  </w:t>
      </w:r>
    </w:p>
    <w:p>
      <w:pPr>
        <w:pStyle w:val="36"/>
        <w:widowControl/>
        <w:numPr>
          <w:ilvl w:val="0"/>
          <w:numId w:val="0"/>
        </w:numPr>
        <w:ind w:left="840" w:leftChars="0"/>
        <w:jc w:val="left"/>
        <w:rPr>
          <w:rFonts w:ascii="微软雅黑" w:hAnsi="微软雅黑" w:eastAsia="微软雅黑"/>
        </w:rPr>
      </w:pPr>
      <w:r>
        <w:rPr>
          <w:rFonts w:hint="eastAsia" w:ascii="微软雅黑" w:hAnsi="微软雅黑" w:eastAsia="微软雅黑"/>
          <w:lang w:val="en-US" w:eastAsia="zh-CN"/>
        </w:rPr>
        <w:t>10.6</w:t>
      </w:r>
      <w:r>
        <w:rPr>
          <w:rFonts w:hint="eastAsia" w:ascii="微软雅黑" w:hAnsi="微软雅黑" w:eastAsia="微软雅黑"/>
        </w:rPr>
        <w:t>侵犯个人隐私或者泄露在安保服各国获取的甲方秘密以及甲方明确要求保密的信息。 </w:t>
      </w:r>
    </w:p>
    <w:p>
      <w:pPr>
        <w:pStyle w:val="36"/>
        <w:widowControl/>
        <w:numPr>
          <w:ilvl w:val="0"/>
          <w:numId w:val="0"/>
        </w:numPr>
        <w:ind w:left="840" w:leftChars="0"/>
        <w:jc w:val="left"/>
        <w:rPr>
          <w:rFonts w:hint="eastAsia" w:ascii="微软雅黑" w:hAnsi="微软雅黑" w:eastAsia="微软雅黑"/>
        </w:rPr>
      </w:pPr>
      <w:r>
        <w:rPr>
          <w:rFonts w:hint="eastAsia" w:ascii="微软雅黑" w:hAnsi="微软雅黑" w:eastAsia="微软雅黑"/>
          <w:lang w:val="en-US" w:eastAsia="zh-CN"/>
        </w:rPr>
        <w:t>10.7</w:t>
      </w:r>
      <w:r>
        <w:rPr>
          <w:rFonts w:hint="eastAsia" w:ascii="微软雅黑" w:hAnsi="微软雅黑" w:eastAsia="微软雅黑"/>
        </w:rPr>
        <w:t>违反法律、行政法规的其他行为。</w:t>
      </w:r>
    </w:p>
    <w:p>
      <w:pPr>
        <w:pStyle w:val="36"/>
        <w:widowControl/>
        <w:numPr>
          <w:ilvl w:val="0"/>
          <w:numId w:val="0"/>
        </w:numPr>
        <w:ind w:left="840" w:leftChars="0"/>
        <w:jc w:val="left"/>
        <w:rPr>
          <w:rFonts w:hint="default" w:ascii="微软雅黑" w:hAnsi="微软雅黑" w:eastAsia="微软雅黑"/>
          <w:lang w:val="en-US" w:eastAsia="zh-CN"/>
        </w:rPr>
      </w:pPr>
      <w:r>
        <w:rPr>
          <w:rFonts w:hint="eastAsia" w:ascii="微软雅黑" w:hAnsi="微软雅黑" w:eastAsia="微软雅黑"/>
          <w:highlight w:val="none"/>
          <w:lang w:val="en-US" w:eastAsia="zh-CN"/>
        </w:rPr>
        <w:t>10.8保持廉洁，严禁吃拿卡要。</w:t>
      </w:r>
    </w:p>
    <w:p>
      <w:pPr>
        <w:pStyle w:val="6"/>
        <w:rPr>
          <w:rFonts w:hint="eastAsia"/>
        </w:rPr>
      </w:pPr>
    </w:p>
    <w:p>
      <w:pPr>
        <w:pStyle w:val="3"/>
        <w:rPr>
          <w:rFonts w:ascii="微软雅黑" w:hAnsi="微软雅黑" w:eastAsia="微软雅黑"/>
          <w:bCs/>
        </w:rPr>
      </w:pPr>
      <w:r>
        <w:rPr>
          <w:rFonts w:hint="eastAsia"/>
        </w:rPr>
        <w:t>五、</w:t>
      </w:r>
      <w:r>
        <w:rPr>
          <w:rFonts w:hint="eastAsia" w:ascii="微软雅黑" w:hAnsi="微软雅黑" w:eastAsia="微软雅黑"/>
          <w:bCs/>
        </w:rPr>
        <w:t>配备资源</w:t>
      </w:r>
      <w:r>
        <w:rPr>
          <w:rFonts w:ascii="微软雅黑" w:hAnsi="微软雅黑" w:eastAsia="微软雅黑"/>
          <w:bCs/>
        </w:rPr>
        <w:t>要求</w:t>
      </w:r>
    </w:p>
    <w:p>
      <w:pPr>
        <w:pStyle w:val="36"/>
        <w:widowControl/>
        <w:numPr>
          <w:ilvl w:val="0"/>
          <w:numId w:val="0"/>
        </w:numPr>
        <w:ind w:leftChars="0"/>
        <w:jc w:val="left"/>
        <w:outlineLvl w:val="0"/>
        <w:rPr>
          <w:rFonts w:ascii="微软雅黑" w:hAnsi="微软雅黑" w:eastAsia="微软雅黑"/>
          <w:highlight w:val="none"/>
        </w:rPr>
      </w:pPr>
      <w:bookmarkStart w:id="4" w:name="_Toc54797888"/>
      <w:r>
        <w:rPr>
          <w:rFonts w:hint="eastAsia" w:ascii="微软雅黑" w:hAnsi="微软雅黑" w:eastAsia="微软雅黑"/>
          <w:highlight w:val="none"/>
          <w:lang w:val="en-US" w:eastAsia="zh-CN"/>
        </w:rPr>
        <w:t>1、</w:t>
      </w:r>
      <w:r>
        <w:rPr>
          <w:rFonts w:hint="eastAsia" w:ascii="微软雅黑" w:hAnsi="微软雅黑" w:eastAsia="微软雅黑"/>
          <w:highlight w:val="none"/>
        </w:rPr>
        <w:t>人员要求</w:t>
      </w:r>
      <w:bookmarkEnd w:id="4"/>
    </w:p>
    <w:p>
      <w:pPr>
        <w:pStyle w:val="36"/>
        <w:widowControl/>
        <w:numPr>
          <w:ilvl w:val="1"/>
          <w:numId w:val="5"/>
        </w:numPr>
        <w:ind w:left="987" w:leftChars="0" w:firstLineChars="0"/>
        <w:jc w:val="left"/>
        <w:rPr>
          <w:rFonts w:ascii="微软雅黑" w:hAnsi="微软雅黑" w:eastAsia="微软雅黑"/>
          <w:highlight w:val="none"/>
        </w:rPr>
      </w:pPr>
      <w:r>
        <w:rPr>
          <w:rFonts w:hint="eastAsia" w:ascii="微软雅黑" w:hAnsi="微软雅黑" w:eastAsia="微软雅黑"/>
          <w:highlight w:val="none"/>
        </w:rPr>
        <w:t>保安人员应为男性，身体健康，品行良好，</w:t>
      </w:r>
      <w:r>
        <w:rPr>
          <w:rFonts w:hint="eastAsia" w:ascii="微软雅黑" w:hAnsi="微软雅黑" w:eastAsia="微软雅黑"/>
          <w:highlight w:val="none"/>
          <w:lang w:val="en-US" w:eastAsia="zh-CN"/>
        </w:rPr>
        <w:t>取得《保安员证》</w:t>
      </w:r>
      <w:r>
        <w:rPr>
          <w:rFonts w:hint="eastAsia" w:ascii="微软雅黑" w:hAnsi="微软雅黑" w:eastAsia="微软雅黑"/>
          <w:highlight w:val="none"/>
        </w:rPr>
        <w:t>，以上人员应均无吸毒、犯罪等不良记录，熟知安保员业务知识及国家法律法规，人员要求五官端正、</w:t>
      </w:r>
      <w:r>
        <w:rPr>
          <w:rFonts w:hint="eastAsia" w:ascii="微软雅黑" w:hAnsi="微软雅黑" w:eastAsia="微软雅黑"/>
          <w:highlight w:val="none"/>
          <w:lang w:val="en-US" w:eastAsia="zh-CN"/>
        </w:rPr>
        <w:t>精神饱满，</w:t>
      </w:r>
      <w:r>
        <w:rPr>
          <w:rFonts w:hint="eastAsia" w:ascii="微软雅黑" w:hAnsi="微软雅黑" w:eastAsia="微软雅黑"/>
          <w:highlight w:val="none"/>
        </w:rPr>
        <w:t>退伍军人优先。</w:t>
      </w:r>
    </w:p>
    <w:p>
      <w:pPr>
        <w:pStyle w:val="36"/>
        <w:widowControl/>
        <w:numPr>
          <w:ilvl w:val="1"/>
          <w:numId w:val="5"/>
        </w:numPr>
        <w:ind w:left="987" w:leftChars="0" w:firstLineChars="0"/>
        <w:jc w:val="left"/>
        <w:rPr>
          <w:rFonts w:ascii="微软雅黑" w:hAnsi="微软雅黑" w:eastAsia="微软雅黑"/>
          <w:highlight w:val="none"/>
        </w:rPr>
      </w:pPr>
      <w:r>
        <w:rPr>
          <w:rFonts w:hint="eastAsia" w:ascii="微软雅黑" w:hAnsi="微软雅黑" w:eastAsia="微软雅黑"/>
          <w:highlight w:val="none"/>
        </w:rPr>
        <w:t>保安人员应具备</w:t>
      </w:r>
      <w:r>
        <w:rPr>
          <w:rFonts w:ascii="微软雅黑" w:hAnsi="微软雅黑" w:eastAsia="微软雅黑"/>
          <w:highlight w:val="none"/>
        </w:rPr>
        <w:t>公安</w:t>
      </w:r>
      <w:r>
        <w:rPr>
          <w:rFonts w:hint="eastAsia" w:ascii="微软雅黑" w:hAnsi="微软雅黑" w:eastAsia="微软雅黑"/>
          <w:highlight w:val="none"/>
        </w:rPr>
        <w:t>局</w:t>
      </w:r>
      <w:r>
        <w:rPr>
          <w:rFonts w:ascii="微软雅黑" w:hAnsi="微软雅黑" w:eastAsia="微软雅黑"/>
          <w:highlight w:val="none"/>
        </w:rPr>
        <w:t>颁发的安保员上岗证。</w:t>
      </w:r>
    </w:p>
    <w:p>
      <w:pPr>
        <w:pStyle w:val="36"/>
        <w:widowControl/>
        <w:numPr>
          <w:ilvl w:val="1"/>
          <w:numId w:val="5"/>
        </w:numPr>
        <w:ind w:left="987" w:leftChars="0" w:firstLineChars="0"/>
        <w:jc w:val="left"/>
        <w:rPr>
          <w:rFonts w:hint="default" w:ascii="微软雅黑" w:hAnsi="微软雅黑" w:eastAsia="微软雅黑"/>
          <w:highlight w:val="none"/>
          <w:lang w:val="en-US" w:eastAsia="zh-CN"/>
        </w:rPr>
      </w:pPr>
      <w:r>
        <w:rPr>
          <w:rFonts w:hint="eastAsia" w:ascii="微软雅黑" w:hAnsi="微软雅黑" w:eastAsia="微软雅黑"/>
          <w:highlight w:val="none"/>
        </w:rPr>
        <w:t>保安人员应具备一年内由县级（含）以上级别医院出具健康证明。</w:t>
      </w:r>
    </w:p>
    <w:p>
      <w:pPr>
        <w:pStyle w:val="36"/>
        <w:widowControl/>
        <w:numPr>
          <w:ilvl w:val="1"/>
          <w:numId w:val="5"/>
        </w:numPr>
        <w:ind w:left="987" w:leftChars="0" w:firstLineChars="0"/>
        <w:jc w:val="left"/>
        <w:rPr>
          <w:rFonts w:ascii="微软雅黑" w:hAnsi="微软雅黑" w:eastAsia="微软雅黑"/>
        </w:rPr>
      </w:pPr>
      <w:r>
        <w:rPr>
          <w:rFonts w:hint="eastAsia" w:ascii="微软雅黑" w:hAnsi="微软雅黑" w:eastAsia="微软雅黑"/>
          <w:highlight w:val="none"/>
          <w:lang w:val="en-US" w:eastAsia="zh-CN"/>
        </w:rPr>
        <w:t>保安负责人需取得保安师资格证书。</w:t>
      </w:r>
    </w:p>
    <w:p>
      <w:pPr>
        <w:pStyle w:val="36"/>
        <w:widowControl/>
        <w:numPr>
          <w:ilvl w:val="0"/>
          <w:numId w:val="0"/>
        </w:numPr>
        <w:ind w:leftChars="0"/>
        <w:jc w:val="left"/>
        <w:outlineLvl w:val="0"/>
        <w:rPr>
          <w:rFonts w:ascii="微软雅黑" w:hAnsi="微软雅黑" w:eastAsia="微软雅黑"/>
        </w:rPr>
      </w:pPr>
      <w:bookmarkStart w:id="5" w:name="_Toc54797889"/>
      <w:r>
        <w:rPr>
          <w:rFonts w:hint="eastAsia" w:ascii="微软雅黑" w:hAnsi="微软雅黑" w:eastAsia="微软雅黑"/>
          <w:lang w:val="en-US" w:eastAsia="zh-CN"/>
        </w:rPr>
        <w:t>2、</w:t>
      </w:r>
      <w:r>
        <w:rPr>
          <w:rFonts w:hint="eastAsia" w:ascii="微软雅黑" w:hAnsi="微软雅黑" w:eastAsia="微软雅黑"/>
        </w:rPr>
        <w:t>资源配置</w:t>
      </w:r>
      <w:r>
        <w:rPr>
          <w:rFonts w:ascii="微软雅黑" w:hAnsi="微软雅黑" w:eastAsia="微软雅黑"/>
        </w:rPr>
        <w:t>要求</w:t>
      </w:r>
      <w:bookmarkEnd w:id="5"/>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2.1</w:t>
      </w:r>
      <w:r>
        <w:rPr>
          <w:rFonts w:ascii="微软雅黑" w:hAnsi="微软雅黑" w:eastAsia="微软雅黑"/>
        </w:rPr>
        <w:t>保安人员</w:t>
      </w:r>
      <w:r>
        <w:rPr>
          <w:rFonts w:hint="eastAsia" w:ascii="微软雅黑" w:hAnsi="微软雅黑" w:eastAsia="微软雅黑"/>
        </w:rPr>
        <w:t>应</w:t>
      </w:r>
      <w:r>
        <w:rPr>
          <w:rFonts w:ascii="微软雅黑" w:hAnsi="微软雅黑" w:eastAsia="微软雅黑"/>
        </w:rPr>
        <w:t>配备</w:t>
      </w:r>
      <w:r>
        <w:rPr>
          <w:rFonts w:hint="eastAsia" w:ascii="微软雅黑" w:hAnsi="微软雅黑" w:eastAsia="微软雅黑"/>
        </w:rPr>
        <w:t>相应装备，包括但不限于：</w:t>
      </w:r>
      <w:r>
        <w:rPr>
          <w:rFonts w:ascii="微软雅黑" w:hAnsi="微软雅黑" w:eastAsia="微软雅黑"/>
        </w:rPr>
        <w:t>服装、</w:t>
      </w:r>
      <w:r>
        <w:rPr>
          <w:rFonts w:hint="eastAsia" w:ascii="微软雅黑" w:hAnsi="微软雅黑" w:eastAsia="微软雅黑"/>
        </w:rPr>
        <w:t>警棍、防暴盾牌、防暴钢叉、防暴头盔、防暴手套、防穿刺背心、</w:t>
      </w:r>
      <w:r>
        <w:rPr>
          <w:rFonts w:ascii="微软雅黑" w:hAnsi="微软雅黑" w:eastAsia="微软雅黑"/>
        </w:rPr>
        <w:t>手电、雨衣</w:t>
      </w:r>
      <w:r>
        <w:rPr>
          <w:rFonts w:hint="eastAsia" w:ascii="微软雅黑" w:hAnsi="微软雅黑" w:eastAsia="微软雅黑"/>
        </w:rPr>
        <w:t>、巡逻自行车</w:t>
      </w:r>
      <w:r>
        <w:rPr>
          <w:rFonts w:ascii="微软雅黑" w:hAnsi="微软雅黑" w:eastAsia="微软雅黑"/>
        </w:rPr>
        <w:t>等</w:t>
      </w:r>
      <w:r>
        <w:rPr>
          <w:rFonts w:hint="eastAsia" w:ascii="微软雅黑" w:hAnsi="微软雅黑" w:eastAsia="微软雅黑"/>
        </w:rPr>
        <w:t>。</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2.2</w:t>
      </w:r>
      <w:r>
        <w:rPr>
          <w:rFonts w:hint="eastAsia" w:ascii="微软雅黑" w:hAnsi="微软雅黑" w:eastAsia="微软雅黑"/>
        </w:rPr>
        <w:t>配备配全对讲机、电子巡更系统。</w:t>
      </w:r>
    </w:p>
    <w:p>
      <w:pPr>
        <w:pStyle w:val="36"/>
        <w:numPr>
          <w:ilvl w:val="0"/>
          <w:numId w:val="0"/>
        </w:numPr>
        <w:ind w:left="420" w:leftChars="0"/>
        <w:rPr>
          <w:rFonts w:hint="eastAsia" w:ascii="微软雅黑" w:hAnsi="微软雅黑" w:eastAsia="微软雅黑"/>
        </w:rPr>
      </w:pPr>
      <w:r>
        <w:rPr>
          <w:rFonts w:hint="eastAsia" w:ascii="微软雅黑" w:hAnsi="微软雅黑" w:eastAsia="微软雅黑"/>
          <w:lang w:val="en-US" w:eastAsia="zh-CN"/>
        </w:rPr>
        <w:t>2.3</w:t>
      </w:r>
      <w:r>
        <w:rPr>
          <w:rFonts w:hint="eastAsia" w:ascii="微软雅黑" w:hAnsi="微软雅黑" w:eastAsia="微软雅黑"/>
        </w:rPr>
        <w:t>按照甲方要求配备门岗、码头车辆、人员进出记录本、外来车辆检查记录本、保安工作记录本等。</w:t>
      </w:r>
    </w:p>
    <w:p>
      <w:pPr>
        <w:pStyle w:val="36"/>
        <w:widowControl/>
        <w:numPr>
          <w:ilvl w:val="0"/>
          <w:numId w:val="0"/>
        </w:numPr>
        <w:ind w:leftChars="0"/>
        <w:jc w:val="left"/>
        <w:outlineLvl w:val="0"/>
        <w:rPr>
          <w:rFonts w:ascii="微软雅黑" w:hAnsi="微软雅黑" w:eastAsia="微软雅黑"/>
        </w:rPr>
      </w:pPr>
      <w:r>
        <w:rPr>
          <w:rFonts w:hint="eastAsia" w:ascii="微软雅黑" w:hAnsi="微软雅黑" w:eastAsia="微软雅黑"/>
          <w:lang w:val="en-US" w:eastAsia="zh-CN"/>
        </w:rPr>
        <w:t>3、</w:t>
      </w:r>
      <w:r>
        <w:rPr>
          <w:rFonts w:hint="eastAsia" w:ascii="微软雅黑" w:hAnsi="微软雅黑" w:eastAsia="微软雅黑"/>
        </w:rPr>
        <w:t>技术文件</w:t>
      </w:r>
      <w:r>
        <w:rPr>
          <w:rFonts w:hint="eastAsia" w:ascii="微软雅黑" w:hAnsi="微软雅黑" w:eastAsia="微软雅黑"/>
          <w:lang w:val="en-US" w:eastAsia="zh-CN"/>
        </w:rPr>
        <w:t>要求：</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3.1</w:t>
      </w:r>
      <w:r>
        <w:rPr>
          <w:rFonts w:hint="eastAsia" w:ascii="微软雅黑" w:hAnsi="微软雅黑" w:eastAsia="微软雅黑"/>
        </w:rPr>
        <w:t>乙方提供安保服务组织方案、人员结构、人员数量、负责人、人员资料（包括但不限于：个人简历、身份证、资质证明、健康证、劳动合同证明、社保证明、学历证明、无犯罪记录证明、培训记录、岗前技能考核记录等相关资料等），报甲方备案。</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3.2</w:t>
      </w:r>
      <w:r>
        <w:rPr>
          <w:rFonts w:hint="eastAsia" w:ascii="微软雅黑" w:hAnsi="微软雅黑" w:eastAsia="微软雅黑"/>
        </w:rPr>
        <w:t>乙方需要提供保安服务、安全保证措施以及巡检方案，报甲方备案。</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3.3</w:t>
      </w:r>
      <w:r>
        <w:rPr>
          <w:rFonts w:hint="eastAsia" w:ascii="微软雅黑" w:hAnsi="微软雅黑" w:eastAsia="微软雅黑"/>
        </w:rPr>
        <w:t>乙方提供现场管理、训练、作息时间、保密管理制度以及应急预案，报甲方备案。</w:t>
      </w:r>
    </w:p>
    <w:p>
      <w:pPr>
        <w:pStyle w:val="36"/>
        <w:widowControl/>
        <w:numPr>
          <w:ilvl w:val="0"/>
          <w:numId w:val="0"/>
        </w:numPr>
        <w:ind w:leftChars="0"/>
        <w:jc w:val="left"/>
        <w:outlineLvl w:val="0"/>
        <w:rPr>
          <w:rFonts w:hint="eastAsia" w:ascii="微软雅黑" w:hAnsi="微软雅黑" w:eastAsia="微软雅黑"/>
          <w:lang w:val="en-US" w:eastAsia="zh-CN"/>
        </w:rPr>
      </w:pPr>
      <w:r>
        <w:rPr>
          <w:rFonts w:hint="eastAsia" w:ascii="微软雅黑" w:hAnsi="微软雅黑" w:eastAsia="微软雅黑"/>
          <w:lang w:val="en-US" w:eastAsia="zh-CN"/>
        </w:rPr>
        <w:t>4、</w:t>
      </w:r>
      <w:r>
        <w:rPr>
          <w:rFonts w:hint="eastAsia" w:ascii="微软雅黑" w:hAnsi="微软雅黑" w:eastAsia="微软雅黑"/>
        </w:rPr>
        <w:t>售后服务及培训</w:t>
      </w:r>
      <w:r>
        <w:rPr>
          <w:rFonts w:hint="eastAsia" w:ascii="微软雅黑" w:hAnsi="微软雅黑" w:eastAsia="微软雅黑"/>
          <w:lang w:val="en-US" w:eastAsia="zh-CN"/>
        </w:rPr>
        <w:t>要求</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4.1</w:t>
      </w:r>
      <w:r>
        <w:rPr>
          <w:rFonts w:hint="eastAsia" w:ascii="微软雅黑" w:hAnsi="微软雅黑" w:eastAsia="微软雅黑"/>
        </w:rPr>
        <w:t>入场培训要求</w:t>
      </w:r>
    </w:p>
    <w:p>
      <w:pPr>
        <w:spacing w:line="360" w:lineRule="auto"/>
        <w:ind w:firstLine="420" w:firstLineChars="200"/>
        <w:rPr>
          <w:rFonts w:ascii="微软雅黑" w:hAnsi="微软雅黑" w:eastAsia="微软雅黑"/>
        </w:rPr>
      </w:pPr>
      <w:r>
        <w:rPr>
          <w:rFonts w:hint="eastAsia" w:ascii="微软雅黑" w:hAnsi="微软雅黑" w:eastAsia="微软雅黑"/>
        </w:rPr>
        <w:t>乙方服务</w:t>
      </w:r>
      <w:r>
        <w:rPr>
          <w:rFonts w:ascii="微软雅黑" w:hAnsi="微软雅黑" w:eastAsia="微软雅黑"/>
        </w:rPr>
        <w:t>人员上岗前需进行</w:t>
      </w:r>
      <w:r>
        <w:rPr>
          <w:rFonts w:hint="eastAsia" w:ascii="微软雅黑" w:hAnsi="微软雅黑" w:eastAsia="微软雅黑"/>
        </w:rPr>
        <w:t>入厂三级安全教育，包括但不限</w:t>
      </w:r>
      <w:r>
        <w:rPr>
          <w:rFonts w:ascii="微软雅黑" w:hAnsi="微软雅黑" w:eastAsia="微软雅黑"/>
        </w:rPr>
        <w:t>于</w:t>
      </w:r>
      <w:r>
        <w:rPr>
          <w:rFonts w:hint="eastAsia" w:ascii="微软雅黑" w:hAnsi="微软雅黑" w:eastAsia="微软雅黑"/>
        </w:rPr>
        <w:t>公司企业</w:t>
      </w:r>
      <w:r>
        <w:rPr>
          <w:rFonts w:ascii="微软雅黑" w:hAnsi="微软雅黑" w:eastAsia="微软雅黑"/>
        </w:rPr>
        <w:t>文化、</w:t>
      </w:r>
      <w:r>
        <w:rPr>
          <w:rFonts w:hint="eastAsia" w:ascii="微软雅黑" w:hAnsi="微软雅黑" w:eastAsia="微软雅黑"/>
        </w:rPr>
        <w:t>安全生产规章制度、劳动纪律、从事工种的安全职责、操作技能、强制性标准、</w:t>
      </w:r>
      <w:r>
        <w:rPr>
          <w:rFonts w:ascii="微软雅黑" w:hAnsi="微软雅黑" w:eastAsia="微软雅黑"/>
        </w:rPr>
        <w:t>岗位</w:t>
      </w:r>
      <w:r>
        <w:rPr>
          <w:rFonts w:hint="eastAsia" w:ascii="微软雅黑" w:hAnsi="微软雅黑" w:eastAsia="微软雅黑"/>
        </w:rPr>
        <w:t>工作流程、工作范围、工作标准及要求等方面的培训，并</w:t>
      </w:r>
      <w:r>
        <w:rPr>
          <w:rFonts w:ascii="微软雅黑" w:hAnsi="微软雅黑" w:eastAsia="微软雅黑"/>
        </w:rPr>
        <w:t>提报至甲方</w:t>
      </w:r>
      <w:r>
        <w:rPr>
          <w:rFonts w:hint="eastAsia" w:ascii="微软雅黑" w:hAnsi="微软雅黑" w:eastAsia="微软雅黑"/>
        </w:rPr>
        <w:t>备案</w:t>
      </w:r>
      <w:r>
        <w:rPr>
          <w:rFonts w:ascii="微软雅黑" w:hAnsi="微软雅黑" w:eastAsia="微软雅黑"/>
        </w:rPr>
        <w:t>。</w:t>
      </w:r>
    </w:p>
    <w:p>
      <w:pPr>
        <w:spacing w:line="360" w:lineRule="auto"/>
        <w:rPr>
          <w:rFonts w:hint="default" w:ascii="微软雅黑" w:hAnsi="微软雅黑" w:eastAsia="微软雅黑"/>
          <w:lang w:val="en-US" w:eastAsia="zh-CN"/>
        </w:rPr>
      </w:pPr>
      <w:r>
        <w:rPr>
          <w:rFonts w:hint="eastAsia" w:ascii="微软雅黑" w:hAnsi="微软雅黑" w:eastAsia="微软雅黑"/>
          <w:lang w:val="en-US" w:eastAsia="zh-CN"/>
        </w:rPr>
        <w:t>4.2 HSE要求</w:t>
      </w:r>
    </w:p>
    <w:p>
      <w:pPr>
        <w:pStyle w:val="9"/>
        <w:ind w:firstLine="210"/>
        <w:rPr>
          <w:rFonts w:hint="eastAsia" w:ascii="微软雅黑" w:hAnsi="微软雅黑" w:eastAsia="微软雅黑"/>
          <w:kern w:val="2"/>
          <w:sz w:val="21"/>
          <w:szCs w:val="22"/>
          <w:lang w:eastAsia="zh-CN"/>
        </w:rPr>
      </w:pPr>
      <w:r>
        <w:rPr>
          <w:rFonts w:hint="eastAsia" w:ascii="微软雅黑" w:hAnsi="微软雅黑" w:eastAsia="微软雅黑"/>
          <w:kern w:val="2"/>
          <w:sz w:val="21"/>
          <w:szCs w:val="22"/>
          <w:lang w:val="en-US" w:eastAsia="zh-CN"/>
        </w:rPr>
        <w:t>4.2.1</w:t>
      </w:r>
      <w:r>
        <w:rPr>
          <w:rFonts w:hint="eastAsia" w:ascii="微软雅黑" w:hAnsi="微软雅黑" w:eastAsia="微软雅黑"/>
          <w:kern w:val="2"/>
          <w:sz w:val="21"/>
          <w:szCs w:val="22"/>
          <w:lang w:eastAsia="zh-CN"/>
        </w:rPr>
        <w:t>乙方应建立并有效运行QHSE管理体系、全员安全生产责任制，QHSE管理体系应经第三方认证。</w:t>
      </w:r>
    </w:p>
    <w:p>
      <w:pPr>
        <w:pStyle w:val="9"/>
        <w:ind w:firstLine="210"/>
        <w:rPr>
          <w:rFonts w:hint="eastAsia" w:ascii="微软雅黑" w:hAnsi="微软雅黑" w:eastAsia="微软雅黑"/>
          <w:kern w:val="2"/>
          <w:sz w:val="21"/>
          <w:szCs w:val="22"/>
          <w:lang w:eastAsia="zh-CN"/>
        </w:rPr>
      </w:pPr>
      <w:r>
        <w:rPr>
          <w:rFonts w:hint="eastAsia" w:ascii="微软雅黑" w:hAnsi="微软雅黑" w:eastAsia="微软雅黑"/>
          <w:kern w:val="2"/>
          <w:sz w:val="21"/>
          <w:szCs w:val="22"/>
          <w:lang w:val="en-US" w:eastAsia="zh-CN"/>
        </w:rPr>
        <w:t>4.2.2</w:t>
      </w:r>
      <w:r>
        <w:rPr>
          <w:rFonts w:hint="eastAsia" w:ascii="微软雅黑" w:hAnsi="微软雅黑" w:eastAsia="微软雅黑"/>
          <w:kern w:val="2"/>
          <w:sz w:val="21"/>
          <w:szCs w:val="22"/>
          <w:lang w:eastAsia="zh-CN"/>
        </w:rPr>
        <w:t>乙方应与甲方签订安全协议，详见附件2：《HSE管理协议》（待签订版）。</w:t>
      </w:r>
    </w:p>
    <w:p>
      <w:pPr>
        <w:pStyle w:val="12"/>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36"/>
        <w:widowControl/>
        <w:numPr>
          <w:ilvl w:val="0"/>
          <w:numId w:val="0"/>
        </w:numPr>
        <w:ind w:left="420" w:leftChars="0"/>
        <w:jc w:val="left"/>
        <w:rPr>
          <w:rFonts w:hint="eastAsia" w:ascii="微软雅黑" w:hAnsi="微软雅黑" w:eastAsia="微软雅黑"/>
        </w:rPr>
      </w:pPr>
      <w:r>
        <w:rPr>
          <w:rFonts w:hint="eastAsia" w:ascii="微软雅黑" w:hAnsi="微软雅黑" w:eastAsia="微软雅黑"/>
          <w:lang w:val="en-US" w:eastAsia="zh-CN"/>
        </w:rPr>
        <w:t>1、</w:t>
      </w:r>
      <w:r>
        <w:rPr>
          <w:rFonts w:hint="eastAsia" w:ascii="微软雅黑" w:hAnsi="微软雅黑" w:eastAsia="微软雅黑"/>
        </w:rPr>
        <w:t>乙方</w:t>
      </w:r>
      <w:r>
        <w:rPr>
          <w:rFonts w:hint="eastAsia" w:ascii="微软雅黑" w:hAnsi="微软雅黑" w:eastAsia="微软雅黑"/>
          <w:lang w:val="en-US" w:eastAsia="zh-CN"/>
        </w:rPr>
        <w:t>不得</w:t>
      </w:r>
      <w:r>
        <w:rPr>
          <w:rFonts w:hint="eastAsia" w:ascii="微软雅黑" w:hAnsi="微软雅黑" w:eastAsia="微软雅黑"/>
        </w:rPr>
        <w:t>造成甲方</w:t>
      </w:r>
      <w:r>
        <w:rPr>
          <w:rFonts w:hint="eastAsia" w:ascii="微软雅黑" w:hAnsi="微软雅黑" w:eastAsia="微软雅黑"/>
          <w:lang w:val="en-US" w:eastAsia="zh-CN"/>
        </w:rPr>
        <w:t>及甲方厂区内其他单位机构</w:t>
      </w:r>
      <w:r>
        <w:rPr>
          <w:rFonts w:hint="eastAsia" w:ascii="微软雅黑" w:hAnsi="微软雅黑" w:eastAsia="微软雅黑"/>
        </w:rPr>
        <w:t>财产被盗、被损或人员受到伤害</w:t>
      </w:r>
      <w:r>
        <w:rPr>
          <w:rFonts w:hint="eastAsia" w:ascii="微软雅黑" w:hAnsi="微软雅黑" w:eastAsia="微软雅黑"/>
          <w:lang w:val="en-US" w:eastAsia="zh-CN"/>
        </w:rPr>
        <w:t>等</w:t>
      </w:r>
      <w:r>
        <w:rPr>
          <w:rFonts w:hint="eastAsia" w:ascii="微软雅黑" w:hAnsi="微软雅黑" w:eastAsia="微软雅黑"/>
        </w:rPr>
        <w:t>事故。</w:t>
      </w:r>
    </w:p>
    <w:p>
      <w:pPr>
        <w:pStyle w:val="36"/>
        <w:widowControl/>
        <w:numPr>
          <w:ilvl w:val="0"/>
          <w:numId w:val="0"/>
        </w:numPr>
        <w:ind w:left="420" w:leftChars="0"/>
        <w:jc w:val="left"/>
        <w:rPr>
          <w:rFonts w:hint="eastAsia" w:ascii="微软雅黑" w:hAnsi="微软雅黑" w:eastAsia="微软雅黑"/>
        </w:rPr>
      </w:pPr>
      <w:r>
        <w:rPr>
          <w:rFonts w:hint="eastAsia" w:ascii="微软雅黑" w:hAnsi="微软雅黑" w:eastAsia="微软雅黑"/>
          <w:lang w:val="en-US" w:eastAsia="zh-CN"/>
        </w:rPr>
        <w:t>2、</w:t>
      </w:r>
      <w:r>
        <w:rPr>
          <w:rFonts w:hint="eastAsia" w:ascii="微软雅黑" w:hAnsi="微软雅黑" w:eastAsia="微软雅黑"/>
        </w:rPr>
        <w:t>乙方</w:t>
      </w:r>
      <w:r>
        <w:rPr>
          <w:rFonts w:hint="eastAsia" w:ascii="微软雅黑" w:hAnsi="微软雅黑" w:eastAsia="微软雅黑"/>
          <w:lang w:val="en-US" w:eastAsia="zh-CN"/>
        </w:rPr>
        <w:t>不得</w:t>
      </w:r>
      <w:r>
        <w:rPr>
          <w:rFonts w:hint="eastAsia" w:ascii="微软雅黑" w:hAnsi="微软雅黑" w:eastAsia="微软雅黑"/>
        </w:rPr>
        <w:t>牵连甲方受政府部门处罚。</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2、</w:t>
      </w:r>
      <w:r>
        <w:rPr>
          <w:rFonts w:hint="eastAsia" w:ascii="微软雅黑" w:hAnsi="微软雅黑" w:eastAsia="微软雅黑"/>
        </w:rPr>
        <w:t>因乙方未严格履行合同致使甲方就同一项服务或同一问题投诉不超过</w:t>
      </w:r>
      <w:r>
        <w:rPr>
          <w:rFonts w:ascii="微软雅黑" w:hAnsi="微软雅黑" w:eastAsia="微软雅黑"/>
        </w:rPr>
        <w:t>5</w:t>
      </w:r>
      <w:r>
        <w:rPr>
          <w:rFonts w:hint="eastAsia" w:ascii="微软雅黑" w:hAnsi="微软雅黑" w:eastAsia="微软雅黑"/>
        </w:rPr>
        <w:t>起。</w:t>
      </w:r>
    </w:p>
    <w:p>
      <w:pPr>
        <w:pStyle w:val="12"/>
        <w:ind w:left="0"/>
        <w:outlineLvl w:val="0"/>
        <w:rPr>
          <w:rFonts w:ascii="微软雅黑" w:hAnsi="微软雅黑" w:eastAsia="微软雅黑"/>
          <w:bCs/>
          <w:sz w:val="32"/>
          <w:szCs w:val="32"/>
        </w:rPr>
      </w:pPr>
      <w:r>
        <w:rPr>
          <w:rFonts w:hint="eastAsia" w:ascii="微软雅黑" w:hAnsi="微软雅黑" w:eastAsia="微软雅黑"/>
          <w:bCs/>
          <w:sz w:val="32"/>
          <w:szCs w:val="32"/>
        </w:rPr>
        <w:t>八、质量保证</w:t>
      </w:r>
    </w:p>
    <w:p>
      <w:pPr>
        <w:pStyle w:val="36"/>
        <w:widowControl/>
        <w:numPr>
          <w:ilvl w:val="0"/>
          <w:numId w:val="0"/>
        </w:numPr>
        <w:ind w:left="420" w:leftChars="0"/>
        <w:jc w:val="left"/>
        <w:rPr>
          <w:rFonts w:ascii="微软雅黑" w:hAnsi="微软雅黑" w:eastAsia="微软雅黑"/>
        </w:rPr>
      </w:pPr>
      <w:r>
        <w:rPr>
          <w:rFonts w:hint="eastAsia" w:ascii="微软雅黑" w:hAnsi="微软雅黑" w:eastAsia="微软雅黑"/>
          <w:lang w:val="en-US" w:eastAsia="zh-CN"/>
        </w:rPr>
        <w:t>1、</w:t>
      </w:r>
      <w:r>
        <w:rPr>
          <w:rFonts w:hint="eastAsia" w:ascii="微软雅黑" w:hAnsi="微软雅黑" w:eastAsia="微软雅黑"/>
        </w:rPr>
        <w:t>乙方承诺，其保安符合本合同、法律法规、行业规范、标准和良好的行业惯例的要求，不存在任何缺陷。如因乙方原因，造成甲方直接经济损失，乙方应给与甲方响应补偿，甲方有权要求乙方限期整改，并有权终止合同。</w:t>
      </w:r>
    </w:p>
    <w:p>
      <w:pPr>
        <w:pStyle w:val="36"/>
        <w:widowControl/>
        <w:numPr>
          <w:ilvl w:val="0"/>
          <w:numId w:val="0"/>
        </w:numPr>
        <w:ind w:left="420" w:leftChars="0"/>
        <w:jc w:val="left"/>
        <w:rPr>
          <w:rFonts w:hint="eastAsia" w:ascii="微软雅黑" w:hAnsi="微软雅黑" w:eastAsia="微软雅黑"/>
          <w:highlight w:val="none"/>
        </w:rPr>
      </w:pPr>
      <w:r>
        <w:rPr>
          <w:rFonts w:hint="eastAsia" w:ascii="微软雅黑" w:hAnsi="微软雅黑" w:eastAsia="微软雅黑"/>
          <w:highlight w:val="none"/>
          <w:lang w:val="en-US" w:eastAsia="zh-CN"/>
        </w:rPr>
        <w:t>2、</w:t>
      </w:r>
      <w:r>
        <w:rPr>
          <w:rFonts w:hint="eastAsia" w:ascii="微软雅黑" w:hAnsi="微软雅黑" w:eastAsia="微软雅黑"/>
          <w:highlight w:val="none"/>
        </w:rPr>
        <w:t>每月保安服务费的</w:t>
      </w:r>
      <w:r>
        <w:rPr>
          <w:rFonts w:hint="eastAsia" w:ascii="微软雅黑" w:hAnsi="微软雅黑" w:eastAsia="微软雅黑"/>
          <w:highlight w:val="none"/>
          <w:lang w:val="en-US" w:eastAsia="zh-CN"/>
        </w:rPr>
        <w:t>3</w:t>
      </w:r>
      <w:r>
        <w:rPr>
          <w:rFonts w:hint="eastAsia" w:ascii="微软雅黑" w:hAnsi="微软雅黑" w:eastAsia="微软雅黑"/>
          <w:highlight w:val="none"/>
        </w:rPr>
        <w:t>%作为服务质量保证金，参照每月考核成绩按比例发放服务质量保证金，详见附件</w:t>
      </w:r>
      <w:r>
        <w:rPr>
          <w:rFonts w:hint="eastAsia" w:ascii="微软雅黑" w:hAnsi="微软雅黑" w:eastAsia="微软雅黑"/>
          <w:highlight w:val="none"/>
          <w:lang w:val="en-US" w:eastAsia="zh-CN"/>
        </w:rPr>
        <w:t>1</w:t>
      </w:r>
      <w:r>
        <w:rPr>
          <w:rFonts w:hint="eastAsia" w:ascii="微软雅黑" w:hAnsi="微软雅黑" w:eastAsia="微软雅黑"/>
          <w:highlight w:val="none"/>
        </w:rPr>
        <w:t>《保安服务工作执行状况评价表》。</w:t>
      </w:r>
    </w:p>
    <w:p>
      <w:pPr>
        <w:pStyle w:val="36"/>
        <w:widowControl/>
        <w:numPr>
          <w:ilvl w:val="0"/>
          <w:numId w:val="0"/>
        </w:numPr>
        <w:ind w:left="420" w:leftChars="0"/>
        <w:jc w:val="left"/>
        <w:rPr>
          <w:rFonts w:hint="eastAsia" w:ascii="微软雅黑" w:hAnsi="微软雅黑" w:eastAsia="微软雅黑"/>
          <w:highlight w:val="none"/>
        </w:rPr>
      </w:pPr>
      <w:r>
        <w:rPr>
          <w:rFonts w:hint="eastAsia" w:ascii="微软雅黑" w:hAnsi="微软雅黑" w:eastAsia="微软雅黑"/>
          <w:highlight w:val="none"/>
          <w:lang w:val="en-US" w:eastAsia="zh-CN"/>
        </w:rPr>
        <w:t>3、</w:t>
      </w:r>
      <w:r>
        <w:rPr>
          <w:rFonts w:hint="eastAsia" w:ascii="微软雅黑" w:hAnsi="微软雅黑" w:eastAsia="微软雅黑"/>
          <w:highlight w:val="none"/>
          <w:lang w:eastAsia="zh-CN"/>
        </w:rPr>
        <w:t>乙方须保证提供的服务质量合格平稳，乙方如更换服务人员需提前3天通知甲方，不得因更换人员影响甲方工作计划、工作期限、工作质量。乙方在向甲方提供服务过程中，如乙方人员出现违规，违纪，违法情形，应立即进行人员调离，并在2个工作日内向甲方提供书面说明和整改意见。</w:t>
      </w:r>
    </w:p>
    <w:p>
      <w:pPr>
        <w:pStyle w:val="3"/>
        <w:spacing w:line="240" w:lineRule="auto"/>
        <w:jc w:val="both"/>
        <w:rPr>
          <w:rFonts w:ascii="微软雅黑" w:hAnsi="微软雅黑" w:eastAsia="微软雅黑"/>
          <w:sz w:val="21"/>
          <w:szCs w:val="21"/>
        </w:rPr>
      </w:pPr>
      <w:r>
        <w:rPr>
          <w:rFonts w:hint="eastAsia" w:ascii="微软雅黑" w:hAnsi="微软雅黑" w:eastAsia="微软雅黑" w:cs="Times New Roman"/>
          <w:bCs/>
        </w:rPr>
        <w:t>九、其他要求</w:t>
      </w:r>
    </w:p>
    <w:p>
      <w:pPr>
        <w:pStyle w:val="9"/>
        <w:ind w:left="0" w:leftChars="0" w:firstLine="0" w:firstLineChars="0"/>
        <w:rPr>
          <w:rFonts w:hint="eastAsia"/>
          <w:lang w:val="en-US" w:eastAsia="zh-CN"/>
        </w:rPr>
      </w:pPr>
      <w:r>
        <w:rPr>
          <w:rFonts w:hint="eastAsia"/>
          <w:lang w:val="en-US" w:eastAsia="zh-CN"/>
        </w:rPr>
        <w:t>1、技术联系人：</w:t>
      </w:r>
    </w:p>
    <w:p>
      <w:pPr>
        <w:pStyle w:val="9"/>
        <w:ind w:left="0" w:leftChars="0" w:firstLine="0" w:firstLineChars="0"/>
        <w:rPr>
          <w:rFonts w:hint="eastAsia"/>
          <w:lang w:val="en-US" w:eastAsia="zh-CN"/>
        </w:rPr>
      </w:pPr>
      <w:r>
        <w:rPr>
          <w:rFonts w:hint="eastAsia"/>
          <w:lang w:val="en-US" w:eastAsia="zh-CN"/>
        </w:rPr>
        <w:t>2、付款方式：银行电汇；</w:t>
      </w:r>
    </w:p>
    <w:p>
      <w:pPr>
        <w:pStyle w:val="36"/>
        <w:widowControl/>
        <w:ind w:firstLine="0" w:firstLineChars="0"/>
        <w:jc w:val="left"/>
        <w:rPr>
          <w:rFonts w:hint="eastAsia" w:ascii="微软雅黑" w:hAnsi="微软雅黑" w:eastAsia="微软雅黑"/>
          <w:lang w:eastAsia="zh-CN"/>
        </w:rPr>
      </w:pPr>
      <w:r>
        <w:rPr>
          <w:rFonts w:hint="eastAsia" w:ascii="微软雅黑" w:hAnsi="微软雅黑" w:eastAsia="微软雅黑"/>
          <w:lang w:eastAsia="zh-CN"/>
        </w:rPr>
        <w:t xml:space="preserve">3、付款周期要求：甲方应于验收合格且确认收到的发票及相关支持文件无异议之日起[ </w:t>
      </w:r>
      <w:r>
        <w:rPr>
          <w:rFonts w:hint="eastAsia" w:ascii="微软雅黑" w:hAnsi="微软雅黑" w:eastAsia="微软雅黑"/>
          <w:lang w:val="en-US" w:eastAsia="zh-CN"/>
        </w:rPr>
        <w:t>4</w:t>
      </w:r>
      <w:r>
        <w:rPr>
          <w:rFonts w:hint="eastAsia" w:ascii="微软雅黑" w:hAnsi="微软雅黑" w:eastAsia="微软雅黑"/>
          <w:lang w:eastAsia="zh-CN"/>
        </w:rPr>
        <w:t>5 ]日内支付相应的服务费用。</w:t>
      </w:r>
      <w:r>
        <w:rPr>
          <w:rFonts w:hint="eastAsia" w:ascii="微软雅黑" w:hAnsi="微软雅黑" w:eastAsia="微软雅黑"/>
        </w:rPr>
        <w:t>如付款到期日为非银行工作日，则付款到期日顺延至下一个银行工作日。</w:t>
      </w:r>
    </w:p>
    <w:p>
      <w:pPr>
        <w:pStyle w:val="36"/>
        <w:widowControl/>
        <w:ind w:firstLine="0" w:firstLineChars="0"/>
        <w:jc w:val="left"/>
        <w:rPr>
          <w:rFonts w:hint="eastAsia" w:ascii="微软雅黑" w:hAnsi="微软雅黑" w:eastAsia="微软雅黑"/>
          <w:lang w:eastAsia="zh-CN"/>
        </w:rPr>
      </w:pPr>
      <w:r>
        <w:rPr>
          <w:rFonts w:hint="eastAsia" w:ascii="微软雅黑" w:hAnsi="微软雅黑" w:eastAsia="微软雅黑"/>
          <w:lang w:eastAsia="zh-CN"/>
        </w:rPr>
        <w:t>4、结算方式：</w:t>
      </w:r>
      <w:r>
        <w:rPr>
          <w:rFonts w:hint="eastAsia" w:ascii="微软雅黑" w:hAnsi="微软雅黑" w:eastAsia="微软雅黑"/>
          <w:lang w:val="en-US" w:eastAsia="zh-CN"/>
        </w:rPr>
        <w:t>季</w:t>
      </w:r>
      <w:r>
        <w:rPr>
          <w:rFonts w:hint="eastAsia" w:ascii="微软雅黑" w:hAnsi="微软雅黑" w:eastAsia="微软雅黑"/>
          <w:lang w:eastAsia="zh-CN"/>
        </w:rPr>
        <w:t>度结算</w:t>
      </w:r>
    </w:p>
    <w:p>
      <w:pPr>
        <w:pStyle w:val="36"/>
        <w:widowControl/>
        <w:ind w:firstLine="0" w:firstLineChars="0"/>
        <w:jc w:val="left"/>
        <w:rPr>
          <w:rFonts w:hint="eastAsia" w:ascii="微软雅黑" w:hAnsi="微软雅黑" w:eastAsia="微软雅黑"/>
          <w:lang w:val="en-US" w:eastAsia="zh-CN"/>
        </w:rPr>
      </w:pPr>
      <w:r>
        <w:rPr>
          <w:rFonts w:hint="eastAsia" w:ascii="微软雅黑" w:hAnsi="微软雅黑" w:eastAsia="微软雅黑"/>
          <w:lang w:val="en-US" w:eastAsia="zh-CN"/>
        </w:rPr>
        <w:t>5、</w:t>
      </w:r>
      <w:r>
        <w:rPr>
          <w:rFonts w:hint="eastAsia" w:ascii="微软雅黑" w:hAnsi="微软雅黑" w:eastAsia="微软雅黑"/>
        </w:rPr>
        <w:t>此服务业务不属于岗位外包转业务外包。</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autoSpaceDE w:val="0"/>
        <w:autoSpaceDN w:val="0"/>
        <w:adjustRightInd w:val="0"/>
        <w:spacing w:line="360" w:lineRule="auto"/>
        <w:jc w:val="center"/>
        <w:textAlignment w:val="baseline"/>
        <w:rPr>
          <w:b/>
          <w:bCs/>
          <w:sz w:val="52"/>
          <w:szCs w:val="52"/>
        </w:rPr>
      </w:pPr>
      <w:r>
        <w:rPr>
          <w:rFonts w:hint="eastAsia" w:cs="宋体"/>
          <w:b/>
          <w:bCs/>
          <w:sz w:val="52"/>
          <w:szCs w:val="52"/>
          <w:u w:val="single"/>
        </w:rPr>
        <w:t xml:space="preserve">       </w:t>
      </w:r>
      <w:r>
        <w:rPr>
          <w:rFonts w:hint="eastAsia" w:cs="宋体"/>
          <w:b/>
          <w:bCs/>
          <w:sz w:val="52"/>
          <w:szCs w:val="52"/>
        </w:rPr>
        <w:t>服务合同</w:t>
      </w:r>
    </w:p>
    <w:p>
      <w:pPr>
        <w:jc w:val="center"/>
        <w:rPr>
          <w:b/>
          <w:bCs/>
        </w:rPr>
      </w:pPr>
    </w:p>
    <w:p>
      <w:pPr>
        <w:jc w:val="center"/>
        <w:rPr>
          <w:b/>
          <w:bCs/>
        </w:rPr>
      </w:pPr>
    </w:p>
    <w:p>
      <w:pPr>
        <w:jc w:val="center"/>
        <w:rPr>
          <w:b/>
          <w:bCs/>
        </w:rPr>
      </w:pPr>
    </w:p>
    <w:p>
      <w:pPr>
        <w:jc w:val="center"/>
        <w:rPr>
          <w:b/>
          <w:bCs/>
        </w:rPr>
      </w:pPr>
    </w:p>
    <w:p>
      <w:pPr>
        <w:jc w:val="center"/>
        <w:rPr>
          <w:b/>
          <w:bCs/>
          <w:sz w:val="28"/>
          <w:szCs w:val="28"/>
        </w:rPr>
      </w:pPr>
    </w:p>
    <w:p>
      <w:pPr>
        <w:jc w:val="center"/>
        <w:rPr>
          <w:b/>
          <w:bCs/>
          <w:sz w:val="30"/>
          <w:szCs w:val="30"/>
          <w:u w:val="single"/>
        </w:rPr>
      </w:pPr>
      <w:r>
        <w:rPr>
          <w:rFonts w:hint="eastAsia" w:hAnsi="宋体" w:cs="宋体"/>
          <w:b/>
          <w:bCs/>
          <w:sz w:val="30"/>
          <w:szCs w:val="30"/>
        </w:rPr>
        <w:t>（合同编号：</w:t>
      </w:r>
      <w:r>
        <w:rPr>
          <w:b/>
          <w:bCs/>
          <w:sz w:val="30"/>
          <w:szCs w:val="30"/>
          <w:u w:val="single"/>
        </w:rPr>
        <w:t xml:space="preserve">            </w:t>
      </w:r>
      <w:r>
        <w:rPr>
          <w:rFonts w:hint="eastAsia" w:hAnsi="宋体" w:cs="宋体"/>
          <w:b/>
          <w:bCs/>
          <w:sz w:val="30"/>
          <w:szCs w:val="30"/>
        </w:rPr>
        <w:t>）</w:t>
      </w:r>
    </w:p>
    <w:p>
      <w:pPr>
        <w:ind w:firstLine="3947" w:firstLineChars="756"/>
        <w:rPr>
          <w:b/>
          <w:bCs/>
          <w:sz w:val="52"/>
          <w:szCs w:val="52"/>
        </w:rPr>
      </w:pPr>
    </w:p>
    <w:p>
      <w:pPr>
        <w:pStyle w:val="10"/>
        <w:ind w:left="480" w:firstLine="359"/>
        <w:rPr>
          <w:b/>
          <w:bCs/>
        </w:rPr>
      </w:pPr>
    </w:p>
    <w:p>
      <w:pPr>
        <w:rPr>
          <w:b/>
          <w:bCs/>
          <w:sz w:val="36"/>
          <w:szCs w:val="36"/>
        </w:rPr>
      </w:pPr>
    </w:p>
    <w:p>
      <w:pPr>
        <w:jc w:val="center"/>
        <w:rPr>
          <w:b/>
          <w:bCs/>
          <w:sz w:val="28"/>
          <w:szCs w:val="28"/>
        </w:rPr>
      </w:pPr>
    </w:p>
    <w:p>
      <w:pPr>
        <w:spacing w:line="360" w:lineRule="auto"/>
        <w:ind w:firstLine="1439" w:firstLineChars="512"/>
        <w:rPr>
          <w:b/>
          <w:bCs/>
          <w:sz w:val="28"/>
          <w:szCs w:val="28"/>
          <w:u w:val="single"/>
        </w:rPr>
      </w:pPr>
      <w:r>
        <w:rPr>
          <w:rFonts w:hint="eastAsia" w:hAnsi="宋体" w:cs="宋体"/>
          <w:b/>
          <w:bCs/>
          <w:sz w:val="28"/>
          <w:szCs w:val="28"/>
        </w:rPr>
        <w:t>甲方：</w:t>
      </w:r>
      <w:r>
        <w:rPr>
          <w:b/>
          <w:bCs/>
          <w:sz w:val="28"/>
          <w:szCs w:val="28"/>
          <w:u w:val="single"/>
        </w:rPr>
        <w:t xml:space="preserve">                                 </w:t>
      </w:r>
    </w:p>
    <w:p>
      <w:pPr>
        <w:spacing w:line="360" w:lineRule="auto"/>
        <w:ind w:firstLine="1439" w:firstLineChars="512"/>
        <w:rPr>
          <w:b/>
          <w:bCs/>
          <w:sz w:val="28"/>
          <w:szCs w:val="28"/>
        </w:rPr>
      </w:pPr>
      <w:r>
        <w:rPr>
          <w:rFonts w:hint="eastAsia" w:hAnsi="宋体" w:cs="宋体"/>
          <w:b/>
          <w:bCs/>
          <w:sz w:val="28"/>
          <w:szCs w:val="28"/>
        </w:rPr>
        <w:t>乙方：</w:t>
      </w:r>
      <w:r>
        <w:rPr>
          <w:b/>
          <w:bCs/>
          <w:sz w:val="28"/>
          <w:szCs w:val="28"/>
          <w:u w:val="single"/>
        </w:rPr>
        <w:t xml:space="preserve">                                 </w:t>
      </w:r>
    </w:p>
    <w:p>
      <w:pPr>
        <w:rPr>
          <w:b/>
          <w:bCs/>
        </w:rPr>
      </w:pPr>
    </w:p>
    <w:p>
      <w:pPr>
        <w:jc w:val="center"/>
        <w:rPr>
          <w:b/>
          <w:bCs/>
        </w:rPr>
      </w:pPr>
    </w:p>
    <w:p>
      <w:pPr>
        <w:jc w:val="center"/>
        <w:rPr>
          <w:b/>
          <w:bCs/>
        </w:rPr>
      </w:pPr>
    </w:p>
    <w:p>
      <w:pPr>
        <w:rPr>
          <w:b/>
          <w:bCs/>
        </w:rPr>
      </w:pPr>
    </w:p>
    <w:p>
      <w:pPr>
        <w:rPr>
          <w:b/>
          <w:bCs/>
        </w:rPr>
      </w:pPr>
    </w:p>
    <w:p>
      <w:pPr>
        <w:rPr>
          <w:b/>
          <w:bCs/>
        </w:rPr>
      </w:pPr>
    </w:p>
    <w:p>
      <w:pPr>
        <w:rPr>
          <w:b/>
          <w:bCs/>
        </w:rPr>
      </w:pPr>
    </w:p>
    <w:p>
      <w:pPr>
        <w:rPr>
          <w:b/>
          <w:bCs/>
        </w:rPr>
      </w:pPr>
    </w:p>
    <w:p>
      <w:pPr>
        <w:rPr>
          <w:b/>
          <w:bCs/>
        </w:rPr>
      </w:pPr>
    </w:p>
    <w:p>
      <w:pPr>
        <w:rPr>
          <w:b/>
          <w:bCs/>
        </w:rPr>
      </w:pPr>
    </w:p>
    <w:p>
      <w:pPr>
        <w:spacing w:line="360" w:lineRule="auto"/>
        <w:ind w:firstLine="1732" w:firstLineChars="825"/>
        <w:rPr>
          <w:b/>
          <w:bCs/>
        </w:rPr>
      </w:pPr>
      <w:r>
        <w:rPr>
          <w:rFonts w:hint="eastAsia" w:hAnsi="宋体" w:cs="宋体"/>
        </w:rPr>
        <w:t>签订地点：</w:t>
      </w:r>
      <w:r>
        <w:rPr>
          <w:u w:val="single"/>
        </w:rPr>
        <w:t xml:space="preserve">                               </w:t>
      </w:r>
    </w:p>
    <w:p>
      <w:pPr>
        <w:spacing w:line="360" w:lineRule="auto"/>
        <w:ind w:firstLine="1732" w:firstLineChars="825"/>
      </w:pPr>
      <w:r>
        <w:rPr>
          <w:rFonts w:hint="eastAsia" w:hAnsi="宋体" w:cs="宋体"/>
        </w:rPr>
        <w:t>签订时间：</w:t>
      </w:r>
      <w:r>
        <w:rPr>
          <w:u w:val="single"/>
        </w:rPr>
        <w:t xml:space="preserve">                               </w:t>
      </w:r>
    </w:p>
    <w:p>
      <w:pPr>
        <w:spacing w:line="360" w:lineRule="auto"/>
        <w:ind w:firstLine="1732" w:firstLineChars="825"/>
      </w:pPr>
    </w:p>
    <w:p>
      <w:pPr>
        <w:jc w:val="center"/>
      </w:pPr>
    </w:p>
    <w:p>
      <w:pPr>
        <w:pStyle w:val="15"/>
      </w:pPr>
    </w:p>
    <w:p>
      <w:pPr>
        <w:pStyle w:val="15"/>
      </w:pPr>
    </w:p>
    <w:p>
      <w:pPr>
        <w:pStyle w:val="15"/>
      </w:pPr>
    </w:p>
    <w:p>
      <w:pPr>
        <w:pStyle w:val="15"/>
      </w:pPr>
    </w:p>
    <w:p>
      <w:pPr>
        <w:pStyle w:val="15"/>
      </w:pPr>
    </w:p>
    <w:p>
      <w:pPr>
        <w:pStyle w:val="15"/>
      </w:pPr>
    </w:p>
    <w:p>
      <w:pPr>
        <w:pStyle w:val="15"/>
      </w:pPr>
    </w:p>
    <w:p>
      <w:pPr>
        <w:adjustRightInd w:val="0"/>
        <w:snapToGrid w:val="0"/>
        <w:spacing w:before="93" w:beforeLines="30" w:after="93" w:afterLines="30"/>
        <w:ind w:firstLine="567"/>
        <w:rPr>
          <w:b/>
          <w:color w:val="000000" w:themeColor="text1"/>
          <w:szCs w:val="21"/>
          <w:highlight w:val="none"/>
          <w:u w:val="none"/>
          <w14:textFill>
            <w14:solidFill>
              <w14:schemeClr w14:val="tx1"/>
            </w14:solidFill>
          </w14:textFill>
        </w:rPr>
      </w:pPr>
      <w:r>
        <w:rPr>
          <w:rFonts w:hAnsi="宋体"/>
          <w:color w:val="000000" w:themeColor="text1"/>
          <w:szCs w:val="21"/>
          <w:highlight w:val="none"/>
          <w:u w:val="none"/>
          <w14:textFill>
            <w14:solidFill>
              <w14:schemeClr w14:val="tx1"/>
            </w14:solidFill>
          </w14:textFill>
        </w:rPr>
        <w:t>本服务合同（以下称</w:t>
      </w:r>
      <w:r>
        <w:rPr>
          <w:rFonts w:ascii="宋体" w:hAnsi="宋体"/>
          <w:color w:val="000000" w:themeColor="text1"/>
          <w:szCs w:val="21"/>
          <w:highlight w:val="none"/>
          <w:u w:val="none"/>
          <w14:textFill>
            <w14:solidFill>
              <w14:schemeClr w14:val="tx1"/>
            </w14:solidFill>
          </w14:textFill>
        </w:rPr>
        <w:t>“合同”或“本合同”</w:t>
      </w:r>
      <w:r>
        <w:rPr>
          <w:rFonts w:hAnsi="宋体"/>
          <w:color w:val="000000" w:themeColor="text1"/>
          <w:szCs w:val="21"/>
          <w:highlight w:val="none"/>
          <w:u w:val="none"/>
          <w14:textFill>
            <w14:solidFill>
              <w14:schemeClr w14:val="tx1"/>
            </w14:solidFill>
          </w14:textFill>
        </w:rPr>
        <w:t>）由</w:t>
      </w:r>
      <w:r>
        <w:rPr>
          <w:rFonts w:hint="eastAsia" w:hAnsi="宋体"/>
          <w:color w:val="000000" w:themeColor="text1"/>
          <w:szCs w:val="21"/>
          <w:highlight w:val="none"/>
          <w:u w:val="none"/>
          <w14:textFill>
            <w14:solidFill>
              <w14:schemeClr w14:val="tx1"/>
            </w14:solidFill>
          </w14:textFill>
        </w:rPr>
        <w:t>以下双方</w:t>
      </w:r>
      <w:r>
        <w:rPr>
          <w:rFonts w:hAnsi="宋体"/>
          <w:color w:val="000000" w:themeColor="text1"/>
          <w:szCs w:val="21"/>
          <w:highlight w:val="none"/>
          <w:u w:val="none"/>
          <w14:textFill>
            <w14:solidFill>
              <w14:schemeClr w14:val="tx1"/>
            </w14:solidFill>
          </w14:textFill>
        </w:rPr>
        <w:t>签</w:t>
      </w:r>
      <w:r>
        <w:rPr>
          <w:rFonts w:hint="eastAsia" w:hAnsi="宋体"/>
          <w:color w:val="000000" w:themeColor="text1"/>
          <w:szCs w:val="21"/>
          <w:highlight w:val="none"/>
          <w:u w:val="none"/>
          <w14:textFill>
            <w14:solidFill>
              <w14:schemeClr w14:val="tx1"/>
            </w14:solidFill>
          </w14:textFill>
        </w:rPr>
        <w:t>订：</w:t>
      </w:r>
    </w:p>
    <w:p>
      <w:pPr>
        <w:tabs>
          <w:tab w:val="left" w:pos="567"/>
          <w:tab w:val="left" w:pos="900"/>
        </w:tabs>
        <w:adjustRightInd w:val="0"/>
        <w:snapToGrid w:val="0"/>
        <w:spacing w:before="93" w:beforeLines="30" w:after="93" w:afterLines="30"/>
        <w:ind w:left="556" w:leftChars="265" w:right="-512" w:rightChars="-244" w:firstLine="8" w:firstLineChars="4"/>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甲</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方：中海油能源发展股份有限公司</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乙</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方：</w:t>
      </w:r>
      <w:r>
        <w:rPr>
          <w:color w:val="000000" w:themeColor="text1"/>
          <w:szCs w:val="21"/>
          <w:highlight w:val="none"/>
          <w:u w:val="none"/>
          <w14:textFill>
            <w14:solidFill>
              <w14:schemeClr w14:val="tx1"/>
            </w14:solidFill>
          </w14:textFill>
        </w:rPr>
        <w:t xml:space="preserve">                        </w:t>
      </w:r>
    </w:p>
    <w:p>
      <w:pPr>
        <w:tabs>
          <w:tab w:val="left" w:pos="567"/>
          <w:tab w:val="left" w:pos="900"/>
        </w:tabs>
        <w:adjustRightInd w:val="0"/>
        <w:snapToGrid w:val="0"/>
        <w:spacing w:before="93" w:beforeLines="30" w:after="93" w:afterLines="30"/>
        <w:ind w:right="-57" w:rightChars="-27" w:firstLine="567" w:firstLineChars="270"/>
        <w:rPr>
          <w:rFonts w:hint="default" w:eastAsia="宋体"/>
          <w:color w:val="000000" w:themeColor="text1"/>
          <w:szCs w:val="21"/>
          <w:highlight w:val="none"/>
          <w:u w:val="none"/>
          <w:lang w:val="en-US" w:eastAsia="zh-CN"/>
          <w14:textFill>
            <w14:solidFill>
              <w14:schemeClr w14:val="tx1"/>
            </w14:solidFill>
          </w14:textFill>
        </w:rPr>
      </w:pPr>
      <w:r>
        <w:rPr>
          <w:rFonts w:hint="eastAsia"/>
          <w:color w:val="000000" w:themeColor="text1"/>
          <w:szCs w:val="21"/>
          <w:highlight w:val="none"/>
          <w:u w:val="none"/>
          <w14:textFill>
            <w14:solidFill>
              <w14:schemeClr w14:val="tx1"/>
            </w14:solidFill>
          </w14:textFill>
        </w:rPr>
        <w:t>注册地址：</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北京市东城区东直门外小街6</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 xml:space="preserve">注册地址：                        </w:t>
      </w:r>
    </w:p>
    <w:p>
      <w:pPr>
        <w:tabs>
          <w:tab w:val="left" w:pos="567"/>
          <w:tab w:val="left" w:pos="900"/>
        </w:tabs>
        <w:adjustRightInd w:val="0"/>
        <w:snapToGrid w:val="0"/>
        <w:spacing w:before="93" w:beforeLines="30" w:after="93" w:afterLines="30"/>
        <w:ind w:right="-57" w:rightChars="-27" w:firstLine="1614" w:firstLineChars="769"/>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号,100027</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lang w:val="en-US" w:eastAsia="zh-CN"/>
          <w14:textFill>
            <w14:solidFill>
              <w14:schemeClr w14:val="tx1"/>
            </w14:solidFill>
          </w14:textFill>
        </w:rPr>
        <w:t xml:space="preserve">           </w:t>
      </w:r>
      <w:r>
        <w:rPr>
          <w:color w:val="000000" w:themeColor="text1"/>
          <w:szCs w:val="21"/>
          <w:highlight w:val="none"/>
          <w:u w:val="none"/>
          <w14:textFill>
            <w14:solidFill>
              <w14:schemeClr w14:val="tx1"/>
            </w14:solidFill>
          </w14:textFill>
        </w:rPr>
        <w:t xml:space="preserve"> </w:t>
      </w:r>
    </w:p>
    <w:p>
      <w:pPr>
        <w:tabs>
          <w:tab w:val="left" w:pos="567"/>
          <w:tab w:val="left" w:pos="900"/>
        </w:tabs>
        <w:adjustRightInd w:val="0"/>
        <w:snapToGrid w:val="0"/>
        <w:spacing w:before="93" w:beforeLines="30" w:after="93" w:afterLines="30"/>
        <w:ind w:right="-57" w:rightChars="-27" w:firstLine="567" w:firstLineChars="270"/>
        <w:rPr>
          <w:color w:val="000000" w:themeColor="text1"/>
          <w:szCs w:val="21"/>
          <w:highlight w:val="none"/>
          <w:u w:val="none"/>
          <w14:textFill>
            <w14:solidFill>
              <w14:schemeClr w14:val="tx1"/>
            </w14:solidFill>
          </w14:textFill>
        </w:rPr>
      </w:pPr>
      <w:r>
        <w:rPr>
          <w:rFonts w:hint="eastAsia" w:asciiTheme="minorEastAsia" w:hAnsiTheme="minorEastAsia" w:eastAsiaTheme="minorEastAsia"/>
          <w:color w:val="000000" w:themeColor="text1"/>
          <w:szCs w:val="21"/>
          <w:highlight w:val="none"/>
          <w:u w:val="none"/>
          <w14:textFill>
            <w14:solidFill>
              <w14:schemeClr w14:val="tx1"/>
            </w14:solidFill>
          </w14:textFill>
        </w:rPr>
        <w:t>统一社会信用代码：</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91110101771554423Q</w:t>
      </w:r>
      <w:r>
        <w:rPr>
          <w:color w:val="000000" w:themeColor="text1"/>
          <w:szCs w:val="21"/>
          <w:highlight w:val="none"/>
          <w:u w:val="none"/>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none"/>
          <w14:textFill>
            <w14:solidFill>
              <w14:schemeClr w14:val="tx1"/>
            </w14:solidFill>
          </w14:textFill>
        </w:rPr>
        <w:t>统一社会信用代码：</w:t>
      </w:r>
      <w:r>
        <w:rPr>
          <w:color w:val="000000" w:themeColor="text1"/>
          <w:szCs w:val="21"/>
          <w:highlight w:val="none"/>
          <w:u w:val="none"/>
          <w14:textFill>
            <w14:solidFill>
              <w14:schemeClr w14:val="tx1"/>
            </w14:solidFill>
          </w14:textFill>
        </w:rPr>
        <w:t xml:space="preserve">                 </w:t>
      </w:r>
    </w:p>
    <w:p>
      <w:pPr>
        <w:tabs>
          <w:tab w:val="left" w:pos="567"/>
          <w:tab w:val="left" w:pos="900"/>
        </w:tabs>
        <w:adjustRightInd w:val="0"/>
        <w:snapToGrid w:val="0"/>
        <w:spacing w:before="93" w:beforeLines="30" w:after="93" w:afterLines="30"/>
        <w:ind w:left="556" w:leftChars="265" w:right="-512" w:rightChars="-244" w:firstLine="8" w:firstLineChars="4"/>
        <w:rPr>
          <w:color w:val="000000" w:themeColor="text1"/>
          <w:szCs w:val="21"/>
          <w:highlight w:val="none"/>
          <w14:textFill>
            <w14:solidFill>
              <w14:schemeClr w14:val="tx1"/>
            </w14:solidFill>
          </w14:textFill>
        </w:rPr>
      </w:pPr>
    </w:p>
    <w:p>
      <w:pPr>
        <w:adjustRightInd w:val="0"/>
        <w:snapToGrid w:val="0"/>
        <w:spacing w:before="93" w:beforeLines="30" w:after="93" w:afterLines="30"/>
        <w:ind w:firstLine="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鉴于，甲方是一家根据中华人民共和国法律合法设立并存续的企业，</w:t>
      </w:r>
      <w:r>
        <w:rPr>
          <w:rFonts w:hint="eastAsia" w:cs="宋体"/>
          <w:color w:val="000000" w:themeColor="text1"/>
          <w:highlight w:val="none"/>
          <w14:textFill>
            <w14:solidFill>
              <w14:schemeClr w14:val="tx1"/>
            </w14:solidFill>
          </w14:textFill>
        </w:rPr>
        <w:t>按照本合同约定的条件和服务委托书，用于甲方及其甲方下属分公司、子公司（以下简称“</w:t>
      </w:r>
      <w:r>
        <w:rPr>
          <w:rFonts w:cs="宋体"/>
          <w:color w:val="000000" w:themeColor="text1"/>
          <w:highlight w:val="none"/>
          <w14:textFill>
            <w14:solidFill>
              <w14:schemeClr w14:val="tx1"/>
            </w14:solidFill>
          </w14:textFill>
        </w:rPr>
        <w:t>甲方”</w:t>
      </w:r>
      <w:r>
        <w:rPr>
          <w:rFonts w:hint="eastAsia" w:cs="宋体"/>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希望获得符合本合同和相关法律法规要求的</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服务；</w:t>
      </w:r>
    </w:p>
    <w:p>
      <w:pPr>
        <w:adjustRightInd w:val="0"/>
        <w:snapToGrid w:val="0"/>
        <w:spacing w:before="93" w:beforeLines="30" w:after="93" w:afterLines="30"/>
        <w:ind w:firstLine="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鉴于，乙方是一家根据中华人民共和国法律合法设立并存续的企业，具备提供符合本合同要求的</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服务的全部资质、资格和条件；</w:t>
      </w:r>
    </w:p>
    <w:p>
      <w:pPr>
        <w:adjustRightInd w:val="0"/>
        <w:snapToGrid w:val="0"/>
        <w:spacing w:before="93" w:beforeLines="30" w:after="93" w:afterLines="30"/>
        <w:ind w:firstLine="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鉴于，乙方在提供服务、质量保证、服务人员等方面具有较强的专业能力和良好信誉，愿意根据本合同的规定向甲方提供</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p>
    <w:p>
      <w:pPr>
        <w:adjustRightInd w:val="0"/>
        <w:snapToGrid w:val="0"/>
        <w:spacing w:before="93" w:beforeLines="30" w:after="93" w:afterLines="30"/>
        <w:ind w:firstLine="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鉴于 1.甲方在生产上对本合同标的需求；</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 xml:space="preserve"> 本合同权利义务同样适用于甲方及甲方下属分公司、子公司（详见附件五）。甲方及甲方子公司均为本合同的独立甲方，均独立享有本合同的所有权利和义务，但互相之间不负有连带责任。乙方应分别向甲方及甲方子公司独立供货并履行相关义务和责任。</w:t>
      </w:r>
    </w:p>
    <w:p>
      <w:pPr>
        <w:adjustRightInd w:val="0"/>
        <w:snapToGrid w:val="0"/>
        <w:spacing w:before="93" w:beforeLines="30" w:after="93" w:afterLines="30"/>
        <w:ind w:firstLine="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根据《中华人民共和国民法典》及相关法律法规，在遵循平等、自愿、公平和诚实信用原则的基础上，经协商一致，双方订立本合同如下：</w:t>
      </w:r>
    </w:p>
    <w:p>
      <w:pPr>
        <w:pStyle w:val="55"/>
        <w:tabs>
          <w:tab w:val="left" w:pos="2564"/>
          <w:tab w:val="clear" w:pos="720"/>
        </w:tabs>
        <w:adjustRightInd w:val="0"/>
        <w:snapToGrid w:val="0"/>
        <w:spacing w:before="93" w:beforeLines="30" w:after="93" w:afterLines="30" w:line="240" w:lineRule="auto"/>
        <w:jc w:val="left"/>
        <w:rPr>
          <w:rFonts w:ascii="宋体" w:hAnsi="宋体"/>
          <w:bCs w:val="0"/>
          <w:color w:val="000000" w:themeColor="text1"/>
          <w:sz w:val="21"/>
          <w:szCs w:val="21"/>
          <w:highlight w:val="none"/>
          <w14:textFill>
            <w14:solidFill>
              <w14:schemeClr w14:val="tx1"/>
            </w14:solidFill>
          </w14:textFill>
        </w:rPr>
      </w:pPr>
      <w:bookmarkStart w:id="6" w:name="_Toc364839361"/>
      <w:bookmarkStart w:id="7" w:name="_Toc275096412"/>
      <w:bookmarkStart w:id="8" w:name="_Toc276842642"/>
      <w:bookmarkStart w:id="9" w:name="_Toc276825187"/>
      <w:bookmarkStart w:id="10" w:name="_Toc275096343"/>
      <w:bookmarkStart w:id="11" w:name="_Toc276828333"/>
      <w:bookmarkStart w:id="12" w:name="_Toc299915678"/>
      <w:bookmarkStart w:id="13" w:name="_Toc275173805"/>
      <w:bookmarkStart w:id="14" w:name="_Toc276888365"/>
      <w:bookmarkStart w:id="15" w:name="_Toc276578424"/>
      <w:bookmarkStart w:id="16" w:name="_Toc276888298"/>
      <w:bookmarkStart w:id="17" w:name="_Toc276842694"/>
      <w:r>
        <w:rPr>
          <w:rFonts w:ascii="宋体" w:hAnsi="宋体"/>
          <w:color w:val="000000" w:themeColor="text1"/>
          <w:sz w:val="21"/>
          <w:szCs w:val="21"/>
          <w:highlight w:val="none"/>
          <w14:textFill>
            <w14:solidFill>
              <w14:schemeClr w14:val="tx1"/>
            </w14:solidFill>
          </w14:textFill>
        </w:rPr>
        <w:t>服务</w:t>
      </w:r>
      <w:bookmarkEnd w:id="6"/>
      <w:bookmarkEnd w:id="7"/>
      <w:bookmarkEnd w:id="8"/>
      <w:bookmarkEnd w:id="9"/>
      <w:bookmarkEnd w:id="10"/>
      <w:bookmarkEnd w:id="11"/>
      <w:bookmarkEnd w:id="12"/>
      <w:bookmarkEnd w:id="13"/>
      <w:bookmarkEnd w:id="14"/>
      <w:bookmarkEnd w:id="15"/>
      <w:bookmarkEnd w:id="16"/>
      <w:bookmarkEnd w:id="17"/>
    </w:p>
    <w:p>
      <w:pPr>
        <w:numPr>
          <w:ilvl w:val="1"/>
          <w:numId w:val="6"/>
        </w:numPr>
        <w:tabs>
          <w:tab w:val="left" w:pos="709"/>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乙方应根据本合同规定为甲方提供</w:t>
      </w:r>
      <w:r>
        <w:rPr>
          <w:rFonts w:hint="eastAsia" w:hAnsi="宋体"/>
          <w:i w:val="0"/>
          <w:iCs/>
          <w:color w:val="000000" w:themeColor="text1"/>
          <w:szCs w:val="21"/>
          <w:highlight w:val="none"/>
          <w14:textFill>
            <w14:solidFill>
              <w14:schemeClr w14:val="tx1"/>
            </w14:solidFill>
          </w14:textFill>
        </w:rPr>
        <w:t>东海海上平台模块钻机顶驱租赁</w:t>
      </w:r>
      <w:r>
        <w:rPr>
          <w:rFonts w:hint="eastAsia" w:hAnsi="宋体"/>
          <w:color w:val="000000" w:themeColor="text1"/>
          <w:szCs w:val="21"/>
          <w:highlight w:val="none"/>
          <w14:textFill>
            <w14:solidFill>
              <w14:schemeClr w14:val="tx1"/>
            </w14:solidFill>
          </w14:textFill>
        </w:rPr>
        <w:t>服务，完成合同规定的全部工作。具体</w:t>
      </w:r>
      <w:r>
        <w:rPr>
          <w:color w:val="000000" w:themeColor="text1"/>
          <w:szCs w:val="21"/>
          <w:highlight w:val="none"/>
          <w14:textFill>
            <w14:solidFill>
              <w14:schemeClr w14:val="tx1"/>
            </w14:solidFill>
          </w14:textFill>
        </w:rPr>
        <w:t>服务</w:t>
      </w:r>
      <w:r>
        <w:rPr>
          <w:rFonts w:hint="eastAsia"/>
          <w:color w:val="000000" w:themeColor="text1"/>
          <w:szCs w:val="21"/>
          <w:highlight w:val="none"/>
          <w14:textFill>
            <w14:solidFill>
              <w14:schemeClr w14:val="tx1"/>
            </w14:solidFill>
          </w14:textFill>
        </w:rPr>
        <w:t>和相关工作的</w:t>
      </w:r>
      <w:r>
        <w:rPr>
          <w:color w:val="000000" w:themeColor="text1"/>
          <w:szCs w:val="21"/>
          <w:highlight w:val="none"/>
          <w14:textFill>
            <w14:solidFill>
              <w14:schemeClr w14:val="tx1"/>
            </w14:solidFill>
          </w14:textFill>
        </w:rPr>
        <w:t>内容、</w:t>
      </w:r>
      <w:r>
        <w:rPr>
          <w:rFonts w:hint="eastAsia"/>
          <w:color w:val="000000" w:themeColor="text1"/>
          <w:szCs w:val="21"/>
          <w:highlight w:val="none"/>
          <w14:textFill>
            <w14:solidFill>
              <w14:schemeClr w14:val="tx1"/>
            </w14:solidFill>
          </w14:textFill>
        </w:rPr>
        <w:t>范围、地点及</w:t>
      </w:r>
      <w:r>
        <w:rPr>
          <w:color w:val="000000" w:themeColor="text1"/>
          <w:szCs w:val="21"/>
          <w:highlight w:val="none"/>
          <w14:textFill>
            <w14:solidFill>
              <w14:schemeClr w14:val="tx1"/>
            </w14:solidFill>
          </w14:textFill>
        </w:rPr>
        <w:t>要求</w:t>
      </w:r>
      <w:r>
        <w:rPr>
          <w:rFonts w:hint="eastAsia"/>
          <w:i/>
          <w:color w:val="000000" w:themeColor="text1"/>
          <w:szCs w:val="21"/>
          <w:highlight w:val="none"/>
          <w14:textFill>
            <w14:solidFill>
              <w14:schemeClr w14:val="tx1"/>
            </w14:solidFill>
          </w14:textFill>
        </w:rPr>
        <w:t>详见</w:t>
      </w:r>
      <w:r>
        <w:rPr>
          <w:i/>
          <w:color w:val="000000" w:themeColor="text1"/>
          <w:szCs w:val="21"/>
          <w:highlight w:val="none"/>
          <w14:textFill>
            <w14:solidFill>
              <w14:schemeClr w14:val="tx1"/>
            </w14:solidFill>
          </w14:textFill>
        </w:rPr>
        <w:t>本合同附件</w:t>
      </w:r>
      <w:r>
        <w:rPr>
          <w:rFonts w:hint="eastAsia"/>
          <w:i/>
          <w:color w:val="000000" w:themeColor="text1"/>
          <w:szCs w:val="21"/>
          <w:highlight w:val="none"/>
          <w14:textFill>
            <w14:solidFill>
              <w14:schemeClr w14:val="tx1"/>
            </w14:solidFill>
          </w14:textFill>
        </w:rPr>
        <w:t>一</w:t>
      </w:r>
      <w:r>
        <w:rPr>
          <w:rFonts w:hint="eastAsia"/>
          <w:color w:val="000000" w:themeColor="text1"/>
          <w:szCs w:val="21"/>
          <w:highlight w:val="none"/>
          <w14:textFill>
            <w14:solidFill>
              <w14:schemeClr w14:val="tx1"/>
            </w14:solidFill>
          </w14:textFill>
        </w:rPr>
        <w:t>。</w:t>
      </w:r>
    </w:p>
    <w:p>
      <w:pPr>
        <w:numPr>
          <w:ilvl w:val="1"/>
          <w:numId w:val="6"/>
        </w:numPr>
        <w:adjustRightInd w:val="0"/>
        <w:snapToGrid w:val="0"/>
        <w:spacing w:before="93" w:beforeLines="30" w:after="93" w:afterLines="3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本合同目的：</w:t>
      </w:r>
      <w:r>
        <w:rPr>
          <w:rFonts w:hint="eastAsia"/>
          <w:color w:val="000000" w:themeColor="text1"/>
          <w:szCs w:val="21"/>
          <w:highlight w:val="none"/>
          <w:lang w:eastAsia="zh-CN"/>
          <w14:textFill>
            <w14:solidFill>
              <w14:schemeClr w14:val="tx1"/>
            </w14:solidFill>
          </w14:textFill>
        </w:rPr>
        <w:t>提供</w:t>
      </w:r>
      <w:r>
        <w:rPr>
          <w:rFonts w:hint="eastAsia"/>
          <w:color w:val="000000" w:themeColor="text1"/>
          <w:szCs w:val="21"/>
          <w:highlight w:val="none"/>
          <w14:textFill>
            <w14:solidFill>
              <w14:schemeClr w14:val="tx1"/>
            </w14:solidFill>
          </w14:textFill>
        </w:rPr>
        <w:t>东海海上平台模块钻机顶驱租赁。</w:t>
      </w:r>
    </w:p>
    <w:p>
      <w:pPr>
        <w:numPr>
          <w:ilvl w:val="1"/>
          <w:numId w:val="6"/>
        </w:numPr>
        <w:tabs>
          <w:tab w:val="left" w:pos="709"/>
          <w:tab w:val="clear" w:pos="540"/>
        </w:tabs>
        <w:adjustRightInd w:val="0"/>
        <w:snapToGrid w:val="0"/>
        <w:spacing w:before="93" w:beforeLines="30" w:after="93" w:afterLines="30"/>
        <w:ind w:left="709" w:hanging="70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在合同有效期内，甲方根据生产经营需要，向乙方发出《服务委托书》（格式详见附件四），乙方应按照服务委托书的具体要求（包括开工日、地点、进度要求、工作内容及技术要求等）为甲方提供服务。服务流程详见附件三。</w:t>
      </w:r>
    </w:p>
    <w:p>
      <w:pPr>
        <w:numPr>
          <w:ilvl w:val="1"/>
          <w:numId w:val="6"/>
        </w:numPr>
        <w:tabs>
          <w:tab w:val="left" w:pos="709"/>
          <w:tab w:val="clear" w:pos="540"/>
        </w:tabs>
        <w:adjustRightInd w:val="0"/>
        <w:snapToGrid w:val="0"/>
        <w:spacing w:before="93" w:beforeLines="30" w:after="93" w:afterLines="30"/>
        <w:ind w:left="709" w:hanging="70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双方一致同意，服务范围及工作要求（附件一）只是供甲方下达具体服务内容的依据，并不能据此认定甲方相关工作内容必须交由乙方执行，也不能因此限制甲方要求任何其他第三方提供相关服务，且甲方要求乙方提供相关服务时，乙方必须按本合同约定条件为甲方提供服务。</w:t>
      </w:r>
    </w:p>
    <w:p>
      <w:pPr>
        <w:numPr>
          <w:ilvl w:val="1"/>
          <w:numId w:val="6"/>
        </w:numPr>
        <w:tabs>
          <w:tab w:val="left" w:pos="709"/>
          <w:tab w:val="clear" w:pos="540"/>
        </w:tabs>
        <w:adjustRightInd w:val="0"/>
        <w:snapToGrid w:val="0"/>
        <w:spacing w:before="93" w:beforeLines="30" w:after="93" w:afterLines="30"/>
        <w:ind w:left="709" w:hanging="70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合同价格或工作期限。</w:t>
      </w:r>
    </w:p>
    <w:p>
      <w:pPr>
        <w:numPr>
          <w:ilvl w:val="1"/>
          <w:numId w:val="6"/>
        </w:numPr>
        <w:tabs>
          <w:tab w:val="left" w:pos="709"/>
          <w:tab w:val="clear" w:pos="540"/>
        </w:tabs>
        <w:adjustRightInd w:val="0"/>
        <w:snapToGrid w:val="0"/>
        <w:spacing w:before="93" w:beforeLines="30" w:after="93" w:afterLines="30"/>
        <w:ind w:left="709" w:hanging="709"/>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乙方应执行良好的行业惯例提供优质、高效的服务。在提供服务过程中，乙方应维护甲方利益，不得实施任何违背甲方利益的行为。</w:t>
      </w:r>
    </w:p>
    <w:p>
      <w:pPr>
        <w:numPr>
          <w:ilvl w:val="1"/>
          <w:numId w:val="6"/>
        </w:numPr>
        <w:tabs>
          <w:tab w:val="left" w:pos="709"/>
          <w:tab w:val="clear" w:pos="540"/>
        </w:tabs>
        <w:adjustRightInd w:val="0"/>
        <w:snapToGrid w:val="0"/>
        <w:spacing w:before="93" w:beforeLines="30" w:after="93" w:afterLines="30"/>
        <w:ind w:left="709" w:hanging="70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本合同期限为</w:t>
      </w:r>
      <w:r>
        <w:rPr>
          <w:rFonts w:hint="eastAsia" w:hAnsi="宋体"/>
          <w:color w:val="000000" w:themeColor="text1"/>
          <w:szCs w:val="21"/>
          <w:highlight w:val="none"/>
          <w:u w:val="none"/>
          <w:shd w:val="clear" w:color="auto" w:fill="auto"/>
          <w:lang w:eastAsia="zh-CN"/>
          <w14:textFill>
            <w14:solidFill>
              <w14:schemeClr w14:val="tx1"/>
            </w14:solidFill>
          </w14:textFill>
        </w:rPr>
        <w:t>自合同签订之日起</w:t>
      </w:r>
      <w:r>
        <w:rPr>
          <w:rFonts w:hint="eastAsia" w:hAnsi="宋体"/>
          <w:color w:val="000000" w:themeColor="text1"/>
          <w:szCs w:val="21"/>
          <w:highlight w:val="none"/>
          <w:u w:val="none"/>
          <w:shd w:val="clear" w:color="auto" w:fill="auto"/>
          <w:lang w:val="en-US" w:eastAsia="zh-CN"/>
          <w14:textFill>
            <w14:solidFill>
              <w14:schemeClr w14:val="tx1"/>
            </w14:solidFill>
          </w14:textFill>
        </w:rPr>
        <w:t>3年</w:t>
      </w:r>
      <w:r>
        <w:rPr>
          <w:rFonts w:hint="eastAsia" w:hAnsi="宋体"/>
          <w:color w:val="000000" w:themeColor="text1"/>
          <w:szCs w:val="21"/>
          <w:highlight w:val="none"/>
          <w14:textFill>
            <w14:solidFill>
              <w14:schemeClr w14:val="tx1"/>
            </w14:solidFill>
          </w14:textFill>
        </w:rPr>
        <w:t>，合同期满前45日内，双方确认无异议，可办理续签手续。在合同期限内，如有未执行完毕的《服务委托书》，该《服务委托书》应履行完毕。</w:t>
      </w:r>
    </w:p>
    <w:p>
      <w:pPr>
        <w:pStyle w:val="55"/>
        <w:tabs>
          <w:tab w:val="left" w:pos="2564"/>
          <w:tab w:val="clear" w:pos="720"/>
        </w:tabs>
        <w:adjustRightInd w:val="0"/>
        <w:snapToGrid w:val="0"/>
        <w:spacing w:before="93" w:beforeLines="30" w:after="93" w:afterLines="30" w:line="240" w:lineRule="auto"/>
        <w:jc w:val="left"/>
        <w:rPr>
          <w:rFonts w:ascii="宋体" w:hAnsi="宋体"/>
          <w:color w:val="000000" w:themeColor="text1"/>
          <w:sz w:val="21"/>
          <w:szCs w:val="21"/>
          <w:highlight w:val="none"/>
          <w14:textFill>
            <w14:solidFill>
              <w14:schemeClr w14:val="tx1"/>
            </w14:solidFill>
          </w14:textFill>
        </w:rPr>
      </w:pPr>
      <w:bookmarkStart w:id="18" w:name="_Toc288479378"/>
      <w:bookmarkStart w:id="19" w:name="_Toc296955842"/>
      <w:bookmarkStart w:id="20" w:name="_Toc296959304"/>
      <w:bookmarkStart w:id="21" w:name="_Toc299915679"/>
      <w:bookmarkStart w:id="22" w:name="_Toc364839362"/>
      <w:bookmarkStart w:id="23" w:name="_Toc291435895"/>
      <w:bookmarkStart w:id="24" w:name="_Toc274343601"/>
      <w:bookmarkStart w:id="25" w:name="_Toc274754020"/>
      <w:bookmarkStart w:id="26" w:name="_Toc278889775"/>
      <w:bookmarkStart w:id="27" w:name="_Toc274669314"/>
      <w:bookmarkStart w:id="28" w:name="_Toc274668316"/>
      <w:bookmarkStart w:id="29" w:name="_Toc273451829"/>
      <w:bookmarkStart w:id="30" w:name="_Toc273451896"/>
      <w:bookmarkStart w:id="31" w:name="_Toc274474905"/>
      <w:bookmarkStart w:id="32" w:name="_Toc274076142"/>
      <w:bookmarkStart w:id="33" w:name="_Toc274075954"/>
      <w:bookmarkStart w:id="34" w:name="_Toc274403530"/>
      <w:bookmarkStart w:id="35" w:name="_Toc291435828"/>
      <w:r>
        <w:rPr>
          <w:rFonts w:hint="eastAsia" w:ascii="宋体" w:hAnsi="宋体"/>
          <w:color w:val="000000" w:themeColor="text1"/>
          <w:sz w:val="21"/>
          <w:szCs w:val="21"/>
          <w:highlight w:val="none"/>
          <w14:textFill>
            <w14:solidFill>
              <w14:schemeClr w14:val="tx1"/>
            </w14:solidFill>
          </w14:textFill>
        </w:rPr>
        <w:t>合同</w:t>
      </w:r>
      <w:bookmarkEnd w:id="18"/>
      <w:bookmarkEnd w:id="19"/>
      <w:r>
        <w:rPr>
          <w:rFonts w:hint="eastAsia" w:ascii="宋体" w:hAnsi="宋体"/>
          <w:color w:val="000000" w:themeColor="text1"/>
          <w:sz w:val="21"/>
          <w:szCs w:val="21"/>
          <w:highlight w:val="none"/>
          <w14:textFill>
            <w14:solidFill>
              <w14:schemeClr w14:val="tx1"/>
            </w14:solidFill>
          </w14:textFill>
        </w:rPr>
        <w:t>总价</w:t>
      </w:r>
      <w:bookmarkEnd w:id="20"/>
      <w:bookmarkEnd w:id="21"/>
      <w:r>
        <w:rPr>
          <w:rFonts w:hint="eastAsia" w:ascii="宋体" w:hAnsi="宋体"/>
          <w:color w:val="000000" w:themeColor="text1"/>
          <w:sz w:val="21"/>
          <w:szCs w:val="21"/>
          <w:highlight w:val="none"/>
          <w14:textFill>
            <w14:solidFill>
              <w14:schemeClr w14:val="tx1"/>
            </w14:solidFill>
          </w14:textFill>
        </w:rPr>
        <w:t>和付款</w:t>
      </w:r>
      <w:bookmarkEnd w:id="22"/>
    </w:p>
    <w:p>
      <w:pPr>
        <w:numPr>
          <w:ilvl w:val="1"/>
          <w:numId w:val="7"/>
        </w:numPr>
        <w:tabs>
          <w:tab w:val="left" w:pos="709"/>
        </w:tabs>
        <w:adjustRightInd w:val="0"/>
        <w:snapToGrid w:val="0"/>
        <w:spacing w:before="93" w:beforeLines="30" w:after="93" w:afterLines="3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合同价格是本合同项下乙方完成工作、完整履行本合同，甲方应支付的全部对价和报酬。本合同采用固定单价形式约定具体服务的结算价格标准，本价格标准不受通货膨胀、利率、汇率、税费、成本及市场等因素变化的影响。除非合同另有规定，乙方应承担其在履行合同义务时产生的全部费用和税费。结算价格标准见附件二。乙方确认，其同意合同结算价格标准前已经获得了所有信息并已考虑了所有可能影响成本和费用的因素。为避免歧义合同结算价格标准包括但不限于：完成工作所需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1"/>
          <w:numId w:val="7"/>
        </w:numPr>
        <w:tabs>
          <w:tab w:val="left" w:pos="709"/>
        </w:tabs>
        <w:adjustRightInd w:val="0"/>
        <w:snapToGrid w:val="0"/>
        <w:spacing w:before="93" w:beforeLines="30" w:after="93" w:afterLines="3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双方应根据法律法规各自承担其应承担的与本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有关的所有税费。甲方有权根据法律法规和本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的规定从应支付给乙方的任意合同结算价款中扣除应由甲方代扣、代缴的乙方应付税费，但应向乙方提供完税证明。</w:t>
      </w:r>
    </w:p>
    <w:p>
      <w:pPr>
        <w:numPr>
          <w:ilvl w:val="1"/>
          <w:numId w:val="7"/>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bookmarkStart w:id="36" w:name="_Toc299912665"/>
      <w:bookmarkStart w:id="37" w:name="_Toc299915681"/>
      <w:r>
        <w:rPr>
          <w:rFonts w:hint="eastAsia"/>
          <w:color w:val="000000" w:themeColor="text1"/>
          <w:szCs w:val="21"/>
          <w:highlight w:val="none"/>
          <w14:textFill>
            <w14:solidFill>
              <w14:schemeClr w14:val="tx1"/>
            </w14:solidFill>
          </w14:textFill>
        </w:rPr>
        <w:t>本合同项下的付款方式：</w:t>
      </w:r>
      <w:r>
        <w:rPr>
          <w:rFonts w:hint="eastAsia"/>
          <w:color w:val="000000" w:themeColor="text1"/>
          <w:szCs w:val="21"/>
          <w:highlight w:val="none"/>
          <w14:textFill>
            <w14:solidFill>
              <w14:schemeClr w14:val="tx1"/>
            </w14:solidFill>
          </w14:textFill>
        </w:rPr>
        <w:sym w:font="Wingdings 2" w:char="0052"/>
      </w:r>
      <w:r>
        <w:rPr>
          <w:color w:val="000000" w:themeColor="text1"/>
          <w:szCs w:val="21"/>
          <w:highlight w:val="none"/>
          <w14:textFill>
            <w14:solidFill>
              <w14:schemeClr w14:val="tx1"/>
            </w14:solidFill>
          </w14:textFill>
        </w:rPr>
        <w:t>银行电汇；</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汇票；</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本票；</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支票；</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其它</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pPr>
        <w:numPr>
          <w:ilvl w:val="1"/>
          <w:numId w:val="7"/>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对于本合同的合同价款，双方同意按照以下第【</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2</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】种方式予以支付：</w:t>
      </w:r>
    </w:p>
    <w:p>
      <w:pPr>
        <w:tabs>
          <w:tab w:val="left" w:pos="709"/>
        </w:tabs>
        <w:adjustRightInd w:val="0"/>
        <w:snapToGrid w:val="0"/>
        <w:spacing w:before="93" w:beforeLines="30" w:after="93" w:afterLines="30"/>
        <w:ind w:left="84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 月度付款。甲方及甲方执行方在每月第</w:t>
      </w:r>
      <w:r>
        <w:rPr>
          <w:rFonts w:hint="eastAsia"/>
          <w:color w:val="000000" w:themeColor="text1"/>
          <w:szCs w:val="21"/>
          <w:highlight w:val="none"/>
          <w:shd w:val="clear" w:color="auto" w:fill="B2A1C7" w:themeFill="accent4" w:themeFillTint="99"/>
          <w14:textFill>
            <w14:solidFill>
              <w14:schemeClr w14:val="tx1"/>
            </w14:solidFill>
          </w14:textFill>
        </w:rPr>
        <w:t>【15】</w:t>
      </w:r>
      <w:r>
        <w:rPr>
          <w:rFonts w:hint="eastAsia"/>
          <w:color w:val="000000" w:themeColor="text1"/>
          <w:szCs w:val="21"/>
          <w:highlight w:val="none"/>
          <w14:textFill>
            <w14:solidFill>
              <w14:schemeClr w14:val="tx1"/>
            </w14:solidFill>
          </w14:textFill>
        </w:rPr>
        <w:t>日前确认上个月度实际发生的经验收合格的具体工作量，并由乙方向甲方执行方提供与上个月度《服务委托书》中价款相应的有效增值税专用发票及相关支持文件（具体见甲方执行用户下达的服务委托书的要求）。甲方在收到有效增值税专用发票及相关支持文件并审核无误后【45】日内，甲方按结算价格标准向乙方支付服务费用。</w:t>
      </w:r>
    </w:p>
    <w:p>
      <w:pPr>
        <w:tabs>
          <w:tab w:val="left" w:pos="709"/>
        </w:tabs>
        <w:adjustRightInd w:val="0"/>
        <w:snapToGrid w:val="0"/>
        <w:spacing w:before="93" w:beforeLines="30" w:after="93" w:afterLines="30"/>
        <w:ind w:left="84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 乙方完成本合同项下《服务委托书》的具体工作、提交工作成果，且经甲方验收合格后，乙方向甲方执行方提供有效增值税专用发票及相关支持文件（具体见甲方执行用户下达的服务委托书的要求），甲方在收到有效增值税专用发票及相关支持文件并审核无误后【45】日，甲方按结算价格标准向乙方支付本次服务费用。</w:t>
      </w:r>
    </w:p>
    <w:p>
      <w:pPr>
        <w:numPr>
          <w:ilvl w:val="1"/>
          <w:numId w:val="7"/>
        </w:numPr>
        <w:tabs>
          <w:tab w:val="left" w:pos="709"/>
        </w:tabs>
        <w:adjustRightInd w:val="0"/>
        <w:snapToGrid w:val="0"/>
        <w:spacing w:before="93" w:beforeLines="30" w:after="93" w:afterLines="3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应根据合同规定的付款条件和进度，提前向甲方开具符合中国法律法规要求的发票并提供相关支持文件。如乙方提供的服务属于增值税应税范围，乙方应为甲方开具增值税专用发票。发票应注明合同编号且抬头应为：</w:t>
      </w:r>
      <w:r>
        <w:rPr>
          <w:rFonts w:hint="eastAsia"/>
          <w:i/>
          <w:color w:val="000000" w:themeColor="text1"/>
          <w:szCs w:val="21"/>
          <w:highlight w:val="none"/>
          <w14:textFill>
            <w14:solidFill>
              <w14:schemeClr w14:val="tx1"/>
            </w14:solidFill>
          </w14:textFill>
        </w:rPr>
        <w:t>【填入发票抬头】，</w:t>
      </w:r>
      <w:r>
        <w:rPr>
          <w:rFonts w:hint="eastAsia"/>
          <w:color w:val="000000" w:themeColor="text1"/>
          <w:highlight w:val="none"/>
          <w14:textFill>
            <w14:solidFill>
              <w14:schemeClr w14:val="tx1"/>
            </w14:solidFill>
          </w14:textFill>
        </w:rPr>
        <w:t>发票信息见服务委托书。</w:t>
      </w:r>
      <w:r>
        <w:rPr>
          <w:rFonts w:hint="eastAsia"/>
          <w:color w:val="000000" w:themeColor="text1"/>
          <w:szCs w:val="21"/>
          <w:highlight w:val="none"/>
          <w14:textFill>
            <w14:solidFill>
              <w14:schemeClr w14:val="tx1"/>
            </w14:solidFill>
          </w14:textFill>
        </w:rPr>
        <w:t>如乙方未开具上述发票并提供相关支持文件，甲方有权拒付相关合同价款。如果甲方对乙方出具的该等发票和提供的相关支持文件无异议，应于收到该等发票和相关支持文件之日起</w:t>
      </w:r>
      <w:r>
        <w:rPr>
          <w:rFonts w:hint="eastAsia"/>
          <w:i w:val="0"/>
          <w:iCs w:val="0"/>
          <w:color w:val="000000" w:themeColor="text1"/>
          <w:szCs w:val="21"/>
          <w:highlight w:val="none"/>
          <w14:textFill>
            <w14:solidFill>
              <w14:schemeClr w14:val="tx1"/>
            </w14:solidFill>
          </w14:textFill>
        </w:rPr>
        <w:t>【四十五（</w:t>
      </w:r>
      <w:r>
        <w:rPr>
          <w:i w:val="0"/>
          <w:iCs w:val="0"/>
          <w:color w:val="000000" w:themeColor="text1"/>
          <w:szCs w:val="21"/>
          <w:highlight w:val="none"/>
          <w14:textFill>
            <w14:solidFill>
              <w14:schemeClr w14:val="tx1"/>
            </w14:solidFill>
          </w14:textFill>
        </w:rPr>
        <w:t>45</w:t>
      </w:r>
      <w:r>
        <w:rPr>
          <w:rFonts w:hint="eastAsia"/>
          <w:i w:val="0"/>
          <w:iCs w:val="0"/>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日内向乙方付款。</w:t>
      </w:r>
      <w:r>
        <w:rPr>
          <w:rFonts w:hint="eastAsia" w:hAnsi="宋体"/>
          <w:color w:val="000000" w:themeColor="text1"/>
          <w:szCs w:val="21"/>
          <w:highlight w:val="none"/>
          <w14:textFill>
            <w14:solidFill>
              <w14:schemeClr w14:val="tx1"/>
            </w14:solidFill>
          </w14:textFill>
        </w:rPr>
        <w:t>如付款到期日为非银行工作日，则付款到期日顺延至下一个银行工作日。</w:t>
      </w:r>
      <w:r>
        <w:rPr>
          <w:rFonts w:hint="eastAsia"/>
          <w:color w:val="000000" w:themeColor="text1"/>
          <w:szCs w:val="21"/>
          <w:highlight w:val="none"/>
          <w14:textFill>
            <w14:solidFill>
              <w14:schemeClr w14:val="tx1"/>
            </w14:solidFill>
          </w14:textFill>
        </w:rPr>
        <w:t>如果甲方对乙方提交的该等发票和相关支持文件全部或部分有异议，应及时通知乙方，乙方应根据甲方要求修改并重新开具发票，该</w:t>
      </w:r>
      <w:r>
        <w:rPr>
          <w:rFonts w:hint="eastAsia" w:hAnsi="宋体"/>
          <w:color w:val="000000" w:themeColor="text1"/>
          <w:szCs w:val="21"/>
          <w:highlight w:val="none"/>
          <w14:textFill>
            <w14:solidFill>
              <w14:schemeClr w14:val="tx1"/>
            </w14:solidFill>
          </w14:textFill>
        </w:rPr>
        <w:t>等情况下，付款期限从甲方收到该等重新开具的发票之日起计算。</w:t>
      </w:r>
    </w:p>
    <w:p>
      <w:pPr>
        <w:numPr>
          <w:ilvl w:val="1"/>
          <w:numId w:val="7"/>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乙方账户</w:t>
      </w:r>
    </w:p>
    <w:p>
      <w:pPr>
        <w:tabs>
          <w:tab w:val="left" w:pos="709"/>
          <w:tab w:val="left" w:pos="1418"/>
        </w:tabs>
        <w:adjustRightInd w:val="0"/>
        <w:snapToGrid w:val="0"/>
        <w:spacing w:before="93" w:beforeLines="30" w:after="93" w:afterLines="30"/>
        <w:ind w:left="708" w:leftChars="33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乙方应通过如下账户收取</w:t>
      </w:r>
      <w:r>
        <w:rPr>
          <w:rFonts w:hint="eastAsia"/>
          <w:color w:val="000000" w:themeColor="text1"/>
          <w:szCs w:val="21"/>
          <w:highlight w:val="none"/>
          <w14:textFill>
            <w14:solidFill>
              <w14:schemeClr w14:val="tx1"/>
            </w14:solidFill>
          </w14:textFill>
        </w:rPr>
        <w:t>甲方支付的价款</w:t>
      </w:r>
      <w:r>
        <w:rPr>
          <w:color w:val="000000" w:themeColor="text1"/>
          <w:szCs w:val="21"/>
          <w:highlight w:val="none"/>
          <w14:textFill>
            <w14:solidFill>
              <w14:schemeClr w14:val="tx1"/>
            </w14:solidFill>
          </w14:textFill>
        </w:rPr>
        <w:t>，并通过该账户向甲方支付与合同有关的任何款项：</w:t>
      </w:r>
    </w:p>
    <w:p>
      <w:pPr>
        <w:tabs>
          <w:tab w:val="left" w:pos="709"/>
          <w:tab w:val="left" w:pos="1418"/>
        </w:tabs>
        <w:adjustRightInd w:val="0"/>
        <w:snapToGrid w:val="0"/>
        <w:spacing w:before="93" w:beforeLines="30" w:after="93" w:afterLines="30"/>
        <w:ind w:left="708" w:leftChars="337" w:right="3066" w:rightChars="146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乙方名称：</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pPr>
        <w:tabs>
          <w:tab w:val="left" w:pos="709"/>
          <w:tab w:val="left" w:pos="1418"/>
        </w:tabs>
        <w:adjustRightInd w:val="0"/>
        <w:snapToGrid w:val="0"/>
        <w:spacing w:before="93" w:beforeLines="30" w:after="93" w:afterLines="30"/>
        <w:ind w:left="708" w:leftChars="337" w:right="3066" w:rightChars="146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账号：</w:t>
      </w:r>
      <w:r>
        <w:rPr>
          <w:rFonts w:hint="eastAsia"/>
          <w:color w:val="000000" w:themeColor="text1"/>
          <w:szCs w:val="21"/>
          <w:highlight w:val="none"/>
          <w:u w:val="single"/>
          <w14:textFill>
            <w14:solidFill>
              <w14:schemeClr w14:val="tx1"/>
            </w14:solidFill>
          </w14:textFill>
        </w:rPr>
        <w:t xml:space="preserve">                                 </w:t>
      </w:r>
    </w:p>
    <w:p>
      <w:pPr>
        <w:tabs>
          <w:tab w:val="left" w:pos="709"/>
          <w:tab w:val="left" w:pos="1418"/>
        </w:tabs>
        <w:adjustRightInd w:val="0"/>
        <w:snapToGrid w:val="0"/>
        <w:spacing w:before="93" w:beforeLines="30" w:after="93" w:afterLines="30"/>
        <w:ind w:left="708" w:leftChars="337" w:right="3066" w:rightChars="146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开户行名称：</w:t>
      </w:r>
      <w:bookmarkStart w:id="38" w:name="OLE_LINK44"/>
      <w:bookmarkStart w:id="39" w:name="OLE_LINK42"/>
      <w:bookmarkStart w:id="40" w:name="OLE_LINK43"/>
      <w:bookmarkStart w:id="41" w:name="OLE_LINK40"/>
      <w:bookmarkStart w:id="42" w:name="OLE_LINK41"/>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bookmarkEnd w:id="38"/>
      <w:bookmarkEnd w:id="39"/>
      <w:bookmarkEnd w:id="40"/>
    </w:p>
    <w:bookmarkEnd w:id="41"/>
    <w:bookmarkEnd w:id="42"/>
    <w:p>
      <w:pPr>
        <w:tabs>
          <w:tab w:val="left" w:pos="709"/>
          <w:tab w:val="left" w:pos="1418"/>
        </w:tabs>
        <w:adjustRightInd w:val="0"/>
        <w:snapToGrid w:val="0"/>
        <w:spacing w:before="93" w:beforeLines="30" w:after="93" w:afterLines="30"/>
        <w:ind w:left="708" w:leftChars="337" w:right="3066" w:rightChars="146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开户行地址：</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                          </w:t>
      </w:r>
    </w:p>
    <w:p>
      <w:pPr>
        <w:numPr>
          <w:ilvl w:val="1"/>
          <w:numId w:val="7"/>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若乙方银行资料有变更，变更资料应连同发票一起提交给甲方。因乙方提供的上述银行帐号信息不符致使甲方付款延迟或付款错误，所造成的损失由乙方承担。乙方应提供真实合法的发票，并承担因开具伪造、虚假发票而给甲方造成的一切损失和责任。</w:t>
      </w:r>
    </w:p>
    <w:p>
      <w:pPr>
        <w:numPr>
          <w:ilvl w:val="1"/>
          <w:numId w:val="7"/>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Style w:val="22"/>
          <w:rFonts w:hint="eastAsia" w:hAnsi="宋体" w:cs="宋体" w:asciiTheme="minorHAnsi" w:eastAsiaTheme="minorEastAsia"/>
          <w:color w:val="000000" w:themeColor="text1"/>
          <w:highlight w:val="none"/>
          <w:u w:val="none"/>
          <w14:textFill>
            <w14:solidFill>
              <w14:schemeClr w14:val="tx1"/>
            </w14:solidFill>
          </w14:textFill>
        </w:rPr>
        <w:t>如果在合同执行期间，增值税税率有任何变化、废止或不再适用，买</w:t>
      </w:r>
      <w:r>
        <w:rPr>
          <w:rStyle w:val="22"/>
          <w:rFonts w:hint="eastAsia" w:hAnsi="宋体" w:cs="宋体"/>
          <w:color w:val="000000" w:themeColor="text1"/>
          <w:highlight w:val="none"/>
          <w:u w:val="none"/>
          <w:shd w:val="clear" w:color="auto" w:fill="FFFFFF"/>
          <w14:textFill>
            <w14:solidFill>
              <w14:schemeClr w14:val="tx1"/>
            </w14:solidFill>
          </w14:textFill>
        </w:rPr>
        <w:t>方保留根据实际情况调整上述合同价格的权利。如增值税税率发生变化，卖方应在本合同净价基础上，外加调整后的增值税税费作为本合同价格</w:t>
      </w:r>
      <w:r>
        <w:rPr>
          <w:rStyle w:val="22"/>
          <w:rFonts w:hint="eastAsia" w:hAnsi="宋体" w:eastAsia="宋体" w:cs="宋体"/>
          <w:color w:val="000000" w:themeColor="text1"/>
          <w:highlight w:val="none"/>
          <w:u w:val="none"/>
          <w:shd w:val="clear" w:color="auto" w:fill="FFFFFF"/>
          <w:lang w:eastAsia="zh-CN"/>
          <w14:textFill>
            <w14:solidFill>
              <w14:schemeClr w14:val="tx1"/>
            </w14:solidFill>
          </w14:textFill>
        </w:rPr>
        <w:t>。</w:t>
      </w:r>
    </w:p>
    <w:p>
      <w:pPr>
        <w:pStyle w:val="55"/>
        <w:tabs>
          <w:tab w:val="left" w:pos="2564"/>
          <w:tab w:val="clear" w:pos="720"/>
        </w:tabs>
        <w:adjustRightInd w:val="0"/>
        <w:snapToGrid w:val="0"/>
        <w:spacing w:before="93" w:beforeLines="30" w:after="93" w:afterLines="30" w:line="240" w:lineRule="auto"/>
        <w:jc w:val="left"/>
        <w:rPr>
          <w:rFonts w:ascii="Times New Roman" w:hAnsi="Times New Roman"/>
          <w:color w:val="000000" w:themeColor="text1"/>
          <w:sz w:val="21"/>
          <w:szCs w:val="21"/>
          <w:highlight w:val="none"/>
          <w14:textFill>
            <w14:solidFill>
              <w14:schemeClr w14:val="tx1"/>
            </w14:solidFill>
          </w14:textFill>
        </w:rPr>
      </w:pPr>
      <w:bookmarkStart w:id="43" w:name="_Toc364839363"/>
      <w:bookmarkStart w:id="44" w:name="_Toc299915683"/>
      <w:bookmarkStart w:id="45" w:name="_Toc364839364"/>
      <w:r>
        <w:rPr>
          <w:rFonts w:hint="eastAsia"/>
          <w:color w:val="000000" w:themeColor="text1"/>
          <w:sz w:val="21"/>
          <w:szCs w:val="21"/>
          <w:highlight w:val="none"/>
          <w14:textFill>
            <w14:solidFill>
              <w14:schemeClr w14:val="tx1"/>
            </w14:solidFill>
          </w14:textFill>
        </w:rPr>
        <w:t>工作期限</w:t>
      </w:r>
      <w:bookmarkEnd w:id="43"/>
    </w:p>
    <w:p>
      <w:pPr>
        <w:pStyle w:val="13"/>
        <w:numPr>
          <w:ilvl w:val="0"/>
          <w:numId w:val="8"/>
        </w:numPr>
        <w:autoSpaceDE w:val="0"/>
        <w:autoSpaceDN w:val="0"/>
        <w:adjustRightInd w:val="0"/>
        <w:spacing w:before="93" w:beforeLines="30" w:after="93" w:afterLines="30" w:line="240" w:lineRule="auto"/>
        <w:ind w:left="709" w:hanging="70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乙方</w:t>
      </w:r>
      <w:r>
        <w:rPr>
          <w:rFonts w:hint="eastAsia"/>
          <w:color w:val="000000" w:themeColor="text1"/>
          <w:sz w:val="21"/>
          <w:szCs w:val="21"/>
          <w:highlight w:val="none"/>
          <w14:textFill>
            <w14:solidFill>
              <w14:schemeClr w14:val="tx1"/>
            </w14:solidFill>
          </w14:textFill>
        </w:rPr>
        <w:t>应严格根据项目进度和工作期限，提供合同项下的服务，</w:t>
      </w:r>
      <w:r>
        <w:rPr>
          <w:color w:val="000000" w:themeColor="text1"/>
          <w:sz w:val="21"/>
          <w:szCs w:val="21"/>
          <w:highlight w:val="none"/>
          <w14:textFill>
            <w14:solidFill>
              <w14:schemeClr w14:val="tx1"/>
            </w14:solidFill>
          </w14:textFill>
        </w:rPr>
        <w:t>完成合同</w:t>
      </w:r>
      <w:r>
        <w:rPr>
          <w:rFonts w:hint="eastAsia"/>
          <w:color w:val="000000" w:themeColor="text1"/>
          <w:sz w:val="21"/>
          <w:szCs w:val="21"/>
          <w:highlight w:val="none"/>
          <w14:textFill>
            <w14:solidFill>
              <w14:schemeClr w14:val="tx1"/>
            </w14:solidFill>
          </w14:textFill>
        </w:rPr>
        <w:t>项下《服务委托书》的全部</w:t>
      </w:r>
      <w:r>
        <w:rPr>
          <w:color w:val="000000" w:themeColor="text1"/>
          <w:sz w:val="21"/>
          <w:szCs w:val="21"/>
          <w:highlight w:val="none"/>
          <w14:textFill>
            <w14:solidFill>
              <w14:schemeClr w14:val="tx1"/>
            </w14:solidFill>
          </w14:textFill>
        </w:rPr>
        <w:t>工作，履行合同规定的义务</w:t>
      </w:r>
      <w:r>
        <w:rPr>
          <w:rFonts w:hint="eastAsia"/>
          <w:color w:val="000000" w:themeColor="text1"/>
          <w:sz w:val="21"/>
          <w:szCs w:val="21"/>
          <w:highlight w:val="none"/>
          <w14:textFill>
            <w14:solidFill>
              <w14:schemeClr w14:val="tx1"/>
            </w14:solidFill>
          </w14:textFill>
        </w:rPr>
        <w:t>，向甲方提交工作成果。项目进度和工作期限【详见本合同附件一】。</w:t>
      </w:r>
    </w:p>
    <w:p>
      <w:pPr>
        <w:pStyle w:val="13"/>
        <w:numPr>
          <w:ilvl w:val="0"/>
          <w:numId w:val="8"/>
        </w:numPr>
        <w:autoSpaceDE w:val="0"/>
        <w:autoSpaceDN w:val="0"/>
        <w:adjustRightInd w:val="0"/>
        <w:spacing w:before="93" w:beforeLines="30" w:after="93" w:afterLines="30" w:line="240" w:lineRule="auto"/>
        <w:ind w:left="709" w:hanging="70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乙方应提供高效、及时的服务，确保服务实际进度符合项目进度和工作期限的要求。</w:t>
      </w:r>
    </w:p>
    <w:bookmarkEnd w:id="44"/>
    <w:bookmarkEnd w:id="45"/>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乙方人员</w:t>
      </w:r>
    </w:p>
    <w:p>
      <w:pPr>
        <w:numPr>
          <w:ilvl w:val="1"/>
          <w:numId w:val="9"/>
        </w:numPr>
        <w:tabs>
          <w:tab w:val="left" w:pos="709"/>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一般要求：</w:t>
      </w:r>
    </w:p>
    <w:p>
      <w:pPr>
        <w:numPr>
          <w:ilvl w:val="0"/>
          <w:numId w:val="10"/>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乙方应选聘、组织充足、适格、有经验的人员执行、完成</w:t>
      </w:r>
      <w:r>
        <w:rPr>
          <w:rFonts w:hint="eastAsia"/>
          <w:color w:val="000000" w:themeColor="text1"/>
          <w:szCs w:val="21"/>
          <w:highlight w:val="none"/>
          <w14:textFill>
            <w14:solidFill>
              <w14:schemeClr w14:val="tx1"/>
            </w14:solidFill>
          </w14:textFill>
        </w:rPr>
        <w:t>本合同项下的工作</w:t>
      </w:r>
      <w:r>
        <w:rPr>
          <w:color w:val="000000" w:themeColor="text1"/>
          <w:szCs w:val="21"/>
          <w:highlight w:val="none"/>
          <w14:textFill>
            <w14:solidFill>
              <w14:schemeClr w14:val="tx1"/>
            </w14:solidFill>
          </w14:textFill>
        </w:rPr>
        <w:t>。</w:t>
      </w:r>
    </w:p>
    <w:p>
      <w:pPr>
        <w:numPr>
          <w:ilvl w:val="0"/>
          <w:numId w:val="10"/>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本合同履行过程中，乙方应对其员工的报酬、福利、社会保险、</w:t>
      </w:r>
      <w:r>
        <w:rPr>
          <w:rFonts w:hint="eastAsia"/>
          <w:color w:val="000000" w:themeColor="text1"/>
          <w:szCs w:val="21"/>
          <w:highlight w:val="none"/>
          <w14:textFill>
            <w14:solidFill>
              <w14:schemeClr w14:val="tx1"/>
            </w14:solidFill>
          </w14:textFill>
        </w:rPr>
        <w:t>商业保险、</w:t>
      </w:r>
      <w:r>
        <w:rPr>
          <w:color w:val="000000" w:themeColor="text1"/>
          <w:szCs w:val="21"/>
          <w:highlight w:val="none"/>
          <w14:textFill>
            <w14:solidFill>
              <w14:schemeClr w14:val="tx1"/>
            </w14:solidFill>
          </w14:textFill>
        </w:rPr>
        <w:t>食宿、交通负责，相关费用已包含于合同</w:t>
      </w:r>
      <w:r>
        <w:rPr>
          <w:rFonts w:hint="eastAsia"/>
          <w:color w:val="000000" w:themeColor="text1"/>
          <w:szCs w:val="21"/>
          <w:highlight w:val="none"/>
          <w14:textFill>
            <w14:solidFill>
              <w14:schemeClr w14:val="tx1"/>
            </w14:solidFill>
          </w14:textFill>
        </w:rPr>
        <w:t>价格</w:t>
      </w:r>
      <w:r>
        <w:rPr>
          <w:color w:val="000000" w:themeColor="text1"/>
          <w:szCs w:val="21"/>
          <w:highlight w:val="none"/>
          <w14:textFill>
            <w14:solidFill>
              <w14:schemeClr w14:val="tx1"/>
            </w14:solidFill>
          </w14:textFill>
        </w:rPr>
        <w:t>中。</w:t>
      </w:r>
    </w:p>
    <w:p>
      <w:pPr>
        <w:numPr>
          <w:ilvl w:val="0"/>
          <w:numId w:val="10"/>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本合同履行过程中，乙方应建立并维系合法、适当的劳动关系。</w:t>
      </w:r>
    </w:p>
    <w:p>
      <w:pPr>
        <w:numPr>
          <w:ilvl w:val="0"/>
          <w:numId w:val="10"/>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乙方应采取措施确保其工作人员在执行工作过程中严格遵守本合同和法律法规的规定。</w:t>
      </w:r>
    </w:p>
    <w:p>
      <w:pPr>
        <w:numPr>
          <w:ilvl w:val="0"/>
          <w:numId w:val="10"/>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甲方有权要求乙方更换其工作人员，乙方应严格执行甲方的要求。</w:t>
      </w:r>
    </w:p>
    <w:p>
      <w:pPr>
        <w:numPr>
          <w:ilvl w:val="1"/>
          <w:numId w:val="9"/>
        </w:numPr>
        <w:adjustRightInd w:val="0"/>
        <w:snapToGrid w:val="0"/>
        <w:spacing w:before="93" w:beforeLines="30" w:after="93" w:afterLines="3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乙方代表：</w:t>
      </w:r>
    </w:p>
    <w:p>
      <w:pPr>
        <w:numPr>
          <w:ilvl w:val="1"/>
          <w:numId w:val="11"/>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具体服务开始日</w:t>
      </w:r>
      <w:r>
        <w:rPr>
          <w:color w:val="000000" w:themeColor="text1"/>
          <w:szCs w:val="21"/>
          <w:highlight w:val="none"/>
          <w14:textFill>
            <w14:solidFill>
              <w14:schemeClr w14:val="tx1"/>
            </w14:solidFill>
          </w14:textFill>
        </w:rPr>
        <w:t>前，乙方应</w:t>
      </w:r>
      <w:r>
        <w:rPr>
          <w:rFonts w:hint="eastAsia"/>
          <w:color w:val="000000" w:themeColor="text1"/>
          <w:szCs w:val="21"/>
          <w:highlight w:val="none"/>
          <w14:textFill>
            <w14:solidFill>
              <w14:schemeClr w14:val="tx1"/>
            </w14:solidFill>
          </w14:textFill>
        </w:rPr>
        <w:t>在服务委托书回执中</w:t>
      </w:r>
      <w:r>
        <w:rPr>
          <w:color w:val="000000" w:themeColor="text1"/>
          <w:szCs w:val="21"/>
          <w:highlight w:val="none"/>
          <w14:textFill>
            <w14:solidFill>
              <w14:schemeClr w14:val="tx1"/>
            </w14:solidFill>
          </w14:textFill>
        </w:rPr>
        <w:t>任命一名有经验、具备相应能力和资质的人员担任乙方代表，全权代表乙方履行</w:t>
      </w:r>
      <w:r>
        <w:rPr>
          <w:rFonts w:hint="eastAsia"/>
          <w:color w:val="000000" w:themeColor="text1"/>
          <w:szCs w:val="21"/>
          <w:highlight w:val="none"/>
          <w14:textFill>
            <w14:solidFill>
              <w14:schemeClr w14:val="tx1"/>
            </w14:solidFill>
          </w14:textFill>
        </w:rPr>
        <w:t>本合同项下的本次服务</w:t>
      </w:r>
      <w:r>
        <w:rPr>
          <w:color w:val="000000" w:themeColor="text1"/>
          <w:szCs w:val="21"/>
          <w:highlight w:val="none"/>
          <w14:textFill>
            <w14:solidFill>
              <w14:schemeClr w14:val="tx1"/>
            </w14:solidFill>
          </w14:textFill>
        </w:rPr>
        <w:t>。乙方任命乙方代表应</w:t>
      </w:r>
      <w:r>
        <w:rPr>
          <w:rFonts w:hint="eastAsia"/>
          <w:color w:val="000000" w:themeColor="text1"/>
          <w:szCs w:val="21"/>
          <w:highlight w:val="none"/>
          <w14:textFill>
            <w14:solidFill>
              <w14:schemeClr w14:val="tx1"/>
            </w14:solidFill>
          </w14:textFill>
        </w:rPr>
        <w:t>征得</w:t>
      </w:r>
      <w:r>
        <w:rPr>
          <w:color w:val="000000" w:themeColor="text1"/>
          <w:szCs w:val="21"/>
          <w:highlight w:val="none"/>
          <w14:textFill>
            <w14:solidFill>
              <w14:schemeClr w14:val="tx1"/>
            </w14:solidFill>
          </w14:textFill>
        </w:rPr>
        <w:t>甲方</w:t>
      </w:r>
      <w:r>
        <w:rPr>
          <w:rFonts w:hint="eastAsia"/>
          <w:color w:val="000000" w:themeColor="text1"/>
          <w:szCs w:val="21"/>
          <w:highlight w:val="none"/>
          <w14:textFill>
            <w14:solidFill>
              <w14:schemeClr w14:val="tx1"/>
            </w14:solidFill>
          </w14:textFill>
        </w:rPr>
        <w:t>的同意</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未经甲方事先书面批准，</w:t>
      </w:r>
      <w:r>
        <w:rPr>
          <w:color w:val="000000" w:themeColor="text1"/>
          <w:szCs w:val="21"/>
          <w:highlight w:val="none"/>
          <w14:textFill>
            <w14:solidFill>
              <w14:schemeClr w14:val="tx1"/>
            </w14:solidFill>
          </w14:textFill>
        </w:rPr>
        <w:t>乙方不得更换乙方代表。</w:t>
      </w:r>
    </w:p>
    <w:p>
      <w:pPr>
        <w:numPr>
          <w:ilvl w:val="1"/>
          <w:numId w:val="11"/>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乙方代表向甲方发出的任何与本合同</w:t>
      </w:r>
      <w:r>
        <w:rPr>
          <w:rFonts w:hint="eastAsia"/>
          <w:color w:val="000000" w:themeColor="text1"/>
          <w:szCs w:val="21"/>
          <w:highlight w:val="none"/>
          <w14:textFill>
            <w14:solidFill>
              <w14:schemeClr w14:val="tx1"/>
            </w14:solidFill>
          </w14:textFill>
        </w:rPr>
        <w:t>和《服务委托书》</w:t>
      </w:r>
      <w:r>
        <w:rPr>
          <w:color w:val="000000" w:themeColor="text1"/>
          <w:szCs w:val="21"/>
          <w:highlight w:val="none"/>
          <w14:textFill>
            <w14:solidFill>
              <w14:schemeClr w14:val="tx1"/>
            </w14:solidFill>
          </w14:textFill>
        </w:rPr>
        <w:t>有关的书面通知、请示、要求、批准和确认构成对乙方有约束力的文件。</w:t>
      </w:r>
    </w:p>
    <w:p>
      <w:pPr>
        <w:numPr>
          <w:ilvl w:val="1"/>
          <w:numId w:val="11"/>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甲方可要求乙方更换乙方代表，乙方应根据甲方的要求予以更换。</w:t>
      </w:r>
    </w:p>
    <w:p>
      <w:pPr>
        <w:numPr>
          <w:ilvl w:val="1"/>
          <w:numId w:val="9"/>
        </w:numPr>
        <w:tabs>
          <w:tab w:val="left" w:pos="709"/>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bookmarkStart w:id="46" w:name="_Toc299550327"/>
      <w:bookmarkStart w:id="47" w:name="_Toc299550435"/>
      <w:r>
        <w:rPr>
          <w:rFonts w:hint="eastAsia"/>
          <w:color w:val="000000" w:themeColor="text1"/>
          <w:szCs w:val="21"/>
          <w:highlight w:val="none"/>
          <w14:textFill>
            <w14:solidFill>
              <w14:schemeClr w14:val="tx1"/>
            </w14:solidFill>
          </w14:textFill>
        </w:rPr>
        <w:t>乙方人员：</w:t>
      </w:r>
      <w:bookmarkEnd w:id="46"/>
      <w:bookmarkEnd w:id="47"/>
      <w:r>
        <w:rPr>
          <w:rFonts w:hint="eastAsia"/>
          <w:color w:val="000000" w:themeColor="text1"/>
          <w:szCs w:val="21"/>
          <w:highlight w:val="none"/>
          <w14:textFill>
            <w14:solidFill>
              <w14:schemeClr w14:val="tx1"/>
            </w14:solidFill>
          </w14:textFill>
        </w:rPr>
        <w:t xml:space="preserve"> </w:t>
      </w:r>
    </w:p>
    <w:p>
      <w:pPr>
        <w:numPr>
          <w:ilvl w:val="2"/>
          <w:numId w:val="12"/>
        </w:numPr>
        <w:adjustRightInd w:val="0"/>
        <w:snapToGrid w:val="0"/>
        <w:spacing w:before="93" w:beforeLines="30" w:after="93" w:afterLines="30"/>
        <w:ind w:hanging="551"/>
        <w:rPr>
          <w:color w:val="000000" w:themeColor="text1"/>
          <w:szCs w:val="21"/>
          <w:highlight w:val="none"/>
          <w14:textFill>
            <w14:solidFill>
              <w14:schemeClr w14:val="tx1"/>
            </w14:solidFill>
          </w14:textFill>
        </w:rPr>
      </w:pPr>
      <w:bookmarkStart w:id="48" w:name="_Toc299550436"/>
      <w:bookmarkStart w:id="49" w:name="_Toc299550328"/>
      <w:r>
        <w:rPr>
          <w:rFonts w:hint="eastAsia"/>
          <w:color w:val="000000" w:themeColor="text1"/>
          <w:szCs w:val="21"/>
          <w:highlight w:val="none"/>
          <w14:textFill>
            <w14:solidFill>
              <w14:schemeClr w14:val="tx1"/>
            </w14:solidFill>
          </w14:textFill>
        </w:rPr>
        <w:t>乙方人员应具备其职责要求的资质和能力。</w:t>
      </w:r>
      <w:bookmarkEnd w:id="48"/>
      <w:bookmarkEnd w:id="49"/>
    </w:p>
    <w:p>
      <w:pPr>
        <w:numPr>
          <w:ilvl w:val="2"/>
          <w:numId w:val="12"/>
        </w:numPr>
        <w:tabs>
          <w:tab w:val="left" w:pos="1276"/>
        </w:tabs>
        <w:adjustRightInd w:val="0"/>
        <w:snapToGrid w:val="0"/>
        <w:spacing w:before="93" w:beforeLines="30" w:after="93" w:afterLines="30"/>
        <w:ind w:hanging="55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乙方人员的变更应</w:t>
      </w:r>
      <w:r>
        <w:rPr>
          <w:rFonts w:hint="eastAsia"/>
          <w:color w:val="000000" w:themeColor="text1"/>
          <w:szCs w:val="21"/>
          <w:highlight w:val="none"/>
          <w14:textFill>
            <w14:solidFill>
              <w14:schemeClr w14:val="tx1"/>
            </w14:solidFill>
          </w14:textFill>
        </w:rPr>
        <w:t>征得</w:t>
      </w:r>
      <w:r>
        <w:rPr>
          <w:color w:val="000000" w:themeColor="text1"/>
          <w:szCs w:val="21"/>
          <w:highlight w:val="none"/>
          <w14:textFill>
            <w14:solidFill>
              <w14:schemeClr w14:val="tx1"/>
            </w14:solidFill>
          </w14:textFill>
        </w:rPr>
        <w:t>甲方的事先书面同意，任何乙方人员的变更不得对工作期限、工作实际进度、工作质量或工作的执行产生不利影响。被更换的乙方人员应与新人员工作一段时间，以确保工作顺利交接。</w:t>
      </w:r>
    </w:p>
    <w:p>
      <w:pPr>
        <w:numPr>
          <w:ilvl w:val="2"/>
          <w:numId w:val="12"/>
        </w:numPr>
        <w:tabs>
          <w:tab w:val="left" w:pos="1276"/>
        </w:tabs>
        <w:adjustRightInd w:val="0"/>
        <w:snapToGrid w:val="0"/>
        <w:spacing w:before="93" w:beforeLines="30" w:after="93" w:afterLines="30"/>
        <w:ind w:hanging="551"/>
        <w:rPr>
          <w:color w:val="000000" w:themeColor="text1"/>
          <w:szCs w:val="21"/>
          <w:highlight w:val="none"/>
          <w14:textFill>
            <w14:solidFill>
              <w14:schemeClr w14:val="tx1"/>
            </w14:solidFill>
          </w14:textFill>
        </w:rPr>
      </w:pPr>
      <w:bookmarkStart w:id="50" w:name="_Toc299915684"/>
      <w:bookmarkStart w:id="51" w:name="_Toc299912668"/>
      <w:r>
        <w:rPr>
          <w:rFonts w:hint="eastAsia"/>
          <w:color w:val="000000" w:themeColor="text1"/>
          <w:szCs w:val="21"/>
          <w:highlight w:val="none"/>
          <w14:textFill>
            <w14:solidFill>
              <w14:schemeClr w14:val="tx1"/>
            </w14:solidFill>
          </w14:textFill>
        </w:rPr>
        <w:t>甲方可要求更换乙方不合格人员，乙方应根据甲方的要求予以更换。</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52" w:name="_Toc364839365"/>
      <w:r>
        <w:rPr>
          <w:rFonts w:ascii="宋体" w:hAnsi="宋体"/>
          <w:bCs w:val="0"/>
          <w:color w:val="000000" w:themeColor="text1"/>
          <w:sz w:val="21"/>
          <w:szCs w:val="21"/>
          <w:highlight w:val="none"/>
          <w14:textFill>
            <w14:solidFill>
              <w14:schemeClr w14:val="tx1"/>
            </w14:solidFill>
          </w14:textFill>
        </w:rPr>
        <w:t>甲方</w:t>
      </w:r>
      <w:r>
        <w:rPr>
          <w:color w:val="000000" w:themeColor="text1"/>
          <w:sz w:val="21"/>
          <w:szCs w:val="21"/>
          <w:highlight w:val="none"/>
          <w14:textFill>
            <w14:solidFill>
              <w14:schemeClr w14:val="tx1"/>
            </w14:solidFill>
          </w14:textFill>
        </w:rPr>
        <w:t>代表</w:t>
      </w:r>
      <w:bookmarkEnd w:id="50"/>
      <w:bookmarkEnd w:id="51"/>
      <w:bookmarkEnd w:id="52"/>
    </w:p>
    <w:p>
      <w:pPr>
        <w:numPr>
          <w:ilvl w:val="0"/>
          <w:numId w:val="13"/>
        </w:numPr>
        <w:tabs>
          <w:tab w:val="left" w:pos="709"/>
          <w:tab w:val="clear" w:pos="562"/>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具体服务开始</w:t>
      </w:r>
      <w:r>
        <w:rPr>
          <w:rFonts w:hAnsi="宋体"/>
          <w:color w:val="000000" w:themeColor="text1"/>
          <w:szCs w:val="21"/>
          <w:highlight w:val="none"/>
          <w14:textFill>
            <w14:solidFill>
              <w14:schemeClr w14:val="tx1"/>
            </w14:solidFill>
          </w14:textFill>
        </w:rPr>
        <w:t>日前，甲方</w:t>
      </w:r>
      <w:r>
        <w:rPr>
          <w:rFonts w:hint="eastAsia" w:hAnsi="宋体"/>
          <w:color w:val="000000" w:themeColor="text1"/>
          <w:szCs w:val="21"/>
          <w:highlight w:val="none"/>
          <w14:textFill>
            <w14:solidFill>
              <w14:schemeClr w14:val="tx1"/>
            </w14:solidFill>
          </w14:textFill>
        </w:rPr>
        <w:t>在服务委托书中</w:t>
      </w:r>
      <w:r>
        <w:rPr>
          <w:rFonts w:hAnsi="宋体"/>
          <w:color w:val="000000" w:themeColor="text1"/>
          <w:szCs w:val="21"/>
          <w:highlight w:val="none"/>
          <w14:textFill>
            <w14:solidFill>
              <w14:schemeClr w14:val="tx1"/>
            </w14:solidFill>
          </w14:textFill>
        </w:rPr>
        <w:t>指定一名甲方人员担任甲方代表，全权代表甲方履行本合同</w:t>
      </w:r>
      <w:r>
        <w:rPr>
          <w:rFonts w:hint="eastAsia" w:hAnsi="宋体"/>
          <w:color w:val="000000" w:themeColor="text1"/>
          <w:szCs w:val="21"/>
          <w:highlight w:val="none"/>
          <w14:textFill>
            <w14:solidFill>
              <w14:schemeClr w14:val="tx1"/>
            </w14:solidFill>
          </w14:textFill>
        </w:rPr>
        <w:t>项下的本次服务项目</w:t>
      </w:r>
      <w:r>
        <w:rPr>
          <w:rFonts w:hAnsi="宋体"/>
          <w:color w:val="000000" w:themeColor="text1"/>
          <w:szCs w:val="21"/>
          <w:highlight w:val="none"/>
          <w14:textFill>
            <w14:solidFill>
              <w14:schemeClr w14:val="tx1"/>
            </w14:solidFill>
          </w14:textFill>
        </w:rPr>
        <w:t>。</w:t>
      </w:r>
    </w:p>
    <w:p>
      <w:pPr>
        <w:numPr>
          <w:ilvl w:val="0"/>
          <w:numId w:val="13"/>
        </w:numPr>
        <w:tabs>
          <w:tab w:val="left" w:pos="709"/>
          <w:tab w:val="clear" w:pos="562"/>
        </w:tabs>
        <w:adjustRightInd w:val="0"/>
        <w:snapToGrid w:val="0"/>
        <w:spacing w:before="93" w:beforeLines="30" w:after="93" w:afterLines="30"/>
        <w:ind w:left="709" w:hanging="709"/>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甲方代表向乙方发出的任何与本合同</w:t>
      </w:r>
      <w:r>
        <w:rPr>
          <w:rFonts w:hint="eastAsia" w:hAnsi="宋体"/>
          <w:color w:val="000000" w:themeColor="text1"/>
          <w:szCs w:val="21"/>
          <w:highlight w:val="none"/>
          <w14:textFill>
            <w14:solidFill>
              <w14:schemeClr w14:val="tx1"/>
            </w14:solidFill>
          </w14:textFill>
        </w:rPr>
        <w:t>和《服务委托书》</w:t>
      </w:r>
      <w:r>
        <w:rPr>
          <w:rFonts w:hAnsi="宋体"/>
          <w:color w:val="000000" w:themeColor="text1"/>
          <w:szCs w:val="21"/>
          <w:highlight w:val="none"/>
          <w14:textFill>
            <w14:solidFill>
              <w14:schemeClr w14:val="tx1"/>
            </w14:solidFill>
          </w14:textFill>
        </w:rPr>
        <w:t>有关的书面通知、指示、要求、批准和确认构成对甲方有约束力的文件。甲方代表发出的任何与本合同有关的书面通知、文件等视为向甲方发出。</w:t>
      </w:r>
    </w:p>
    <w:p>
      <w:pPr>
        <w:numPr>
          <w:ilvl w:val="0"/>
          <w:numId w:val="13"/>
        </w:numPr>
        <w:tabs>
          <w:tab w:val="left" w:pos="709"/>
          <w:tab w:val="clear" w:pos="562"/>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经书面通知乙方，甲方代表有权将其权限授予甲方其他人员，该等通知应注明授权的范</w:t>
      </w:r>
      <w:r>
        <w:rPr>
          <w:color w:val="000000" w:themeColor="text1"/>
          <w:szCs w:val="21"/>
          <w:highlight w:val="none"/>
          <w14:textFill>
            <w14:solidFill>
              <w14:schemeClr w14:val="tx1"/>
            </w14:solidFill>
          </w14:textFill>
        </w:rPr>
        <w:t>围和期限。被授权的甲方人员无权再转授权给其他人员。</w:t>
      </w:r>
    </w:p>
    <w:p>
      <w:pPr>
        <w:pStyle w:val="55"/>
        <w:tabs>
          <w:tab w:val="left" w:pos="2564"/>
          <w:tab w:val="clear" w:pos="720"/>
        </w:tabs>
        <w:adjustRightInd w:val="0"/>
        <w:snapToGrid w:val="0"/>
        <w:spacing w:before="93" w:beforeLines="30" w:after="93" w:afterLines="30" w:line="240" w:lineRule="auto"/>
        <w:jc w:val="left"/>
        <w:rPr>
          <w:rFonts w:ascii="宋体" w:hAnsi="宋体"/>
          <w:bCs w:val="0"/>
          <w:color w:val="000000" w:themeColor="text1"/>
          <w:sz w:val="21"/>
          <w:szCs w:val="21"/>
          <w:highlight w:val="none"/>
          <w14:textFill>
            <w14:solidFill>
              <w14:schemeClr w14:val="tx1"/>
            </w14:solidFill>
          </w14:textFill>
        </w:rPr>
      </w:pPr>
      <w:bookmarkStart w:id="53" w:name="_Toc364839366"/>
      <w:bookmarkStart w:id="54" w:name="_Toc299915685"/>
      <w:bookmarkStart w:id="55" w:name="_Toc276828339"/>
      <w:r>
        <w:rPr>
          <w:rFonts w:hint="eastAsia" w:ascii="宋体" w:hAnsi="宋体"/>
          <w:bCs w:val="0"/>
          <w:color w:val="000000" w:themeColor="text1"/>
          <w:sz w:val="21"/>
          <w:szCs w:val="21"/>
          <w:highlight w:val="none"/>
          <w14:textFill>
            <w14:solidFill>
              <w14:schemeClr w14:val="tx1"/>
            </w14:solidFill>
          </w14:textFill>
        </w:rPr>
        <w:t>工作设施</w:t>
      </w:r>
      <w:bookmarkEnd w:id="53"/>
      <w:bookmarkEnd w:id="54"/>
    </w:p>
    <w:p>
      <w:pPr>
        <w:numPr>
          <w:ilvl w:val="1"/>
          <w:numId w:val="14"/>
        </w:numPr>
        <w:tabs>
          <w:tab w:val="left" w:pos="709"/>
          <w:tab w:val="left" w:pos="1080"/>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乙方应</w:t>
      </w:r>
      <w:r>
        <w:rPr>
          <w:rFonts w:hint="eastAsia"/>
          <w:color w:val="000000" w:themeColor="text1"/>
          <w:szCs w:val="21"/>
          <w:highlight w:val="none"/>
          <w14:textFill>
            <w14:solidFill>
              <w14:schemeClr w14:val="tx1"/>
            </w14:solidFill>
          </w14:textFill>
        </w:rPr>
        <w:t>为乙方人员配备符合甲方和法律法规要求的劳动保护用品。</w:t>
      </w:r>
    </w:p>
    <w:p>
      <w:pPr>
        <w:numPr>
          <w:ilvl w:val="1"/>
          <w:numId w:val="14"/>
        </w:numPr>
        <w:tabs>
          <w:tab w:val="left" w:pos="1080"/>
        </w:tabs>
        <w:adjustRightInd w:val="0"/>
        <w:snapToGrid w:val="0"/>
        <w:spacing w:before="93" w:beforeLines="30" w:after="93" w:afterLines="3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乙方应及时提供完成服务所需的全部办公场所、设施、设备、材料、器具等（“工作设施”）。</w:t>
      </w:r>
    </w:p>
    <w:p>
      <w:pPr>
        <w:numPr>
          <w:ilvl w:val="1"/>
          <w:numId w:val="14"/>
        </w:numPr>
        <w:tabs>
          <w:tab w:val="left" w:pos="709"/>
          <w:tab w:val="left" w:pos="1080"/>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乙方保证，其提供的工作设施应处于良好的工作状态，符合本合同和法律法规的要求，不存在任何影响服务提供的缺陷，具备完成相关服务及其通常的用途。</w:t>
      </w:r>
    </w:p>
    <w:p>
      <w:pPr>
        <w:numPr>
          <w:ilvl w:val="1"/>
          <w:numId w:val="14"/>
        </w:numPr>
        <w:tabs>
          <w:tab w:val="left" w:pos="709"/>
          <w:tab w:val="left" w:pos="1080"/>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如甲方发现</w:t>
      </w:r>
      <w:r>
        <w:rPr>
          <w:rFonts w:hint="eastAsia"/>
          <w:color w:val="000000" w:themeColor="text1"/>
          <w:szCs w:val="21"/>
          <w:highlight w:val="none"/>
          <w14:textFill>
            <w14:solidFill>
              <w14:schemeClr w14:val="tx1"/>
            </w14:solidFill>
          </w14:textFill>
        </w:rPr>
        <w:t>乙方提供的工作设施</w:t>
      </w:r>
      <w:r>
        <w:rPr>
          <w:color w:val="000000" w:themeColor="text1"/>
          <w:szCs w:val="21"/>
          <w:highlight w:val="none"/>
          <w14:textFill>
            <w14:solidFill>
              <w14:schemeClr w14:val="tx1"/>
            </w14:solidFill>
          </w14:textFill>
        </w:rPr>
        <w:t>存在任何缺陷或不符合合同的规定，有权要求乙方进行修理和更换，乙方不得因工作设施的修理或更换要求调整合同</w:t>
      </w:r>
      <w:r>
        <w:rPr>
          <w:rFonts w:hint="eastAsia"/>
          <w:color w:val="000000" w:themeColor="text1"/>
          <w:szCs w:val="21"/>
          <w:highlight w:val="none"/>
          <w14:textFill>
            <w14:solidFill>
              <w14:schemeClr w14:val="tx1"/>
            </w14:solidFill>
          </w14:textFill>
        </w:rPr>
        <w:t>价格</w:t>
      </w:r>
      <w:r>
        <w:rPr>
          <w:color w:val="000000" w:themeColor="text1"/>
          <w:szCs w:val="21"/>
          <w:highlight w:val="none"/>
          <w14:textFill>
            <w14:solidFill>
              <w14:schemeClr w14:val="tx1"/>
            </w14:solidFill>
          </w14:textFill>
        </w:rPr>
        <w:t>或延长工作期限。</w:t>
      </w:r>
    </w:p>
    <w:bookmarkEnd w:id="55"/>
    <w:p>
      <w:pPr>
        <w:pStyle w:val="55"/>
        <w:tabs>
          <w:tab w:val="left" w:pos="2564"/>
          <w:tab w:val="clear" w:pos="720"/>
        </w:tabs>
        <w:adjustRightInd w:val="0"/>
        <w:snapToGrid w:val="0"/>
        <w:spacing w:before="93" w:beforeLines="30" w:after="93" w:afterLines="30" w:line="240" w:lineRule="auto"/>
        <w:jc w:val="left"/>
        <w:rPr>
          <w:rFonts w:ascii="Times New Roman" w:hAnsi="Times New Roman"/>
          <w:color w:val="000000" w:themeColor="text1"/>
          <w:sz w:val="21"/>
          <w:szCs w:val="21"/>
          <w:highlight w:val="none"/>
          <w14:textFill>
            <w14:solidFill>
              <w14:schemeClr w14:val="tx1"/>
            </w14:solidFill>
          </w14:textFill>
        </w:rPr>
      </w:pPr>
      <w:bookmarkStart w:id="56" w:name="_Toc299915686"/>
      <w:bookmarkStart w:id="57" w:name="_Toc364839367"/>
      <w:r>
        <w:rPr>
          <w:rFonts w:hint="eastAsia" w:ascii="Times New Roman"/>
          <w:color w:val="000000" w:themeColor="text1"/>
          <w:sz w:val="21"/>
          <w:szCs w:val="21"/>
          <w:highlight w:val="none"/>
          <w14:textFill>
            <w14:solidFill>
              <w14:schemeClr w14:val="tx1"/>
            </w14:solidFill>
          </w14:textFill>
        </w:rPr>
        <w:t>监督检查</w:t>
      </w:r>
      <w:bookmarkEnd w:id="56"/>
      <w:bookmarkEnd w:id="57"/>
    </w:p>
    <w:p>
      <w:pPr>
        <w:numPr>
          <w:ilvl w:val="1"/>
          <w:numId w:val="15"/>
        </w:numPr>
        <w:tabs>
          <w:tab w:val="left" w:pos="709"/>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甲方或其聘任的第三方有权（包括进入乙方工作场地）对乙方工作进度、质量、安全等进行监督和检查。</w:t>
      </w:r>
    </w:p>
    <w:p>
      <w:pPr>
        <w:numPr>
          <w:ilvl w:val="1"/>
          <w:numId w:val="15"/>
        </w:numPr>
        <w:tabs>
          <w:tab w:val="left" w:pos="709"/>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乙方应</w:t>
      </w:r>
      <w:r>
        <w:rPr>
          <w:rFonts w:hint="eastAsia"/>
          <w:color w:val="000000" w:themeColor="text1"/>
          <w:szCs w:val="21"/>
          <w:highlight w:val="none"/>
          <w14:textFill>
            <w14:solidFill>
              <w14:schemeClr w14:val="tx1"/>
            </w14:solidFill>
          </w14:textFill>
        </w:rPr>
        <w:t>积极</w:t>
      </w:r>
      <w:r>
        <w:rPr>
          <w:color w:val="000000" w:themeColor="text1"/>
          <w:szCs w:val="21"/>
          <w:highlight w:val="none"/>
          <w14:textFill>
            <w14:solidFill>
              <w14:schemeClr w14:val="tx1"/>
            </w14:solidFill>
          </w14:textFill>
        </w:rPr>
        <w:t>配合甲方</w:t>
      </w:r>
      <w:r>
        <w:rPr>
          <w:rFonts w:hint="eastAsia"/>
          <w:color w:val="000000" w:themeColor="text1"/>
          <w:szCs w:val="21"/>
          <w:highlight w:val="none"/>
          <w14:textFill>
            <w14:solidFill>
              <w14:schemeClr w14:val="tx1"/>
            </w14:solidFill>
          </w14:textFill>
        </w:rPr>
        <w:t>或其聘任的第三方</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监督检查，确保甲方及其聘任的第三方人员有权及时进入相关场地，并</w:t>
      </w:r>
      <w:r>
        <w:rPr>
          <w:color w:val="000000" w:themeColor="text1"/>
          <w:szCs w:val="21"/>
          <w:highlight w:val="none"/>
          <w14:textFill>
            <w14:solidFill>
              <w14:schemeClr w14:val="tx1"/>
            </w14:solidFill>
          </w14:textFill>
        </w:rPr>
        <w:t>为</w:t>
      </w:r>
      <w:r>
        <w:rPr>
          <w:rFonts w:hint="eastAsia"/>
          <w:color w:val="000000" w:themeColor="text1"/>
          <w:szCs w:val="21"/>
          <w:highlight w:val="none"/>
          <w14:textFill>
            <w14:solidFill>
              <w14:schemeClr w14:val="tx1"/>
            </w14:solidFill>
          </w14:textFill>
        </w:rPr>
        <w:t>该等人员</w:t>
      </w:r>
      <w:r>
        <w:rPr>
          <w:color w:val="000000" w:themeColor="text1"/>
          <w:szCs w:val="21"/>
          <w:highlight w:val="none"/>
          <w14:textFill>
            <w14:solidFill>
              <w14:schemeClr w14:val="tx1"/>
            </w14:solidFill>
          </w14:textFill>
        </w:rPr>
        <w:t>提供足够的</w:t>
      </w:r>
      <w:r>
        <w:rPr>
          <w:rFonts w:hint="eastAsia"/>
          <w:color w:val="000000" w:themeColor="text1"/>
          <w:szCs w:val="21"/>
          <w:highlight w:val="none"/>
          <w14:textFill>
            <w14:solidFill>
              <w14:schemeClr w14:val="tx1"/>
            </w14:solidFill>
          </w14:textFill>
        </w:rPr>
        <w:t>支持和便利。乙方应</w:t>
      </w:r>
      <w:r>
        <w:rPr>
          <w:color w:val="000000" w:themeColor="text1"/>
          <w:szCs w:val="21"/>
          <w:highlight w:val="none"/>
          <w14:textFill>
            <w14:solidFill>
              <w14:schemeClr w14:val="tx1"/>
            </w14:solidFill>
          </w14:textFill>
        </w:rPr>
        <w:t>指</w:t>
      </w:r>
      <w:r>
        <w:rPr>
          <w:rFonts w:hint="eastAsia"/>
          <w:color w:val="000000" w:themeColor="text1"/>
          <w:szCs w:val="21"/>
          <w:highlight w:val="none"/>
          <w14:textFill>
            <w14:solidFill>
              <w14:schemeClr w14:val="tx1"/>
            </w14:solidFill>
          </w14:textFill>
        </w:rPr>
        <w:t>派</w:t>
      </w:r>
      <w:r>
        <w:rPr>
          <w:color w:val="000000" w:themeColor="text1"/>
          <w:szCs w:val="21"/>
          <w:highlight w:val="none"/>
          <w14:textFill>
            <w14:solidFill>
              <w14:schemeClr w14:val="tx1"/>
            </w14:solidFill>
          </w14:textFill>
        </w:rPr>
        <w:t>专人</w:t>
      </w:r>
      <w:r>
        <w:rPr>
          <w:rFonts w:hint="eastAsia"/>
          <w:color w:val="000000" w:themeColor="text1"/>
          <w:szCs w:val="21"/>
          <w:highlight w:val="none"/>
          <w14:textFill>
            <w14:solidFill>
              <w14:schemeClr w14:val="tx1"/>
            </w14:solidFill>
          </w14:textFill>
        </w:rPr>
        <w:t>负责与甲方或其聘任的第三方</w:t>
      </w:r>
      <w:r>
        <w:rPr>
          <w:color w:val="000000" w:themeColor="text1"/>
          <w:szCs w:val="21"/>
          <w:highlight w:val="none"/>
          <w14:textFill>
            <w14:solidFill>
              <w14:schemeClr w14:val="tx1"/>
            </w14:solidFill>
          </w14:textFill>
        </w:rPr>
        <w:t>联系，</w:t>
      </w:r>
      <w:r>
        <w:rPr>
          <w:rFonts w:hint="eastAsia"/>
          <w:color w:val="000000" w:themeColor="text1"/>
          <w:szCs w:val="21"/>
          <w:highlight w:val="none"/>
          <w14:textFill>
            <w14:solidFill>
              <w14:schemeClr w14:val="tx1"/>
            </w14:solidFill>
          </w14:textFill>
        </w:rPr>
        <w:t>根据甲方要求，</w:t>
      </w:r>
      <w:r>
        <w:rPr>
          <w:color w:val="000000" w:themeColor="text1"/>
          <w:szCs w:val="21"/>
          <w:highlight w:val="none"/>
          <w14:textFill>
            <w14:solidFill>
              <w14:schemeClr w14:val="tx1"/>
            </w14:solidFill>
          </w14:textFill>
        </w:rPr>
        <w:t>提供</w:t>
      </w:r>
      <w:r>
        <w:rPr>
          <w:rFonts w:hint="eastAsia"/>
          <w:color w:val="000000" w:themeColor="text1"/>
          <w:szCs w:val="21"/>
          <w:highlight w:val="none"/>
          <w14:textFill>
            <w14:solidFill>
              <w14:schemeClr w14:val="tx1"/>
            </w14:solidFill>
          </w14:textFill>
        </w:rPr>
        <w:t>服务</w:t>
      </w:r>
      <w:r>
        <w:rPr>
          <w:color w:val="000000" w:themeColor="text1"/>
          <w:szCs w:val="21"/>
          <w:highlight w:val="none"/>
          <w14:textFill>
            <w14:solidFill>
              <w14:schemeClr w14:val="tx1"/>
            </w14:solidFill>
          </w14:textFill>
        </w:rPr>
        <w:t>进度、</w:t>
      </w:r>
      <w:r>
        <w:rPr>
          <w:rFonts w:hint="eastAsia"/>
          <w:color w:val="000000" w:themeColor="text1"/>
          <w:szCs w:val="21"/>
          <w:highlight w:val="none"/>
          <w14:textFill>
            <w14:solidFill>
              <w14:schemeClr w14:val="tx1"/>
            </w14:solidFill>
          </w14:textFill>
        </w:rPr>
        <w:t>计划、</w:t>
      </w:r>
      <w:r>
        <w:rPr>
          <w:color w:val="000000" w:themeColor="text1"/>
          <w:szCs w:val="21"/>
          <w:highlight w:val="none"/>
          <w14:textFill>
            <w14:solidFill>
              <w14:schemeClr w14:val="tx1"/>
            </w14:solidFill>
          </w14:textFill>
        </w:rPr>
        <w:t>质量、存在</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问题、预防及整改措施</w:t>
      </w:r>
      <w:r>
        <w:rPr>
          <w:rFonts w:hint="eastAsia"/>
          <w:color w:val="000000" w:themeColor="text1"/>
          <w:szCs w:val="21"/>
          <w:highlight w:val="none"/>
          <w14:textFill>
            <w14:solidFill>
              <w14:schemeClr w14:val="tx1"/>
            </w14:solidFill>
          </w14:textFill>
        </w:rPr>
        <w:t>及其它</w:t>
      </w:r>
      <w:r>
        <w:rPr>
          <w:color w:val="000000" w:themeColor="text1"/>
          <w:szCs w:val="21"/>
          <w:highlight w:val="none"/>
          <w14:textFill>
            <w14:solidFill>
              <w14:schemeClr w14:val="tx1"/>
            </w14:solidFill>
          </w14:textFill>
        </w:rPr>
        <w:t>服务</w:t>
      </w:r>
      <w:r>
        <w:rPr>
          <w:rFonts w:hint="eastAsia"/>
          <w:color w:val="000000" w:themeColor="text1"/>
          <w:szCs w:val="21"/>
          <w:highlight w:val="none"/>
          <w14:textFill>
            <w14:solidFill>
              <w14:schemeClr w14:val="tx1"/>
            </w14:solidFill>
          </w14:textFill>
        </w:rPr>
        <w:t>信息</w:t>
      </w:r>
    </w:p>
    <w:p>
      <w:pPr>
        <w:numPr>
          <w:ilvl w:val="1"/>
          <w:numId w:val="15"/>
        </w:numPr>
        <w:adjustRightInd w:val="0"/>
        <w:snapToGrid w:val="0"/>
        <w:spacing w:before="93" w:beforeLines="30" w:after="93" w:afterLines="3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在监督检查过程中，</w:t>
      </w:r>
      <w:r>
        <w:rPr>
          <w:rFonts w:hint="eastAsia" w:hAnsi="宋体"/>
          <w:color w:val="000000" w:themeColor="text1"/>
          <w:szCs w:val="21"/>
          <w:highlight w:val="none"/>
          <w14:textFill>
            <w14:solidFill>
              <w14:schemeClr w14:val="tx1"/>
            </w14:solidFill>
          </w14:textFill>
        </w:rPr>
        <w:t>如发现乙方的工作实际进度无法达到工作期限的要求，或乙方的工作存在任何缺陷、瑕疵、疏漏或不符合本合同或当次服务委托书的要求，乙方应按甲方要求提出改进和补救措施（包括但不限于增加人员、设备、倒班次数、服务时间等），乙方应承担因此产生的全部责任和费用，乙方无权就改进和补救措施要求调整工作期限或增加费用。</w:t>
      </w:r>
      <w:r>
        <w:rPr>
          <w:rFonts w:hAnsi="宋体"/>
          <w:color w:val="000000" w:themeColor="text1"/>
          <w:szCs w:val="21"/>
          <w:highlight w:val="none"/>
          <w14:textFill>
            <w14:solidFill>
              <w14:schemeClr w14:val="tx1"/>
            </w14:solidFill>
          </w14:textFill>
        </w:rPr>
        <w:t>如甲方认为乙方</w:t>
      </w:r>
      <w:r>
        <w:rPr>
          <w:rFonts w:hint="eastAsia" w:hAnsi="宋体"/>
          <w:color w:val="000000" w:themeColor="text1"/>
          <w:szCs w:val="21"/>
          <w:highlight w:val="none"/>
          <w14:textFill>
            <w14:solidFill>
              <w14:schemeClr w14:val="tx1"/>
            </w14:solidFill>
          </w14:textFill>
        </w:rPr>
        <w:t>采取改进或补救措施后仍不能确保按时</w:t>
      </w:r>
      <w:r>
        <w:rPr>
          <w:rFonts w:hAnsi="宋体"/>
          <w:color w:val="000000" w:themeColor="text1"/>
          <w:szCs w:val="21"/>
          <w:highlight w:val="none"/>
          <w14:textFill>
            <w14:solidFill>
              <w14:schemeClr w14:val="tx1"/>
            </w14:solidFill>
          </w14:textFill>
        </w:rPr>
        <w:t>完成某项</w:t>
      </w:r>
      <w:r>
        <w:rPr>
          <w:rFonts w:hint="eastAsia" w:hAnsi="宋体"/>
          <w:color w:val="000000" w:themeColor="text1"/>
          <w:szCs w:val="21"/>
          <w:highlight w:val="none"/>
          <w14:textFill>
            <w14:solidFill>
              <w14:schemeClr w14:val="tx1"/>
            </w14:solidFill>
          </w14:textFill>
        </w:rPr>
        <w:t>服务</w:t>
      </w:r>
      <w:r>
        <w:rPr>
          <w:rFonts w:hAnsi="宋体"/>
          <w:color w:val="000000" w:themeColor="text1"/>
          <w:szCs w:val="21"/>
          <w:highlight w:val="none"/>
          <w14:textFill>
            <w14:solidFill>
              <w14:schemeClr w14:val="tx1"/>
            </w14:solidFill>
          </w14:textFill>
        </w:rPr>
        <w:t>且将影响</w:t>
      </w:r>
      <w:r>
        <w:rPr>
          <w:rFonts w:hint="eastAsia" w:hAnsi="宋体"/>
          <w:color w:val="000000" w:themeColor="text1"/>
          <w:szCs w:val="21"/>
          <w:highlight w:val="none"/>
          <w14:textFill>
            <w14:solidFill>
              <w14:schemeClr w14:val="tx1"/>
            </w14:solidFill>
          </w14:textFill>
        </w:rPr>
        <w:t>整体工作期限</w:t>
      </w:r>
      <w:r>
        <w:rPr>
          <w:rFonts w:hAnsi="宋体"/>
          <w:color w:val="000000" w:themeColor="text1"/>
          <w:szCs w:val="21"/>
          <w:highlight w:val="none"/>
          <w14:textFill>
            <w14:solidFill>
              <w14:schemeClr w14:val="tx1"/>
            </w14:solidFill>
          </w14:textFill>
        </w:rPr>
        <w:t>，甲方有权委托第三方</w:t>
      </w:r>
      <w:r>
        <w:rPr>
          <w:rFonts w:hint="eastAsia" w:hAnsi="宋体"/>
          <w:color w:val="000000" w:themeColor="text1"/>
          <w:szCs w:val="21"/>
          <w:highlight w:val="none"/>
          <w14:textFill>
            <w14:solidFill>
              <w14:schemeClr w14:val="tx1"/>
            </w14:solidFill>
          </w14:textFill>
        </w:rPr>
        <w:t>完成相关服务，因此</w:t>
      </w:r>
      <w:r>
        <w:rPr>
          <w:rFonts w:hAnsi="宋体"/>
          <w:color w:val="000000" w:themeColor="text1"/>
          <w:szCs w:val="21"/>
          <w:highlight w:val="none"/>
          <w14:textFill>
            <w14:solidFill>
              <w14:schemeClr w14:val="tx1"/>
            </w14:solidFill>
          </w14:textFill>
        </w:rPr>
        <w:t>发生的费用由乙方</w:t>
      </w:r>
      <w:r>
        <w:rPr>
          <w:rFonts w:hint="eastAsia" w:hAnsi="宋体"/>
          <w:color w:val="000000" w:themeColor="text1"/>
          <w:szCs w:val="21"/>
          <w:highlight w:val="none"/>
          <w14:textFill>
            <w14:solidFill>
              <w14:schemeClr w14:val="tx1"/>
            </w14:solidFill>
          </w14:textFill>
        </w:rPr>
        <w:t>承担</w:t>
      </w:r>
      <w:r>
        <w:rPr>
          <w:rFonts w:hAnsi="宋体"/>
          <w:color w:val="000000" w:themeColor="text1"/>
          <w:szCs w:val="21"/>
          <w:highlight w:val="none"/>
          <w14:textFill>
            <w14:solidFill>
              <w14:schemeClr w14:val="tx1"/>
            </w14:solidFill>
          </w14:textFill>
        </w:rPr>
        <w:t>，甲方有权</w:t>
      </w:r>
      <w:r>
        <w:rPr>
          <w:rFonts w:hint="eastAsia" w:hAnsi="宋体"/>
          <w:color w:val="000000" w:themeColor="text1"/>
          <w:szCs w:val="21"/>
          <w:highlight w:val="none"/>
          <w14:textFill>
            <w14:solidFill>
              <w14:schemeClr w14:val="tx1"/>
            </w14:solidFill>
          </w14:textFill>
        </w:rPr>
        <w:t>直接</w:t>
      </w:r>
      <w:r>
        <w:rPr>
          <w:rFonts w:hAnsi="宋体"/>
          <w:color w:val="000000" w:themeColor="text1"/>
          <w:szCs w:val="21"/>
          <w:highlight w:val="none"/>
          <w14:textFill>
            <w14:solidFill>
              <w14:schemeClr w14:val="tx1"/>
            </w14:solidFill>
          </w14:textFill>
        </w:rPr>
        <w:t>从</w:t>
      </w:r>
      <w:r>
        <w:rPr>
          <w:rFonts w:hint="eastAsia" w:hAnsi="宋体"/>
          <w:color w:val="000000" w:themeColor="text1"/>
          <w:szCs w:val="21"/>
          <w:highlight w:val="none"/>
          <w14:textFill>
            <w14:solidFill>
              <w14:schemeClr w14:val="tx1"/>
            </w14:solidFill>
          </w14:textFill>
        </w:rPr>
        <w:t>结算价格</w:t>
      </w:r>
      <w:r>
        <w:rPr>
          <w:rFonts w:hAnsi="宋体"/>
          <w:color w:val="000000" w:themeColor="text1"/>
          <w:szCs w:val="21"/>
          <w:highlight w:val="none"/>
          <w14:textFill>
            <w14:solidFill>
              <w14:schemeClr w14:val="tx1"/>
            </w14:solidFill>
          </w14:textFill>
        </w:rPr>
        <w:t>中扣除该等费用</w:t>
      </w:r>
      <w:r>
        <w:rPr>
          <w:rFonts w:hint="eastAsia" w:hAnsi="宋体"/>
          <w:color w:val="000000" w:themeColor="text1"/>
          <w:szCs w:val="21"/>
          <w:highlight w:val="none"/>
          <w14:textFill>
            <w14:solidFill>
              <w14:schemeClr w14:val="tx1"/>
            </w14:solidFill>
          </w14:textFill>
        </w:rPr>
        <w:t>。</w:t>
      </w:r>
    </w:p>
    <w:p>
      <w:pPr>
        <w:pStyle w:val="55"/>
        <w:tabs>
          <w:tab w:val="left" w:pos="2564"/>
          <w:tab w:val="clear" w:pos="720"/>
        </w:tabs>
        <w:adjustRightInd w:val="0"/>
        <w:snapToGrid w:val="0"/>
        <w:spacing w:before="93" w:beforeLines="30" w:after="93" w:afterLines="30" w:line="240" w:lineRule="auto"/>
        <w:jc w:val="left"/>
        <w:rPr>
          <w:rFonts w:ascii="Times New Roman"/>
          <w:color w:val="000000" w:themeColor="text1"/>
          <w:sz w:val="21"/>
          <w:szCs w:val="21"/>
          <w:highlight w:val="none"/>
          <w14:textFill>
            <w14:solidFill>
              <w14:schemeClr w14:val="tx1"/>
            </w14:solidFill>
          </w14:textFill>
        </w:rPr>
      </w:pPr>
      <w:bookmarkStart w:id="58" w:name="_Toc299915687"/>
      <w:bookmarkStart w:id="59" w:name="_Toc364839368"/>
      <w:r>
        <w:rPr>
          <w:rFonts w:hint="eastAsia" w:ascii="Times New Roman"/>
          <w:color w:val="000000" w:themeColor="text1"/>
          <w:sz w:val="21"/>
          <w:szCs w:val="21"/>
          <w:highlight w:val="none"/>
          <w14:textFill>
            <w14:solidFill>
              <w14:schemeClr w14:val="tx1"/>
            </w14:solidFill>
          </w14:textFill>
        </w:rPr>
        <w:t>工作成果及验收</w:t>
      </w:r>
      <w:bookmarkEnd w:id="58"/>
      <w:bookmarkEnd w:id="59"/>
    </w:p>
    <w:p>
      <w:pPr>
        <w:numPr>
          <w:ilvl w:val="1"/>
          <w:numId w:val="16"/>
        </w:numPr>
        <w:tabs>
          <w:tab w:val="left" w:pos="709"/>
        </w:tabs>
        <w:adjustRightInd w:val="0"/>
        <w:snapToGrid w:val="0"/>
        <w:spacing w:before="93" w:beforeLines="30" w:after="93" w:afterLines="30"/>
        <w:ind w:left="709" w:hanging="709"/>
        <w:rPr>
          <w:rFonts w:ascii="宋体" w:hAnsi="宋体"/>
          <w:bCs/>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乙方于当次服务期限结束前应提供符合《服务委托书》要求的工作成果，并对工作</w:t>
      </w:r>
      <w:r>
        <w:rPr>
          <w:rFonts w:hAnsi="宋体"/>
          <w:color w:val="000000" w:themeColor="text1"/>
          <w:szCs w:val="21"/>
          <w:highlight w:val="none"/>
          <w14:textFill>
            <w14:solidFill>
              <w14:schemeClr w14:val="tx1"/>
            </w14:solidFill>
          </w14:textFill>
        </w:rPr>
        <w:t>成果的</w:t>
      </w:r>
      <w:r>
        <w:rPr>
          <w:rFonts w:hint="eastAsia" w:hAnsi="宋体"/>
          <w:color w:val="000000" w:themeColor="text1"/>
          <w:szCs w:val="21"/>
          <w:highlight w:val="none"/>
          <w14:textFill>
            <w14:solidFill>
              <w14:schemeClr w14:val="tx1"/>
            </w14:solidFill>
          </w14:textFill>
        </w:rPr>
        <w:t>质量</w:t>
      </w:r>
      <w:r>
        <w:rPr>
          <w:rFonts w:hAnsi="宋体"/>
          <w:color w:val="000000" w:themeColor="text1"/>
          <w:szCs w:val="21"/>
          <w:highlight w:val="none"/>
          <w14:textFill>
            <w14:solidFill>
              <w14:schemeClr w14:val="tx1"/>
            </w14:solidFill>
          </w14:textFill>
        </w:rPr>
        <w:t>负责。</w:t>
      </w:r>
      <w:r>
        <w:rPr>
          <w:rFonts w:hint="eastAsia" w:ascii="宋体" w:hAnsi="宋体"/>
          <w:color w:val="000000" w:themeColor="text1"/>
          <w:szCs w:val="21"/>
          <w:highlight w:val="none"/>
          <w14:textFill>
            <w14:solidFill>
              <w14:schemeClr w14:val="tx1"/>
            </w14:solidFill>
          </w14:textFill>
        </w:rPr>
        <w:t>双方应根据合同及当次《服务委托书》的要求对乙方工作及工作成果进行验收</w:t>
      </w:r>
      <w:r>
        <w:rPr>
          <w:rFonts w:hint="eastAsia" w:ascii="宋体" w:hAnsi="宋体"/>
          <w:bCs/>
          <w:color w:val="000000" w:themeColor="text1"/>
          <w:szCs w:val="21"/>
          <w:highlight w:val="none"/>
          <w14:textFill>
            <w14:solidFill>
              <w14:schemeClr w14:val="tx1"/>
            </w14:solidFill>
          </w14:textFill>
        </w:rPr>
        <w:t>。</w:t>
      </w:r>
    </w:p>
    <w:p>
      <w:pPr>
        <w:numPr>
          <w:ilvl w:val="1"/>
          <w:numId w:val="16"/>
        </w:numPr>
        <w:tabs>
          <w:tab w:val="left" w:pos="709"/>
        </w:tabs>
        <w:adjustRightInd w:val="0"/>
        <w:snapToGrid w:val="0"/>
        <w:spacing w:before="93" w:beforeLines="30" w:after="93" w:afterLines="30"/>
        <w:ind w:left="709" w:hanging="709"/>
        <w:rPr>
          <w:rFonts w:ascii="宋体" w:hAnsi="宋体"/>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如验收过程发现工作存在</w:t>
      </w:r>
      <w:r>
        <w:rPr>
          <w:color w:val="000000" w:themeColor="text1"/>
          <w:szCs w:val="21"/>
          <w:highlight w:val="none"/>
          <w14:textFill>
            <w14:solidFill>
              <w14:schemeClr w14:val="tx1"/>
            </w14:solidFill>
          </w14:textFill>
        </w:rPr>
        <w:t>任何缺陷、瑕疵、疏漏或不符合本合同</w:t>
      </w:r>
      <w:r>
        <w:rPr>
          <w:rFonts w:hint="eastAsia"/>
          <w:color w:val="000000" w:themeColor="text1"/>
          <w:szCs w:val="21"/>
          <w:highlight w:val="none"/>
          <w14:textFill>
            <w14:solidFill>
              <w14:schemeClr w14:val="tx1"/>
            </w14:solidFill>
          </w14:textFill>
        </w:rPr>
        <w:t>和当次《服务委托书》</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要求</w:t>
      </w:r>
      <w:r>
        <w:rPr>
          <w:color w:val="000000" w:themeColor="text1"/>
          <w:szCs w:val="21"/>
          <w:highlight w:val="none"/>
          <w14:textFill>
            <w14:solidFill>
              <w14:schemeClr w14:val="tx1"/>
            </w14:solidFill>
          </w14:textFill>
        </w:rPr>
        <w:t>，乙方应根据甲方的要求，立即采取一切必要、合理的补救措施排除该等缺陷、瑕疵和疏漏。乙方应承担因此发生的一切费用</w:t>
      </w:r>
      <w:r>
        <w:rPr>
          <w:rFonts w:hint="eastAsia"/>
          <w:color w:val="000000" w:themeColor="text1"/>
          <w:szCs w:val="21"/>
          <w:highlight w:val="none"/>
          <w14:textFill>
            <w14:solidFill>
              <w14:schemeClr w14:val="tx1"/>
            </w14:solidFill>
          </w14:textFill>
        </w:rPr>
        <w:t>和责任</w:t>
      </w:r>
      <w:r>
        <w:rPr>
          <w:color w:val="000000" w:themeColor="text1"/>
          <w:szCs w:val="21"/>
          <w:highlight w:val="none"/>
          <w14:textFill>
            <w14:solidFill>
              <w14:schemeClr w14:val="tx1"/>
            </w14:solidFill>
          </w14:textFill>
        </w:rPr>
        <w:t>。</w:t>
      </w:r>
    </w:p>
    <w:p>
      <w:pPr>
        <w:numPr>
          <w:ilvl w:val="1"/>
          <w:numId w:val="16"/>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甲方验收乙方工作并不减少、免除乙方本合同项下的任何义务</w:t>
      </w:r>
      <w:r>
        <w:rPr>
          <w:rFonts w:hint="eastAsia" w:ascii="宋体" w:hAnsi="宋体"/>
          <w:color w:val="000000" w:themeColor="text1"/>
          <w:szCs w:val="21"/>
          <w:highlight w:val="none"/>
          <w14:textFill>
            <w14:solidFill>
              <w14:schemeClr w14:val="tx1"/>
            </w14:solidFill>
          </w14:textFill>
        </w:rPr>
        <w:t>（包括乙方对工作达到本合同和当次《服务委托书》要求应承担的责任）。</w:t>
      </w:r>
    </w:p>
    <w:p>
      <w:pPr>
        <w:pStyle w:val="55"/>
        <w:tabs>
          <w:tab w:val="left" w:pos="2564"/>
          <w:tab w:val="clear" w:pos="720"/>
        </w:tabs>
        <w:adjustRightInd w:val="0"/>
        <w:snapToGrid w:val="0"/>
        <w:spacing w:before="93" w:beforeLines="30" w:after="93" w:afterLines="30" w:line="240" w:lineRule="auto"/>
        <w:jc w:val="left"/>
        <w:rPr>
          <w:rFonts w:ascii="Times New Roman" w:hAnsi="Times New Roman"/>
          <w:color w:val="000000" w:themeColor="text1"/>
          <w:sz w:val="21"/>
          <w:szCs w:val="21"/>
          <w:highlight w:val="none"/>
          <w14:textFill>
            <w14:solidFill>
              <w14:schemeClr w14:val="tx1"/>
            </w14:solidFill>
          </w14:textFill>
        </w:rPr>
      </w:pPr>
      <w:bookmarkStart w:id="60" w:name="_Toc364839369"/>
      <w:bookmarkStart w:id="61" w:name="_Toc299915688"/>
      <w:r>
        <w:rPr>
          <w:rFonts w:hint="eastAsia" w:ascii="Times New Roman"/>
          <w:color w:val="000000" w:themeColor="text1"/>
          <w:sz w:val="21"/>
          <w:szCs w:val="21"/>
          <w:highlight w:val="none"/>
          <w14:textFill>
            <w14:solidFill>
              <w14:schemeClr w14:val="tx1"/>
            </w14:solidFill>
          </w14:textFill>
        </w:rPr>
        <w:t>质量保证</w:t>
      </w:r>
      <w:bookmarkEnd w:id="60"/>
      <w:bookmarkEnd w:id="61"/>
    </w:p>
    <w:p>
      <w:pPr>
        <w:numPr>
          <w:ilvl w:val="1"/>
          <w:numId w:val="16"/>
        </w:numPr>
        <w:tabs>
          <w:tab w:val="left" w:pos="709"/>
        </w:tabs>
        <w:adjustRightInd w:val="0"/>
        <w:snapToGrid w:val="0"/>
        <w:spacing w:before="93" w:beforeLines="30" w:after="93" w:afterLines="30"/>
        <w:ind w:left="709" w:hanging="709"/>
        <w:rPr>
          <w:rFonts w:hint="eastAsia"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承诺</w:t>
      </w:r>
      <w:r>
        <w:rPr>
          <w:rFonts w:ascii="宋体" w:hAnsi="宋体"/>
          <w:color w:val="000000" w:themeColor="text1"/>
          <w:szCs w:val="21"/>
          <w:highlight w:val="none"/>
          <w14:textFill>
            <w14:solidFill>
              <w14:schemeClr w14:val="tx1"/>
            </w14:solidFill>
          </w14:textFill>
        </w:rPr>
        <w:t>，其</w:t>
      </w:r>
      <w:r>
        <w:rPr>
          <w:rFonts w:hint="eastAsia" w:ascii="宋体" w:hAnsi="宋体"/>
          <w:color w:val="000000" w:themeColor="text1"/>
          <w:szCs w:val="21"/>
          <w:highlight w:val="none"/>
          <w14:textFill>
            <w14:solidFill>
              <w14:schemeClr w14:val="tx1"/>
            </w14:solidFill>
          </w14:textFill>
        </w:rPr>
        <w:t>任何</w:t>
      </w:r>
      <w:r>
        <w:rPr>
          <w:rFonts w:ascii="宋体" w:hAnsi="宋体"/>
          <w:color w:val="000000" w:themeColor="text1"/>
          <w:szCs w:val="21"/>
          <w:highlight w:val="none"/>
          <w14:textFill>
            <w14:solidFill>
              <w14:schemeClr w14:val="tx1"/>
            </w14:solidFill>
          </w14:textFill>
        </w:rPr>
        <w:t>工作和交付的</w:t>
      </w:r>
      <w:r>
        <w:rPr>
          <w:rFonts w:hint="eastAsia" w:ascii="宋体" w:hAnsi="宋体"/>
          <w:color w:val="000000" w:themeColor="text1"/>
          <w:szCs w:val="21"/>
          <w:highlight w:val="none"/>
          <w14:textFill>
            <w14:solidFill>
              <w14:schemeClr w14:val="tx1"/>
            </w14:solidFill>
          </w14:textFill>
        </w:rPr>
        <w:t>工作成果</w:t>
      </w:r>
      <w:r>
        <w:rPr>
          <w:rFonts w:ascii="宋体" w:hAnsi="宋体"/>
          <w:color w:val="000000" w:themeColor="text1"/>
          <w:szCs w:val="21"/>
          <w:highlight w:val="none"/>
          <w14:textFill>
            <w14:solidFill>
              <w14:schemeClr w14:val="tx1"/>
            </w14:solidFill>
          </w14:textFill>
        </w:rPr>
        <w:t>符合</w:t>
      </w:r>
      <w:r>
        <w:rPr>
          <w:rFonts w:hint="eastAsia" w:ascii="宋体" w:hAnsi="宋体"/>
          <w:color w:val="000000" w:themeColor="text1"/>
          <w:szCs w:val="21"/>
          <w:highlight w:val="none"/>
          <w14:textFill>
            <w14:solidFill>
              <w14:schemeClr w14:val="tx1"/>
            </w14:solidFill>
          </w14:textFill>
        </w:rPr>
        <w:t>本合同及《服务委托书》、法律法规、行业规范、标准和良好的行业惯例的要求</w:t>
      </w:r>
      <w:r>
        <w:rPr>
          <w:rFonts w:ascii="宋体" w:hAnsi="宋体"/>
          <w:color w:val="000000" w:themeColor="text1"/>
          <w:szCs w:val="21"/>
          <w:highlight w:val="none"/>
          <w14:textFill>
            <w14:solidFill>
              <w14:schemeClr w14:val="tx1"/>
            </w14:solidFill>
          </w14:textFill>
        </w:rPr>
        <w:t>，不存在任何缺</w:t>
      </w:r>
      <w:r>
        <w:rPr>
          <w:rFonts w:hint="eastAsia" w:ascii="宋体" w:hAnsi="宋体"/>
          <w:bCs/>
          <w:color w:val="000000" w:themeColor="text1"/>
          <w:szCs w:val="21"/>
          <w:highlight w:val="none"/>
          <w14:textFill>
            <w14:solidFill>
              <w14:schemeClr w14:val="tx1"/>
            </w14:solidFill>
          </w14:textFill>
        </w:rPr>
        <w:t>陷。</w:t>
      </w:r>
    </w:p>
    <w:p>
      <w:pPr>
        <w:numPr>
          <w:ilvl w:val="1"/>
          <w:numId w:val="16"/>
        </w:numPr>
        <w:tabs>
          <w:tab w:val="left" w:pos="709"/>
        </w:tabs>
        <w:adjustRightInd w:val="0"/>
        <w:snapToGrid w:val="0"/>
        <w:spacing w:before="93" w:beforeLines="30" w:after="93" w:afterLines="30"/>
        <w:ind w:left="709" w:hanging="70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质保期为自乙方工作和或工作成果交付验收合格之日起【</w:t>
      </w:r>
      <w:r>
        <w:rPr>
          <w:rFonts w:hint="eastAsia" w:ascii="宋体" w:hAnsi="宋体"/>
          <w:bCs/>
          <w:color w:val="000000" w:themeColor="text1"/>
          <w:szCs w:val="21"/>
          <w:highlight w:val="none"/>
          <w:shd w:val="clear" w:color="auto" w:fill="auto"/>
          <w14:textFill>
            <w14:solidFill>
              <w14:schemeClr w14:val="tx1"/>
            </w14:solidFill>
          </w14:textFill>
        </w:rPr>
        <w:t>十二（12）</w:t>
      </w:r>
      <w:r>
        <w:rPr>
          <w:rFonts w:hint="eastAsia" w:ascii="宋体" w:hAnsi="宋体"/>
          <w:bCs/>
          <w:color w:val="000000" w:themeColor="text1"/>
          <w:szCs w:val="21"/>
          <w:highlight w:val="none"/>
          <w14:textFill>
            <w14:solidFill>
              <w14:schemeClr w14:val="tx1"/>
            </w14:solidFill>
          </w14:textFill>
        </w:rPr>
        <w:t>】个月。</w:t>
      </w:r>
    </w:p>
    <w:p>
      <w:pPr>
        <w:numPr>
          <w:ilvl w:val="1"/>
          <w:numId w:val="16"/>
        </w:numPr>
        <w:adjustRightInd w:val="0"/>
        <w:snapToGrid w:val="0"/>
        <w:spacing w:before="93" w:beforeLines="30" w:after="93" w:afterLines="30" w:line="276" w:lineRule="auto"/>
        <w:ind w:left="709"/>
        <w:jc w:val="both"/>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如果乙方完成的工作或提交的工作成果在质保期内出现任何属于本合同第9.1款规定的质量保证范围内的问题，甲方应及时通知乙方，乙方应在收到该等通知后【</w:t>
      </w:r>
      <w:r>
        <w:rPr>
          <w:rFonts w:hint="eastAsia" w:ascii="宋体" w:hAnsi="宋体"/>
          <w:bCs/>
          <w:color w:val="000000" w:themeColor="text1"/>
          <w:szCs w:val="21"/>
          <w:highlight w:val="none"/>
          <w:shd w:val="clear" w:color="auto" w:fill="auto"/>
          <w14:textFill>
            <w14:solidFill>
              <w14:schemeClr w14:val="tx1"/>
            </w14:solidFill>
          </w14:textFill>
        </w:rPr>
        <w:t>24小时</w:t>
      </w:r>
      <w:r>
        <w:rPr>
          <w:rFonts w:hint="eastAsia" w:ascii="宋体" w:hAnsi="宋体"/>
          <w:bCs/>
          <w:color w:val="000000" w:themeColor="text1"/>
          <w:szCs w:val="21"/>
          <w:highlight w:val="none"/>
          <w14:textFill>
            <w14:solidFill>
              <w14:schemeClr w14:val="tx1"/>
            </w14:solidFill>
          </w14:textFill>
        </w:rPr>
        <w:t>】内予以回复，并在甲方要求的合理时间内委派人员进行修复或重新实施相关工作（“整改工作”） ，直至消除该等缺陷。整改后的工作</w:t>
      </w:r>
      <w:r>
        <w:rPr>
          <w:rFonts w:hint="eastAsia" w:ascii="宋体" w:hAnsi="宋体" w:eastAsiaTheme="minorEastAsia"/>
          <w:bCs/>
          <w:color w:val="000000" w:themeColor="text1"/>
          <w:szCs w:val="21"/>
          <w:highlight w:val="none"/>
          <w14:textFill>
            <w14:solidFill>
              <w14:schemeClr w14:val="tx1"/>
            </w14:solidFill>
          </w14:textFill>
        </w:rPr>
        <w:t>或工作成果</w:t>
      </w:r>
      <w:r>
        <w:rPr>
          <w:rFonts w:hint="eastAsia" w:ascii="宋体" w:hAnsi="宋体"/>
          <w:bCs/>
          <w:color w:val="000000" w:themeColor="text1"/>
          <w:szCs w:val="21"/>
          <w:highlight w:val="none"/>
          <w14:textFill>
            <w14:solidFill>
              <w14:schemeClr w14:val="tx1"/>
            </w14:solidFill>
          </w14:textFill>
        </w:rPr>
        <w:t>的质保期自修复或重新实施之日起重新计算。</w:t>
      </w:r>
      <w:r>
        <w:rPr>
          <w:rFonts w:hint="eastAsia" w:ascii="宋体" w:hAnsi="宋体" w:eastAsiaTheme="minorEastAsia"/>
          <w:bCs/>
          <w:color w:val="000000" w:themeColor="text1"/>
          <w:szCs w:val="21"/>
          <w:highlight w:val="none"/>
          <w14:textFill>
            <w14:solidFill>
              <w14:schemeClr w14:val="tx1"/>
            </w14:solidFill>
          </w14:textFill>
        </w:rPr>
        <w:t>如乙方未能按照上述约定采取相关措施，甲方有权委托第三方完成，由此产生的相关费用由乙方承担。</w:t>
      </w:r>
      <w:r>
        <w:rPr>
          <w:rFonts w:hint="eastAsia" w:ascii="宋体" w:hAnsi="宋体"/>
          <w:bCs/>
          <w:color w:val="000000" w:themeColor="text1"/>
          <w:szCs w:val="21"/>
          <w:highlight w:val="none"/>
          <w14:textFill>
            <w14:solidFill>
              <w14:schemeClr w14:val="tx1"/>
            </w14:solidFill>
          </w14:textFill>
        </w:rPr>
        <w:t xml:space="preserve"> </w:t>
      </w:r>
    </w:p>
    <w:p>
      <w:pPr>
        <w:numPr>
          <w:ilvl w:val="1"/>
          <w:numId w:val="16"/>
        </w:numPr>
        <w:tabs>
          <w:tab w:val="left" w:pos="709"/>
        </w:tabs>
        <w:adjustRightInd w:val="0"/>
        <w:snapToGrid w:val="0"/>
        <w:spacing w:before="93" w:beforeLines="30" w:after="93" w:afterLines="30"/>
        <w:ind w:left="709" w:hanging="70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对于质保期内的任何整改工作，乙方应编制实施方案报甲方批准。相关工作完成后，乙方应进行检验，并出具修复、检验报告。</w:t>
      </w:r>
    </w:p>
    <w:p>
      <w:pPr>
        <w:numPr>
          <w:ilvl w:val="1"/>
          <w:numId w:val="16"/>
        </w:numPr>
        <w:tabs>
          <w:tab w:val="left" w:pos="709"/>
        </w:tabs>
        <w:adjustRightInd w:val="0"/>
        <w:snapToGrid w:val="0"/>
        <w:spacing w:before="93" w:beforeLines="30" w:after="93" w:afterLines="30" w:line="240" w:lineRule="auto"/>
        <w:ind w:left="709" w:hanging="709"/>
        <w:jc w:val="left"/>
        <w:rPr>
          <w:rFonts w:hint="eastAsia" w:ascii="宋体" w:hAnsi="宋体"/>
          <w:bCs/>
          <w:color w:val="000000" w:themeColor="text1"/>
          <w:sz w:val="21"/>
          <w:szCs w:val="21"/>
          <w:highlight w:val="none"/>
          <w14:textFill>
            <w14:solidFill>
              <w14:schemeClr w14:val="tx1"/>
            </w14:solidFill>
          </w14:textFill>
        </w:rPr>
      </w:pPr>
      <w:bookmarkStart w:id="62" w:name="_Toc299915691"/>
      <w:bookmarkStart w:id="63" w:name="_Toc299912675"/>
      <w:bookmarkStart w:id="64" w:name="_Toc364839370"/>
      <w:r>
        <w:rPr>
          <w:rFonts w:hint="eastAsia" w:ascii="宋体" w:hAnsi="宋体"/>
          <w:bCs/>
          <w:color w:val="000000" w:themeColor="text1"/>
          <w:sz w:val="21"/>
          <w:szCs w:val="21"/>
          <w:highlight w:val="none"/>
          <w14:textFill>
            <w14:solidFill>
              <w14:schemeClr w14:val="tx1"/>
            </w14:solidFill>
          </w14:textFill>
        </w:rPr>
        <w:t>工作变更</w:t>
      </w:r>
      <w:bookmarkEnd w:id="62"/>
      <w:bookmarkEnd w:id="63"/>
      <w:bookmarkEnd w:id="64"/>
    </w:p>
    <w:p>
      <w:pPr>
        <w:numPr>
          <w:ilvl w:val="1"/>
          <w:numId w:val="16"/>
        </w:numPr>
        <w:tabs>
          <w:tab w:val="left" w:pos="709"/>
        </w:tabs>
        <w:adjustRightInd w:val="0"/>
        <w:snapToGrid w:val="0"/>
        <w:spacing w:before="93" w:beforeLines="30" w:after="93" w:afterLines="30"/>
        <w:ind w:left="709" w:hanging="709"/>
        <w:rPr>
          <w:rFonts w:hint="eastAsia" w:ascii="宋体" w:hAnsi="宋体"/>
          <w:bCs/>
          <w:color w:val="000000" w:themeColor="text1"/>
          <w:spacing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无论基于何种原因，甲方</w:t>
      </w:r>
      <w:r>
        <w:rPr>
          <w:rFonts w:hint="eastAsia" w:ascii="宋体" w:hAnsi="宋体"/>
          <w:bCs/>
          <w:color w:val="000000" w:themeColor="text1"/>
          <w:spacing w:val="0"/>
          <w:szCs w:val="21"/>
          <w:highlight w:val="none"/>
          <w14:textFill>
            <w14:solidFill>
              <w14:schemeClr w14:val="tx1"/>
            </w14:solidFill>
          </w14:textFill>
        </w:rPr>
        <w:t>有权随时向乙方发出工作变更通知，要求进行工作变更。</w:t>
      </w:r>
    </w:p>
    <w:p>
      <w:pPr>
        <w:numPr>
          <w:ilvl w:val="1"/>
          <w:numId w:val="16"/>
        </w:numPr>
        <w:tabs>
          <w:tab w:val="left" w:pos="709"/>
        </w:tabs>
        <w:adjustRightInd w:val="0"/>
        <w:snapToGrid w:val="0"/>
        <w:spacing w:before="93" w:beforeLines="30" w:after="93" w:afterLines="30"/>
        <w:ind w:left="709" w:hanging="70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收到变更通知后</w:t>
      </w:r>
      <w:r>
        <w:rPr>
          <w:rFonts w:hint="eastAsia" w:ascii="宋体" w:hAnsi="宋体"/>
          <w:bCs/>
          <w:color w:val="000000" w:themeColor="text1"/>
          <w:szCs w:val="21"/>
          <w:highlight w:val="none"/>
          <w:shd w:val="clear" w:color="auto" w:fill="auto"/>
          <w14:textFill>
            <w14:solidFill>
              <w14:schemeClr w14:val="tx1"/>
            </w14:solidFill>
          </w14:textFill>
        </w:rPr>
        <w:t>【二（2）】</w:t>
      </w:r>
      <w:r>
        <w:rPr>
          <w:rFonts w:hint="eastAsia" w:ascii="宋体" w:hAnsi="宋体"/>
          <w:bCs/>
          <w:color w:val="000000" w:themeColor="text1"/>
          <w:szCs w:val="21"/>
          <w:highlight w:val="none"/>
          <w14:textFill>
            <w14:solidFill>
              <w14:schemeClr w14:val="tx1"/>
            </w14:solidFill>
          </w14:textFill>
        </w:rPr>
        <w:t>日内，乙方应向甲方提交变更的实施方案以及变更的影响：</w:t>
      </w:r>
    </w:p>
    <w:p>
      <w:pPr>
        <w:numPr>
          <w:ilvl w:val="2"/>
          <w:numId w:val="17"/>
        </w:numPr>
        <w:tabs>
          <w:tab w:val="left" w:pos="1276"/>
          <w:tab w:val="clear" w:pos="280"/>
        </w:tabs>
        <w:adjustRightInd w:val="0"/>
        <w:snapToGrid w:val="0"/>
        <w:spacing w:before="93" w:beforeLines="30" w:after="93" w:afterLines="30"/>
        <w:ind w:left="1205" w:leftChars="338" w:hanging="495" w:hangingChars="23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变更对工作的影响；</w:t>
      </w:r>
    </w:p>
    <w:p>
      <w:pPr>
        <w:numPr>
          <w:ilvl w:val="2"/>
          <w:numId w:val="17"/>
        </w:numPr>
        <w:tabs>
          <w:tab w:val="left" w:pos="1276"/>
          <w:tab w:val="clear" w:pos="280"/>
        </w:tabs>
        <w:adjustRightInd w:val="0"/>
        <w:snapToGrid w:val="0"/>
        <w:spacing w:before="93" w:beforeLines="30" w:after="93" w:afterLines="30"/>
        <w:ind w:left="1205" w:leftChars="338" w:hanging="495" w:hangingChars="23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变更对工作期限的影响；</w:t>
      </w:r>
    </w:p>
    <w:p>
      <w:pPr>
        <w:numPr>
          <w:ilvl w:val="2"/>
          <w:numId w:val="17"/>
        </w:numPr>
        <w:tabs>
          <w:tab w:val="left" w:pos="1276"/>
          <w:tab w:val="clear" w:pos="280"/>
        </w:tabs>
        <w:adjustRightInd w:val="0"/>
        <w:snapToGrid w:val="0"/>
        <w:spacing w:before="93" w:beforeLines="30" w:after="93" w:afterLines="30"/>
        <w:ind w:left="1205" w:leftChars="338" w:hanging="495" w:hangingChars="23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变更对合同价款的影响；</w:t>
      </w:r>
    </w:p>
    <w:p>
      <w:pPr>
        <w:numPr>
          <w:ilvl w:val="2"/>
          <w:numId w:val="17"/>
        </w:numPr>
        <w:tabs>
          <w:tab w:val="left" w:pos="1276"/>
          <w:tab w:val="clear" w:pos="280"/>
        </w:tabs>
        <w:adjustRightInd w:val="0"/>
        <w:snapToGrid w:val="0"/>
        <w:spacing w:before="93" w:beforeLines="30" w:after="93" w:afterLines="30"/>
        <w:ind w:left="1205" w:leftChars="338" w:hanging="495" w:hangingChars="23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实施变更的要求和方案。</w:t>
      </w:r>
    </w:p>
    <w:p>
      <w:pPr>
        <w:tabs>
          <w:tab w:val="left" w:pos="709"/>
        </w:tabs>
        <w:adjustRightInd w:val="0"/>
        <w:snapToGrid w:val="0"/>
        <w:spacing w:before="93" w:beforeLines="30" w:after="93" w:afterLines="30"/>
        <w:ind w:left="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对于上述事项，乙方应提供适当的证明文件。</w:t>
      </w:r>
    </w:p>
    <w:p>
      <w:pPr>
        <w:numPr>
          <w:ilvl w:val="0"/>
          <w:numId w:val="18"/>
        </w:numPr>
        <w:tabs>
          <w:tab w:val="left" w:pos="709"/>
        </w:tabs>
        <w:adjustRightInd w:val="0"/>
        <w:snapToGrid w:val="0"/>
        <w:spacing w:before="93" w:beforeLines="30" w:after="93" w:afterLines="30"/>
        <w:ind w:left="709" w:hanging="709"/>
        <w:rPr>
          <w:color w:val="000000" w:themeColor="text1"/>
          <w:spacing w:val="-2"/>
          <w:szCs w:val="21"/>
          <w:highlight w:val="none"/>
          <w14:textFill>
            <w14:solidFill>
              <w14:schemeClr w14:val="tx1"/>
            </w14:solidFill>
          </w14:textFill>
        </w:rPr>
      </w:pPr>
      <w:r>
        <w:rPr>
          <w:color w:val="000000" w:themeColor="text1"/>
          <w:szCs w:val="21"/>
          <w:highlight w:val="none"/>
          <w14:textFill>
            <w14:solidFill>
              <w14:schemeClr w14:val="tx1"/>
            </w14:solidFill>
          </w14:textFill>
        </w:rPr>
        <w:t>乙方提交变更</w:t>
      </w:r>
      <w:r>
        <w:rPr>
          <w:rFonts w:hint="eastAsia"/>
          <w:color w:val="000000" w:themeColor="text1"/>
          <w:szCs w:val="21"/>
          <w:highlight w:val="none"/>
          <w14:textFill>
            <w14:solidFill>
              <w14:schemeClr w14:val="tx1"/>
            </w14:solidFill>
          </w14:textFill>
        </w:rPr>
        <w:t>影响并经甲方评估后</w:t>
      </w:r>
      <w:r>
        <w:rPr>
          <w:color w:val="000000" w:themeColor="text1"/>
          <w:szCs w:val="21"/>
          <w:highlight w:val="none"/>
          <w14:textFill>
            <w14:solidFill>
              <w14:schemeClr w14:val="tx1"/>
            </w14:solidFill>
          </w14:textFill>
        </w:rPr>
        <w:t>，双方应就工作变更及其影响进行协商。如双方就相关事项达成一致，且甲方决定实施工作变更，双方将共同签署变更确认单</w:t>
      </w:r>
      <w:r>
        <w:rPr>
          <w:rFonts w:hint="eastAsia"/>
          <w:color w:val="000000" w:themeColor="text1"/>
          <w:szCs w:val="21"/>
          <w:highlight w:val="none"/>
          <w14:textFill>
            <w14:solidFill>
              <w14:schemeClr w14:val="tx1"/>
            </w14:solidFill>
          </w14:textFill>
        </w:rPr>
        <w:t>或另行签署合同对本合同进行变更</w:t>
      </w:r>
      <w:r>
        <w:rPr>
          <w:color w:val="000000" w:themeColor="text1"/>
          <w:szCs w:val="21"/>
          <w:highlight w:val="none"/>
          <w14:textFill>
            <w14:solidFill>
              <w14:schemeClr w14:val="tx1"/>
            </w14:solidFill>
          </w14:textFill>
        </w:rPr>
        <w:t>，乙方应立即执行。如双方未能就工作变更事项达成一致，甲方有权单方面发出工作变更指令。乙方收到工作变更指令后，应立即实施相关工作</w:t>
      </w:r>
      <w:r>
        <w:rPr>
          <w:rFonts w:hint="eastAsia"/>
          <w:color w:val="000000" w:themeColor="text1"/>
          <w:szCs w:val="21"/>
          <w:highlight w:val="none"/>
          <w14:textFill>
            <w14:solidFill>
              <w14:schemeClr w14:val="tx1"/>
            </w14:solidFill>
          </w14:textFill>
        </w:rPr>
        <w:t>。</w:t>
      </w:r>
    </w:p>
    <w:p>
      <w:pPr>
        <w:numPr>
          <w:ilvl w:val="0"/>
          <w:numId w:val="18"/>
        </w:numPr>
        <w:tabs>
          <w:tab w:val="left" w:pos="709"/>
        </w:tabs>
        <w:adjustRightInd w:val="0"/>
        <w:snapToGrid w:val="0"/>
        <w:spacing w:before="93" w:beforeLines="30" w:after="93" w:afterLines="30"/>
        <w:ind w:left="709" w:hanging="709"/>
        <w:rPr>
          <w:color w:val="000000" w:themeColor="text1"/>
          <w:spacing w:val="-2"/>
          <w:szCs w:val="21"/>
          <w:highlight w:val="none"/>
          <w14:textFill>
            <w14:solidFill>
              <w14:schemeClr w14:val="tx1"/>
            </w14:solidFill>
          </w14:textFill>
        </w:rPr>
      </w:pPr>
      <w:r>
        <w:rPr>
          <w:color w:val="000000" w:themeColor="text1"/>
          <w:spacing w:val="-2"/>
          <w:szCs w:val="21"/>
          <w:highlight w:val="none"/>
          <w14:textFill>
            <w14:solidFill>
              <w14:schemeClr w14:val="tx1"/>
            </w14:solidFill>
          </w14:textFill>
        </w:rPr>
        <w:t>未经甲方同意，乙方不得进行任何工作变更。</w:t>
      </w:r>
    </w:p>
    <w:p>
      <w:pPr>
        <w:pStyle w:val="55"/>
        <w:tabs>
          <w:tab w:val="left" w:pos="2564"/>
          <w:tab w:val="clear" w:pos="720"/>
        </w:tabs>
        <w:adjustRightInd w:val="0"/>
        <w:snapToGrid w:val="0"/>
        <w:spacing w:before="93" w:beforeLines="30" w:after="93" w:afterLines="30" w:line="240" w:lineRule="auto"/>
        <w:jc w:val="left"/>
        <w:rPr>
          <w:rFonts w:ascii="Times New Roman" w:hAnsi="宋体"/>
          <w:bCs w:val="0"/>
          <w:color w:val="000000" w:themeColor="text1"/>
          <w:sz w:val="21"/>
          <w:szCs w:val="21"/>
          <w:highlight w:val="none"/>
          <w14:textFill>
            <w14:solidFill>
              <w14:schemeClr w14:val="tx1"/>
            </w14:solidFill>
          </w14:textFill>
        </w:rPr>
      </w:pPr>
      <w:bookmarkStart w:id="65" w:name="_Toc364839371"/>
      <w:bookmarkStart w:id="66" w:name="_Toc299915693"/>
      <w:r>
        <w:rPr>
          <w:rFonts w:hint="eastAsia" w:ascii="Times New Roman" w:hAnsi="宋体"/>
          <w:bCs w:val="0"/>
          <w:color w:val="000000" w:themeColor="text1"/>
          <w:sz w:val="21"/>
          <w:szCs w:val="21"/>
          <w:highlight w:val="none"/>
          <w14:textFill>
            <w14:solidFill>
              <w14:schemeClr w14:val="tx1"/>
            </w14:solidFill>
          </w14:textFill>
        </w:rPr>
        <w:t>工作暂停</w:t>
      </w:r>
      <w:bookmarkEnd w:id="65"/>
      <w:bookmarkEnd w:id="66"/>
    </w:p>
    <w:p>
      <w:pPr>
        <w:numPr>
          <w:ilvl w:val="1"/>
          <w:numId w:val="19"/>
        </w:numPr>
        <w:tabs>
          <w:tab w:val="left" w:pos="709"/>
          <w:tab w:val="clear" w:pos="540"/>
        </w:tabs>
        <w:adjustRightInd w:val="0"/>
        <w:snapToGrid w:val="0"/>
        <w:spacing w:before="93" w:beforeLines="30" w:after="93" w:afterLines="30"/>
        <w:ind w:left="709" w:hanging="709"/>
        <w:rPr>
          <w:rFonts w:hAnsi="宋体"/>
          <w:bCs/>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乙方造成的暂停</w:t>
      </w:r>
      <w:r>
        <w:rPr>
          <w:rFonts w:hint="eastAsia" w:hAnsi="宋体"/>
          <w:bCs/>
          <w:color w:val="000000" w:themeColor="text1"/>
          <w:szCs w:val="21"/>
          <w:highlight w:val="none"/>
          <w14:textFill>
            <w14:solidFill>
              <w14:schemeClr w14:val="tx1"/>
            </w14:solidFill>
          </w14:textFill>
        </w:rPr>
        <w:t>：</w:t>
      </w:r>
    </w:p>
    <w:p>
      <w:pPr>
        <w:tabs>
          <w:tab w:val="left" w:pos="709"/>
        </w:tabs>
        <w:adjustRightInd w:val="0"/>
        <w:snapToGrid w:val="0"/>
        <w:spacing w:before="93" w:beforeLines="30" w:after="93" w:afterLines="30"/>
        <w:ind w:left="708" w:leftChars="337"/>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如甲方认为乙方的工作存在重大缺陷或与本合同和《服务委托书》要求不符，甲方有权要求乙方暂停全部或部分工作，直至乙方采取措施消除该等缺陷。乙方消除相关缺陷并经甲方同意后，方可恢复工作。甲方对该等停工造成的损失不承担任何责任，乙方无权要求调整合同结算价格或工作期限，</w:t>
      </w:r>
      <w:r>
        <w:rPr>
          <w:rFonts w:hint="eastAsia"/>
          <w:color w:val="000000" w:themeColor="text1"/>
          <w:highlight w:val="none"/>
          <w14:textFill>
            <w14:solidFill>
              <w14:schemeClr w14:val="tx1"/>
            </w14:solidFill>
          </w14:textFill>
        </w:rPr>
        <w:t>并应承担由此产生的全部风险和责任</w:t>
      </w:r>
      <w:r>
        <w:rPr>
          <w:rFonts w:hint="eastAsia" w:hAnsi="宋体"/>
          <w:bCs/>
          <w:color w:val="000000" w:themeColor="text1"/>
          <w:szCs w:val="21"/>
          <w:highlight w:val="none"/>
          <w14:textFill>
            <w14:solidFill>
              <w14:schemeClr w14:val="tx1"/>
            </w14:solidFill>
          </w14:textFill>
        </w:rPr>
        <w:t>。</w:t>
      </w:r>
    </w:p>
    <w:p>
      <w:pPr>
        <w:numPr>
          <w:ilvl w:val="1"/>
          <w:numId w:val="19"/>
        </w:numPr>
        <w:tabs>
          <w:tab w:val="left" w:pos="709"/>
          <w:tab w:val="clear" w:pos="5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甲方造成的暂停</w:t>
      </w:r>
      <w:r>
        <w:rPr>
          <w:rFonts w:hint="eastAsia"/>
          <w:color w:val="000000" w:themeColor="text1"/>
          <w:szCs w:val="21"/>
          <w:highlight w:val="none"/>
          <w14:textFill>
            <w14:solidFill>
              <w14:schemeClr w14:val="tx1"/>
            </w14:solidFill>
          </w14:textFill>
        </w:rPr>
        <w:t>：</w:t>
      </w:r>
    </w:p>
    <w:p>
      <w:pPr>
        <w:numPr>
          <w:ilvl w:val="0"/>
          <w:numId w:val="20"/>
        </w:numPr>
        <w:tabs>
          <w:tab w:val="left" w:pos="1276"/>
          <w:tab w:val="clear" w:pos="420"/>
        </w:tabs>
        <w:adjustRightInd w:val="0"/>
        <w:snapToGrid w:val="0"/>
        <w:spacing w:before="93" w:beforeLines="30" w:after="93" w:afterLines="30"/>
        <w:ind w:left="1276" w:hanging="567"/>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无论基于</w:t>
      </w:r>
      <w:r>
        <w:rPr>
          <w:rFonts w:hint="eastAsia"/>
          <w:color w:val="000000" w:themeColor="text1"/>
          <w:kern w:val="0"/>
          <w:szCs w:val="21"/>
          <w:highlight w:val="none"/>
          <w14:textFill>
            <w14:solidFill>
              <w14:schemeClr w14:val="tx1"/>
            </w14:solidFill>
          </w14:textFill>
        </w:rPr>
        <w:t>任何</w:t>
      </w:r>
      <w:r>
        <w:rPr>
          <w:color w:val="000000" w:themeColor="text1"/>
          <w:kern w:val="0"/>
          <w:szCs w:val="21"/>
          <w:highlight w:val="none"/>
          <w14:textFill>
            <w14:solidFill>
              <w14:schemeClr w14:val="tx1"/>
            </w14:solidFill>
          </w14:textFill>
        </w:rPr>
        <w:t>原因，甲方有权</w:t>
      </w:r>
      <w:r>
        <w:rPr>
          <w:rFonts w:hint="eastAsia"/>
          <w:color w:val="000000" w:themeColor="text1"/>
          <w:kern w:val="0"/>
          <w:szCs w:val="21"/>
          <w:highlight w:val="none"/>
          <w14:textFill>
            <w14:solidFill>
              <w14:schemeClr w14:val="tx1"/>
            </w14:solidFill>
          </w14:textFill>
        </w:rPr>
        <w:t>随时向乙方发出暂停通知，要求</w:t>
      </w:r>
      <w:r>
        <w:rPr>
          <w:color w:val="000000" w:themeColor="text1"/>
          <w:kern w:val="0"/>
          <w:szCs w:val="21"/>
          <w:highlight w:val="none"/>
          <w14:textFill>
            <w14:solidFill>
              <w14:schemeClr w14:val="tx1"/>
            </w14:solidFill>
          </w14:textFill>
        </w:rPr>
        <w:t>乙方暂停全部或部分</w:t>
      </w:r>
      <w:r>
        <w:rPr>
          <w:rFonts w:hint="eastAsia"/>
          <w:color w:val="000000" w:themeColor="text1"/>
          <w:kern w:val="0"/>
          <w:szCs w:val="21"/>
          <w:highlight w:val="none"/>
          <w14:textFill>
            <w14:solidFill>
              <w14:schemeClr w14:val="tx1"/>
            </w14:solidFill>
          </w14:textFill>
        </w:rPr>
        <w:t>工作</w:t>
      </w:r>
      <w:r>
        <w:rPr>
          <w:color w:val="000000" w:themeColor="text1"/>
          <w:kern w:val="0"/>
          <w:szCs w:val="21"/>
          <w:highlight w:val="none"/>
          <w14:textFill>
            <w14:solidFill>
              <w14:schemeClr w14:val="tx1"/>
            </w14:solidFill>
          </w14:textFill>
        </w:rPr>
        <w:t>。</w:t>
      </w:r>
    </w:p>
    <w:p>
      <w:pPr>
        <w:numPr>
          <w:ilvl w:val="0"/>
          <w:numId w:val="20"/>
        </w:numPr>
        <w:tabs>
          <w:tab w:val="left" w:pos="1276"/>
          <w:tab w:val="clear" w:pos="420"/>
        </w:tabs>
        <w:adjustRightInd w:val="0"/>
        <w:snapToGrid w:val="0"/>
        <w:spacing w:before="93" w:beforeLines="30" w:after="93" w:afterLines="30"/>
        <w:ind w:left="1276" w:hanging="567"/>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乙方</w:t>
      </w:r>
      <w:r>
        <w:rPr>
          <w:color w:val="000000" w:themeColor="text1"/>
          <w:kern w:val="0"/>
          <w:szCs w:val="21"/>
          <w:highlight w:val="none"/>
          <w14:textFill>
            <w14:solidFill>
              <w14:schemeClr w14:val="tx1"/>
            </w14:solidFill>
          </w14:textFill>
        </w:rPr>
        <w:t>接到</w:t>
      </w:r>
      <w:r>
        <w:rPr>
          <w:rFonts w:hint="eastAsia"/>
          <w:color w:val="000000" w:themeColor="text1"/>
          <w:kern w:val="0"/>
          <w:szCs w:val="21"/>
          <w:highlight w:val="none"/>
          <w14:textFill>
            <w14:solidFill>
              <w14:schemeClr w14:val="tx1"/>
            </w14:solidFill>
          </w14:textFill>
        </w:rPr>
        <w:t>暂停</w:t>
      </w:r>
      <w:r>
        <w:rPr>
          <w:color w:val="000000" w:themeColor="text1"/>
          <w:kern w:val="0"/>
          <w:szCs w:val="21"/>
          <w:highlight w:val="none"/>
          <w14:textFill>
            <w14:solidFill>
              <w14:schemeClr w14:val="tx1"/>
            </w14:solidFill>
          </w14:textFill>
        </w:rPr>
        <w:t>通知后，</w:t>
      </w:r>
      <w:r>
        <w:rPr>
          <w:rFonts w:hint="eastAsia"/>
          <w:color w:val="000000" w:themeColor="text1"/>
          <w:kern w:val="0"/>
          <w:szCs w:val="21"/>
          <w:highlight w:val="none"/>
          <w14:textFill>
            <w14:solidFill>
              <w14:schemeClr w14:val="tx1"/>
            </w14:solidFill>
          </w14:textFill>
        </w:rPr>
        <w:t>应根据暂停</w:t>
      </w:r>
      <w:r>
        <w:rPr>
          <w:color w:val="000000" w:themeColor="text1"/>
          <w:kern w:val="0"/>
          <w:szCs w:val="21"/>
          <w:highlight w:val="none"/>
          <w14:textFill>
            <w14:solidFill>
              <w14:schemeClr w14:val="tx1"/>
            </w14:solidFill>
          </w14:textFill>
        </w:rPr>
        <w:t>通知规定的时间及范围暂停</w:t>
      </w:r>
      <w:r>
        <w:rPr>
          <w:rFonts w:hint="eastAsia"/>
          <w:color w:val="000000" w:themeColor="text1"/>
          <w:kern w:val="0"/>
          <w:szCs w:val="21"/>
          <w:highlight w:val="none"/>
          <w14:textFill>
            <w14:solidFill>
              <w14:schemeClr w14:val="tx1"/>
            </w14:solidFill>
          </w14:textFill>
        </w:rPr>
        <w:t>工作，</w:t>
      </w:r>
      <w:r>
        <w:rPr>
          <w:rFonts w:hint="eastAsia"/>
          <w:color w:val="000000" w:themeColor="text1"/>
          <w:szCs w:val="21"/>
          <w:highlight w:val="none"/>
          <w14:textFill>
            <w14:solidFill>
              <w14:schemeClr w14:val="tx1"/>
            </w14:solidFill>
          </w14:textFill>
        </w:rPr>
        <w:t>妥善保护已完成的工作，</w:t>
      </w:r>
      <w:r>
        <w:rPr>
          <w:color w:val="000000" w:themeColor="text1"/>
          <w:kern w:val="0"/>
          <w:szCs w:val="21"/>
          <w:highlight w:val="none"/>
          <w14:textFill>
            <w14:solidFill>
              <w14:schemeClr w14:val="tx1"/>
            </w14:solidFill>
          </w14:textFill>
        </w:rPr>
        <w:t>继续执行未暂停的</w:t>
      </w:r>
      <w:r>
        <w:rPr>
          <w:rFonts w:hint="eastAsia"/>
          <w:color w:val="000000" w:themeColor="text1"/>
          <w:kern w:val="0"/>
          <w:szCs w:val="21"/>
          <w:highlight w:val="none"/>
          <w14:textFill>
            <w14:solidFill>
              <w14:schemeClr w14:val="tx1"/>
            </w14:solidFill>
          </w14:textFill>
        </w:rPr>
        <w:t>工作。</w:t>
      </w:r>
    </w:p>
    <w:p>
      <w:pPr>
        <w:numPr>
          <w:ilvl w:val="0"/>
          <w:numId w:val="20"/>
        </w:numPr>
        <w:tabs>
          <w:tab w:val="left" w:pos="1276"/>
          <w:tab w:val="clear" w:pos="420"/>
        </w:tabs>
        <w:adjustRightInd w:val="0"/>
        <w:snapToGrid w:val="0"/>
        <w:spacing w:before="93" w:beforeLines="30" w:after="93" w:afterLines="30"/>
        <w:ind w:left="1276" w:hanging="567"/>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乙方收到甲方复工通知后应立即恢复执行</w:t>
      </w:r>
      <w:r>
        <w:rPr>
          <w:rFonts w:hint="eastAsia"/>
          <w:color w:val="000000" w:themeColor="text1"/>
          <w:kern w:val="0"/>
          <w:szCs w:val="21"/>
          <w:highlight w:val="none"/>
          <w14:textFill>
            <w14:solidFill>
              <w14:schemeClr w14:val="tx1"/>
            </w14:solidFill>
          </w14:textFill>
        </w:rPr>
        <w:t>工作</w:t>
      </w:r>
      <w:r>
        <w:rPr>
          <w:color w:val="000000" w:themeColor="text1"/>
          <w:kern w:val="0"/>
          <w:szCs w:val="21"/>
          <w:highlight w:val="none"/>
          <w14:textFill>
            <w14:solidFill>
              <w14:schemeClr w14:val="tx1"/>
            </w14:solidFill>
          </w14:textFill>
        </w:rPr>
        <w:t>。</w:t>
      </w:r>
    </w:p>
    <w:p>
      <w:pPr>
        <w:numPr>
          <w:ilvl w:val="0"/>
          <w:numId w:val="20"/>
        </w:numPr>
        <w:tabs>
          <w:tab w:val="left" w:pos="1276"/>
          <w:tab w:val="clear" w:pos="420"/>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对于甲方要求的停工（因本合同第11.1原因导致的暂停除外），乙方有权根据暂停工作期限，要求对工作期限进行调整，乙方应尽量减少停工对工作期限的影响。</w:t>
      </w:r>
    </w:p>
    <w:p>
      <w:pPr>
        <w:pStyle w:val="55"/>
        <w:tabs>
          <w:tab w:val="left" w:pos="2564"/>
          <w:tab w:val="clear" w:pos="720"/>
        </w:tabs>
        <w:adjustRightInd w:val="0"/>
        <w:snapToGrid w:val="0"/>
        <w:spacing w:before="93" w:beforeLines="30" w:after="93" w:afterLines="30" w:line="240" w:lineRule="auto"/>
        <w:jc w:val="left"/>
        <w:rPr>
          <w:rFonts w:ascii="Times New Roman" w:hAnsi="Times New Roman"/>
          <w:color w:val="000000" w:themeColor="text1"/>
          <w:sz w:val="21"/>
          <w:szCs w:val="21"/>
          <w:highlight w:val="none"/>
          <w14:textFill>
            <w14:solidFill>
              <w14:schemeClr w14:val="tx1"/>
            </w14:solidFill>
          </w14:textFill>
        </w:rPr>
      </w:pPr>
      <w:bookmarkStart w:id="67" w:name="_Toc364839372"/>
      <w:r>
        <w:rPr>
          <w:rFonts w:hint="eastAsia"/>
          <w:color w:val="000000" w:themeColor="text1"/>
          <w:sz w:val="21"/>
          <w:szCs w:val="21"/>
          <w:highlight w:val="none"/>
          <w14:textFill>
            <w14:solidFill>
              <w14:schemeClr w14:val="tx1"/>
            </w14:solidFill>
          </w14:textFill>
        </w:rPr>
        <w:t>权利保证</w:t>
      </w:r>
      <w:bookmarkEnd w:id="36"/>
      <w:bookmarkEnd w:id="37"/>
      <w:bookmarkEnd w:id="67"/>
    </w:p>
    <w:bookmarkEnd w:id="23"/>
    <w:bookmarkEnd w:id="24"/>
    <w:bookmarkEnd w:id="25"/>
    <w:bookmarkEnd w:id="26"/>
    <w:bookmarkEnd w:id="27"/>
    <w:bookmarkEnd w:id="28"/>
    <w:bookmarkEnd w:id="29"/>
    <w:bookmarkEnd w:id="30"/>
    <w:bookmarkEnd w:id="31"/>
    <w:bookmarkEnd w:id="32"/>
    <w:bookmarkEnd w:id="33"/>
    <w:bookmarkEnd w:id="34"/>
    <w:bookmarkEnd w:id="35"/>
    <w:p>
      <w:pPr>
        <w:widowControl/>
        <w:numPr>
          <w:ilvl w:val="0"/>
          <w:numId w:val="21"/>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乙方保证，</w:t>
      </w:r>
      <w:r>
        <w:rPr>
          <w:rFonts w:hint="eastAsia"/>
          <w:color w:val="000000" w:themeColor="text1"/>
          <w:szCs w:val="21"/>
          <w:highlight w:val="none"/>
          <w14:textFill>
            <w14:solidFill>
              <w14:schemeClr w14:val="tx1"/>
            </w14:solidFill>
          </w14:textFill>
        </w:rPr>
        <w:t>其执行工作、提供的工作成果未侵</w:t>
      </w:r>
      <w:r>
        <w:rPr>
          <w:color w:val="000000" w:themeColor="text1"/>
          <w:szCs w:val="21"/>
          <w:highlight w:val="none"/>
          <w14:textFill>
            <w14:solidFill>
              <w14:schemeClr w14:val="tx1"/>
            </w14:solidFill>
          </w14:textFill>
        </w:rPr>
        <w:t>犯任何第三方的专利权、商标权</w:t>
      </w:r>
      <w:r>
        <w:rPr>
          <w:rFonts w:hint="eastAsia"/>
          <w:color w:val="000000" w:themeColor="text1"/>
          <w:szCs w:val="21"/>
          <w:highlight w:val="none"/>
          <w14:textFill>
            <w14:solidFill>
              <w14:schemeClr w14:val="tx1"/>
            </w14:solidFill>
          </w14:textFill>
        </w:rPr>
        <w:t>或其它知识产</w:t>
      </w:r>
      <w:r>
        <w:rPr>
          <w:color w:val="000000" w:themeColor="text1"/>
          <w:szCs w:val="21"/>
          <w:highlight w:val="none"/>
          <w14:textFill>
            <w14:solidFill>
              <w14:schemeClr w14:val="tx1"/>
            </w14:solidFill>
          </w14:textFill>
        </w:rPr>
        <w:t>权</w:t>
      </w:r>
      <w:r>
        <w:rPr>
          <w:rFonts w:hint="eastAsia"/>
          <w:color w:val="000000" w:themeColor="text1"/>
          <w:szCs w:val="21"/>
          <w:highlight w:val="none"/>
          <w14:textFill>
            <w14:solidFill>
              <w14:schemeClr w14:val="tx1"/>
            </w14:solidFill>
          </w14:textFill>
        </w:rPr>
        <w:t>，工作成果的所有权及</w:t>
      </w:r>
      <w:r>
        <w:rPr>
          <w:color w:val="000000" w:themeColor="text1"/>
          <w:szCs w:val="21"/>
          <w:highlight w:val="none"/>
          <w14:textFill>
            <w14:solidFill>
              <w14:schemeClr w14:val="tx1"/>
            </w14:solidFill>
          </w14:textFill>
        </w:rPr>
        <w:t>包含的全部专利、商标</w:t>
      </w:r>
      <w:r>
        <w:rPr>
          <w:rFonts w:hint="eastAsia"/>
          <w:color w:val="000000" w:themeColor="text1"/>
          <w:szCs w:val="21"/>
          <w:highlight w:val="none"/>
          <w14:textFill>
            <w14:solidFill>
              <w14:schemeClr w14:val="tx1"/>
            </w14:solidFill>
          </w14:textFill>
        </w:rPr>
        <w:t>及其它知识产权</w:t>
      </w:r>
      <w:r>
        <w:rPr>
          <w:color w:val="000000" w:themeColor="text1"/>
          <w:szCs w:val="21"/>
          <w:highlight w:val="none"/>
          <w14:textFill>
            <w14:solidFill>
              <w14:schemeClr w14:val="tx1"/>
            </w14:solidFill>
          </w14:textFill>
        </w:rPr>
        <w:t>均为乙方</w:t>
      </w:r>
      <w:r>
        <w:rPr>
          <w:rFonts w:hint="eastAsia"/>
          <w:color w:val="000000" w:themeColor="text1"/>
          <w:szCs w:val="21"/>
          <w:highlight w:val="none"/>
          <w14:textFill>
            <w14:solidFill>
              <w14:schemeClr w14:val="tx1"/>
            </w14:solidFill>
          </w14:textFill>
        </w:rPr>
        <w:t>合法</w:t>
      </w:r>
      <w:r>
        <w:rPr>
          <w:color w:val="000000" w:themeColor="text1"/>
          <w:szCs w:val="21"/>
          <w:highlight w:val="none"/>
          <w14:textFill>
            <w14:solidFill>
              <w14:schemeClr w14:val="tx1"/>
            </w14:solidFill>
          </w14:textFill>
        </w:rPr>
        <w:t>拥有或已获得</w:t>
      </w:r>
      <w:r>
        <w:rPr>
          <w:rFonts w:hint="eastAsia"/>
          <w:color w:val="000000" w:themeColor="text1"/>
          <w:szCs w:val="21"/>
          <w:highlight w:val="none"/>
          <w14:textFill>
            <w14:solidFill>
              <w14:schemeClr w14:val="tx1"/>
            </w14:solidFill>
          </w14:textFill>
        </w:rPr>
        <w:t>第三方</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有效</w:t>
      </w:r>
      <w:r>
        <w:rPr>
          <w:color w:val="000000" w:themeColor="text1"/>
          <w:szCs w:val="21"/>
          <w:highlight w:val="none"/>
          <w14:textFill>
            <w14:solidFill>
              <w14:schemeClr w14:val="tx1"/>
            </w14:solidFill>
          </w14:textFill>
        </w:rPr>
        <w:t>授权。</w:t>
      </w:r>
    </w:p>
    <w:p>
      <w:pPr>
        <w:widowControl/>
        <w:numPr>
          <w:ilvl w:val="0"/>
          <w:numId w:val="21"/>
        </w:numPr>
        <w:tabs>
          <w:tab w:val="left" w:pos="709"/>
        </w:tabs>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如乙方执行工作及提供的工作成果侵犯任何第三方的权利（包括</w:t>
      </w:r>
      <w:r>
        <w:rPr>
          <w:color w:val="000000" w:themeColor="text1"/>
          <w:szCs w:val="21"/>
          <w:highlight w:val="none"/>
          <w14:textFill>
            <w14:solidFill>
              <w14:schemeClr w14:val="tx1"/>
            </w14:solidFill>
          </w14:textFill>
        </w:rPr>
        <w:t>知识产权</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乙方应根据甲方的要求，在确保工作符合本合同的规定和要求的前提下，采取必要的措施获得相关的权利或对工作和工作成果进行必要的调整，确保其履行本合同和工作成果不侵犯任何知识产权。</w:t>
      </w:r>
      <w:r>
        <w:rPr>
          <w:rFonts w:hint="eastAsia" w:ascii="宋体" w:hAnsi="宋体"/>
          <w:color w:val="000000" w:themeColor="text1"/>
          <w:szCs w:val="21"/>
          <w:highlight w:val="none"/>
          <w14:textFill>
            <w14:solidFill>
              <w14:schemeClr w14:val="tx1"/>
            </w14:solidFill>
          </w14:textFill>
        </w:rPr>
        <w:t>乙方根据本款采取的措施不影响甲方的任何其它权利或补救措施。</w:t>
      </w:r>
    </w:p>
    <w:p>
      <w:pPr>
        <w:widowControl/>
        <w:numPr>
          <w:ilvl w:val="0"/>
          <w:numId w:val="21"/>
        </w:numPr>
        <w:tabs>
          <w:tab w:val="left" w:pos="709"/>
        </w:tabs>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与工作和工作成果有关的所有资料、文件</w:t>
      </w:r>
      <w:r>
        <w:rPr>
          <w:rFonts w:hint="eastAsia" w:ascii="宋体" w:hAnsi="宋体"/>
          <w:color w:val="000000" w:themeColor="text1"/>
          <w:szCs w:val="21"/>
          <w:highlight w:val="none"/>
          <w14:textFill>
            <w14:solidFill>
              <w14:schemeClr w14:val="tx1"/>
            </w14:solidFill>
          </w14:textFill>
        </w:rPr>
        <w:t>及其包含的知识产权</w:t>
      </w:r>
      <w:r>
        <w:rPr>
          <w:rFonts w:ascii="宋体" w:hAnsi="宋体"/>
          <w:color w:val="000000" w:themeColor="text1"/>
          <w:szCs w:val="21"/>
          <w:highlight w:val="none"/>
          <w14:textFill>
            <w14:solidFill>
              <w14:schemeClr w14:val="tx1"/>
            </w14:solidFill>
          </w14:textFill>
        </w:rPr>
        <w:t>为甲方所有，甲方享有全部权益，工作完成时应全部移交甲方，未经甲方允许，乙方不得使用和转让。</w:t>
      </w:r>
    </w:p>
    <w:p>
      <w:pPr>
        <w:widowControl/>
        <w:numPr>
          <w:ilvl w:val="0"/>
          <w:numId w:val="21"/>
        </w:numPr>
        <w:tabs>
          <w:tab w:val="left" w:pos="709"/>
        </w:tabs>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乙方无权因本条的适用而延长工作期限或调整合同结算价格。</w:t>
      </w:r>
    </w:p>
    <w:p>
      <w:pPr>
        <w:widowControl/>
        <w:numPr>
          <w:ilvl w:val="0"/>
          <w:numId w:val="21"/>
        </w:numPr>
        <w:tabs>
          <w:tab w:val="left" w:pos="709"/>
        </w:tabs>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乙方应无条件向附件五中甲方执行用户提供本合同项下，全部或部分服务。</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68" w:name="_Toc299915689"/>
      <w:bookmarkStart w:id="69" w:name="_Toc364839373"/>
      <w:r>
        <w:rPr>
          <w:rFonts w:hint="eastAsia"/>
          <w:color w:val="000000" w:themeColor="text1"/>
          <w:sz w:val="21"/>
          <w:szCs w:val="21"/>
          <w:highlight w:val="none"/>
          <w14:textFill>
            <w14:solidFill>
              <w14:schemeClr w14:val="tx1"/>
            </w14:solidFill>
          </w14:textFill>
        </w:rPr>
        <w:t>违约责任</w:t>
      </w:r>
      <w:bookmarkEnd w:id="68"/>
      <w:bookmarkEnd w:id="69"/>
    </w:p>
    <w:p>
      <w:pPr>
        <w:numPr>
          <w:ilvl w:val="1"/>
          <w:numId w:val="22"/>
        </w:numPr>
        <w:tabs>
          <w:tab w:val="left" w:pos="709"/>
          <w:tab w:val="clear" w:pos="8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发生下列任一违约行为时</w:t>
      </w:r>
      <w:r>
        <w:rPr>
          <w:color w:val="000000" w:themeColor="text1"/>
          <w:szCs w:val="21"/>
          <w:highlight w:val="none"/>
          <w14:textFill>
            <w14:solidFill>
              <w14:schemeClr w14:val="tx1"/>
            </w14:solidFill>
          </w14:textFill>
        </w:rPr>
        <w:t>，应向甲方支付</w:t>
      </w:r>
      <w:r>
        <w:rPr>
          <w:rFonts w:hint="eastAsia"/>
          <w:color w:val="000000" w:themeColor="text1"/>
          <w:szCs w:val="21"/>
          <w:highlight w:val="none"/>
          <w14:textFill>
            <w14:solidFill>
              <w14:schemeClr w14:val="tx1"/>
            </w14:solidFill>
          </w14:textFill>
        </w:rPr>
        <w:t>当次《服务委托书》结算价</w:t>
      </w:r>
      <w:r>
        <w:rPr>
          <w:rFonts w:hint="default" w:ascii="宋体" w:hAnsi="宋体"/>
          <w:color w:val="000000" w:themeColor="text1"/>
          <w:szCs w:val="21"/>
          <w:highlight w:val="none"/>
          <w14:textFill>
            <w14:solidFill>
              <w14:schemeClr w14:val="tx1"/>
            </w14:solidFill>
          </w14:textFill>
        </w:rPr>
        <w:t>格</w:t>
      </w:r>
      <w:r>
        <w:rPr>
          <w:rFonts w:ascii="宋体" w:hAnsi="宋体"/>
          <w:bCs w:val="0"/>
          <w:i w:val="0"/>
          <w:iCs w:val="0"/>
          <w:color w:val="000000" w:themeColor="text1"/>
          <w:szCs w:val="21"/>
          <w:highlight w:val="none"/>
          <w:shd w:val="clear" w:color="auto" w:fill="auto"/>
          <w14:textFill>
            <w14:solidFill>
              <w14:schemeClr w14:val="tx1"/>
            </w14:solidFill>
          </w14:textFill>
        </w:rPr>
        <w:t>10%</w:t>
      </w:r>
      <w:r>
        <w:rPr>
          <w:rFonts w:ascii="宋体" w:hAnsi="宋体"/>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违约金，并赔偿甲方因</w:t>
      </w:r>
      <w:r>
        <w:rPr>
          <w:rFonts w:hint="eastAsia"/>
          <w:color w:val="000000" w:themeColor="text1"/>
          <w:szCs w:val="21"/>
          <w:highlight w:val="none"/>
          <w14:textFill>
            <w14:solidFill>
              <w14:schemeClr w14:val="tx1"/>
            </w14:solidFill>
          </w14:textFill>
        </w:rPr>
        <w:t>此</w:t>
      </w:r>
      <w:r>
        <w:rPr>
          <w:color w:val="000000" w:themeColor="text1"/>
          <w:szCs w:val="21"/>
          <w:highlight w:val="none"/>
          <w14:textFill>
            <w14:solidFill>
              <w14:schemeClr w14:val="tx1"/>
            </w14:solidFill>
          </w14:textFill>
        </w:rPr>
        <w:t>遭受的全部损失</w:t>
      </w:r>
      <w:r>
        <w:rPr>
          <w:rFonts w:hint="eastAsia"/>
          <w:color w:val="000000" w:themeColor="text1"/>
          <w:szCs w:val="21"/>
          <w:highlight w:val="none"/>
          <w14:textFill>
            <w14:solidFill>
              <w14:schemeClr w14:val="tx1"/>
            </w14:solidFill>
          </w14:textFill>
        </w:rPr>
        <w:t>：</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乙方提供的服务</w:t>
      </w:r>
      <w:r>
        <w:rPr>
          <w:rFonts w:hint="eastAsia"/>
          <w:color w:val="000000" w:themeColor="text1"/>
          <w:szCs w:val="21"/>
          <w:highlight w:val="none"/>
          <w14:textFill>
            <w14:solidFill>
              <w14:schemeClr w14:val="tx1"/>
            </w14:solidFill>
          </w14:textFill>
        </w:rPr>
        <w:t>、工作成果</w:t>
      </w:r>
      <w:r>
        <w:rPr>
          <w:color w:val="000000" w:themeColor="text1"/>
          <w:szCs w:val="21"/>
          <w:highlight w:val="none"/>
          <w14:textFill>
            <w14:solidFill>
              <w14:schemeClr w14:val="tx1"/>
            </w14:solidFill>
          </w14:textFill>
        </w:rPr>
        <w:t>等</w:t>
      </w:r>
      <w:r>
        <w:rPr>
          <w:rFonts w:hint="eastAsia"/>
          <w:color w:val="000000" w:themeColor="text1"/>
          <w:szCs w:val="21"/>
          <w:highlight w:val="none"/>
          <w14:textFill>
            <w14:solidFill>
              <w14:schemeClr w14:val="tx1"/>
            </w14:solidFill>
          </w14:textFill>
        </w:rPr>
        <w:t>不符合本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和当次《服务委托书》的</w:t>
      </w:r>
      <w:r>
        <w:rPr>
          <w:color w:val="000000" w:themeColor="text1"/>
          <w:szCs w:val="21"/>
          <w:highlight w:val="none"/>
          <w14:textFill>
            <w14:solidFill>
              <w14:schemeClr w14:val="tx1"/>
            </w14:solidFill>
          </w14:textFill>
        </w:rPr>
        <w:t>要求</w:t>
      </w:r>
      <w:r>
        <w:rPr>
          <w:rFonts w:hint="eastAsia"/>
          <w:color w:val="000000" w:themeColor="text1"/>
          <w:szCs w:val="21"/>
          <w:highlight w:val="none"/>
          <w14:textFill>
            <w14:solidFill>
              <w14:schemeClr w14:val="tx1"/>
            </w14:solidFill>
          </w14:textFill>
        </w:rPr>
        <w:t>；</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拒绝</w:t>
      </w:r>
      <w:r>
        <w:rPr>
          <w:rFonts w:hint="eastAsia"/>
          <w:color w:val="000000" w:themeColor="text1"/>
          <w:szCs w:val="21"/>
          <w:highlight w:val="none"/>
          <w14:textFill>
            <w14:solidFill>
              <w14:schemeClr w14:val="tx1"/>
            </w14:solidFill>
          </w14:textFill>
        </w:rPr>
        <w:t>对不符合本合同和当次《服务委托书》要求的服务或工作成果进行修复、更换或调整；</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拒绝更换</w:t>
      </w:r>
      <w:r>
        <w:rPr>
          <w:color w:val="000000" w:themeColor="text1"/>
          <w:szCs w:val="21"/>
          <w:highlight w:val="none"/>
          <w14:textFill>
            <w14:solidFill>
              <w14:schemeClr w14:val="tx1"/>
            </w14:solidFill>
          </w14:textFill>
        </w:rPr>
        <w:t>不</w:t>
      </w:r>
      <w:r>
        <w:rPr>
          <w:rFonts w:hint="eastAsia"/>
          <w:color w:val="000000" w:themeColor="text1"/>
          <w:szCs w:val="21"/>
          <w:highlight w:val="none"/>
          <w14:textFill>
            <w14:solidFill>
              <w14:schemeClr w14:val="tx1"/>
            </w14:solidFill>
          </w14:textFill>
        </w:rPr>
        <w:t>适格</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工作</w:t>
      </w:r>
      <w:r>
        <w:rPr>
          <w:color w:val="000000" w:themeColor="text1"/>
          <w:szCs w:val="21"/>
          <w:highlight w:val="none"/>
          <w14:textFill>
            <w14:solidFill>
              <w14:schemeClr w14:val="tx1"/>
            </w14:solidFill>
          </w14:textFill>
        </w:rPr>
        <w:t>人员</w:t>
      </w:r>
      <w:r>
        <w:rPr>
          <w:rFonts w:hint="eastAsia"/>
          <w:color w:val="000000" w:themeColor="text1"/>
          <w:szCs w:val="21"/>
          <w:highlight w:val="none"/>
          <w14:textFill>
            <w14:solidFill>
              <w14:schemeClr w14:val="tx1"/>
            </w14:solidFill>
          </w14:textFill>
        </w:rPr>
        <w:t>；</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未经甲方许可，擅自更换其工作人员；</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未经甲方同意，乙方擅自进行分包；</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转包；</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不遵守甲方关于健康、安全和环保</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乙方或其雇员对甲方实施欺诈行为</w:t>
      </w:r>
      <w:r>
        <w:rPr>
          <w:rFonts w:hint="eastAsia"/>
          <w:color w:val="000000" w:themeColor="text1"/>
          <w:szCs w:val="21"/>
          <w:highlight w:val="none"/>
          <w14:textFill>
            <w14:solidFill>
              <w14:schemeClr w14:val="tx1"/>
            </w14:solidFill>
          </w14:textFill>
        </w:rPr>
        <w:t>；</w:t>
      </w:r>
    </w:p>
    <w:p>
      <w:pPr>
        <w:numPr>
          <w:ilvl w:val="2"/>
          <w:numId w:val="23"/>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乙方或其雇员的行为损害了甲方的利益</w:t>
      </w:r>
      <w:r>
        <w:rPr>
          <w:rFonts w:hint="eastAsia"/>
          <w:color w:val="000000" w:themeColor="text1"/>
          <w:szCs w:val="21"/>
          <w:highlight w:val="none"/>
          <w14:textFill>
            <w14:solidFill>
              <w14:schemeClr w14:val="tx1"/>
            </w14:solidFill>
          </w14:textFill>
        </w:rPr>
        <w:t>或</w:t>
      </w:r>
      <w:r>
        <w:rPr>
          <w:color w:val="000000" w:themeColor="text1"/>
          <w:szCs w:val="21"/>
          <w:highlight w:val="none"/>
          <w14:textFill>
            <w14:solidFill>
              <w14:schemeClr w14:val="tx1"/>
            </w14:solidFill>
          </w14:textFill>
        </w:rPr>
        <w:t>声誉。</w:t>
      </w:r>
    </w:p>
    <w:p>
      <w:pPr>
        <w:numPr>
          <w:ilvl w:val="1"/>
          <w:numId w:val="22"/>
        </w:numPr>
        <w:tabs>
          <w:tab w:val="left" w:pos="709"/>
          <w:tab w:val="clear" w:pos="8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就乙方的上述违约行为</w:t>
      </w:r>
      <w:r>
        <w:rPr>
          <w:rFonts w:hint="eastAsia"/>
          <w:color w:val="000000" w:themeColor="text1"/>
          <w:szCs w:val="21"/>
          <w:highlight w:val="none"/>
          <w14:textFill>
            <w14:solidFill>
              <w14:schemeClr w14:val="tx1"/>
            </w14:solidFill>
          </w14:textFill>
        </w:rPr>
        <w:t>，甲方除有权依据本合同第13.1款要求乙方承担违约责任外，有权</w:t>
      </w:r>
      <w:r>
        <w:rPr>
          <w:color w:val="000000" w:themeColor="text1"/>
          <w:szCs w:val="21"/>
          <w:highlight w:val="none"/>
          <w14:textFill>
            <w14:solidFill>
              <w14:schemeClr w14:val="tx1"/>
            </w14:solidFill>
          </w14:textFill>
        </w:rPr>
        <w:t>向乙方出具书面通知，要求乙方进行更正或整改</w:t>
      </w:r>
      <w:r>
        <w:rPr>
          <w:rFonts w:hint="eastAsia"/>
          <w:color w:val="000000" w:themeColor="text1"/>
          <w:szCs w:val="21"/>
          <w:highlight w:val="none"/>
          <w14:textFill>
            <w14:solidFill>
              <w14:schemeClr w14:val="tx1"/>
            </w14:solidFill>
          </w14:textFill>
        </w:rPr>
        <w:t>。如</w:t>
      </w: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收到该等通知后</w:t>
      </w:r>
      <w:r>
        <w:rPr>
          <w:rFonts w:hint="default"/>
          <w:color w:val="000000" w:themeColor="text1"/>
          <w:szCs w:val="21"/>
          <w:highlight w:val="none"/>
          <w:shd w:val="clear" w:color="auto" w:fill="auto"/>
          <w14:textFill>
            <w14:solidFill>
              <w14:schemeClr w14:val="tx1"/>
            </w14:solidFill>
          </w14:textFill>
        </w:rPr>
        <w:t>二（2）</w:t>
      </w:r>
      <w:r>
        <w:rPr>
          <w:color w:val="000000" w:themeColor="text1"/>
          <w:szCs w:val="21"/>
          <w:highlight w:val="none"/>
          <w14:textFill>
            <w14:solidFill>
              <w14:schemeClr w14:val="tx1"/>
            </w14:solidFill>
          </w14:textFill>
        </w:rPr>
        <w:t>个工作日内未按照甲方要求</w:t>
      </w:r>
      <w:r>
        <w:rPr>
          <w:rFonts w:hint="eastAsia"/>
          <w:color w:val="000000" w:themeColor="text1"/>
          <w:szCs w:val="21"/>
          <w:highlight w:val="none"/>
          <w14:textFill>
            <w14:solidFill>
              <w14:schemeClr w14:val="tx1"/>
            </w14:solidFill>
          </w14:textFill>
        </w:rPr>
        <w:t>作出</w:t>
      </w:r>
      <w:r>
        <w:rPr>
          <w:color w:val="000000" w:themeColor="text1"/>
          <w:szCs w:val="21"/>
          <w:highlight w:val="none"/>
          <w14:textFill>
            <w14:solidFill>
              <w14:schemeClr w14:val="tx1"/>
            </w14:solidFill>
          </w14:textFill>
        </w:rPr>
        <w:t>更正或进行整改的，甲方有权立即</w:t>
      </w:r>
      <w:r>
        <w:rPr>
          <w:rFonts w:hint="eastAsia"/>
          <w:color w:val="000000" w:themeColor="text1"/>
          <w:szCs w:val="21"/>
          <w:highlight w:val="none"/>
          <w14:textFill>
            <w14:solidFill>
              <w14:schemeClr w14:val="tx1"/>
            </w14:solidFill>
          </w14:textFill>
        </w:rPr>
        <w:t>解除</w:t>
      </w:r>
      <w:r>
        <w:rPr>
          <w:color w:val="000000" w:themeColor="text1"/>
          <w:szCs w:val="21"/>
          <w:highlight w:val="none"/>
          <w14:textFill>
            <w14:solidFill>
              <w14:schemeClr w14:val="tx1"/>
            </w14:solidFill>
          </w14:textFill>
        </w:rPr>
        <w:t>本合同，乙方应赔偿甲方</w:t>
      </w:r>
      <w:r>
        <w:rPr>
          <w:rFonts w:hint="eastAsia"/>
          <w:color w:val="000000" w:themeColor="text1"/>
          <w:szCs w:val="21"/>
          <w:highlight w:val="none"/>
          <w14:textFill>
            <w14:solidFill>
              <w14:schemeClr w14:val="tx1"/>
            </w14:solidFill>
          </w14:textFill>
        </w:rPr>
        <w:t>因此</w:t>
      </w:r>
      <w:r>
        <w:rPr>
          <w:color w:val="000000" w:themeColor="text1"/>
          <w:szCs w:val="21"/>
          <w:highlight w:val="none"/>
          <w14:textFill>
            <w14:solidFill>
              <w14:schemeClr w14:val="tx1"/>
            </w14:solidFill>
          </w14:textFill>
        </w:rPr>
        <w:t>而遭受的全部损失。</w:t>
      </w:r>
    </w:p>
    <w:p>
      <w:pPr>
        <w:numPr>
          <w:ilvl w:val="1"/>
          <w:numId w:val="22"/>
        </w:numPr>
        <w:tabs>
          <w:tab w:val="left" w:pos="709"/>
          <w:tab w:val="clear" w:pos="8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如乙方未能在合同和当次《服务委托书》规定的工作期限内完成全部工作，每延期一（1）日，乙方应向甲方支付当次结算价格的</w:t>
      </w:r>
      <w:r>
        <w:rPr>
          <w:rFonts w:hint="default"/>
          <w:color w:val="000000" w:themeColor="text1"/>
          <w:szCs w:val="21"/>
          <w:highlight w:val="none"/>
          <w:shd w:val="clear" w:color="auto" w:fill="auto"/>
          <w14:textFill>
            <w14:solidFill>
              <w14:schemeClr w14:val="tx1"/>
            </w14:solidFill>
          </w14:textFill>
        </w:rPr>
        <w:t>千分之一（</w:t>
      </w:r>
      <w:r>
        <w:rPr>
          <w:rFonts w:hint="default" w:hAnsiTheme="minorHAnsi"/>
          <w:bCs w:val="0"/>
          <w:color w:val="000000" w:themeColor="text1"/>
          <w:szCs w:val="21"/>
          <w:highlight w:val="none"/>
          <w:shd w:val="clear" w:color="auto" w:fill="auto"/>
          <w14:textFill>
            <w14:solidFill>
              <w14:schemeClr w14:val="tx1"/>
            </w14:solidFill>
          </w14:textFill>
        </w:rPr>
        <w:t>1</w:t>
      </w:r>
      <w:r>
        <w:rPr>
          <w:rFonts w:hAnsiTheme="minorHAnsi"/>
          <w:bCs w:val="0"/>
          <w:color w:val="000000" w:themeColor="text1"/>
          <w:szCs w:val="21"/>
          <w:highlight w:val="none"/>
          <w:shd w:val="clear" w:color="auto" w:fill="auto"/>
          <w14:textFill>
            <w14:solidFill>
              <w14:schemeClr w14:val="tx1"/>
            </w14:solidFill>
          </w14:textFill>
        </w:rPr>
        <w:t>‰）</w:t>
      </w:r>
      <w:r>
        <w:rPr>
          <w:rFonts w:hint="eastAsia"/>
          <w:color w:val="000000" w:themeColor="text1"/>
          <w:szCs w:val="21"/>
          <w:highlight w:val="none"/>
          <w14:textFill>
            <w14:solidFill>
              <w14:schemeClr w14:val="tx1"/>
            </w14:solidFill>
          </w14:textFill>
        </w:rPr>
        <w:t>作为延期违约金。如延期超过</w:t>
      </w:r>
      <w:r>
        <w:rPr>
          <w:rFonts w:hint="default" w:hAnsiTheme="minorHAnsi"/>
          <w:bCs w:val="0"/>
          <w:color w:val="000000" w:themeColor="text1"/>
          <w:szCs w:val="21"/>
          <w:highlight w:val="none"/>
          <w:shd w:val="clear" w:color="auto" w:fill="auto"/>
          <w14:textFill>
            <w14:solidFill>
              <w14:schemeClr w14:val="tx1"/>
            </w14:solidFill>
          </w14:textFill>
        </w:rPr>
        <w:t>十（</w:t>
      </w:r>
      <w:r>
        <w:rPr>
          <w:rFonts w:hAnsiTheme="minorHAnsi"/>
          <w:bCs w:val="0"/>
          <w:color w:val="000000" w:themeColor="text1"/>
          <w:szCs w:val="21"/>
          <w:highlight w:val="none"/>
          <w:shd w:val="clear" w:color="auto" w:fill="auto"/>
          <w14:textFill>
            <w14:solidFill>
              <w14:schemeClr w14:val="tx1"/>
            </w14:solidFill>
          </w14:textFill>
        </w:rPr>
        <w:t>10</w:t>
      </w:r>
      <w:r>
        <w:rPr>
          <w:rFonts w:hint="default" w:hAnsiTheme="minorHAnsi"/>
          <w:bCs w:val="0"/>
          <w:color w:val="000000" w:themeColor="text1"/>
          <w:szCs w:val="21"/>
          <w:highlight w:val="none"/>
          <w:shd w:val="clear" w:color="auto" w:fill="auto"/>
          <w14:textFill>
            <w14:solidFill>
              <w14:schemeClr w14:val="tx1"/>
            </w14:solidFill>
          </w14:textFill>
        </w:rPr>
        <w:t>）</w:t>
      </w:r>
      <w:r>
        <w:rPr>
          <w:rFonts w:hint="eastAsia"/>
          <w:color w:val="000000" w:themeColor="text1"/>
          <w:szCs w:val="21"/>
          <w:highlight w:val="none"/>
          <w14:textFill>
            <w14:solidFill>
              <w14:schemeClr w14:val="tx1"/>
            </w14:solidFill>
          </w14:textFill>
        </w:rPr>
        <w:t>日，除要求乙方支付违约金外，甲方有权解除本合同，并有权要求乙方赔偿甲方因此遭受的全部损失。</w:t>
      </w:r>
    </w:p>
    <w:p>
      <w:pPr>
        <w:numPr>
          <w:ilvl w:val="1"/>
          <w:numId w:val="22"/>
        </w:numPr>
        <w:tabs>
          <w:tab w:val="left" w:pos="709"/>
          <w:tab w:val="clear" w:pos="8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乙方根据本合同的规定应承担违约金或赔偿责任的，甲方有权从</w:t>
      </w:r>
      <w:r>
        <w:rPr>
          <w:rFonts w:hint="eastAsia"/>
          <w:color w:val="000000" w:themeColor="text1"/>
          <w:szCs w:val="21"/>
          <w:highlight w:val="none"/>
          <w14:textFill>
            <w14:solidFill>
              <w14:schemeClr w14:val="tx1"/>
            </w14:solidFill>
          </w14:textFill>
        </w:rPr>
        <w:t>应付乙方的任何合同结算价款中直接扣除</w:t>
      </w:r>
      <w:r>
        <w:rPr>
          <w:color w:val="000000" w:themeColor="text1"/>
          <w:szCs w:val="21"/>
          <w:highlight w:val="none"/>
          <w14:textFill>
            <w14:solidFill>
              <w14:schemeClr w14:val="tx1"/>
            </w14:solidFill>
          </w14:textFill>
        </w:rPr>
        <w:t>。</w:t>
      </w:r>
    </w:p>
    <w:p>
      <w:pPr>
        <w:numPr>
          <w:ilvl w:val="1"/>
          <w:numId w:val="22"/>
        </w:numPr>
        <w:tabs>
          <w:tab w:val="left" w:pos="709"/>
          <w:tab w:val="clear" w:pos="8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如仅因甲方原因，甲方逾期向乙方付款，乙方应向甲方发出书面催款通知，甲方应在收到该等通知后</w:t>
      </w:r>
      <w:r>
        <w:rPr>
          <w:rFonts w:hint="default"/>
          <w:color w:val="000000" w:themeColor="text1"/>
          <w:szCs w:val="21"/>
          <w:highlight w:val="none"/>
          <w:shd w:val="clear" w:color="auto" w:fill="auto"/>
          <w14:textFill>
            <w14:solidFill>
              <w14:schemeClr w14:val="tx1"/>
            </w14:solidFill>
          </w14:textFill>
        </w:rPr>
        <w:t>三十（</w:t>
      </w:r>
      <w:r>
        <w:rPr>
          <w:color w:val="000000" w:themeColor="text1"/>
          <w:szCs w:val="21"/>
          <w:highlight w:val="none"/>
          <w:shd w:val="clear" w:color="auto" w:fill="auto"/>
          <w14:textFill>
            <w14:solidFill>
              <w14:schemeClr w14:val="tx1"/>
            </w14:solidFill>
          </w14:textFill>
        </w:rPr>
        <w:t>30</w:t>
      </w:r>
      <w:r>
        <w:rPr>
          <w:rFonts w:hint="default"/>
          <w:color w:val="000000" w:themeColor="text1"/>
          <w:szCs w:val="21"/>
          <w:highlight w:val="none"/>
          <w:shd w:val="clear" w:color="auto" w:fill="auto"/>
          <w14:textFill>
            <w14:solidFill>
              <w14:schemeClr w14:val="tx1"/>
            </w14:solidFill>
          </w14:textFill>
        </w:rPr>
        <w:t>）</w:t>
      </w:r>
      <w:r>
        <w:rPr>
          <w:rFonts w:hint="eastAsia"/>
          <w:color w:val="000000" w:themeColor="text1"/>
          <w:szCs w:val="21"/>
          <w:highlight w:val="none"/>
          <w14:textFill>
            <w14:solidFill>
              <w14:schemeClr w14:val="tx1"/>
            </w14:solidFill>
          </w14:textFill>
        </w:rPr>
        <w:t>日内付款，否则，即应自该等</w:t>
      </w:r>
      <w:r>
        <w:rPr>
          <w:rFonts w:hint="default"/>
          <w:color w:val="000000" w:themeColor="text1"/>
          <w:szCs w:val="21"/>
          <w:highlight w:val="none"/>
          <w:shd w:val="clear" w:color="auto" w:fill="auto"/>
          <w14:textFill>
            <w14:solidFill>
              <w14:schemeClr w14:val="tx1"/>
            </w14:solidFill>
          </w14:textFill>
        </w:rPr>
        <w:t>三十（</w:t>
      </w:r>
      <w:r>
        <w:rPr>
          <w:color w:val="000000" w:themeColor="text1"/>
          <w:szCs w:val="21"/>
          <w:highlight w:val="none"/>
          <w:shd w:val="clear" w:color="auto" w:fill="auto"/>
          <w14:textFill>
            <w14:solidFill>
              <w14:schemeClr w14:val="tx1"/>
            </w14:solidFill>
          </w14:textFill>
        </w:rPr>
        <w:t>30</w:t>
      </w:r>
      <w:r>
        <w:rPr>
          <w:rFonts w:hint="eastAsia"/>
          <w:color w:val="000000" w:themeColor="text1"/>
          <w:szCs w:val="21"/>
          <w:highlight w:val="none"/>
          <w14:textFill>
            <w14:solidFill>
              <w14:schemeClr w14:val="tx1"/>
            </w14:solidFill>
          </w14:textFill>
        </w:rPr>
        <w:t>】日期间结束之日起，按【</w:t>
      </w:r>
      <w:r>
        <w:rPr>
          <w:rFonts w:hint="default" w:asciiTheme="minorHAnsi" w:hAnsiTheme="minorHAnsi"/>
          <w:color w:val="000000" w:themeColor="text1"/>
          <w:szCs w:val="21"/>
          <w:highlight w:val="none"/>
          <w14:textFill>
            <w14:solidFill>
              <w14:schemeClr w14:val="tx1"/>
            </w14:solidFill>
          </w14:textFill>
        </w:rPr>
        <w:t>合同订立时1年期贷款市场报价利率</w:t>
      </w:r>
      <w:r>
        <w:rPr>
          <w:rFonts w:hint="eastAsia"/>
          <w:color w:val="000000" w:themeColor="text1"/>
          <w:szCs w:val="21"/>
          <w:highlight w:val="none"/>
          <w14:textFill>
            <w14:solidFill>
              <w14:schemeClr w14:val="tx1"/>
            </w14:solidFill>
          </w14:textFill>
        </w:rPr>
        <w:t>】计算并支付应付未付的结算价款的利息，最高不超过相关应付未付结算价款的</w:t>
      </w:r>
      <w:r>
        <w:rPr>
          <w:rFonts w:hint="default"/>
          <w:color w:val="000000" w:themeColor="text1"/>
          <w:szCs w:val="21"/>
          <w:highlight w:val="none"/>
          <w:shd w:val="clear" w:color="auto" w:fill="auto"/>
          <w14:textFill>
            <w14:solidFill>
              <w14:schemeClr w14:val="tx1"/>
            </w14:solidFill>
          </w14:textFill>
        </w:rPr>
        <w:t>百分之十（10%）</w:t>
      </w:r>
      <w:r>
        <w:rPr>
          <w:rFonts w:hint="eastAsia"/>
          <w:color w:val="000000" w:themeColor="text1"/>
          <w:szCs w:val="21"/>
          <w:highlight w:val="none"/>
          <w14:textFill>
            <w14:solidFill>
              <w14:schemeClr w14:val="tx1"/>
            </w14:solidFill>
          </w14:textFill>
        </w:rPr>
        <w:t>。双方同意，该等利息的支付是甲方就未能如期支付相关结算价款所需承担的全部责任。</w:t>
      </w:r>
    </w:p>
    <w:p>
      <w:pPr>
        <w:numPr>
          <w:ilvl w:val="1"/>
          <w:numId w:val="22"/>
        </w:numPr>
        <w:tabs>
          <w:tab w:val="left" w:pos="709"/>
          <w:tab w:val="clear" w:pos="84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若因乙方原因，超过出现三次以上违约行为的，甲方有权立即解除本合同。</w:t>
      </w:r>
    </w:p>
    <w:p>
      <w:pPr>
        <w:pStyle w:val="55"/>
        <w:tabs>
          <w:tab w:val="left" w:pos="2564"/>
          <w:tab w:val="clear" w:pos="720"/>
        </w:tabs>
        <w:adjustRightInd w:val="0"/>
        <w:snapToGrid w:val="0"/>
        <w:spacing w:before="93" w:beforeLines="30" w:after="93" w:afterLines="30" w:line="240" w:lineRule="auto"/>
        <w:jc w:val="left"/>
        <w:rPr>
          <w:rFonts w:ascii="Times New Roman" w:hAnsi="Times New Roman"/>
          <w:color w:val="000000" w:themeColor="text1"/>
          <w:sz w:val="21"/>
          <w:szCs w:val="21"/>
          <w:highlight w:val="none"/>
          <w14:textFill>
            <w14:solidFill>
              <w14:schemeClr w14:val="tx1"/>
            </w14:solidFill>
          </w14:textFill>
        </w:rPr>
      </w:pPr>
      <w:bookmarkStart w:id="70" w:name="OLE_LINK3"/>
      <w:bookmarkStart w:id="71" w:name="_Toc299912679"/>
      <w:bookmarkStart w:id="72" w:name="_Toc299915694"/>
      <w:bookmarkStart w:id="73" w:name="_Toc364839374"/>
      <w:r>
        <w:rPr>
          <w:rFonts w:ascii="宋体" w:hAnsi="宋体"/>
          <w:bCs w:val="0"/>
          <w:color w:val="000000" w:themeColor="text1"/>
          <w:sz w:val="21"/>
          <w:szCs w:val="21"/>
          <w:highlight w:val="none"/>
          <w14:textFill>
            <w14:solidFill>
              <w14:schemeClr w14:val="tx1"/>
            </w14:solidFill>
          </w14:textFill>
        </w:rPr>
        <w:t>合同</w:t>
      </w:r>
      <w:r>
        <w:rPr>
          <w:rFonts w:hint="eastAsia"/>
          <w:color w:val="000000" w:themeColor="text1"/>
          <w:sz w:val="21"/>
          <w:szCs w:val="21"/>
          <w:highlight w:val="none"/>
          <w14:textFill>
            <w14:solidFill>
              <w14:schemeClr w14:val="tx1"/>
            </w14:solidFill>
          </w14:textFill>
        </w:rPr>
        <w:t>的解除和</w:t>
      </w:r>
      <w:r>
        <w:rPr>
          <w:color w:val="000000" w:themeColor="text1"/>
          <w:sz w:val="21"/>
          <w:szCs w:val="21"/>
          <w:highlight w:val="none"/>
          <w14:textFill>
            <w14:solidFill>
              <w14:schemeClr w14:val="tx1"/>
            </w14:solidFill>
          </w14:textFill>
        </w:rPr>
        <w:t>终</w:t>
      </w:r>
      <w:bookmarkEnd w:id="70"/>
      <w:r>
        <w:rPr>
          <w:color w:val="000000" w:themeColor="text1"/>
          <w:sz w:val="21"/>
          <w:szCs w:val="21"/>
          <w:highlight w:val="none"/>
          <w14:textFill>
            <w14:solidFill>
              <w14:schemeClr w14:val="tx1"/>
            </w14:solidFill>
          </w14:textFill>
        </w:rPr>
        <w:t>止</w:t>
      </w:r>
      <w:bookmarkEnd w:id="71"/>
      <w:bookmarkEnd w:id="72"/>
      <w:bookmarkEnd w:id="73"/>
    </w:p>
    <w:p>
      <w:pPr>
        <w:numPr>
          <w:ilvl w:val="0"/>
          <w:numId w:val="24"/>
        </w:numPr>
        <w:tabs>
          <w:tab w:val="left" w:pos="709"/>
          <w:tab w:val="clear" w:pos="1260"/>
        </w:tabs>
        <w:autoSpaceDE w:val="0"/>
        <w:autoSpaceDN w:val="0"/>
        <w:adjustRightInd w:val="0"/>
        <w:snapToGrid w:val="0"/>
        <w:spacing w:before="93" w:beforeLines="30" w:after="93" w:afterLines="30"/>
        <w:ind w:left="709" w:hanging="709"/>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如发生以下任一情形，经书面通知乙方，甲方有权解除本合同：</w:t>
      </w:r>
    </w:p>
    <w:p>
      <w:pPr>
        <w:widowControl/>
        <w:numPr>
          <w:ilvl w:val="0"/>
          <w:numId w:val="25"/>
        </w:numPr>
        <w:adjustRightInd w:val="0"/>
        <w:snapToGrid w:val="0"/>
        <w:spacing w:before="93" w:beforeLines="30" w:after="93" w:afterLines="30"/>
        <w:ind w:left="1276" w:hanging="567"/>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本合同明确规定甲方有权解除合同的情形；</w:t>
      </w:r>
    </w:p>
    <w:p>
      <w:pPr>
        <w:widowControl/>
        <w:numPr>
          <w:ilvl w:val="0"/>
          <w:numId w:val="25"/>
        </w:numPr>
        <w:adjustRightInd w:val="0"/>
        <w:snapToGrid w:val="0"/>
        <w:spacing w:before="93" w:beforeLines="30" w:after="93" w:afterLines="30"/>
        <w:ind w:left="1276" w:hanging="567"/>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乙方破产、资不抵债、停业清理、解散、被兼并、被查封</w:t>
      </w:r>
      <w:r>
        <w:rPr>
          <w:rFonts w:hint="eastAsia"/>
          <w:color w:val="000000" w:themeColor="text1"/>
          <w:szCs w:val="21"/>
          <w:highlight w:val="none"/>
          <w14:textFill>
            <w14:solidFill>
              <w14:schemeClr w14:val="tx1"/>
            </w14:solidFill>
          </w14:textFill>
        </w:rPr>
        <w:t>；</w:t>
      </w:r>
    </w:p>
    <w:p>
      <w:pPr>
        <w:widowControl/>
        <w:numPr>
          <w:ilvl w:val="0"/>
          <w:numId w:val="25"/>
        </w:numPr>
        <w:adjustRightInd w:val="0"/>
        <w:snapToGrid w:val="0"/>
        <w:spacing w:before="93" w:beforeLines="30" w:after="93" w:afterLines="30"/>
        <w:ind w:left="1276" w:hanging="567"/>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有其它严重违约行为</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且未在甲方要求的合理期限内纠正；</w:t>
      </w:r>
    </w:p>
    <w:p>
      <w:pPr>
        <w:widowControl/>
        <w:numPr>
          <w:ilvl w:val="0"/>
          <w:numId w:val="25"/>
        </w:numPr>
        <w:adjustRightInd w:val="0"/>
        <w:snapToGrid w:val="0"/>
        <w:spacing w:before="93" w:beforeLines="30" w:after="93" w:afterLines="30"/>
        <w:ind w:left="1276" w:hanging="567"/>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不可抗力</w:t>
      </w:r>
      <w:r>
        <w:rPr>
          <w:color w:val="000000" w:themeColor="text1"/>
          <w:szCs w:val="21"/>
          <w:highlight w:val="none"/>
          <w14:textFill>
            <w14:solidFill>
              <w14:schemeClr w14:val="tx1"/>
            </w14:solidFill>
          </w14:textFill>
        </w:rPr>
        <w:t>持续超过</w:t>
      </w:r>
      <w:r>
        <w:rPr>
          <w:rFonts w:hint="eastAsia"/>
          <w:i w:val="0"/>
          <w:iCs/>
          <w:color w:val="000000" w:themeColor="text1"/>
          <w:szCs w:val="21"/>
          <w:highlight w:val="none"/>
          <w14:textFill>
            <w14:solidFill>
              <w14:schemeClr w14:val="tx1"/>
            </w14:solidFill>
          </w14:textFill>
        </w:rPr>
        <w:t>六十（60）</w:t>
      </w:r>
      <w:r>
        <w:rPr>
          <w:rFonts w:hint="eastAsia"/>
          <w:color w:val="000000" w:themeColor="text1"/>
          <w:szCs w:val="21"/>
          <w:highlight w:val="none"/>
          <w14:textFill>
            <w14:solidFill>
              <w14:schemeClr w14:val="tx1"/>
            </w14:solidFill>
          </w14:textFill>
        </w:rPr>
        <w:t>日。</w:t>
      </w:r>
    </w:p>
    <w:p>
      <w:pPr>
        <w:numPr>
          <w:ilvl w:val="0"/>
          <w:numId w:val="24"/>
        </w:numPr>
        <w:tabs>
          <w:tab w:val="left" w:pos="709"/>
          <w:tab w:val="clear" w:pos="1260"/>
        </w:tabs>
        <w:autoSpaceDE w:val="0"/>
        <w:autoSpaceDN w:val="0"/>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因乙方违约甲方解除本合同，乙方应退回甲方已经支付的全部款项，并根据本合同规定支付违约金，并且甲方有权要求乙方赔偿其因此遭受的全部损失。甲方有权以适当的条件和方式购买与本合同项下同等服务，乙方应承担甲方购买同等服务的差额费用。</w:t>
      </w:r>
    </w:p>
    <w:p>
      <w:pPr>
        <w:numPr>
          <w:ilvl w:val="0"/>
          <w:numId w:val="24"/>
        </w:numPr>
        <w:tabs>
          <w:tab w:val="left" w:pos="709"/>
          <w:tab w:val="clear" w:pos="1260"/>
        </w:tabs>
        <w:autoSpaceDE w:val="0"/>
        <w:autoSpaceDN w:val="0"/>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无论基于何种原因，经提前十五（15）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numPr>
          <w:ilvl w:val="0"/>
          <w:numId w:val="24"/>
        </w:numPr>
        <w:tabs>
          <w:tab w:val="left" w:pos="709"/>
        </w:tabs>
        <w:autoSpaceDE w:val="0"/>
        <w:autoSpaceDN w:val="0"/>
        <w:adjustRightInd w:val="0"/>
        <w:snapToGrid w:val="0"/>
        <w:spacing w:before="93" w:beforeLines="30" w:after="93" w:afterLines="30"/>
        <w:ind w:left="709" w:hanging="709"/>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如本</w:t>
      </w:r>
      <w:r>
        <w:rPr>
          <w:color w:val="000000" w:themeColor="text1"/>
          <w:szCs w:val="21"/>
          <w:highlight w:val="none"/>
          <w14:textFill>
            <w14:solidFill>
              <w14:schemeClr w14:val="tx1"/>
            </w14:solidFill>
          </w14:textFill>
        </w:rPr>
        <w:t>合同</w:t>
      </w:r>
      <w:r>
        <w:rPr>
          <w:color w:val="000000" w:themeColor="text1"/>
          <w:kern w:val="0"/>
          <w:szCs w:val="21"/>
          <w:highlight w:val="none"/>
          <w14:textFill>
            <w14:solidFill>
              <w14:schemeClr w14:val="tx1"/>
            </w14:solidFill>
          </w14:textFill>
        </w:rPr>
        <w:t>根据</w:t>
      </w:r>
      <w:r>
        <w:rPr>
          <w:rFonts w:hint="eastAsia"/>
          <w:color w:val="000000" w:themeColor="text1"/>
          <w:kern w:val="0"/>
          <w:szCs w:val="21"/>
          <w:highlight w:val="none"/>
          <w14:textFill>
            <w14:solidFill>
              <w14:schemeClr w14:val="tx1"/>
            </w14:solidFill>
          </w14:textFill>
        </w:rPr>
        <w:t>本条第14.3款</w:t>
      </w:r>
      <w:r>
        <w:rPr>
          <w:color w:val="000000" w:themeColor="text1"/>
          <w:kern w:val="0"/>
          <w:szCs w:val="21"/>
          <w:highlight w:val="none"/>
          <w14:textFill>
            <w14:solidFill>
              <w14:schemeClr w14:val="tx1"/>
            </w14:solidFill>
          </w14:textFill>
        </w:rPr>
        <w:t>终止，对于</w:t>
      </w:r>
      <w:r>
        <w:rPr>
          <w:color w:val="000000" w:themeColor="text1"/>
          <w:szCs w:val="21"/>
          <w:highlight w:val="none"/>
          <w14:textFill>
            <w14:solidFill>
              <w14:schemeClr w14:val="tx1"/>
            </w14:solidFill>
          </w14:textFill>
        </w:rPr>
        <w:t>合同</w:t>
      </w:r>
      <w:r>
        <w:rPr>
          <w:color w:val="000000" w:themeColor="text1"/>
          <w:kern w:val="0"/>
          <w:szCs w:val="21"/>
          <w:highlight w:val="none"/>
          <w14:textFill>
            <w14:solidFill>
              <w14:schemeClr w14:val="tx1"/>
            </w14:solidFill>
          </w14:textFill>
        </w:rPr>
        <w:t>终止前乙方完成的工作成果，乙方应立即移交给甲方，甲方拥有相关工作成果的全部权益；如甲方已付</w:t>
      </w:r>
      <w:r>
        <w:rPr>
          <w:color w:val="000000" w:themeColor="text1"/>
          <w:szCs w:val="21"/>
          <w:highlight w:val="none"/>
          <w14:textFill>
            <w14:solidFill>
              <w14:schemeClr w14:val="tx1"/>
            </w14:solidFill>
          </w14:textFill>
        </w:rPr>
        <w:t>合同</w:t>
      </w:r>
      <w:r>
        <w:rPr>
          <w:color w:val="000000" w:themeColor="text1"/>
          <w:kern w:val="0"/>
          <w:szCs w:val="21"/>
          <w:highlight w:val="none"/>
          <w14:textFill>
            <w14:solidFill>
              <w14:schemeClr w14:val="tx1"/>
            </w14:solidFill>
          </w14:textFill>
        </w:rPr>
        <w:t>价款超过乙方已完成工作的价值，乙方应向甲方返还差额部分</w:t>
      </w:r>
      <w:r>
        <w:rPr>
          <w:rFonts w:hint="eastAsia"/>
          <w:color w:val="000000" w:themeColor="text1"/>
          <w:kern w:val="0"/>
          <w:szCs w:val="21"/>
          <w:highlight w:val="none"/>
          <w14:textFill>
            <w14:solidFill>
              <w14:schemeClr w14:val="tx1"/>
            </w14:solidFill>
          </w14:textFill>
        </w:rPr>
        <w:t>，甲方有权从任何应支付乙方的合同结算价款中扣除</w:t>
      </w:r>
      <w:r>
        <w:rPr>
          <w:color w:val="000000" w:themeColor="text1"/>
          <w:kern w:val="0"/>
          <w:szCs w:val="21"/>
          <w:highlight w:val="none"/>
          <w14:textFill>
            <w14:solidFill>
              <w14:schemeClr w14:val="tx1"/>
            </w14:solidFill>
          </w14:textFill>
        </w:rPr>
        <w:t>。</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74" w:name="_Toc364839375"/>
      <w:bookmarkStart w:id="75" w:name="_Toc299915690"/>
      <w:r>
        <w:rPr>
          <w:color w:val="000000" w:themeColor="text1"/>
          <w:sz w:val="21"/>
          <w:szCs w:val="21"/>
          <w:highlight w:val="none"/>
          <w14:textFill>
            <w14:solidFill>
              <w14:schemeClr w14:val="tx1"/>
            </w14:solidFill>
          </w14:textFill>
        </w:rPr>
        <w:t>健康、安全</w:t>
      </w:r>
      <w:r>
        <w:rPr>
          <w:rFonts w:hint="eastAsia"/>
          <w:color w:val="000000" w:themeColor="text1"/>
          <w:sz w:val="21"/>
          <w:szCs w:val="21"/>
          <w:highlight w:val="none"/>
          <w14:textFill>
            <w14:solidFill>
              <w14:schemeClr w14:val="tx1"/>
            </w14:solidFill>
          </w14:textFill>
        </w:rPr>
        <w:t>和</w:t>
      </w:r>
      <w:r>
        <w:rPr>
          <w:color w:val="000000" w:themeColor="text1"/>
          <w:sz w:val="21"/>
          <w:szCs w:val="21"/>
          <w:highlight w:val="none"/>
          <w14:textFill>
            <w14:solidFill>
              <w14:schemeClr w14:val="tx1"/>
            </w14:solidFill>
          </w14:textFill>
        </w:rPr>
        <w:t>环保</w:t>
      </w:r>
      <w:bookmarkEnd w:id="74"/>
      <w:bookmarkEnd w:id="75"/>
    </w:p>
    <w:p>
      <w:pPr>
        <w:numPr>
          <w:ilvl w:val="0"/>
          <w:numId w:val="2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乙方在</w:t>
      </w:r>
      <w:r>
        <w:rPr>
          <w:rFonts w:hint="eastAsia"/>
          <w:color w:val="000000" w:themeColor="text1"/>
          <w:szCs w:val="21"/>
          <w:highlight w:val="none"/>
          <w14:textFill>
            <w14:solidFill>
              <w14:schemeClr w14:val="tx1"/>
            </w14:solidFill>
          </w14:textFill>
        </w:rPr>
        <w:t>履行</w:t>
      </w:r>
      <w:r>
        <w:rPr>
          <w:color w:val="000000" w:themeColor="text1"/>
          <w:szCs w:val="21"/>
          <w:highlight w:val="none"/>
          <w14:textFill>
            <w14:solidFill>
              <w14:schemeClr w14:val="tx1"/>
            </w14:solidFill>
          </w14:textFill>
        </w:rPr>
        <w:t>合同时，应遵守</w:t>
      </w:r>
      <w:r>
        <w:rPr>
          <w:rFonts w:hint="eastAsia"/>
          <w:color w:val="000000" w:themeColor="text1"/>
          <w:szCs w:val="21"/>
          <w:highlight w:val="none"/>
          <w14:textFill>
            <w14:solidFill>
              <w14:schemeClr w14:val="tx1"/>
            </w14:solidFill>
          </w14:textFill>
        </w:rPr>
        <w:t>中国相关</w:t>
      </w:r>
      <w:r>
        <w:rPr>
          <w:color w:val="000000" w:themeColor="text1"/>
          <w:szCs w:val="21"/>
          <w:highlight w:val="none"/>
          <w14:textFill>
            <w14:solidFill>
              <w14:schemeClr w14:val="tx1"/>
            </w14:solidFill>
          </w14:textFill>
        </w:rPr>
        <w:t>法律法规及甲方关于健康、安全及环保的规定</w:t>
      </w:r>
      <w:r>
        <w:rPr>
          <w:rFonts w:hint="eastAsia"/>
          <w:color w:val="000000" w:themeColor="text1"/>
          <w:szCs w:val="21"/>
          <w:highlight w:val="none"/>
          <w14:textFill>
            <w14:solidFill>
              <w14:schemeClr w14:val="tx1"/>
            </w14:solidFill>
          </w14:textFill>
        </w:rPr>
        <w:t>：</w:t>
      </w:r>
    </w:p>
    <w:p>
      <w:pPr>
        <w:numPr>
          <w:ilvl w:val="0"/>
          <w:numId w:val="27"/>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应为有机会出差或驻场的人员购买人身意外保险或其它相关项目的保险；</w:t>
      </w:r>
    </w:p>
    <w:p>
      <w:pPr>
        <w:numPr>
          <w:ilvl w:val="0"/>
          <w:numId w:val="27"/>
        </w:numPr>
        <w:tabs>
          <w:tab w:val="left" w:pos="1276"/>
        </w:tabs>
        <w:adjustRightInd w:val="0"/>
        <w:snapToGrid w:val="0"/>
        <w:spacing w:before="93" w:beforeLines="30" w:after="93" w:afterLines="30"/>
        <w:ind w:left="1276" w:hanging="56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甲方有权根据需要修订其健康、安全及环保政策并将最新文件发给乙方以</w:t>
      </w:r>
      <w:r>
        <w:rPr>
          <w:rFonts w:hint="eastAsia"/>
          <w:color w:val="000000" w:themeColor="text1"/>
          <w:szCs w:val="21"/>
          <w:highlight w:val="none"/>
          <w14:textFill>
            <w14:solidFill>
              <w14:schemeClr w14:val="tx1"/>
            </w14:solidFill>
          </w14:textFill>
        </w:rPr>
        <w:t>便</w:t>
      </w:r>
      <w:r>
        <w:rPr>
          <w:color w:val="000000" w:themeColor="text1"/>
          <w:szCs w:val="21"/>
          <w:highlight w:val="none"/>
          <w14:textFill>
            <w14:solidFill>
              <w14:schemeClr w14:val="tx1"/>
            </w14:solidFill>
          </w14:textFill>
        </w:rPr>
        <w:t>遵照执行。</w:t>
      </w:r>
    </w:p>
    <w:p>
      <w:pPr>
        <w:numPr>
          <w:ilvl w:val="0"/>
          <w:numId w:val="26"/>
        </w:numPr>
        <w:tabs>
          <w:tab w:val="left" w:pos="709"/>
          <w:tab w:val="clear" w:pos="0"/>
        </w:tabs>
        <w:adjustRightInd w:val="0"/>
        <w:snapToGrid w:val="0"/>
        <w:spacing w:before="93" w:beforeLines="30" w:after="93" w:afterLines="30"/>
        <w:ind w:left="709" w:hanging="709"/>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乙方应保证其完成工作和工作成果符合国家要求的健康、安全及环保标准。因乙方未能按国家相关规定和甲方的要求，而在健康、安全、环保方面给甲方造成的任何损失由乙方全额承担。</w:t>
      </w:r>
    </w:p>
    <w:p>
      <w:pPr>
        <w:numPr>
          <w:ilvl w:val="0"/>
          <w:numId w:val="26"/>
        </w:numPr>
        <w:tabs>
          <w:tab w:val="left" w:pos="709"/>
          <w:tab w:val="clear" w:pos="0"/>
        </w:tabs>
        <w:adjustRightInd w:val="0"/>
        <w:snapToGrid w:val="0"/>
        <w:spacing w:before="93" w:beforeLines="30" w:after="93" w:afterLines="30"/>
        <w:ind w:left="709" w:hanging="709"/>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甲方的健康、安全及环保要求见附件六。</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76" w:name="_Toc364839376"/>
      <w:bookmarkStart w:id="77" w:name="_Toc300147855"/>
      <w:r>
        <w:rPr>
          <w:rFonts w:hint="eastAsia" w:ascii="Times New Roman" w:hAnsi="Times New Roman"/>
          <w:color w:val="000000" w:themeColor="text1"/>
          <w:sz w:val="21"/>
          <w:szCs w:val="21"/>
          <w:highlight w:val="none"/>
          <w14:textFill>
            <w14:solidFill>
              <w14:schemeClr w14:val="tx1"/>
            </w14:solidFill>
          </w14:textFill>
        </w:rPr>
        <w:t>转让</w:t>
      </w:r>
      <w:r>
        <w:rPr>
          <w:rFonts w:hint="eastAsia"/>
          <w:color w:val="000000" w:themeColor="text1"/>
          <w:sz w:val="21"/>
          <w:szCs w:val="21"/>
          <w:highlight w:val="none"/>
          <w14:textFill>
            <w14:solidFill>
              <w14:schemeClr w14:val="tx1"/>
            </w14:solidFill>
          </w14:textFill>
        </w:rPr>
        <w:t>和分包</w:t>
      </w:r>
      <w:bookmarkEnd w:id="76"/>
      <w:bookmarkEnd w:id="77"/>
    </w:p>
    <w:p>
      <w:pPr>
        <w:widowControl/>
        <w:numPr>
          <w:ilvl w:val="0"/>
          <w:numId w:val="28"/>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未经甲方</w:t>
      </w:r>
      <w:r>
        <w:rPr>
          <w:rFonts w:hint="eastAsia"/>
          <w:color w:val="000000" w:themeColor="text1"/>
          <w:szCs w:val="21"/>
          <w:highlight w:val="none"/>
          <w14:textFill>
            <w14:solidFill>
              <w14:schemeClr w14:val="tx1"/>
            </w14:solidFill>
          </w14:textFill>
        </w:rPr>
        <w:t>事先</w:t>
      </w:r>
      <w:r>
        <w:rPr>
          <w:color w:val="000000" w:themeColor="text1"/>
          <w:szCs w:val="21"/>
          <w:highlight w:val="none"/>
          <w14:textFill>
            <w14:solidFill>
              <w14:schemeClr w14:val="tx1"/>
            </w14:solidFill>
          </w14:textFill>
        </w:rPr>
        <w:t>书面同意，乙方不得</w:t>
      </w:r>
      <w:r>
        <w:rPr>
          <w:rFonts w:hint="eastAsia"/>
          <w:color w:val="000000" w:themeColor="text1"/>
          <w:szCs w:val="21"/>
          <w:highlight w:val="none"/>
          <w14:textFill>
            <w14:solidFill>
              <w14:schemeClr w14:val="tx1"/>
            </w14:solidFill>
          </w14:textFill>
        </w:rPr>
        <w:t>将</w:t>
      </w:r>
      <w:r>
        <w:rPr>
          <w:color w:val="000000" w:themeColor="text1"/>
          <w:szCs w:val="21"/>
          <w:highlight w:val="none"/>
          <w14:textFill>
            <w14:solidFill>
              <w14:schemeClr w14:val="tx1"/>
            </w14:solidFill>
          </w14:textFill>
        </w:rPr>
        <w:t>其</w:t>
      </w:r>
      <w:r>
        <w:rPr>
          <w:rFonts w:hint="eastAsia"/>
          <w:color w:val="000000" w:themeColor="text1"/>
          <w:szCs w:val="21"/>
          <w:highlight w:val="none"/>
          <w14:textFill>
            <w14:solidFill>
              <w14:schemeClr w14:val="tx1"/>
            </w14:solidFill>
          </w14:textFill>
        </w:rPr>
        <w:t>在本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项下</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任何权利和</w:t>
      </w:r>
      <w:r>
        <w:rPr>
          <w:color w:val="000000" w:themeColor="text1"/>
          <w:szCs w:val="21"/>
          <w:highlight w:val="none"/>
          <w14:textFill>
            <w14:solidFill>
              <w14:schemeClr w14:val="tx1"/>
            </w14:solidFill>
          </w14:textFill>
        </w:rPr>
        <w:t>义务</w:t>
      </w:r>
      <w:r>
        <w:rPr>
          <w:rFonts w:hint="eastAsia"/>
          <w:color w:val="000000" w:themeColor="text1"/>
          <w:szCs w:val="21"/>
          <w:highlight w:val="none"/>
          <w14:textFill>
            <w14:solidFill>
              <w14:schemeClr w14:val="tx1"/>
            </w14:solidFill>
          </w14:textFill>
        </w:rPr>
        <w:t>全部或部分转让给任何第三方，包括乙方的关联企业</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甲方</w:t>
      </w:r>
      <w:r>
        <w:rPr>
          <w:color w:val="000000" w:themeColor="text1"/>
          <w:szCs w:val="21"/>
          <w:highlight w:val="none"/>
          <w14:textFill>
            <w14:solidFill>
              <w14:schemeClr w14:val="tx1"/>
            </w14:solidFill>
          </w14:textFill>
        </w:rPr>
        <w:t>可以</w:t>
      </w:r>
      <w:r>
        <w:rPr>
          <w:rFonts w:hint="eastAsia"/>
          <w:color w:val="000000" w:themeColor="text1"/>
          <w:szCs w:val="21"/>
          <w:highlight w:val="none"/>
          <w14:textFill>
            <w14:solidFill>
              <w14:schemeClr w14:val="tx1"/>
            </w14:solidFill>
          </w14:textFill>
        </w:rPr>
        <w:t>将其在</w:t>
      </w:r>
      <w:r>
        <w:rPr>
          <w:color w:val="000000" w:themeColor="text1"/>
          <w:szCs w:val="21"/>
          <w:highlight w:val="none"/>
          <w14:textFill>
            <w14:solidFill>
              <w14:schemeClr w14:val="tx1"/>
            </w14:solidFill>
          </w14:textFill>
        </w:rPr>
        <w:t>本合同</w:t>
      </w:r>
      <w:r>
        <w:rPr>
          <w:rFonts w:hint="eastAsia"/>
          <w:color w:val="000000" w:themeColor="text1"/>
          <w:szCs w:val="21"/>
          <w:highlight w:val="none"/>
          <w14:textFill>
            <w14:solidFill>
              <w14:schemeClr w14:val="tx1"/>
            </w14:solidFill>
          </w14:textFill>
        </w:rPr>
        <w:t>项下的</w:t>
      </w:r>
      <w:r>
        <w:rPr>
          <w:color w:val="000000" w:themeColor="text1"/>
          <w:szCs w:val="21"/>
          <w:highlight w:val="none"/>
          <w14:textFill>
            <w14:solidFill>
              <w14:schemeClr w14:val="tx1"/>
            </w14:solidFill>
          </w14:textFill>
        </w:rPr>
        <w:t>权利和义务</w:t>
      </w:r>
      <w:r>
        <w:rPr>
          <w:rFonts w:hint="eastAsia"/>
          <w:color w:val="000000" w:themeColor="text1"/>
          <w:szCs w:val="21"/>
          <w:highlight w:val="none"/>
          <w14:textFill>
            <w14:solidFill>
              <w14:schemeClr w14:val="tx1"/>
            </w14:solidFill>
          </w14:textFill>
        </w:rPr>
        <w:t>全部或部分</w:t>
      </w:r>
      <w:r>
        <w:rPr>
          <w:color w:val="000000" w:themeColor="text1"/>
          <w:szCs w:val="21"/>
          <w:highlight w:val="none"/>
          <w14:textFill>
            <w14:solidFill>
              <w14:schemeClr w14:val="tx1"/>
            </w14:solidFill>
          </w14:textFill>
        </w:rPr>
        <w:t>转让给</w:t>
      </w:r>
      <w:r>
        <w:rPr>
          <w:rFonts w:hint="eastAsia"/>
          <w:color w:val="000000" w:themeColor="text1"/>
          <w:szCs w:val="21"/>
          <w:highlight w:val="none"/>
          <w14:textFill>
            <w14:solidFill>
              <w14:schemeClr w14:val="tx1"/>
            </w14:solidFill>
          </w14:textFill>
        </w:rPr>
        <w:t>其关联企业</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且无需</w:t>
      </w:r>
      <w:r>
        <w:rPr>
          <w:color w:val="000000" w:themeColor="text1"/>
          <w:szCs w:val="21"/>
          <w:highlight w:val="none"/>
          <w14:textFill>
            <w14:solidFill>
              <w14:schemeClr w14:val="tx1"/>
            </w14:solidFill>
          </w14:textFill>
        </w:rPr>
        <w:t>事先征得</w:t>
      </w:r>
      <w:r>
        <w:rPr>
          <w:rFonts w:hint="eastAsia"/>
          <w:color w:val="000000" w:themeColor="text1"/>
          <w:szCs w:val="21"/>
          <w:highlight w:val="none"/>
          <w14:textFill>
            <w14:solidFill>
              <w14:schemeClr w14:val="tx1"/>
            </w14:solidFill>
          </w14:textFill>
        </w:rPr>
        <w:t>乙方</w:t>
      </w:r>
      <w:r>
        <w:rPr>
          <w:color w:val="000000" w:themeColor="text1"/>
          <w:szCs w:val="21"/>
          <w:highlight w:val="none"/>
          <w14:textFill>
            <w14:solidFill>
              <w14:schemeClr w14:val="tx1"/>
            </w14:solidFill>
          </w14:textFill>
        </w:rPr>
        <w:t>的同意，但应书面通知</w:t>
      </w:r>
      <w:r>
        <w:rPr>
          <w:rFonts w:hint="eastAsia"/>
          <w:color w:val="000000" w:themeColor="text1"/>
          <w:szCs w:val="21"/>
          <w:highlight w:val="none"/>
          <w14:textFill>
            <w14:solidFill>
              <w14:schemeClr w14:val="tx1"/>
            </w14:solidFill>
          </w14:textFill>
        </w:rPr>
        <w:t>乙方</w:t>
      </w:r>
      <w:r>
        <w:rPr>
          <w:color w:val="000000" w:themeColor="text1"/>
          <w:szCs w:val="21"/>
          <w:highlight w:val="none"/>
          <w14:textFill>
            <w14:solidFill>
              <w14:schemeClr w14:val="tx1"/>
            </w14:solidFill>
          </w14:textFill>
        </w:rPr>
        <w:t>。</w:t>
      </w:r>
    </w:p>
    <w:p>
      <w:pPr>
        <w:widowControl/>
        <w:numPr>
          <w:ilvl w:val="0"/>
          <w:numId w:val="28"/>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未经甲方事先书面同意，乙方不得将其在本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项下的任何义务分包给任何第三方，包括乙方的关联企业。</w:t>
      </w:r>
      <w:bookmarkStart w:id="78" w:name="_DV_C867"/>
      <w:r>
        <w:rPr>
          <w:rFonts w:hint="eastAsia"/>
          <w:color w:val="000000" w:themeColor="text1"/>
          <w:szCs w:val="21"/>
          <w:highlight w:val="none"/>
          <w14:textFill>
            <w14:solidFill>
              <w14:schemeClr w14:val="tx1"/>
            </w14:solidFill>
          </w14:textFill>
        </w:rPr>
        <w:t>乙方不得将本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转包给任何第三方，包括其关联企业。</w:t>
      </w:r>
      <w:bookmarkEnd w:id="78"/>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79" w:name="_Toc299912680"/>
      <w:bookmarkStart w:id="80" w:name="_Toc299915695"/>
      <w:bookmarkStart w:id="81" w:name="_Toc364839377"/>
      <w:r>
        <w:rPr>
          <w:rFonts w:hint="eastAsia"/>
          <w:color w:val="000000" w:themeColor="text1"/>
          <w:sz w:val="21"/>
          <w:szCs w:val="21"/>
          <w:highlight w:val="none"/>
          <w14:textFill>
            <w14:solidFill>
              <w14:schemeClr w14:val="tx1"/>
            </w14:solidFill>
          </w14:textFill>
        </w:rPr>
        <w:t>不可抗力</w:t>
      </w:r>
      <w:bookmarkEnd w:id="79"/>
      <w:bookmarkEnd w:id="80"/>
      <w:bookmarkEnd w:id="81"/>
    </w:p>
    <w:p>
      <w:pPr>
        <w:pStyle w:val="8"/>
        <w:widowControl/>
        <w:numPr>
          <w:ilvl w:val="0"/>
          <w:numId w:val="29"/>
        </w:numPr>
        <w:tabs>
          <w:tab w:val="left" w:pos="1175"/>
        </w:tabs>
        <w:autoSpaceDE/>
        <w:autoSpaceDN/>
        <w:snapToGrid w:val="0"/>
        <w:spacing w:before="93" w:beforeLines="30" w:after="93" w:afterLines="30" w:line="240" w:lineRule="auto"/>
        <w:ind w:left="709" w:hanging="709"/>
        <w:rPr>
          <w:rFonts w:ascii="宋体" w:hAnsi="宋体" w:eastAsia="宋体"/>
          <w:color w:val="000000" w:themeColor="text1"/>
          <w:sz w:val="21"/>
          <w:szCs w:val="21"/>
          <w:highlight w:val="none"/>
          <w14:textFill>
            <w14:solidFill>
              <w14:schemeClr w14:val="tx1"/>
            </w14:solidFill>
          </w14:textFill>
        </w:rPr>
      </w:pPr>
      <w:bookmarkStart w:id="82" w:name="_Toc299912681"/>
      <w:bookmarkStart w:id="83" w:name="_Toc299915696"/>
      <w:bookmarkStart w:id="84" w:name="_Toc299550771"/>
      <w:r>
        <w:rPr>
          <w:rFonts w:hint="eastAsia" w:ascii="宋体" w:hAnsi="宋体" w:eastAsia="宋体"/>
          <w:color w:val="000000" w:themeColor="text1"/>
          <w:sz w:val="21"/>
          <w:szCs w:val="21"/>
          <w:highlight w:val="none"/>
          <w14:textFill>
            <w14:solidFill>
              <w14:schemeClr w14:val="tx1"/>
            </w14:solidFill>
          </w14:textFill>
        </w:rPr>
        <w:t>不可抗力系指本</w:t>
      </w:r>
      <w:r>
        <w:rPr>
          <w:rFonts w:ascii="宋体" w:hAnsi="宋体" w:eastAsia="宋体"/>
          <w:color w:val="000000" w:themeColor="text1"/>
          <w:sz w:val="21"/>
          <w:szCs w:val="21"/>
          <w:highlight w:val="none"/>
          <w14:textFill>
            <w14:solidFill>
              <w14:schemeClr w14:val="tx1"/>
            </w14:solidFill>
          </w14:textFill>
        </w:rPr>
        <w:t>合同</w:t>
      </w:r>
      <w:r>
        <w:rPr>
          <w:rFonts w:hint="eastAsia" w:ascii="宋体" w:hAnsi="宋体" w:eastAsia="宋体"/>
          <w:color w:val="000000" w:themeColor="text1"/>
          <w:sz w:val="21"/>
          <w:szCs w:val="21"/>
          <w:highlight w:val="none"/>
          <w14:textFill>
            <w14:solidFill>
              <w14:schemeClr w14:val="tx1"/>
            </w14:solidFill>
          </w14:textFill>
        </w:rPr>
        <w:t>的履行过程中，任何一方经合理努力仍不可预见、不可避免并不能克服的客观情况。</w:t>
      </w:r>
      <w:r>
        <w:rPr>
          <w:rFonts w:ascii="宋体" w:hAnsi="宋体" w:eastAsia="宋体"/>
          <w:color w:val="000000" w:themeColor="text1"/>
          <w:kern w:val="0"/>
          <w:sz w:val="21"/>
          <w:szCs w:val="21"/>
          <w:highlight w:val="none"/>
          <w14:textFill>
            <w14:solidFill>
              <w14:schemeClr w14:val="tx1"/>
            </w14:solidFill>
          </w14:textFill>
        </w:rPr>
        <w:t>任</w:t>
      </w:r>
      <w:r>
        <w:rPr>
          <w:rFonts w:ascii="宋体" w:hAnsi="宋体" w:eastAsia="宋体"/>
          <w:color w:val="000000" w:themeColor="text1"/>
          <w:sz w:val="21"/>
          <w:szCs w:val="21"/>
          <w:highlight w:val="none"/>
          <w14:textFill>
            <w14:solidFill>
              <w14:schemeClr w14:val="tx1"/>
            </w14:solidFill>
          </w14:textFill>
        </w:rPr>
        <w:t>何一方因不可抗力不能或延迟履行本合同，不承担违约责任。</w:t>
      </w:r>
    </w:p>
    <w:p>
      <w:pPr>
        <w:pStyle w:val="8"/>
        <w:widowControl/>
        <w:numPr>
          <w:ilvl w:val="0"/>
          <w:numId w:val="29"/>
        </w:numPr>
        <w:tabs>
          <w:tab w:val="left" w:pos="1175"/>
        </w:tabs>
        <w:autoSpaceDE/>
        <w:autoSpaceDN/>
        <w:snapToGrid w:val="0"/>
        <w:spacing w:before="93" w:beforeLines="30" w:after="93" w:afterLines="30" w:line="240" w:lineRule="auto"/>
        <w:ind w:left="709" w:hanging="709"/>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如果一方遭受不可抗力，应立即（不迟于</w:t>
      </w:r>
      <w:r>
        <w:rPr>
          <w:rFonts w:hint="eastAsia" w:ascii="宋体" w:hAnsi="宋体" w:eastAsia="宋体"/>
          <w:color w:val="000000" w:themeColor="text1"/>
          <w:sz w:val="21"/>
          <w:szCs w:val="21"/>
          <w:highlight w:val="none"/>
          <w14:textFill>
            <w14:solidFill>
              <w14:schemeClr w14:val="tx1"/>
            </w14:solidFill>
          </w14:textFill>
        </w:rPr>
        <w:t>二十四（</w:t>
      </w:r>
      <w:r>
        <w:rPr>
          <w:rFonts w:ascii="宋体" w:hAnsi="宋体" w:eastAsia="宋体"/>
          <w:color w:val="000000" w:themeColor="text1"/>
          <w:sz w:val="21"/>
          <w:szCs w:val="21"/>
          <w:highlight w:val="none"/>
          <w14:textFill>
            <w14:solidFill>
              <w14:schemeClr w14:val="tx1"/>
            </w14:solidFill>
          </w14:textFill>
        </w:rPr>
        <w:t>24</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小时内）通知另一方，并采取一切合理、必要的措施减少损失</w:t>
      </w:r>
      <w:r>
        <w:rPr>
          <w:rFonts w:ascii="Times New Roman" w:hAnsi="宋体" w:eastAsia="宋体"/>
          <w:color w:val="000000" w:themeColor="text1"/>
          <w:sz w:val="21"/>
          <w:szCs w:val="21"/>
          <w:highlight w:val="none"/>
          <w14:textFill>
            <w14:solidFill>
              <w14:schemeClr w14:val="tx1"/>
            </w14:solidFill>
          </w14:textFill>
        </w:rPr>
        <w:t>及不可抗力的影响，恢复合同的履行。不可抗力结束后</w:t>
      </w:r>
      <w:r>
        <w:rPr>
          <w:rFonts w:hint="eastAsia" w:ascii="Times New Roman" w:hAnsi="宋体" w:eastAsia="宋体"/>
          <w:color w:val="000000" w:themeColor="text1"/>
          <w:sz w:val="21"/>
          <w:szCs w:val="21"/>
          <w:highlight w:val="none"/>
          <w14:textFill>
            <w14:solidFill>
              <w14:schemeClr w14:val="tx1"/>
            </w14:solidFill>
          </w14:textFill>
        </w:rPr>
        <w:t>四十八（</w:t>
      </w:r>
      <w:r>
        <w:rPr>
          <w:rFonts w:ascii="Times New Roman" w:eastAsia="宋体"/>
          <w:color w:val="000000" w:themeColor="text1"/>
          <w:sz w:val="21"/>
          <w:szCs w:val="21"/>
          <w:highlight w:val="none"/>
          <w14:textFill>
            <w14:solidFill>
              <w14:schemeClr w14:val="tx1"/>
            </w14:solidFill>
          </w14:textFill>
        </w:rPr>
        <w:t>48</w:t>
      </w:r>
      <w:r>
        <w:rPr>
          <w:rFonts w:hint="eastAsia" w:ascii="Times New Roman" w:eastAsia="宋体"/>
          <w:color w:val="000000" w:themeColor="text1"/>
          <w:sz w:val="21"/>
          <w:szCs w:val="21"/>
          <w:highlight w:val="none"/>
          <w14:textFill>
            <w14:solidFill>
              <w14:schemeClr w14:val="tx1"/>
            </w14:solidFill>
          </w14:textFill>
        </w:rPr>
        <w:t>）</w:t>
      </w:r>
      <w:r>
        <w:rPr>
          <w:rFonts w:ascii="Times New Roman" w:hAnsi="宋体" w:eastAsia="宋体"/>
          <w:color w:val="000000" w:themeColor="text1"/>
          <w:sz w:val="21"/>
          <w:szCs w:val="21"/>
          <w:highlight w:val="none"/>
          <w14:textFill>
            <w14:solidFill>
              <w14:schemeClr w14:val="tx1"/>
            </w14:solidFill>
          </w14:textFill>
        </w:rPr>
        <w:t>小时内，遭受不可抗力的一方应向另一方通报不可抗力的情况，包括不可抗力造成的损害</w:t>
      </w:r>
      <w:r>
        <w:rPr>
          <w:rFonts w:hint="eastAsia" w:ascii="宋体" w:hAnsi="宋体" w:eastAsia="宋体"/>
          <w:color w:val="000000" w:themeColor="text1"/>
          <w:sz w:val="21"/>
          <w:szCs w:val="21"/>
          <w:highlight w:val="none"/>
          <w14:textFill>
            <w14:solidFill>
              <w14:schemeClr w14:val="tx1"/>
            </w14:solidFill>
          </w14:textFill>
        </w:rPr>
        <w:t>、延续时间、合同设备受影响的范围、补救措施等，如不可抗力持续发生，遭受不可抗力的一方应及时更新该等信息。</w:t>
      </w:r>
    </w:p>
    <w:p>
      <w:pPr>
        <w:pStyle w:val="8"/>
        <w:widowControl/>
        <w:numPr>
          <w:ilvl w:val="0"/>
          <w:numId w:val="29"/>
        </w:numPr>
        <w:tabs>
          <w:tab w:val="left" w:pos="1175"/>
        </w:tabs>
        <w:autoSpaceDE/>
        <w:autoSpaceDN/>
        <w:snapToGrid w:val="0"/>
        <w:spacing w:before="93" w:beforeLines="30" w:after="93" w:afterLines="30" w:line="240" w:lineRule="auto"/>
        <w:ind w:left="709" w:hanging="709"/>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如发生不可抗力，双方各自承担其人员和财产损失。一旦不可抗力停止或者影响消除，双方应立即履行其义务，合同的期限应该相应顺延。如果不可抗力的影响持续超过【填入天数】日，双方应该共同商议应对措施。</w:t>
      </w:r>
    </w:p>
    <w:p>
      <w:pPr>
        <w:pStyle w:val="8"/>
        <w:widowControl/>
        <w:numPr>
          <w:ilvl w:val="0"/>
          <w:numId w:val="29"/>
        </w:numPr>
        <w:tabs>
          <w:tab w:val="left" w:pos="1175"/>
        </w:tabs>
        <w:autoSpaceDE/>
        <w:autoSpaceDN/>
        <w:snapToGrid w:val="0"/>
        <w:spacing w:before="93" w:beforeLines="30" w:after="93" w:afterLines="30" w:line="240" w:lineRule="auto"/>
        <w:ind w:left="709" w:hanging="709"/>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任何一方迟延履行合同和当次《服务委托书》的要求后遭受不可抗力的，不得减少、免除该方在本合同项下的任何义务和责任。</w:t>
      </w:r>
    </w:p>
    <w:p>
      <w:pPr>
        <w:pStyle w:val="8"/>
        <w:widowControl/>
        <w:numPr>
          <w:ilvl w:val="0"/>
          <w:numId w:val="29"/>
        </w:numPr>
        <w:tabs>
          <w:tab w:val="left" w:pos="1175"/>
        </w:tabs>
        <w:autoSpaceDE/>
        <w:autoSpaceDN/>
        <w:snapToGrid w:val="0"/>
        <w:spacing w:before="93" w:beforeLines="30" w:after="93" w:afterLines="30" w:line="240" w:lineRule="auto"/>
        <w:ind w:left="709" w:hanging="709"/>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不可抗力的发生不能造成任何一方支付额外款项、赔偿或其它救济方式，双方放弃对任何此类事项进行索赔的权利。</w:t>
      </w:r>
    </w:p>
    <w:p>
      <w:pPr>
        <w:pStyle w:val="55"/>
        <w:tabs>
          <w:tab w:val="left" w:pos="2564"/>
          <w:tab w:val="clear" w:pos="720"/>
        </w:tabs>
        <w:adjustRightInd w:val="0"/>
        <w:snapToGrid w:val="0"/>
        <w:spacing w:before="93" w:beforeLines="30" w:after="93" w:afterLines="30" w:line="240" w:lineRule="auto"/>
        <w:jc w:val="left"/>
        <w:rPr>
          <w:rStyle w:val="56"/>
          <w:rFonts w:ascii="Times New Roman" w:hAnsi="Times New Roman"/>
          <w:color w:val="000000" w:themeColor="text1"/>
          <w:sz w:val="21"/>
          <w:szCs w:val="21"/>
          <w:highlight w:val="none"/>
          <w:u w:val="none"/>
          <w14:textFill>
            <w14:solidFill>
              <w14:schemeClr w14:val="tx1"/>
            </w14:solidFill>
          </w14:textFill>
        </w:rPr>
      </w:pPr>
      <w:bookmarkStart w:id="85" w:name="_Toc364839378"/>
      <w:r>
        <w:rPr>
          <w:rFonts w:hint="eastAsia"/>
          <w:color w:val="000000" w:themeColor="text1"/>
          <w:sz w:val="21"/>
          <w:szCs w:val="21"/>
          <w:highlight w:val="none"/>
          <w14:textFill>
            <w14:solidFill>
              <w14:schemeClr w14:val="tx1"/>
            </w14:solidFill>
          </w14:textFill>
        </w:rPr>
        <w:t>保障</w:t>
      </w:r>
      <w:bookmarkEnd w:id="82"/>
      <w:bookmarkEnd w:id="83"/>
      <w:bookmarkEnd w:id="84"/>
      <w:bookmarkEnd w:id="85"/>
      <w:bookmarkStart w:id="86" w:name="_Toc298158360"/>
      <w:bookmarkStart w:id="87" w:name="_Toc300147858"/>
    </w:p>
    <w:p>
      <w:pPr>
        <w:numPr>
          <w:ilvl w:val="0"/>
          <w:numId w:val="30"/>
        </w:numPr>
        <w:adjustRightInd w:val="0"/>
        <w:snapToGrid w:val="0"/>
        <w:spacing w:before="93" w:beforeLines="30" w:after="93" w:afterLines="30"/>
        <w:ind w:left="709" w:hanging="709"/>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乙方、乙方代理或分包商（如有）</w:t>
      </w:r>
      <w:r>
        <w:rPr>
          <w:color w:val="000000" w:themeColor="text1"/>
          <w:szCs w:val="21"/>
          <w:highlight w:val="none"/>
          <w14:textFill>
            <w14:solidFill>
              <w14:schemeClr w14:val="tx1"/>
            </w14:solidFill>
          </w14:textFill>
        </w:rPr>
        <w:t>因履行</w:t>
      </w:r>
      <w:r>
        <w:rPr>
          <w:rFonts w:hint="eastAsia"/>
          <w:color w:val="000000" w:themeColor="text1"/>
          <w:szCs w:val="21"/>
          <w:highlight w:val="none"/>
          <w14:textFill>
            <w14:solidFill>
              <w14:schemeClr w14:val="tx1"/>
            </w14:solidFill>
          </w14:textFill>
        </w:rPr>
        <w:t>本</w:t>
      </w:r>
      <w:r>
        <w:rPr>
          <w:color w:val="000000" w:themeColor="text1"/>
          <w:szCs w:val="21"/>
          <w:highlight w:val="none"/>
          <w14:textFill>
            <w14:solidFill>
              <w14:schemeClr w14:val="tx1"/>
            </w14:solidFill>
          </w14:textFill>
        </w:rPr>
        <w:t>合同造成任何第三方财产损失、</w:t>
      </w:r>
      <w:r>
        <w:rPr>
          <w:rFonts w:hint="eastAsia"/>
          <w:color w:val="000000" w:themeColor="text1"/>
          <w:szCs w:val="21"/>
          <w:highlight w:val="none"/>
          <w14:textFill>
            <w14:solidFill>
              <w14:schemeClr w14:val="tx1"/>
            </w14:solidFill>
          </w14:textFill>
        </w:rPr>
        <w:t>损坏、</w:t>
      </w:r>
      <w:r>
        <w:rPr>
          <w:color w:val="000000" w:themeColor="text1"/>
          <w:szCs w:val="21"/>
          <w:highlight w:val="none"/>
          <w14:textFill>
            <w14:solidFill>
              <w14:schemeClr w14:val="tx1"/>
            </w14:solidFill>
          </w14:textFill>
        </w:rPr>
        <w:t>人身伤亡</w:t>
      </w:r>
      <w:r>
        <w:rPr>
          <w:rFonts w:hint="eastAsia"/>
          <w:color w:val="000000" w:themeColor="text1"/>
          <w:szCs w:val="21"/>
          <w:highlight w:val="none"/>
          <w14:textFill>
            <w14:solidFill>
              <w14:schemeClr w14:val="tx1"/>
            </w14:solidFill>
          </w14:textFill>
        </w:rPr>
        <w:t>或疾病</w:t>
      </w:r>
      <w:r>
        <w:rPr>
          <w:color w:val="000000" w:themeColor="text1"/>
          <w:szCs w:val="21"/>
          <w:highlight w:val="none"/>
          <w14:textFill>
            <w14:solidFill>
              <w14:schemeClr w14:val="tx1"/>
            </w14:solidFill>
          </w14:textFill>
        </w:rPr>
        <w:t>，乙方应承担全部责任，</w:t>
      </w:r>
      <w:r>
        <w:rPr>
          <w:rFonts w:hint="eastAsia"/>
          <w:color w:val="000000" w:themeColor="text1"/>
          <w:highlight w:val="none"/>
          <w14:textFill>
            <w14:solidFill>
              <w14:schemeClr w14:val="tx1"/>
            </w14:solidFill>
          </w14:textFill>
        </w:rPr>
        <w:t>并</w:t>
      </w:r>
      <w:r>
        <w:rPr>
          <w:rFonts w:hint="eastAsia"/>
          <w:color w:val="000000" w:themeColor="text1"/>
          <w:szCs w:val="21"/>
          <w:highlight w:val="none"/>
          <w14:textFill>
            <w14:solidFill>
              <w14:schemeClr w14:val="tx1"/>
            </w14:solidFill>
          </w14:textFill>
        </w:rPr>
        <w:t>应确保甲方免于所有相关的索赔、损失、损害、费用和责任，包括但不限于在</w:t>
      </w:r>
      <w:r>
        <w:rPr>
          <w:rFonts w:hint="eastAsia"/>
          <w:color w:val="000000" w:themeColor="text1"/>
          <w:highlight w:val="none"/>
          <w14:textFill>
            <w14:solidFill>
              <w14:schemeClr w14:val="tx1"/>
            </w14:solidFill>
          </w14:textFill>
        </w:rPr>
        <w:t>甲方因此需向第三方支付任何赔偿时，乙方均应全额予以补偿。</w:t>
      </w:r>
    </w:p>
    <w:p>
      <w:pPr>
        <w:numPr>
          <w:ilvl w:val="0"/>
          <w:numId w:val="30"/>
        </w:numPr>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如因履行本合同，</w:t>
      </w:r>
      <w:r>
        <w:rPr>
          <w:rFonts w:hint="eastAsia"/>
          <w:color w:val="000000" w:themeColor="text1"/>
          <w:szCs w:val="21"/>
          <w:highlight w:val="none"/>
          <w14:textFill>
            <w14:solidFill>
              <w14:schemeClr w14:val="tx1"/>
            </w14:solidFill>
          </w14:textFill>
        </w:rPr>
        <w:t>乙方及其人员、乙方代理、分包商及其人员（如有）的任何财产（包括但不限于</w:t>
      </w:r>
      <w:r>
        <w:rPr>
          <w:color w:val="000000" w:themeColor="text1"/>
          <w:szCs w:val="21"/>
          <w:highlight w:val="none"/>
          <w14:textFill>
            <w14:solidFill>
              <w14:schemeClr w14:val="tx1"/>
            </w14:solidFill>
          </w14:textFill>
        </w:rPr>
        <w:t>设备、装置、器材等</w:t>
      </w:r>
      <w:r>
        <w:rPr>
          <w:rFonts w:hint="eastAsia"/>
          <w:color w:val="000000" w:themeColor="text1"/>
          <w:szCs w:val="21"/>
          <w:highlight w:val="none"/>
          <w14:textFill>
            <w14:solidFill>
              <w14:schemeClr w14:val="tx1"/>
            </w14:solidFill>
          </w14:textFill>
        </w:rPr>
        <w:t>，且无论该等财产属于自有、租用、租赁或以其它方式提供）</w:t>
      </w:r>
      <w:r>
        <w:rPr>
          <w:color w:val="000000" w:themeColor="text1"/>
          <w:szCs w:val="21"/>
          <w:highlight w:val="none"/>
          <w14:textFill>
            <w14:solidFill>
              <w14:schemeClr w14:val="tx1"/>
            </w14:solidFill>
          </w14:textFill>
        </w:rPr>
        <w:t>发生毁损、灭失或其它损失，除非该等损失系因甲方故意或重大过失</w:t>
      </w:r>
      <w:r>
        <w:rPr>
          <w:rFonts w:hint="eastAsia"/>
          <w:color w:val="000000" w:themeColor="text1"/>
          <w:szCs w:val="21"/>
          <w:highlight w:val="none"/>
          <w14:textFill>
            <w14:solidFill>
              <w14:schemeClr w14:val="tx1"/>
            </w14:solidFill>
          </w14:textFill>
        </w:rPr>
        <w:t>所致，乙方</w:t>
      </w:r>
      <w:r>
        <w:rPr>
          <w:color w:val="000000" w:themeColor="text1"/>
          <w:szCs w:val="21"/>
          <w:highlight w:val="none"/>
          <w14:textFill>
            <w14:solidFill>
              <w14:schemeClr w14:val="tx1"/>
            </w14:solidFill>
          </w14:textFill>
        </w:rPr>
        <w:t>应自行承担全部损失，</w:t>
      </w:r>
      <w:r>
        <w:rPr>
          <w:rFonts w:hint="eastAsia"/>
          <w:color w:val="000000" w:themeColor="text1"/>
          <w:szCs w:val="21"/>
          <w:highlight w:val="none"/>
          <w14:textFill>
            <w14:solidFill>
              <w14:schemeClr w14:val="tx1"/>
            </w14:solidFill>
          </w14:textFill>
        </w:rPr>
        <w:t xml:space="preserve">并应确保甲方免于所有相关的索赔、损失、损害、费用和责任。 </w:t>
      </w:r>
    </w:p>
    <w:p>
      <w:pPr>
        <w:numPr>
          <w:ilvl w:val="0"/>
          <w:numId w:val="30"/>
        </w:numPr>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如因履行本合同</w:t>
      </w:r>
      <w:r>
        <w:rPr>
          <w:rFonts w:hint="eastAsia"/>
          <w:color w:val="000000" w:themeColor="text1"/>
          <w:szCs w:val="21"/>
          <w:highlight w:val="none"/>
          <w14:textFill>
            <w14:solidFill>
              <w14:schemeClr w14:val="tx1"/>
            </w14:solidFill>
          </w14:textFill>
        </w:rPr>
        <w:t>而发生的或与履行本</w:t>
      </w: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有关乙方、乙方代理及分包商（如有）的</w:t>
      </w:r>
      <w:r>
        <w:rPr>
          <w:color w:val="000000" w:themeColor="text1"/>
          <w:szCs w:val="21"/>
          <w:highlight w:val="none"/>
          <w14:textFill>
            <w14:solidFill>
              <w14:schemeClr w14:val="tx1"/>
            </w14:solidFill>
          </w14:textFill>
        </w:rPr>
        <w:t>人员发生人身伤亡或</w:t>
      </w:r>
      <w:r>
        <w:rPr>
          <w:rFonts w:hint="eastAsia"/>
          <w:color w:val="000000" w:themeColor="text1"/>
          <w:szCs w:val="21"/>
          <w:highlight w:val="none"/>
          <w14:textFill>
            <w14:solidFill>
              <w14:schemeClr w14:val="tx1"/>
            </w14:solidFill>
          </w14:textFill>
        </w:rPr>
        <w:t>疾病</w:t>
      </w:r>
      <w:r>
        <w:rPr>
          <w:color w:val="000000" w:themeColor="text1"/>
          <w:szCs w:val="21"/>
          <w:highlight w:val="none"/>
          <w14:textFill>
            <w14:solidFill>
              <w14:schemeClr w14:val="tx1"/>
            </w14:solidFill>
          </w14:textFill>
        </w:rPr>
        <w:t>，除非该等人身伤</w:t>
      </w:r>
      <w:r>
        <w:rPr>
          <w:rFonts w:hint="eastAsia"/>
          <w:color w:val="000000" w:themeColor="text1"/>
          <w:szCs w:val="21"/>
          <w:highlight w:val="none"/>
          <w14:textFill>
            <w14:solidFill>
              <w14:schemeClr w14:val="tx1"/>
            </w14:solidFill>
          </w14:textFill>
        </w:rPr>
        <w:t>亡</w:t>
      </w:r>
      <w:r>
        <w:rPr>
          <w:color w:val="000000" w:themeColor="text1"/>
          <w:szCs w:val="21"/>
          <w:highlight w:val="none"/>
          <w14:textFill>
            <w14:solidFill>
              <w14:schemeClr w14:val="tx1"/>
            </w14:solidFill>
          </w14:textFill>
        </w:rPr>
        <w:t>或</w:t>
      </w:r>
      <w:r>
        <w:rPr>
          <w:rFonts w:hint="eastAsia"/>
          <w:color w:val="000000" w:themeColor="text1"/>
          <w:szCs w:val="21"/>
          <w:highlight w:val="none"/>
          <w14:textFill>
            <w14:solidFill>
              <w14:schemeClr w14:val="tx1"/>
            </w14:solidFill>
          </w14:textFill>
        </w:rPr>
        <w:t>疾病</w:t>
      </w:r>
      <w:r>
        <w:rPr>
          <w:color w:val="000000" w:themeColor="text1"/>
          <w:szCs w:val="21"/>
          <w:highlight w:val="none"/>
          <w14:textFill>
            <w14:solidFill>
              <w14:schemeClr w14:val="tx1"/>
            </w14:solidFill>
          </w14:textFill>
        </w:rPr>
        <w:t>系因甲方故意或重大过失</w:t>
      </w:r>
      <w:r>
        <w:rPr>
          <w:rFonts w:hint="eastAsia"/>
          <w:color w:val="000000" w:themeColor="text1"/>
          <w:szCs w:val="21"/>
          <w:highlight w:val="none"/>
          <w14:textFill>
            <w14:solidFill>
              <w14:schemeClr w14:val="tx1"/>
            </w14:solidFill>
          </w14:textFill>
        </w:rPr>
        <w:t>所致，</w:t>
      </w:r>
      <w:r>
        <w:rPr>
          <w:color w:val="000000" w:themeColor="text1"/>
          <w:szCs w:val="21"/>
          <w:highlight w:val="none"/>
          <w14:textFill>
            <w14:solidFill>
              <w14:schemeClr w14:val="tx1"/>
            </w14:solidFill>
          </w14:textFill>
        </w:rPr>
        <w:t>乙方应对</w:t>
      </w:r>
      <w:r>
        <w:rPr>
          <w:rFonts w:hint="eastAsia"/>
          <w:color w:val="000000" w:themeColor="text1"/>
          <w:szCs w:val="21"/>
          <w:highlight w:val="none"/>
          <w14:textFill>
            <w14:solidFill>
              <w14:schemeClr w14:val="tx1"/>
            </w14:solidFill>
          </w14:textFill>
        </w:rPr>
        <w:t>上述</w:t>
      </w:r>
      <w:r>
        <w:rPr>
          <w:color w:val="000000" w:themeColor="text1"/>
          <w:szCs w:val="21"/>
          <w:highlight w:val="none"/>
          <w14:textFill>
            <w14:solidFill>
              <w14:schemeClr w14:val="tx1"/>
            </w14:solidFill>
          </w14:textFill>
        </w:rPr>
        <w:t>人员的人身伤亡或</w:t>
      </w:r>
      <w:r>
        <w:rPr>
          <w:rFonts w:hint="eastAsia"/>
          <w:color w:val="000000" w:themeColor="text1"/>
          <w:szCs w:val="21"/>
          <w:highlight w:val="none"/>
          <w14:textFill>
            <w14:solidFill>
              <w14:schemeClr w14:val="tx1"/>
            </w14:solidFill>
          </w14:textFill>
        </w:rPr>
        <w:t>疾病</w:t>
      </w:r>
      <w:r>
        <w:rPr>
          <w:color w:val="000000" w:themeColor="text1"/>
          <w:szCs w:val="21"/>
          <w:highlight w:val="none"/>
          <w14:textFill>
            <w14:solidFill>
              <w14:schemeClr w14:val="tx1"/>
            </w14:solidFill>
          </w14:textFill>
        </w:rPr>
        <w:t>负责，</w:t>
      </w:r>
      <w:r>
        <w:rPr>
          <w:rFonts w:hint="eastAsia"/>
          <w:color w:val="000000" w:themeColor="text1"/>
          <w:szCs w:val="21"/>
          <w:highlight w:val="none"/>
          <w14:textFill>
            <w14:solidFill>
              <w14:schemeClr w14:val="tx1"/>
            </w14:solidFill>
          </w14:textFill>
        </w:rPr>
        <w:t>并确保甲方免于所有相关的索赔、损失、损害、费用和责任，包括但不限于甲方因此需要支付任何赔偿时，乙方均应全额予以补偿。</w:t>
      </w:r>
    </w:p>
    <w:p>
      <w:pPr>
        <w:numPr>
          <w:ilvl w:val="0"/>
          <w:numId w:val="30"/>
        </w:numPr>
        <w:adjustRightInd w:val="0"/>
        <w:snapToGrid w:val="0"/>
        <w:spacing w:before="93" w:beforeLines="30" w:after="93" w:afterLines="30"/>
        <w:ind w:left="709" w:hanging="709"/>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88" w:name="_Toc364839379"/>
      <w:r>
        <w:rPr>
          <w:rFonts w:hint="eastAsia"/>
          <w:color w:val="000000" w:themeColor="text1"/>
          <w:sz w:val="21"/>
          <w:szCs w:val="21"/>
          <w:highlight w:val="none"/>
          <w14:textFill>
            <w14:solidFill>
              <w14:schemeClr w14:val="tx1"/>
            </w14:solidFill>
          </w14:textFill>
        </w:rPr>
        <w:t>保密</w:t>
      </w:r>
      <w:bookmarkEnd w:id="86"/>
      <w:bookmarkEnd w:id="87"/>
      <w:bookmarkEnd w:id="88"/>
    </w:p>
    <w:p>
      <w:pPr>
        <w:numPr>
          <w:ilvl w:val="0"/>
          <w:numId w:val="31"/>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除非法律法规、政府机关另行强制要求，未经</w:t>
      </w:r>
      <w:r>
        <w:rPr>
          <w:rFonts w:hint="eastAsia"/>
          <w:color w:val="000000" w:themeColor="text1"/>
          <w:szCs w:val="21"/>
          <w:highlight w:val="none"/>
          <w14:textFill>
            <w14:solidFill>
              <w14:schemeClr w14:val="tx1"/>
            </w14:solidFill>
          </w14:textFill>
        </w:rPr>
        <w:t>甲方事先书面</w:t>
      </w:r>
      <w:r>
        <w:rPr>
          <w:color w:val="000000" w:themeColor="text1"/>
          <w:szCs w:val="21"/>
          <w:highlight w:val="none"/>
          <w14:textFill>
            <w14:solidFill>
              <w14:schemeClr w14:val="tx1"/>
            </w14:solidFill>
          </w14:textFill>
        </w:rPr>
        <w:t>同意，</w:t>
      </w:r>
      <w:r>
        <w:rPr>
          <w:rFonts w:hint="eastAsia"/>
          <w:color w:val="000000" w:themeColor="text1"/>
          <w:szCs w:val="21"/>
          <w:highlight w:val="none"/>
          <w14:textFill>
            <w14:solidFill>
              <w14:schemeClr w14:val="tx1"/>
            </w14:solidFill>
          </w14:textFill>
        </w:rPr>
        <w:t>乙方</w:t>
      </w:r>
      <w:r>
        <w:rPr>
          <w:color w:val="000000" w:themeColor="text1"/>
          <w:szCs w:val="21"/>
          <w:highlight w:val="none"/>
          <w14:textFill>
            <w14:solidFill>
              <w14:schemeClr w14:val="tx1"/>
            </w14:solidFill>
          </w14:textFill>
        </w:rPr>
        <w:t>不得将</w:t>
      </w:r>
      <w:r>
        <w:rPr>
          <w:rFonts w:hint="eastAsia"/>
          <w:color w:val="000000" w:themeColor="text1"/>
          <w:szCs w:val="21"/>
          <w:highlight w:val="none"/>
          <w14:textFill>
            <w14:solidFill>
              <w14:schemeClr w14:val="tx1"/>
            </w14:solidFill>
          </w14:textFill>
        </w:rPr>
        <w:t>甲方</w:t>
      </w:r>
      <w:r>
        <w:rPr>
          <w:color w:val="000000" w:themeColor="text1"/>
          <w:szCs w:val="21"/>
          <w:highlight w:val="none"/>
          <w14:textFill>
            <w14:solidFill>
              <w14:schemeClr w14:val="tx1"/>
            </w14:solidFill>
          </w14:textFill>
        </w:rPr>
        <w:t>保密信息披露给任何第三方（包括与合同无关的</w:t>
      </w:r>
      <w:r>
        <w:rPr>
          <w:rFonts w:hint="eastAsia"/>
          <w:color w:val="000000" w:themeColor="text1"/>
          <w:szCs w:val="21"/>
          <w:highlight w:val="none"/>
          <w14:textFill>
            <w14:solidFill>
              <w14:schemeClr w14:val="tx1"/>
            </w14:solidFill>
          </w14:textFill>
        </w:rPr>
        <w:t>乙方</w:t>
      </w:r>
      <w:r>
        <w:rPr>
          <w:color w:val="000000" w:themeColor="text1"/>
          <w:szCs w:val="21"/>
          <w:highlight w:val="none"/>
          <w14:textFill>
            <w14:solidFill>
              <w14:schemeClr w14:val="tx1"/>
            </w14:solidFill>
          </w14:textFill>
        </w:rPr>
        <w:t>员工和政府部门），亦不得将该等信息用于与本合同无关的用途。保密信息包括但不限于：</w:t>
      </w:r>
      <w:r>
        <w:rPr>
          <w:rFonts w:hint="eastAsia"/>
          <w:color w:val="000000" w:themeColor="text1"/>
          <w:szCs w:val="21"/>
          <w:highlight w:val="none"/>
          <w14:textFill>
            <w14:solidFill>
              <w14:schemeClr w14:val="tx1"/>
            </w14:solidFill>
          </w14:textFill>
        </w:rPr>
        <w:t>本</w:t>
      </w:r>
      <w:r>
        <w:rPr>
          <w:color w:val="000000" w:themeColor="text1"/>
          <w:szCs w:val="21"/>
          <w:highlight w:val="none"/>
          <w14:textFill>
            <w14:solidFill>
              <w14:schemeClr w14:val="tx1"/>
            </w14:solidFill>
          </w14:textFill>
        </w:rPr>
        <w:t>合同内容；</w:t>
      </w:r>
      <w:r>
        <w:rPr>
          <w:rFonts w:hint="eastAsia"/>
          <w:color w:val="000000" w:themeColor="text1"/>
          <w:szCs w:val="21"/>
          <w:highlight w:val="none"/>
          <w14:textFill>
            <w14:solidFill>
              <w14:schemeClr w14:val="tx1"/>
            </w14:solidFill>
          </w14:textFill>
        </w:rPr>
        <w:t>甲方提供的</w:t>
      </w:r>
      <w:r>
        <w:rPr>
          <w:color w:val="000000" w:themeColor="text1"/>
          <w:szCs w:val="21"/>
          <w:highlight w:val="none"/>
          <w14:textFill>
            <w14:solidFill>
              <w14:schemeClr w14:val="tx1"/>
            </w14:solidFill>
          </w14:textFill>
        </w:rPr>
        <w:t>与本合同有关的任何技术信息、图纸、样本、资料等；</w:t>
      </w:r>
      <w:r>
        <w:rPr>
          <w:rFonts w:hint="eastAsia"/>
          <w:color w:val="000000" w:themeColor="text1"/>
          <w:szCs w:val="21"/>
          <w:highlight w:val="none"/>
          <w14:textFill>
            <w14:solidFill>
              <w14:schemeClr w14:val="tx1"/>
            </w14:solidFill>
          </w14:textFill>
        </w:rPr>
        <w:t>甲方</w:t>
      </w:r>
      <w:r>
        <w:rPr>
          <w:color w:val="000000" w:themeColor="text1"/>
          <w:szCs w:val="21"/>
          <w:highlight w:val="none"/>
          <w14:textFill>
            <w14:solidFill>
              <w14:schemeClr w14:val="tx1"/>
            </w14:solidFill>
          </w14:textFill>
        </w:rPr>
        <w:t>提供的或</w:t>
      </w:r>
      <w:r>
        <w:rPr>
          <w:rFonts w:hint="eastAsia"/>
          <w:color w:val="000000" w:themeColor="text1"/>
          <w:szCs w:val="21"/>
          <w:highlight w:val="none"/>
          <w14:textFill>
            <w14:solidFill>
              <w14:schemeClr w14:val="tx1"/>
            </w14:solidFill>
          </w14:textFill>
        </w:rPr>
        <w:t>乙方</w:t>
      </w:r>
      <w:r>
        <w:rPr>
          <w:color w:val="000000" w:themeColor="text1"/>
          <w:szCs w:val="21"/>
          <w:highlight w:val="none"/>
          <w14:textFill>
            <w14:solidFill>
              <w14:schemeClr w14:val="tx1"/>
            </w14:solidFill>
          </w14:textFill>
        </w:rPr>
        <w:t>获得的与项目或甲方有关的任何技术和商务信息。</w:t>
      </w:r>
    </w:p>
    <w:p>
      <w:pPr>
        <w:numPr>
          <w:ilvl w:val="0"/>
          <w:numId w:val="31"/>
        </w:numPr>
        <w:tabs>
          <w:tab w:val="left" w:pos="709"/>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一方违反保密义务时，另一方有权要求该方停止侵害、消除影响或采取其他合理的救济措施，该方还应赔偿因违约行为而给对方造成的全部损失。</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89" w:name="_Toc287977559"/>
      <w:bookmarkStart w:id="90" w:name="_Toc288479437"/>
      <w:bookmarkStart w:id="91" w:name="_Toc296959348"/>
      <w:bookmarkStart w:id="92" w:name="_Toc296955886"/>
      <w:bookmarkStart w:id="93" w:name="_Toc299550775"/>
      <w:bookmarkStart w:id="94" w:name="_Toc299912683"/>
      <w:bookmarkStart w:id="95" w:name="_Toc299915698"/>
      <w:bookmarkStart w:id="96" w:name="_Toc364839380"/>
      <w:r>
        <w:rPr>
          <w:rFonts w:hint="eastAsia" w:ascii="宋体" w:hAnsi="宋体"/>
          <w:bCs w:val="0"/>
          <w:color w:val="000000" w:themeColor="text1"/>
          <w:sz w:val="21"/>
          <w:szCs w:val="21"/>
          <w:highlight w:val="none"/>
          <w14:textFill>
            <w14:solidFill>
              <w14:schemeClr w14:val="tx1"/>
            </w14:solidFill>
          </w14:textFill>
        </w:rPr>
        <w:t>审计</w:t>
      </w:r>
      <w:bookmarkEnd w:id="89"/>
      <w:r>
        <w:rPr>
          <w:rFonts w:hint="eastAsia"/>
          <w:color w:val="000000" w:themeColor="text1"/>
          <w:sz w:val="21"/>
          <w:szCs w:val="21"/>
          <w:highlight w:val="none"/>
          <w14:textFill>
            <w14:solidFill>
              <w14:schemeClr w14:val="tx1"/>
            </w14:solidFill>
          </w14:textFill>
        </w:rPr>
        <w:t>和</w:t>
      </w:r>
      <w:bookmarkEnd w:id="90"/>
      <w:bookmarkEnd w:id="91"/>
      <w:bookmarkEnd w:id="92"/>
      <w:bookmarkEnd w:id="93"/>
      <w:bookmarkEnd w:id="94"/>
      <w:bookmarkEnd w:id="95"/>
      <w:r>
        <w:rPr>
          <w:rFonts w:hint="eastAsia"/>
          <w:color w:val="000000" w:themeColor="text1"/>
          <w:sz w:val="21"/>
          <w:szCs w:val="21"/>
          <w:highlight w:val="none"/>
          <w14:textFill>
            <w14:solidFill>
              <w14:schemeClr w14:val="tx1"/>
            </w14:solidFill>
          </w14:textFill>
        </w:rPr>
        <w:t>反商业贿赂</w:t>
      </w:r>
      <w:bookmarkEnd w:id="96"/>
    </w:p>
    <w:p>
      <w:pPr>
        <w:numPr>
          <w:ilvl w:val="0"/>
          <w:numId w:val="32"/>
        </w:numPr>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乙方应根据甲方要求，无条件接受和配合甲方或甲方委</w:t>
      </w:r>
      <w:r>
        <w:rPr>
          <w:rFonts w:hint="eastAsia" w:ascii="宋体" w:hAnsi="宋体"/>
          <w:color w:val="000000" w:themeColor="text1"/>
          <w:szCs w:val="21"/>
          <w:highlight w:val="none"/>
          <w14:textFill>
            <w14:solidFill>
              <w14:schemeClr w14:val="tx1"/>
            </w14:solidFill>
          </w14:textFill>
        </w:rPr>
        <w:t>托的会计师事务所进行的与本合同相关的审计，包括配合甲方或甲方委托的会计师事务所对分包商进行的与分包合同相关的审计。</w:t>
      </w:r>
    </w:p>
    <w:p>
      <w:pPr>
        <w:numPr>
          <w:ilvl w:val="0"/>
          <w:numId w:val="32"/>
        </w:numPr>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乙方应保存与本合同相关的记录和账目，保存期限为本合同终止后【十（</w:t>
      </w:r>
      <w:r>
        <w:rPr>
          <w:rFonts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14:textFill>
            <w14:solidFill>
              <w14:schemeClr w14:val="tx1"/>
            </w14:solidFill>
          </w14:textFill>
        </w:rPr>
        <w:t>）】年，法律法规有具体规定的从其规定。经提前通知，甲方或甲方委托的会计师事务所有权检查并复制该等记录和账目。</w:t>
      </w:r>
    </w:p>
    <w:p>
      <w:pPr>
        <w:numPr>
          <w:ilvl w:val="0"/>
          <w:numId w:val="32"/>
        </w:numPr>
        <w:adjustRightInd w:val="0"/>
        <w:snapToGrid w:val="0"/>
        <w:spacing w:before="93" w:beforeLines="30" w:after="93" w:afterLines="30"/>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双方确认熟悉并了解合同签订地和履行地关于禁止商业贿赂的政策，并同意遵守这些政策。实施商业贿赂的一方将承担所有不利的法律后果，且另一方有权以此为由随时终止本合同。</w:t>
      </w:r>
    </w:p>
    <w:p>
      <w:pPr>
        <w:pStyle w:val="55"/>
        <w:tabs>
          <w:tab w:val="left" w:pos="1276"/>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97" w:name="_Toc364839381"/>
      <w:bookmarkStart w:id="98" w:name="_Toc297822760"/>
      <w:bookmarkStart w:id="99" w:name="_Toc299915699"/>
      <w:r>
        <w:rPr>
          <w:rFonts w:hint="eastAsia"/>
          <w:color w:val="000000" w:themeColor="text1"/>
          <w:sz w:val="21"/>
          <w:szCs w:val="21"/>
          <w:highlight w:val="none"/>
          <w14:textFill>
            <w14:solidFill>
              <w14:schemeClr w14:val="tx1"/>
            </w14:solidFill>
          </w14:textFill>
        </w:rPr>
        <w:t>通知</w:t>
      </w:r>
      <w:bookmarkEnd w:id="97"/>
      <w:bookmarkEnd w:id="98"/>
      <w:bookmarkEnd w:id="99"/>
    </w:p>
    <w:p>
      <w:pPr>
        <w:widowControl/>
        <w:numPr>
          <w:ilvl w:val="0"/>
          <w:numId w:val="33"/>
        </w:numPr>
        <w:tabs>
          <w:tab w:val="left" w:pos="709"/>
        </w:tabs>
        <w:autoSpaceDE w:val="0"/>
        <w:autoSpaceDN w:val="0"/>
        <w:adjustRightInd w:val="0"/>
        <w:snapToGrid w:val="0"/>
        <w:spacing w:before="93" w:beforeLines="30" w:after="93" w:afterLines="30"/>
        <w:ind w:left="709" w:hanging="709"/>
        <w:jc w:val="left"/>
        <w:textAlignment w:val="bottom"/>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通知应根据本合同规定以亲自递送、特快专递、传真等方式送达。</w:t>
      </w:r>
      <w:r>
        <w:rPr>
          <w:color w:val="000000" w:themeColor="text1"/>
          <w:szCs w:val="21"/>
          <w:highlight w:val="none"/>
          <w14:textFill>
            <w14:solidFill>
              <w14:schemeClr w14:val="tx1"/>
            </w14:solidFill>
          </w14:textFill>
        </w:rPr>
        <w:t>通知在下列情况视为</w:t>
      </w:r>
      <w:r>
        <w:rPr>
          <w:rFonts w:hint="eastAsia"/>
          <w:color w:val="000000" w:themeColor="text1"/>
          <w:szCs w:val="21"/>
          <w:highlight w:val="none"/>
          <w14:textFill>
            <w14:solidFill>
              <w14:schemeClr w14:val="tx1"/>
            </w14:solidFill>
          </w14:textFill>
        </w:rPr>
        <w:t>送达</w:t>
      </w:r>
      <w:r>
        <w:rPr>
          <w:color w:val="000000" w:themeColor="text1"/>
          <w:szCs w:val="21"/>
          <w:highlight w:val="none"/>
          <w14:textFill>
            <w14:solidFill>
              <w14:schemeClr w14:val="tx1"/>
            </w14:solidFill>
          </w14:textFill>
        </w:rPr>
        <w:t>：</w:t>
      </w:r>
    </w:p>
    <w:p>
      <w:pPr>
        <w:widowControl/>
        <w:numPr>
          <w:ilvl w:val="1"/>
          <w:numId w:val="33"/>
        </w:numPr>
        <w:adjustRightInd w:val="0"/>
        <w:snapToGrid w:val="0"/>
        <w:spacing w:before="93" w:beforeLines="30" w:after="93" w:afterLines="3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如采</w:t>
      </w:r>
      <w:r>
        <w:rPr>
          <w:rFonts w:hint="eastAsia"/>
          <w:color w:val="000000" w:themeColor="text1"/>
          <w:szCs w:val="21"/>
          <w:highlight w:val="none"/>
          <w14:textFill>
            <w14:solidFill>
              <w14:schemeClr w14:val="tx1"/>
            </w14:solidFill>
          </w14:textFill>
        </w:rPr>
        <w:t>用</w:t>
      </w:r>
      <w:r>
        <w:rPr>
          <w:color w:val="000000" w:themeColor="text1"/>
          <w:szCs w:val="21"/>
          <w:highlight w:val="none"/>
          <w14:textFill>
            <w14:solidFill>
              <w14:schemeClr w14:val="tx1"/>
            </w14:solidFill>
          </w14:textFill>
        </w:rPr>
        <w:t>亲自递送方式，于</w:t>
      </w:r>
      <w:r>
        <w:rPr>
          <w:rFonts w:hint="eastAsia"/>
          <w:color w:val="000000" w:themeColor="text1"/>
          <w:szCs w:val="21"/>
          <w:highlight w:val="none"/>
          <w14:textFill>
            <w14:solidFill>
              <w14:schemeClr w14:val="tx1"/>
            </w14:solidFill>
          </w14:textFill>
        </w:rPr>
        <w:t>签收确认</w:t>
      </w:r>
      <w:r>
        <w:rPr>
          <w:color w:val="000000" w:themeColor="text1"/>
          <w:szCs w:val="21"/>
          <w:highlight w:val="none"/>
          <w14:textFill>
            <w14:solidFill>
              <w14:schemeClr w14:val="tx1"/>
            </w14:solidFill>
          </w14:textFill>
        </w:rPr>
        <w:t>之时；</w:t>
      </w:r>
    </w:p>
    <w:p>
      <w:pPr>
        <w:widowControl/>
        <w:numPr>
          <w:ilvl w:val="1"/>
          <w:numId w:val="33"/>
        </w:numPr>
        <w:adjustRightInd w:val="0"/>
        <w:snapToGrid w:val="0"/>
        <w:spacing w:before="93" w:beforeLines="30" w:after="93" w:afterLines="3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如采</w:t>
      </w:r>
      <w:r>
        <w:rPr>
          <w:rFonts w:hint="eastAsia"/>
          <w:color w:val="000000" w:themeColor="text1"/>
          <w:szCs w:val="21"/>
          <w:highlight w:val="none"/>
          <w14:textFill>
            <w14:solidFill>
              <w14:schemeClr w14:val="tx1"/>
            </w14:solidFill>
          </w14:textFill>
        </w:rPr>
        <w:t>用特快专递</w:t>
      </w:r>
      <w:r>
        <w:rPr>
          <w:color w:val="000000" w:themeColor="text1"/>
          <w:szCs w:val="21"/>
          <w:highlight w:val="none"/>
          <w14:textFill>
            <w14:solidFill>
              <w14:schemeClr w14:val="tx1"/>
            </w14:solidFill>
          </w14:textFill>
        </w:rPr>
        <w:t>方式，于</w:t>
      </w:r>
      <w:r>
        <w:rPr>
          <w:rFonts w:hint="eastAsia"/>
          <w:color w:val="000000" w:themeColor="text1"/>
          <w:szCs w:val="21"/>
          <w:highlight w:val="none"/>
          <w14:textFill>
            <w14:solidFill>
              <w14:schemeClr w14:val="tx1"/>
            </w14:solidFill>
          </w14:textFill>
        </w:rPr>
        <w:t>收件人签收</w:t>
      </w:r>
      <w:r>
        <w:rPr>
          <w:color w:val="000000" w:themeColor="text1"/>
          <w:szCs w:val="21"/>
          <w:highlight w:val="none"/>
          <w14:textFill>
            <w14:solidFill>
              <w14:schemeClr w14:val="tx1"/>
            </w14:solidFill>
          </w14:textFill>
        </w:rPr>
        <w:t>之时</w:t>
      </w:r>
      <w:r>
        <w:rPr>
          <w:rFonts w:hint="eastAsia"/>
          <w:color w:val="000000" w:themeColor="text1"/>
          <w:szCs w:val="21"/>
          <w:highlight w:val="none"/>
          <w14:textFill>
            <w14:solidFill>
              <w14:schemeClr w14:val="tx1"/>
            </w14:solidFill>
          </w14:textFill>
        </w:rPr>
        <w:t>；</w:t>
      </w:r>
    </w:p>
    <w:p>
      <w:pPr>
        <w:widowControl/>
        <w:numPr>
          <w:ilvl w:val="1"/>
          <w:numId w:val="33"/>
        </w:numPr>
        <w:adjustRightInd w:val="0"/>
        <w:snapToGrid w:val="0"/>
        <w:spacing w:before="93" w:beforeLines="30" w:after="93" w:afterLines="3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如采</w:t>
      </w:r>
      <w:r>
        <w:rPr>
          <w:rFonts w:hint="eastAsia"/>
          <w:color w:val="000000" w:themeColor="text1"/>
          <w:szCs w:val="21"/>
          <w:highlight w:val="none"/>
          <w14:textFill>
            <w14:solidFill>
              <w14:schemeClr w14:val="tx1"/>
            </w14:solidFill>
          </w14:textFill>
        </w:rPr>
        <w:t>用</w:t>
      </w:r>
      <w:r>
        <w:rPr>
          <w:color w:val="000000" w:themeColor="text1"/>
          <w:szCs w:val="21"/>
          <w:highlight w:val="none"/>
          <w14:textFill>
            <w14:solidFill>
              <w14:schemeClr w14:val="tx1"/>
            </w14:solidFill>
          </w14:textFill>
        </w:rPr>
        <w:t>传真方式，于确认传输之时</w:t>
      </w:r>
      <w:r>
        <w:rPr>
          <w:rFonts w:hint="eastAsia"/>
          <w:color w:val="000000" w:themeColor="text1"/>
          <w:szCs w:val="21"/>
          <w:highlight w:val="none"/>
          <w14:textFill>
            <w14:solidFill>
              <w14:schemeClr w14:val="tx1"/>
            </w14:solidFill>
          </w14:textFill>
        </w:rPr>
        <w:t>。</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甲方：中海油能源发展股份有限公司（采办共享中心上海区域中心）</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地址：上海市长宁区通协路388号海洋石油大厦B幢421</w:t>
      </w:r>
    </w:p>
    <w:p>
      <w:pPr>
        <w:widowControl/>
        <w:adjustRightInd w:val="0"/>
        <w:snapToGrid w:val="0"/>
        <w:spacing w:before="93" w:beforeLines="30" w:after="93" w:afterLines="30"/>
        <w:ind w:left="840"/>
        <w:jc w:val="lef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lang w:val="en-US" w:eastAsia="zh-CN"/>
          <w14:textFill>
            <w14:solidFill>
              <w14:schemeClr w14:val="tx1"/>
            </w14:solidFill>
          </w14:textFill>
        </w:rPr>
        <w:t>200335</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电子邮件：</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fldChar w:fldCharType="begin"/>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instrText xml:space="preserve"> HYPERLINK "mailto:yiwt@cnooc.com.cn" </w:instrTex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fldChar w:fldCharType="separate"/>
      </w:r>
      <w:r>
        <w:rPr>
          <w:rFonts w:hint="eastAsia" w:asciiTheme="minorEastAsia" w:hAnsiTheme="minorEastAsia" w:eastAsiaTheme="minorEastAsia"/>
          <w:color w:val="000000" w:themeColor="text1"/>
          <w:szCs w:val="21"/>
          <w:highlight w:val="none"/>
          <w:u w:val="single"/>
          <w:lang w:val="en-US" w:eastAsia="zh-CN"/>
          <w14:textFill>
            <w14:solidFill>
              <w14:schemeClr w14:val="tx1"/>
            </w14:solidFill>
          </w14:textFill>
        </w:rPr>
        <w:t>wangyw3</w:t>
      </w:r>
      <w:r>
        <w:rPr>
          <w:rStyle w:val="30"/>
          <w:rFonts w:hint="eastAsia" w:asciiTheme="minorEastAsia" w:hAnsiTheme="minorEastAsia" w:eastAsiaTheme="minorEastAsia"/>
          <w:color w:val="000000" w:themeColor="text1"/>
          <w:szCs w:val="21"/>
          <w:highlight w:val="none"/>
          <w14:textFill>
            <w14:solidFill>
              <w14:schemeClr w14:val="tx1"/>
            </w14:solidFill>
          </w14:textFill>
        </w:rPr>
        <w:t>@cnooc.com.cn</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fldChar w:fldCharType="end"/>
      </w:r>
    </w:p>
    <w:p>
      <w:pPr>
        <w:widowControl/>
        <w:adjustRightInd w:val="0"/>
        <w:snapToGrid w:val="0"/>
        <w:spacing w:before="93" w:beforeLines="30" w:after="93" w:afterLines="30"/>
        <w:ind w:left="84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联系人：王郁炜</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乙方：</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联系地址：</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电子邮件：</w:t>
      </w:r>
    </w:p>
    <w:p>
      <w:pPr>
        <w:widowControl/>
        <w:adjustRightInd w:val="0"/>
        <w:snapToGrid w:val="0"/>
        <w:spacing w:before="93" w:beforeLines="30" w:after="93" w:afterLines="30"/>
        <w:ind w:left="84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w:t>
      </w:r>
    </w:p>
    <w:p>
      <w:pPr>
        <w:widowControl/>
        <w:numPr>
          <w:ilvl w:val="0"/>
          <w:numId w:val="33"/>
        </w:numPr>
        <w:tabs>
          <w:tab w:val="left" w:pos="709"/>
        </w:tabs>
        <w:autoSpaceDE w:val="0"/>
        <w:autoSpaceDN w:val="0"/>
        <w:adjustRightInd w:val="0"/>
        <w:snapToGrid w:val="0"/>
        <w:spacing w:before="93" w:beforeLines="30" w:after="93" w:afterLines="30"/>
        <w:ind w:left="709" w:hanging="709"/>
        <w:jc w:val="left"/>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除非一方另行</w:t>
      </w:r>
      <w:r>
        <w:rPr>
          <w:rFonts w:hint="eastAsia"/>
          <w:color w:val="000000" w:themeColor="text1"/>
          <w:szCs w:val="21"/>
          <w:highlight w:val="none"/>
          <w14:textFill>
            <w14:solidFill>
              <w14:schemeClr w14:val="tx1"/>
            </w14:solidFill>
          </w14:textFill>
        </w:rPr>
        <w:t>明确</w:t>
      </w:r>
      <w:r>
        <w:rPr>
          <w:color w:val="000000" w:themeColor="text1"/>
          <w:szCs w:val="21"/>
          <w:highlight w:val="none"/>
          <w14:textFill>
            <w14:solidFill>
              <w14:schemeClr w14:val="tx1"/>
            </w14:solidFill>
          </w14:textFill>
        </w:rPr>
        <w:t>要求，双方可通过互联网电子邮件进行通讯联系或传送文件。因不能合理控制的原因导致任何互联网电子邮件遗失、延误、被截取、破坏或修改的，</w:t>
      </w:r>
      <w:r>
        <w:rPr>
          <w:rFonts w:hint="eastAsia"/>
          <w:color w:val="000000" w:themeColor="text1"/>
          <w:szCs w:val="21"/>
          <w:highlight w:val="none"/>
          <w14:textFill>
            <w14:solidFill>
              <w14:schemeClr w14:val="tx1"/>
            </w14:solidFill>
          </w14:textFill>
        </w:rPr>
        <w:t>通知发出方不承担</w:t>
      </w:r>
      <w:r>
        <w:rPr>
          <w:color w:val="000000" w:themeColor="text1"/>
          <w:szCs w:val="21"/>
          <w:highlight w:val="none"/>
          <w14:textFill>
            <w14:solidFill>
              <w14:schemeClr w14:val="tx1"/>
            </w14:solidFill>
          </w14:textFill>
        </w:rPr>
        <w:t>因此造成的任何损失、损害、费用、伤害或不便。</w:t>
      </w:r>
    </w:p>
    <w:p>
      <w:pPr>
        <w:widowControl/>
        <w:numPr>
          <w:ilvl w:val="0"/>
          <w:numId w:val="33"/>
        </w:numPr>
        <w:tabs>
          <w:tab w:val="left" w:pos="709"/>
        </w:tabs>
        <w:autoSpaceDE w:val="0"/>
        <w:autoSpaceDN w:val="0"/>
        <w:adjustRightInd w:val="0"/>
        <w:snapToGrid w:val="0"/>
        <w:spacing w:before="93" w:beforeLines="30" w:after="93" w:afterLines="30"/>
        <w:ind w:left="709" w:hanging="709"/>
        <w:jc w:val="left"/>
        <w:textAlignment w:val="bottom"/>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任何一方改变送达地址及接收人，应在改变前至少提前【</w:t>
      </w:r>
      <w:r>
        <w:rPr>
          <w:rFonts w:hint="eastAsia"/>
          <w:color w:val="000000" w:themeColor="text1"/>
          <w:szCs w:val="21"/>
          <w:highlight w:val="none"/>
          <w:lang w:val="en-US" w:eastAsia="zh-CN"/>
          <w14:textFill>
            <w14:solidFill>
              <w14:schemeClr w14:val="tx1"/>
            </w14:solidFill>
          </w14:textFill>
        </w:rPr>
        <w:t>24</w:t>
      </w:r>
      <w:r>
        <w:rPr>
          <w:rFonts w:hint="eastAsia"/>
          <w:color w:val="000000" w:themeColor="text1"/>
          <w:szCs w:val="21"/>
          <w:highlight w:val="none"/>
          <w14:textFill>
            <w14:solidFill>
              <w14:schemeClr w14:val="tx1"/>
            </w14:solidFill>
          </w14:textFill>
        </w:rPr>
        <w:t>】小时通知对方当事人。否则，送达原地址及接收人的通知有效。</w:t>
      </w:r>
    </w:p>
    <w:p>
      <w:pPr>
        <w:pStyle w:val="55"/>
        <w:tabs>
          <w:tab w:val="left" w:pos="1276"/>
          <w:tab w:val="left" w:pos="2564"/>
          <w:tab w:val="clear" w:pos="720"/>
        </w:tabs>
        <w:adjustRightInd w:val="0"/>
        <w:snapToGrid w:val="0"/>
        <w:spacing w:before="93" w:beforeLines="30" w:after="93" w:afterLines="30" w:line="240" w:lineRule="auto"/>
        <w:jc w:val="left"/>
        <w:rPr>
          <w:color w:val="000000" w:themeColor="text1"/>
          <w:kern w:val="0"/>
          <w:sz w:val="21"/>
          <w:szCs w:val="21"/>
          <w:highlight w:val="none"/>
          <w14:textFill>
            <w14:solidFill>
              <w14:schemeClr w14:val="tx1"/>
            </w14:solidFill>
          </w14:textFill>
        </w:rPr>
      </w:pPr>
      <w:bookmarkStart w:id="100" w:name="_Toc364839382"/>
      <w:bookmarkStart w:id="101" w:name="_Toc299915700"/>
      <w:r>
        <w:rPr>
          <w:rFonts w:hint="eastAsia"/>
          <w:color w:val="000000" w:themeColor="text1"/>
          <w:kern w:val="0"/>
          <w:sz w:val="21"/>
          <w:szCs w:val="21"/>
          <w:highlight w:val="none"/>
          <w14:textFill>
            <w14:solidFill>
              <w14:schemeClr w14:val="tx1"/>
            </w14:solidFill>
          </w14:textFill>
        </w:rPr>
        <w:t>法律适用和争议解决</w:t>
      </w:r>
      <w:bookmarkEnd w:id="100"/>
      <w:bookmarkEnd w:id="101"/>
    </w:p>
    <w:p>
      <w:pPr>
        <w:numPr>
          <w:ilvl w:val="1"/>
          <w:numId w:val="34"/>
        </w:numPr>
        <w:adjustRightInd w:val="0"/>
        <w:snapToGrid w:val="0"/>
        <w:spacing w:before="93" w:beforeLines="30" w:after="93" w:afterLines="3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本合同适用中华人民共和国（不含香港特别行政区、澳门特别行政区和台湾地区）法律。</w:t>
      </w:r>
    </w:p>
    <w:p>
      <w:pPr>
        <w:numPr>
          <w:ilvl w:val="1"/>
          <w:numId w:val="34"/>
        </w:numPr>
        <w:tabs>
          <w:tab w:val="left" w:pos="709"/>
          <w:tab w:val="clear" w:pos="720"/>
        </w:tabs>
        <w:adjustRightInd w:val="0"/>
        <w:snapToGrid w:val="0"/>
        <w:spacing w:before="93" w:beforeLines="30" w:after="93" w:afterLines="30"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因履行</w:t>
      </w:r>
      <w:r>
        <w:rPr>
          <w:rFonts w:hint="eastAsia" w:ascii="宋体" w:hAnsi="宋体"/>
          <w:color w:val="000000" w:themeColor="text1"/>
          <w:szCs w:val="21"/>
          <w:highlight w:val="none"/>
          <w14:textFill>
            <w14:solidFill>
              <w14:schemeClr w14:val="tx1"/>
            </w14:solidFill>
          </w14:textFill>
        </w:rPr>
        <w:t>本</w:t>
      </w:r>
      <w:r>
        <w:rPr>
          <w:rFonts w:ascii="宋体" w:hAnsi="宋体"/>
          <w:color w:val="000000" w:themeColor="text1"/>
          <w:szCs w:val="21"/>
          <w:highlight w:val="none"/>
          <w14:textFill>
            <w14:solidFill>
              <w14:schemeClr w14:val="tx1"/>
            </w14:solidFill>
          </w14:textFill>
        </w:rPr>
        <w:t>合同发生的或与本合同有关的一切争议，双方</w:t>
      </w:r>
      <w:r>
        <w:rPr>
          <w:rFonts w:hint="eastAsia" w:ascii="宋体" w:hAnsi="宋体"/>
          <w:color w:val="000000" w:themeColor="text1"/>
          <w:szCs w:val="21"/>
          <w:highlight w:val="none"/>
          <w14:textFill>
            <w14:solidFill>
              <w14:schemeClr w14:val="tx1"/>
            </w14:solidFill>
          </w14:textFill>
        </w:rPr>
        <w:t>首先应</w:t>
      </w:r>
      <w:r>
        <w:rPr>
          <w:rFonts w:ascii="宋体" w:hAnsi="宋体"/>
          <w:color w:val="000000" w:themeColor="text1"/>
          <w:szCs w:val="21"/>
          <w:highlight w:val="none"/>
          <w14:textFill>
            <w14:solidFill>
              <w14:schemeClr w14:val="tx1"/>
            </w14:solidFill>
          </w14:textFill>
        </w:rPr>
        <w:t>友好协商解决，</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经协商仍不能解决</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双方同意选择以下第</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2</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种方式予以解决：</w:t>
      </w:r>
    </w:p>
    <w:p>
      <w:pPr>
        <w:numPr>
          <w:ilvl w:val="0"/>
          <w:numId w:val="35"/>
        </w:numPr>
        <w:tabs>
          <w:tab w:val="left" w:pos="1276"/>
          <w:tab w:val="left" w:pos="3060"/>
        </w:tabs>
        <w:spacing w:line="360" w:lineRule="auto"/>
        <w:ind w:left="1276"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向甲方所在地人民法院起诉。</w:t>
      </w:r>
    </w:p>
    <w:p>
      <w:pPr>
        <w:numPr>
          <w:ilvl w:val="0"/>
          <w:numId w:val="35"/>
        </w:numPr>
        <w:tabs>
          <w:tab w:val="left" w:pos="1276"/>
          <w:tab w:val="left" w:pos="3060"/>
        </w:tabs>
        <w:spacing w:line="360" w:lineRule="auto"/>
        <w:ind w:left="1276"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w:t>
      </w:r>
      <w:r>
        <w:rPr>
          <w:rFonts w:hint="eastAsia" w:ascii="宋体" w:hAnsi="宋体"/>
          <w:color w:val="000000" w:themeColor="text1"/>
          <w:szCs w:val="21"/>
          <w:highlight w:val="none"/>
          <w14:textFill>
            <w14:solidFill>
              <w14:schemeClr w14:val="tx1"/>
            </w14:solidFill>
          </w14:textFill>
        </w:rPr>
        <w:t>（□中国国际经济贸易仲裁委员会；□中国国际经济贸易仲裁委员会华南分会；□中国国际经济贸易仲裁委员会上海分会；□北京仲裁委员会；</w:t>
      </w: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天津仲裁委员会）</w:t>
      </w:r>
      <w:r>
        <w:rPr>
          <w:rFonts w:ascii="宋体" w:hAnsi="宋体"/>
          <w:color w:val="000000" w:themeColor="text1"/>
          <w:szCs w:val="21"/>
          <w:highlight w:val="none"/>
          <w14:textFill>
            <w14:solidFill>
              <w14:schemeClr w14:val="tx1"/>
            </w14:solidFill>
          </w14:textFill>
        </w:rPr>
        <w:t>进行仲裁。仲裁地点在</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天津</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。仲裁</w:t>
      </w:r>
      <w:r>
        <w:rPr>
          <w:rFonts w:hint="eastAsia" w:ascii="宋体" w:hAnsi="宋体"/>
          <w:color w:val="000000" w:themeColor="text1"/>
          <w:szCs w:val="21"/>
          <w:highlight w:val="none"/>
          <w14:textFill>
            <w14:solidFill>
              <w14:schemeClr w14:val="tx1"/>
            </w14:solidFill>
          </w14:textFill>
        </w:rPr>
        <w:t>应根据</w:t>
      </w:r>
      <w:r>
        <w:rPr>
          <w:rFonts w:ascii="宋体" w:hAnsi="宋体"/>
          <w:color w:val="000000" w:themeColor="text1"/>
          <w:szCs w:val="21"/>
          <w:highlight w:val="none"/>
          <w14:textFill>
            <w14:solidFill>
              <w14:schemeClr w14:val="tx1"/>
            </w14:solidFill>
          </w14:textFill>
        </w:rPr>
        <w:t>该仲裁委员会现行有效的仲裁规则进行。</w:t>
      </w:r>
      <w:r>
        <w:rPr>
          <w:rFonts w:hint="eastAsia" w:ascii="宋体" w:hAnsi="宋体"/>
          <w:color w:val="000000" w:themeColor="text1"/>
          <w:szCs w:val="21"/>
          <w:highlight w:val="none"/>
          <w14:textFill>
            <w14:solidFill>
              <w14:schemeClr w14:val="tx1"/>
            </w14:solidFill>
          </w14:textFill>
        </w:rPr>
        <w:t>仲裁裁决是终局的，对双方均有约束力。除仲裁庭另有裁决外，仲裁费用由败诉方承担。</w:t>
      </w:r>
    </w:p>
    <w:p>
      <w:pPr>
        <w:numPr>
          <w:ilvl w:val="1"/>
          <w:numId w:val="34"/>
        </w:numPr>
        <w:adjustRightInd w:val="0"/>
        <w:snapToGrid w:val="0"/>
        <w:spacing w:before="93" w:beforeLines="30" w:after="93" w:afterLines="30"/>
        <w:ind w:left="709" w:hanging="709"/>
        <w:rPr>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争议解决期间</w:t>
      </w:r>
      <w:r>
        <w:rPr>
          <w:rFonts w:ascii="宋体" w:hAnsi="宋体"/>
          <w:color w:val="000000" w:themeColor="text1"/>
          <w:szCs w:val="21"/>
          <w:highlight w:val="none"/>
          <w14:textFill>
            <w14:solidFill>
              <w14:schemeClr w14:val="tx1"/>
            </w14:solidFill>
          </w14:textFill>
        </w:rPr>
        <w:t>，除争议事项外，双方应继续履行本合同。</w:t>
      </w:r>
    </w:p>
    <w:p>
      <w:pPr>
        <w:pStyle w:val="55"/>
        <w:tabs>
          <w:tab w:val="left" w:pos="2564"/>
          <w:tab w:val="clear" w:pos="720"/>
        </w:tabs>
        <w:adjustRightInd w:val="0"/>
        <w:snapToGrid w:val="0"/>
        <w:spacing w:before="93" w:beforeLines="30" w:after="93" w:afterLines="30" w:line="240" w:lineRule="auto"/>
        <w:jc w:val="left"/>
        <w:rPr>
          <w:color w:val="000000" w:themeColor="text1"/>
          <w:sz w:val="21"/>
          <w:szCs w:val="21"/>
          <w:highlight w:val="none"/>
          <w14:textFill>
            <w14:solidFill>
              <w14:schemeClr w14:val="tx1"/>
            </w14:solidFill>
          </w14:textFill>
        </w:rPr>
      </w:pPr>
      <w:bookmarkStart w:id="102" w:name="_Toc364839383"/>
      <w:r>
        <w:rPr>
          <w:color w:val="000000" w:themeColor="text1"/>
          <w:sz w:val="21"/>
          <w:szCs w:val="21"/>
          <w:highlight w:val="none"/>
          <w14:textFill>
            <w14:solidFill>
              <w14:schemeClr w14:val="tx1"/>
            </w14:solidFill>
          </w14:textFill>
        </w:rPr>
        <w:t>其它</w:t>
      </w:r>
      <w:bookmarkEnd w:id="102"/>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r>
        <w:rPr>
          <w:rFonts w:hint="eastAsia" w:ascii="Times New Roman" w:hAnsi="Times New Roman"/>
          <w:color w:val="000000" w:themeColor="text1"/>
          <w:highlight w:val="none"/>
          <w:lang w:eastAsia="zh-CN"/>
          <w14:textFill>
            <w14:solidFill>
              <w14:schemeClr w14:val="tx1"/>
            </w14:solidFill>
          </w14:textFill>
        </w:rPr>
        <w:t>。</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w:t>
      </w:r>
      <w:r>
        <w:rPr>
          <w:rFonts w:hint="eastAsia"/>
          <w:color w:val="000000" w:themeColor="text1"/>
          <w:szCs w:val="21"/>
          <w:highlight w:val="none"/>
          <w14:textFill>
            <w14:solidFill>
              <w14:schemeClr w14:val="tx1"/>
            </w14:solidFill>
          </w14:textFill>
        </w:rPr>
        <w:t>合同</w:t>
      </w:r>
      <w:r>
        <w:rPr>
          <w:color w:val="000000" w:themeColor="text1"/>
          <w:szCs w:val="21"/>
          <w:highlight w:val="none"/>
          <w14:textFill>
            <w14:solidFill>
              <w14:schemeClr w14:val="tx1"/>
            </w14:solidFill>
          </w14:textFill>
        </w:rPr>
        <w:t>自甲乙双方</w:t>
      </w:r>
      <w:r>
        <w:rPr>
          <w:rFonts w:hint="eastAsia"/>
          <w:color w:val="000000" w:themeColor="text1"/>
          <w:szCs w:val="21"/>
          <w:highlight w:val="none"/>
          <w14:textFill>
            <w14:solidFill>
              <w14:schemeClr w14:val="tx1"/>
            </w14:solidFill>
          </w14:textFill>
        </w:rPr>
        <w:t>法定代表人或授权代表</w:t>
      </w:r>
      <w:r>
        <w:rPr>
          <w:color w:val="000000" w:themeColor="text1"/>
          <w:szCs w:val="21"/>
          <w:highlight w:val="none"/>
          <w14:textFill>
            <w14:solidFill>
              <w14:schemeClr w14:val="tx1"/>
            </w14:solidFill>
          </w14:textFill>
        </w:rPr>
        <w:t>签</w:t>
      </w:r>
      <w:r>
        <w:rPr>
          <w:rFonts w:hint="eastAsia"/>
          <w:color w:val="000000" w:themeColor="text1"/>
          <w:szCs w:val="21"/>
          <w:highlight w:val="none"/>
          <w14:textFill>
            <w14:solidFill>
              <w14:schemeClr w14:val="tx1"/>
            </w14:solidFill>
          </w14:textFill>
        </w:rPr>
        <w:t>字并盖章</w:t>
      </w:r>
      <w:r>
        <w:rPr>
          <w:color w:val="000000" w:themeColor="text1"/>
          <w:szCs w:val="21"/>
          <w:highlight w:val="none"/>
          <w14:textFill>
            <w14:solidFill>
              <w14:schemeClr w14:val="tx1"/>
            </w14:solidFill>
          </w14:textFill>
        </w:rPr>
        <w:t>之日起生效</w:t>
      </w:r>
      <w:r>
        <w:rPr>
          <w:rFonts w:hint="eastAsia"/>
          <w:color w:val="000000" w:themeColor="text1"/>
          <w:szCs w:val="21"/>
          <w:highlight w:val="none"/>
          <w14:textFill>
            <w14:solidFill>
              <w14:schemeClr w14:val="tx1"/>
            </w14:solidFill>
          </w14:textFill>
        </w:rPr>
        <w:t>，</w:t>
      </w:r>
      <w:bookmarkStart w:id="103" w:name="OLE_LINK12"/>
      <w:bookmarkStart w:id="104" w:name="OLE_LINK11"/>
      <w:r>
        <w:rPr>
          <w:rFonts w:hint="eastAsia" w:ascii="宋体" w:hAnsi="宋体"/>
          <w:color w:val="000000" w:themeColor="text1"/>
          <w:szCs w:val="21"/>
          <w:highlight w:val="none"/>
          <w14:textFill>
            <w14:solidFill>
              <w14:schemeClr w14:val="tx1"/>
            </w14:solidFill>
          </w14:textFill>
        </w:rPr>
        <w:t>自双方履行完本合同项下全部权利和义务后终止</w:t>
      </w:r>
      <w:bookmarkEnd w:id="103"/>
      <w:bookmarkEnd w:id="104"/>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合同有效期内未完成的《服务委托书》工作，应履行完毕。</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本合同签署以前双方就本合同约定的服务提供和接受及</w:t>
      </w:r>
      <w:r>
        <w:rPr>
          <w:color w:val="000000" w:themeColor="text1"/>
          <w:szCs w:val="21"/>
          <w:highlight w:val="none"/>
          <w14:textFill>
            <w14:solidFill>
              <w14:schemeClr w14:val="tx1"/>
            </w14:solidFill>
          </w14:textFill>
        </w:rPr>
        <w:t>相关事宜</w:t>
      </w:r>
      <w:r>
        <w:rPr>
          <w:rFonts w:hint="eastAsia"/>
          <w:color w:val="000000" w:themeColor="text1"/>
          <w:szCs w:val="21"/>
          <w:highlight w:val="none"/>
          <w14:textFill>
            <w14:solidFill>
              <w14:schemeClr w14:val="tx1"/>
            </w14:solidFill>
          </w14:textFill>
        </w:rPr>
        <w:t>达成的所有口头和</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或书面的声明、文件、信件及双方其它形式的通信在本合同生效后自动失效。</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未经另一方事先书面同意，任何一方不得以任何方式使用另一方的名称、商品商标、服务商标、企业标志、商号或品牌。</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w:t>
      </w:r>
      <w:r>
        <w:rPr>
          <w:rFonts w:hint="eastAsia"/>
          <w:color w:val="000000" w:themeColor="text1"/>
          <w:szCs w:val="21"/>
          <w:highlight w:val="none"/>
          <w14:textFill>
            <w14:solidFill>
              <w14:schemeClr w14:val="tx1"/>
            </w14:solidFill>
          </w14:textFill>
        </w:rPr>
        <w:t>果</w:t>
      </w:r>
      <w:r>
        <w:rPr>
          <w:color w:val="000000" w:themeColor="text1"/>
          <w:szCs w:val="21"/>
          <w:highlight w:val="none"/>
          <w14:textFill>
            <w14:solidFill>
              <w14:schemeClr w14:val="tx1"/>
            </w14:solidFill>
          </w14:textFill>
        </w:rPr>
        <w:t>本合同</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任何条款</w:t>
      </w:r>
      <w:r>
        <w:rPr>
          <w:rFonts w:hint="eastAsia"/>
          <w:color w:val="000000" w:themeColor="text1"/>
          <w:szCs w:val="21"/>
          <w:highlight w:val="none"/>
          <w14:textFill>
            <w14:solidFill>
              <w14:schemeClr w14:val="tx1"/>
            </w14:solidFill>
          </w14:textFill>
        </w:rPr>
        <w:t>或规定</w:t>
      </w:r>
      <w:r>
        <w:rPr>
          <w:color w:val="000000" w:themeColor="text1"/>
          <w:szCs w:val="21"/>
          <w:highlight w:val="none"/>
          <w14:textFill>
            <w14:solidFill>
              <w14:schemeClr w14:val="tx1"/>
            </w14:solidFill>
          </w14:textFill>
        </w:rPr>
        <w:t>被裁定</w:t>
      </w:r>
      <w:r>
        <w:rPr>
          <w:rFonts w:hint="eastAsia"/>
          <w:color w:val="000000" w:themeColor="text1"/>
          <w:szCs w:val="21"/>
          <w:highlight w:val="none"/>
          <w14:textFill>
            <w14:solidFill>
              <w14:schemeClr w14:val="tx1"/>
            </w14:solidFill>
          </w14:textFill>
        </w:rPr>
        <w:t>为</w:t>
      </w:r>
      <w:r>
        <w:rPr>
          <w:color w:val="000000" w:themeColor="text1"/>
          <w:szCs w:val="21"/>
          <w:highlight w:val="none"/>
          <w14:textFill>
            <w14:solidFill>
              <w14:schemeClr w14:val="tx1"/>
            </w14:solidFill>
          </w14:textFill>
        </w:rPr>
        <w:t>无效、不合法或不可</w:t>
      </w:r>
      <w:r>
        <w:rPr>
          <w:rFonts w:hint="eastAsia"/>
          <w:color w:val="000000" w:themeColor="text1"/>
          <w:szCs w:val="21"/>
          <w:highlight w:val="none"/>
          <w14:textFill>
            <w14:solidFill>
              <w14:schemeClr w14:val="tx1"/>
            </w14:solidFill>
          </w14:textFill>
        </w:rPr>
        <w:t>强制</w:t>
      </w:r>
      <w:r>
        <w:rPr>
          <w:color w:val="000000" w:themeColor="text1"/>
          <w:szCs w:val="21"/>
          <w:highlight w:val="none"/>
          <w14:textFill>
            <w14:solidFill>
              <w14:schemeClr w14:val="tx1"/>
            </w14:solidFill>
          </w14:textFill>
        </w:rPr>
        <w:t>执行，</w:t>
      </w:r>
      <w:r>
        <w:rPr>
          <w:rFonts w:hint="eastAsia"/>
          <w:color w:val="000000" w:themeColor="text1"/>
          <w:szCs w:val="21"/>
          <w:highlight w:val="none"/>
          <w14:textFill>
            <w14:solidFill>
              <w14:schemeClr w14:val="tx1"/>
            </w14:solidFill>
          </w14:textFill>
        </w:rPr>
        <w:t>该条款或规定应视为被删除，本合同</w:t>
      </w:r>
      <w:r>
        <w:rPr>
          <w:color w:val="000000" w:themeColor="text1"/>
          <w:szCs w:val="21"/>
          <w:highlight w:val="none"/>
          <w14:textFill>
            <w14:solidFill>
              <w14:schemeClr w14:val="tx1"/>
            </w14:solidFill>
          </w14:textFill>
        </w:rPr>
        <w:t>其它条款</w:t>
      </w:r>
      <w:r>
        <w:rPr>
          <w:rFonts w:hint="eastAsia"/>
          <w:color w:val="000000" w:themeColor="text1"/>
          <w:szCs w:val="21"/>
          <w:highlight w:val="none"/>
          <w14:textFill>
            <w14:solidFill>
              <w14:schemeClr w14:val="tx1"/>
            </w14:solidFill>
          </w14:textFill>
        </w:rPr>
        <w:t>不受影响，</w:t>
      </w:r>
      <w:r>
        <w:rPr>
          <w:color w:val="000000" w:themeColor="text1"/>
          <w:szCs w:val="21"/>
          <w:highlight w:val="none"/>
          <w14:textFill>
            <w14:solidFill>
              <w14:schemeClr w14:val="tx1"/>
            </w14:solidFill>
          </w14:textFill>
        </w:rPr>
        <w:t>仍</w:t>
      </w:r>
      <w:r>
        <w:rPr>
          <w:rFonts w:hint="eastAsia"/>
          <w:color w:val="000000" w:themeColor="text1"/>
          <w:szCs w:val="21"/>
          <w:highlight w:val="none"/>
          <w14:textFill>
            <w14:solidFill>
              <w14:schemeClr w14:val="tx1"/>
            </w14:solidFill>
          </w14:textFill>
        </w:rPr>
        <w:t>继续</w:t>
      </w:r>
      <w:r>
        <w:rPr>
          <w:color w:val="000000" w:themeColor="text1"/>
          <w:szCs w:val="21"/>
          <w:highlight w:val="none"/>
          <w14:textFill>
            <w14:solidFill>
              <w14:schemeClr w14:val="tx1"/>
            </w14:solidFill>
          </w14:textFill>
        </w:rPr>
        <w:t>有效。</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本合同履行过程中，</w:t>
      </w:r>
      <w:r>
        <w:rPr>
          <w:rFonts w:hint="eastAsia"/>
          <w:color w:val="000000" w:themeColor="text1"/>
          <w:szCs w:val="21"/>
          <w:highlight w:val="none"/>
          <w14:textFill>
            <w14:solidFill>
              <w14:schemeClr w14:val="tx1"/>
            </w14:solidFill>
          </w14:textFill>
        </w:rPr>
        <w:t>如</w:t>
      </w: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发生重组、</w:t>
      </w:r>
      <w:r>
        <w:rPr>
          <w:color w:val="000000" w:themeColor="text1"/>
          <w:szCs w:val="21"/>
          <w:highlight w:val="none"/>
          <w14:textFill>
            <w14:solidFill>
              <w14:schemeClr w14:val="tx1"/>
            </w14:solidFill>
          </w14:textFill>
        </w:rPr>
        <w:t>合并、</w:t>
      </w:r>
      <w:r>
        <w:rPr>
          <w:rFonts w:hint="eastAsia"/>
          <w:color w:val="000000" w:themeColor="text1"/>
          <w:szCs w:val="21"/>
          <w:highlight w:val="none"/>
          <w14:textFill>
            <w14:solidFill>
              <w14:schemeClr w14:val="tx1"/>
            </w14:solidFill>
          </w14:textFill>
        </w:rPr>
        <w:t>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w:t>
      </w:r>
      <w:r>
        <w:rPr>
          <w:rFonts w:hint="eastAsia"/>
          <w:color w:val="000000" w:themeColor="text1"/>
          <w:szCs w:val="21"/>
          <w:highlight w:val="none"/>
          <w14:textFill>
            <w14:solidFill>
              <w14:schemeClr w14:val="tx1"/>
            </w14:solidFill>
          </w14:textFill>
        </w:rPr>
        <w:t>解除或终止</w:t>
      </w:r>
      <w:r>
        <w:rPr>
          <w:color w:val="000000" w:themeColor="text1"/>
          <w:szCs w:val="21"/>
          <w:highlight w:val="none"/>
          <w14:textFill>
            <w14:solidFill>
              <w14:schemeClr w14:val="tx1"/>
            </w14:solidFill>
          </w14:textFill>
        </w:rPr>
        <w:t>后</w:t>
      </w:r>
      <w:r>
        <w:rPr>
          <w:rFonts w:hint="eastAsia"/>
          <w:color w:val="000000" w:themeColor="text1"/>
          <w:szCs w:val="21"/>
          <w:highlight w:val="none"/>
          <w14:textFill>
            <w14:solidFill>
              <w14:schemeClr w14:val="tx1"/>
            </w14:solidFill>
          </w14:textFill>
        </w:rPr>
        <w:t>，本合同项下关于知识产权、保密、保证、责任、适用法律、争议解决和其它具有持续性效力的条款继续</w:t>
      </w:r>
      <w:r>
        <w:rPr>
          <w:color w:val="000000" w:themeColor="text1"/>
          <w:szCs w:val="21"/>
          <w:highlight w:val="none"/>
          <w14:textFill>
            <w14:solidFill>
              <w14:schemeClr w14:val="tx1"/>
            </w14:solidFill>
          </w14:textFill>
        </w:rPr>
        <w:t>有效。</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w:t>
      </w:r>
      <w:r>
        <w:rPr>
          <w:color w:val="000000" w:themeColor="text1"/>
          <w:szCs w:val="21"/>
          <w:highlight w:val="none"/>
          <w14:textFill>
            <w14:solidFill>
              <w14:schemeClr w14:val="tx1"/>
            </w14:solidFill>
          </w14:textFill>
        </w:rPr>
        <w:t>合同未尽事宜，应由双方协商</w:t>
      </w:r>
      <w:r>
        <w:rPr>
          <w:rFonts w:hint="eastAsia"/>
          <w:color w:val="000000" w:themeColor="text1"/>
          <w:szCs w:val="21"/>
          <w:highlight w:val="none"/>
          <w14:textFill>
            <w14:solidFill>
              <w14:schemeClr w14:val="tx1"/>
            </w14:solidFill>
          </w14:textFill>
        </w:rPr>
        <w:t>确定</w:t>
      </w:r>
      <w:r>
        <w:rPr>
          <w:color w:val="000000" w:themeColor="text1"/>
          <w:szCs w:val="21"/>
          <w:highlight w:val="none"/>
          <w14:textFill>
            <w14:solidFill>
              <w14:schemeClr w14:val="tx1"/>
            </w14:solidFill>
          </w14:textFill>
        </w:rPr>
        <w:t>，并签订补充合同，补充合同与本合同具有同等法律效力。</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本合同的任何变更、修改或增减，须经双方协商</w:t>
      </w:r>
      <w:r>
        <w:rPr>
          <w:rFonts w:hint="eastAsia"/>
          <w:color w:val="000000" w:themeColor="text1"/>
          <w:szCs w:val="21"/>
          <w:highlight w:val="none"/>
          <w14:textFill>
            <w14:solidFill>
              <w14:schemeClr w14:val="tx1"/>
            </w14:solidFill>
          </w14:textFill>
        </w:rPr>
        <w:t>一致、法定代表人或</w:t>
      </w:r>
      <w:r>
        <w:rPr>
          <w:color w:val="000000" w:themeColor="text1"/>
          <w:szCs w:val="21"/>
          <w:highlight w:val="none"/>
          <w14:textFill>
            <w14:solidFill>
              <w14:schemeClr w14:val="tx1"/>
            </w14:solidFill>
          </w14:textFill>
        </w:rPr>
        <w:t>授权代表签署书面文件</w:t>
      </w:r>
      <w:r>
        <w:rPr>
          <w:rFonts w:hint="eastAsia"/>
          <w:color w:val="000000" w:themeColor="text1"/>
          <w:szCs w:val="21"/>
          <w:highlight w:val="none"/>
          <w14:textFill>
            <w14:solidFill>
              <w14:schemeClr w14:val="tx1"/>
            </w14:solidFill>
          </w14:textFill>
        </w:rPr>
        <w:t>并盖章</w:t>
      </w:r>
      <w:r>
        <w:rPr>
          <w:color w:val="000000" w:themeColor="text1"/>
          <w:szCs w:val="21"/>
          <w:highlight w:val="none"/>
          <w14:textFill>
            <w14:solidFill>
              <w14:schemeClr w14:val="tx1"/>
            </w14:solidFill>
          </w14:textFill>
        </w:rPr>
        <w:t>后</w:t>
      </w:r>
      <w:r>
        <w:rPr>
          <w:rFonts w:hint="eastAsia"/>
          <w:color w:val="000000" w:themeColor="text1"/>
          <w:szCs w:val="21"/>
          <w:highlight w:val="none"/>
          <w14:textFill>
            <w14:solidFill>
              <w14:schemeClr w14:val="tx1"/>
            </w14:solidFill>
          </w14:textFill>
        </w:rPr>
        <w:t>生</w:t>
      </w:r>
      <w:r>
        <w:rPr>
          <w:color w:val="000000" w:themeColor="text1"/>
          <w:szCs w:val="21"/>
          <w:highlight w:val="none"/>
          <w14:textFill>
            <w14:solidFill>
              <w14:schemeClr w14:val="tx1"/>
            </w14:solidFill>
          </w14:textFill>
        </w:rPr>
        <w:t>效。</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本合同系双方协商、讨论的结果，合同内容非一方当事人单方拟定。本合同不属于格式合同，条款内容不属于格式条款。</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本合同一式</w:t>
      </w:r>
      <w:r>
        <w:rPr>
          <w:rFonts w:hint="eastAsia"/>
          <w:color w:val="000000" w:themeColor="text1"/>
          <w:szCs w:val="21"/>
          <w:highlight w:val="none"/>
          <w:shd w:val="clear" w:color="auto" w:fill="auto"/>
          <w14:textFill>
            <w14:solidFill>
              <w14:schemeClr w14:val="tx1"/>
            </w14:solidFill>
          </w14:textFill>
        </w:rPr>
        <w:t>【两】</w:t>
      </w:r>
      <w:r>
        <w:rPr>
          <w:color w:val="000000" w:themeColor="text1"/>
          <w:szCs w:val="21"/>
          <w:highlight w:val="none"/>
          <w14:textFill>
            <w14:solidFill>
              <w14:schemeClr w14:val="tx1"/>
            </w14:solidFill>
          </w14:textFill>
        </w:rPr>
        <w:t>份，</w:t>
      </w:r>
      <w:r>
        <w:rPr>
          <w:rFonts w:hint="eastAsia"/>
          <w:color w:val="000000" w:themeColor="text1"/>
          <w:szCs w:val="21"/>
          <w:highlight w:val="none"/>
          <w14:textFill>
            <w14:solidFill>
              <w14:schemeClr w14:val="tx1"/>
            </w14:solidFill>
          </w14:textFill>
        </w:rPr>
        <w:t>甲乙双方各持【</w:t>
      </w:r>
      <w:r>
        <w:rPr>
          <w:rFonts w:hint="eastAsia"/>
          <w:color w:val="000000" w:themeColor="text1"/>
          <w:szCs w:val="21"/>
          <w:highlight w:val="none"/>
          <w:shd w:val="clear" w:color="auto" w:fill="auto"/>
          <w14:textFill>
            <w14:solidFill>
              <w14:schemeClr w14:val="tx1"/>
            </w14:solidFill>
          </w14:textFill>
        </w:rPr>
        <w:t>一</w:t>
      </w:r>
      <w:r>
        <w:rPr>
          <w:rFonts w:hint="eastAsia"/>
          <w:color w:val="000000" w:themeColor="text1"/>
          <w:szCs w:val="21"/>
          <w:highlight w:val="none"/>
          <w14:textFill>
            <w14:solidFill>
              <w14:schemeClr w14:val="tx1"/>
            </w14:solidFill>
          </w14:textFill>
        </w:rPr>
        <w:t>】份</w:t>
      </w:r>
      <w:r>
        <w:rPr>
          <w:color w:val="000000" w:themeColor="text1"/>
          <w:szCs w:val="21"/>
          <w:highlight w:val="none"/>
          <w14:textFill>
            <w14:solidFill>
              <w14:schemeClr w14:val="tx1"/>
            </w14:solidFill>
          </w14:textFill>
        </w:rPr>
        <w:t>，具有同等效力</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甲方授权甲方所属分公司及关联单位执行本合同。甲方合同执行单位及联系人见附件五。</w:t>
      </w:r>
    </w:p>
    <w:p>
      <w:pPr>
        <w:numPr>
          <w:ilvl w:val="1"/>
          <w:numId w:val="36"/>
        </w:numPr>
        <w:tabs>
          <w:tab w:val="left" w:pos="709"/>
          <w:tab w:val="clear" w:pos="0"/>
        </w:tabs>
        <w:adjustRightInd w:val="0"/>
        <w:snapToGrid w:val="0"/>
        <w:spacing w:before="93" w:beforeLines="30" w:after="93" w:afterLines="30"/>
        <w:ind w:left="709" w:hanging="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本合同附件：</w:t>
      </w:r>
    </w:p>
    <w:p>
      <w:pPr>
        <w:adjustRightInd w:val="0"/>
        <w:snapToGrid w:val="0"/>
        <w:spacing w:before="93" w:beforeLines="30" w:after="93" w:afterLines="30"/>
        <w:ind w:left="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附件一：服务范围及要求</w:t>
      </w:r>
    </w:p>
    <w:p>
      <w:pPr>
        <w:adjustRightInd w:val="0"/>
        <w:snapToGrid w:val="0"/>
        <w:spacing w:before="93" w:beforeLines="30" w:after="93" w:afterLines="30"/>
        <w:ind w:left="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附件二：结算价格标准</w:t>
      </w:r>
    </w:p>
    <w:p>
      <w:pPr>
        <w:adjustRightInd w:val="0"/>
        <w:snapToGrid w:val="0"/>
        <w:spacing w:before="93" w:beforeLines="30" w:after="93" w:afterLines="30"/>
        <w:ind w:left="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附件三：服务流程</w:t>
      </w:r>
    </w:p>
    <w:p>
      <w:pPr>
        <w:adjustRightInd w:val="0"/>
        <w:snapToGrid w:val="0"/>
        <w:spacing w:before="93" w:beforeLines="30" w:after="93" w:afterLines="30"/>
        <w:ind w:left="709"/>
        <w:rPr>
          <w:rFonts w:ascii="宋体"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附件四：</w:t>
      </w:r>
      <w:r>
        <w:rPr>
          <w:rFonts w:hint="eastAsia" w:ascii="宋体" w:hAnsi="宋体"/>
          <w:color w:val="000000" w:themeColor="text1"/>
          <w:highlight w:val="none"/>
          <w14:textFill>
            <w14:solidFill>
              <w14:schemeClr w14:val="tx1"/>
            </w14:solidFill>
          </w14:textFill>
        </w:rPr>
        <w:t>服务委托书（格式）</w:t>
      </w:r>
    </w:p>
    <w:p>
      <w:pPr>
        <w:adjustRightInd w:val="0"/>
        <w:snapToGrid w:val="0"/>
        <w:spacing w:before="93" w:beforeLines="30" w:after="93" w:afterLines="30"/>
        <w:ind w:left="70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附件五：甲方健康安全环保条款</w:t>
      </w:r>
    </w:p>
    <w:p>
      <w:pPr>
        <w:adjustRightInd w:val="0"/>
        <w:snapToGrid w:val="0"/>
        <w:spacing w:before="93" w:beforeLines="30" w:after="93" w:afterLines="30"/>
        <w:ind w:left="70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附件六：廉洁备忘录</w:t>
      </w:r>
    </w:p>
    <w:p>
      <w:pPr>
        <w:adjustRightInd w:val="0"/>
        <w:snapToGrid w:val="0"/>
        <w:spacing w:before="93" w:beforeLines="30" w:after="93" w:afterLines="30"/>
        <w:ind w:left="709"/>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t>附件</w:t>
      </w:r>
      <w:r>
        <w:rPr>
          <w:rFonts w:hint="eastAsia" w:ascii="宋体" w:hAnsi="宋体" w:cs="Times New Roman"/>
          <w:color w:val="000000" w:themeColor="text1"/>
          <w:highlight w:val="none"/>
          <w:lang w:eastAsia="zh-CN"/>
          <w14:textFill>
            <w14:solidFill>
              <w14:schemeClr w14:val="tx1"/>
            </w14:solidFill>
          </w14:textFill>
        </w:rPr>
        <w:t>七</w:t>
      </w:r>
      <w:r>
        <w:rPr>
          <w:rFonts w:hint="eastAsia" w:ascii="宋体" w:hAnsi="宋体" w:cs="Times New Roman"/>
          <w:color w:val="000000" w:themeColor="text1"/>
          <w:highlight w:val="none"/>
          <w14:textFill>
            <w14:solidFill>
              <w14:schemeClr w14:val="tx1"/>
            </w14:solidFill>
          </w14:textFill>
        </w:rPr>
        <w:t>：疫情防控管理协议</w:t>
      </w:r>
    </w:p>
    <w:p>
      <w:pPr>
        <w:adjustRightInd w:val="0"/>
        <w:snapToGrid w:val="0"/>
        <w:spacing w:before="93" w:beforeLines="30" w:after="93" w:afterLines="30"/>
        <w:ind w:left="709"/>
        <w:rPr>
          <w:rFonts w:hint="eastAsia"/>
          <w:color w:val="000000" w:themeColor="text1"/>
          <w:szCs w:val="21"/>
          <w:highlight w:val="none"/>
          <w14:textFill>
            <w14:solidFill>
              <w14:schemeClr w14:val="tx1"/>
            </w14:solidFill>
          </w14:textFill>
        </w:rPr>
      </w:pPr>
    </w:p>
    <w:p>
      <w:pPr>
        <w:adjustRightInd w:val="0"/>
        <w:snapToGrid w:val="0"/>
        <w:spacing w:before="93" w:beforeLines="30" w:after="93" w:afterLines="30"/>
        <w:ind w:left="709"/>
        <w:rPr>
          <w:color w:val="000000" w:themeColor="text1"/>
          <w:szCs w:val="21"/>
          <w:highlight w:val="none"/>
          <w14:textFill>
            <w14:solidFill>
              <w14:schemeClr w14:val="tx1"/>
            </w14:solidFill>
          </w14:textFill>
        </w:rPr>
      </w:pPr>
    </w:p>
    <w:tbl>
      <w:tblPr>
        <w:tblStyle w:val="20"/>
        <w:tblW w:w="5000" w:type="pct"/>
        <w:tblInd w:w="0" w:type="dxa"/>
        <w:tblLayout w:type="autofit"/>
        <w:tblCellMar>
          <w:top w:w="0" w:type="dxa"/>
          <w:left w:w="108" w:type="dxa"/>
          <w:bottom w:w="0" w:type="dxa"/>
          <w:right w:w="108" w:type="dxa"/>
        </w:tblCellMar>
      </w:tblPr>
      <w:tblGrid>
        <w:gridCol w:w="4884"/>
        <w:gridCol w:w="3638"/>
      </w:tblGrid>
      <w:tr>
        <w:tblPrEx>
          <w:tblCellMar>
            <w:top w:w="0" w:type="dxa"/>
            <w:left w:w="108" w:type="dxa"/>
            <w:bottom w:w="0" w:type="dxa"/>
            <w:right w:w="108" w:type="dxa"/>
          </w:tblCellMar>
        </w:tblPrEx>
        <w:trPr>
          <w:trHeight w:val="1543" w:hRule="atLeast"/>
        </w:trPr>
        <w:tc>
          <w:tcPr>
            <w:tcW w:w="2865" w:type="pct"/>
          </w:tcPr>
          <w:p>
            <w:pPr>
              <w:tabs>
                <w:tab w:val="left" w:pos="850"/>
              </w:tabs>
              <w:autoSpaceDE w:val="0"/>
              <w:autoSpaceDN w:val="0"/>
              <w:spacing w:line="360" w:lineRule="auto"/>
              <w:textAlignment w:val="bottom"/>
              <w:rPr>
                <w:color w:val="000000" w:themeColor="text1"/>
                <w:sz w:val="24"/>
                <w:szCs w:val="21"/>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甲方</w:t>
            </w:r>
            <w:r>
              <w:rPr>
                <w:rFonts w:hint="eastAsia"/>
                <w:color w:val="000000" w:themeColor="text1"/>
                <w:sz w:val="24"/>
                <w:szCs w:val="21"/>
                <w:highlight w:val="none"/>
                <w14:textFill>
                  <w14:solidFill>
                    <w14:schemeClr w14:val="tx1"/>
                  </w14:solidFill>
                </w14:textFill>
              </w:rPr>
              <w:t xml:space="preserve">（盖章）：中海油能源发展股份有限公司 </w:t>
            </w:r>
          </w:p>
        </w:tc>
        <w:tc>
          <w:tcPr>
            <w:tcW w:w="2134" w:type="pct"/>
          </w:tcPr>
          <w:p>
            <w:pPr>
              <w:tabs>
                <w:tab w:val="left" w:pos="850"/>
              </w:tabs>
              <w:autoSpaceDE w:val="0"/>
              <w:autoSpaceDN w:val="0"/>
              <w:spacing w:line="360" w:lineRule="auto"/>
              <w:textAlignment w:val="bottom"/>
              <w:rPr>
                <w:color w:val="000000" w:themeColor="text1"/>
                <w:sz w:val="24"/>
                <w:szCs w:val="21"/>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乙方</w:t>
            </w:r>
            <w:r>
              <w:rPr>
                <w:rFonts w:hint="eastAsia"/>
                <w:color w:val="000000" w:themeColor="text1"/>
                <w:sz w:val="24"/>
                <w:szCs w:val="21"/>
                <w:highlight w:val="none"/>
                <w14:textFill>
                  <w14:solidFill>
                    <w14:schemeClr w14:val="tx1"/>
                  </w14:solidFill>
                </w14:textFill>
              </w:rPr>
              <w:t>（盖章）：</w:t>
            </w:r>
          </w:p>
          <w:p>
            <w:pPr>
              <w:tabs>
                <w:tab w:val="left" w:pos="850"/>
              </w:tabs>
              <w:autoSpaceDE w:val="0"/>
              <w:autoSpaceDN w:val="0"/>
              <w:spacing w:line="360" w:lineRule="auto"/>
              <w:textAlignment w:val="bottom"/>
              <w:rPr>
                <w:color w:val="000000" w:themeColor="text1"/>
                <w:sz w:val="24"/>
                <w:szCs w:val="21"/>
                <w:highlight w:val="none"/>
                <w14:textFill>
                  <w14:solidFill>
                    <w14:schemeClr w14:val="tx1"/>
                  </w14:solidFill>
                </w14:textFill>
              </w:rPr>
            </w:pPr>
          </w:p>
        </w:tc>
      </w:tr>
      <w:tr>
        <w:tblPrEx>
          <w:tblCellMar>
            <w:top w:w="0" w:type="dxa"/>
            <w:left w:w="108" w:type="dxa"/>
            <w:bottom w:w="0" w:type="dxa"/>
            <w:right w:w="108" w:type="dxa"/>
          </w:tblCellMar>
        </w:tblPrEx>
        <w:trPr>
          <w:trHeight w:val="1845" w:hRule="atLeast"/>
        </w:trPr>
        <w:tc>
          <w:tcPr>
            <w:tcW w:w="2865" w:type="pct"/>
            <w:vAlign w:val="center"/>
          </w:tcPr>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法定</w:t>
            </w:r>
            <w:r>
              <w:rPr>
                <w:color w:val="000000" w:themeColor="text1"/>
                <w:sz w:val="24"/>
                <w:highlight w:val="none"/>
                <w14:textFill>
                  <w14:solidFill>
                    <w14:schemeClr w14:val="tx1"/>
                  </w14:solidFill>
                </w14:textFill>
              </w:rPr>
              <w:t>代表人或授权代表签字：</w:t>
            </w: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p>
        </w:tc>
        <w:tc>
          <w:tcPr>
            <w:tcW w:w="2134" w:type="pct"/>
            <w:vAlign w:val="center"/>
          </w:tcPr>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法定代表人或授权代表签字：</w:t>
            </w: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p>
          <w:p>
            <w:pPr>
              <w:tabs>
                <w:tab w:val="left" w:pos="850"/>
              </w:tabs>
              <w:autoSpaceDE w:val="0"/>
              <w:autoSpaceDN w:val="0"/>
              <w:spacing w:line="360" w:lineRule="auto"/>
              <w:textAlignment w:val="bottom"/>
              <w:rPr>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p>
        </w:tc>
      </w:tr>
    </w:tbl>
    <w:p/>
    <w:p>
      <w:pPr>
        <w:rPr>
          <w:lang w:val="en-US" w:eastAsia="zh-CN"/>
        </w:rPr>
      </w:pPr>
    </w:p>
    <w:p>
      <w:pPr>
        <w:pStyle w:val="6"/>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6"/>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2"/>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2"/>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2"/>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rPr>
          <w:rFonts w:hint="eastAsia" w:ascii="宋体" w:hAnsi="宋体"/>
          <w:color w:val="000000"/>
          <w:szCs w:val="21"/>
          <w:lang w:val="en-US" w:eastAsia="zh-CN"/>
        </w:rPr>
      </w:pPr>
      <w:r>
        <w:rPr>
          <w:rFonts w:hint="eastAsia" w:ascii="宋体" w:hAnsi="宋体" w:cstheme="minorBidi"/>
          <w:color w:val="000000"/>
          <w:kern w:val="2"/>
          <w:sz w:val="21"/>
          <w:szCs w:val="22"/>
          <w:lang w:val="en-US" w:eastAsia="zh-CN" w:bidi="ar-SA"/>
        </w:rPr>
        <w:t>5.12：海油非唯一承诺函</w:t>
      </w:r>
      <w:r>
        <w:rPr>
          <w:rFonts w:hint="eastAsia" w:ascii="宋体" w:hAnsi="宋体"/>
          <w:color w:val="000000"/>
          <w:szCs w:val="21"/>
          <w:lang w:val="en-US" w:eastAsia="zh-CN"/>
        </w:rPr>
        <w:t>（请自拟一份承诺函，无固定格式要求，承诺内容需体现出中海油非唯一客户，并提供一份海油外业绩及该业绩的对应发票。）（自己添加）</w:t>
      </w:r>
    </w:p>
    <w:p>
      <w:pPr>
        <w:pStyle w:val="2"/>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0"/>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0"/>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hint="default" w:ascii="宋体" w:hAnsi="宋体"/>
                <w:b/>
                <w:bCs/>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w:t>
            </w:r>
          </w:p>
        </w:tc>
        <w:tc>
          <w:tcPr>
            <w:tcW w:w="3100" w:type="dxa"/>
            <w:vMerge w:val="restart"/>
            <w:vAlign w:val="center"/>
          </w:tcPr>
          <w:p>
            <w:pPr>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2558" w:type="dxa"/>
            <w:vMerge w:val="restart"/>
            <w:vAlign w:val="center"/>
          </w:tcPr>
          <w:p>
            <w:pPr>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hint="default" w:ascii="宋体" w:hAnsi="宋体"/>
                <w:b/>
                <w:bCs/>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w:t>
            </w: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hint="default" w:ascii="宋体" w:hAnsi="宋体"/>
                <w:b/>
                <w:bCs/>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w:t>
            </w:r>
          </w:p>
        </w:tc>
        <w:tc>
          <w:tcPr>
            <w:tcW w:w="2346" w:type="dxa"/>
            <w:vMerge w:val="restart"/>
            <w:vAlign w:val="center"/>
          </w:tcPr>
          <w:p>
            <w:pPr>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1444" w:type="dxa"/>
            <w:vMerge w:val="restart"/>
            <w:vAlign w:val="center"/>
          </w:tcPr>
          <w:p>
            <w:pPr>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1060" w:type="dxa"/>
            <w:vMerge w:val="restart"/>
            <w:vAlign w:val="center"/>
          </w:tcPr>
          <w:p>
            <w:pPr>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hint="default" w:ascii="宋体" w:hAnsi="宋体"/>
                <w:b/>
                <w:bCs/>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w:t>
            </w: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p>
    <w:p>
      <w:pPr>
        <w:pStyle w:val="8"/>
        <w:ind w:left="0"/>
        <w:rPr>
          <w:color w:val="000000" w:themeColor="text1"/>
          <w:sz w:val="21"/>
          <w:szCs w:val="21"/>
          <w:highlight w:val="none"/>
          <w:lang w:eastAsia="zh-CN"/>
          <w14:textFill>
            <w14:solidFill>
              <w14:schemeClr w14:val="tx1"/>
            </w14:solidFill>
          </w14:textFill>
        </w:rPr>
      </w:pPr>
    </w:p>
    <w:p>
      <w:pPr>
        <w:pStyle w:val="8"/>
        <w:ind w:left="0"/>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8"/>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8"/>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51"/>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1"/>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1"/>
        <w:adjustRightInd/>
        <w:jc w:val="center"/>
        <w:rPr>
          <w:rFonts w:hAnsi="宋体"/>
          <w:b/>
          <w:sz w:val="21"/>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6"/>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6"/>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36"/>
        <w:spacing w:line="360" w:lineRule="auto"/>
        <w:ind w:left="-18" w:leftChars="-67" w:hanging="123" w:hangingChars="59"/>
        <w:rPr>
          <w:rFonts w:hint="eastAsia" w:cs="Arial" w:asciiTheme="minorEastAsia" w:hAnsiTheme="minorEastAsia" w:eastAsiaTheme="minorEastAsia"/>
          <w:color w:val="000000" w:themeColor="text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highlight w:val="none"/>
          <w14:textFill>
            <w14:solidFill>
              <w14:schemeClr w14:val="tx1"/>
            </w14:solidFill>
          </w14:textFill>
        </w:rPr>
        <w:t>物流公司舟山地区厂区保安服务专有协议</w:t>
      </w:r>
    </w:p>
    <w:p>
      <w:pPr>
        <w:pStyle w:val="36"/>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20"/>
        <w:tblW w:w="10294"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61"/>
        <w:gridCol w:w="2764"/>
        <w:gridCol w:w="675"/>
        <w:gridCol w:w="705"/>
        <w:gridCol w:w="1275"/>
        <w:gridCol w:w="915"/>
        <w:gridCol w:w="1905"/>
        <w:gridCol w:w="149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1"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不含税单价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税率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不含税小计</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含税小计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9"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pacing w:val="0"/>
                <w:sz w:val="21"/>
                <w:szCs w:val="21"/>
                <w:lang w:val="en-US" w:eastAsia="zh-CN"/>
              </w:rPr>
            </w:pPr>
            <w:r>
              <w:rPr>
                <w:rFonts w:hint="eastAsia" w:ascii="宋体" w:hAnsi="宋体" w:eastAsia="宋体" w:cs="宋体"/>
                <w:spacing w:val="0"/>
                <w:sz w:val="20"/>
                <w:szCs w:val="20"/>
                <w:lang w:val="en-US" w:eastAsia="zh-CN" w:bidi="ar-SA"/>
              </w:rPr>
              <w:t>1</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老塘山厂区保安服务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9"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pacing w:val="0"/>
                <w:sz w:val="20"/>
                <w:szCs w:val="20"/>
                <w:lang w:val="en-US" w:eastAsia="zh-CN" w:bidi="ar-SA"/>
              </w:rPr>
            </w:pPr>
            <w:r>
              <w:rPr>
                <w:rFonts w:hint="eastAsia" w:ascii="宋体" w:hAnsi="宋体" w:eastAsia="宋体" w:cs="宋体"/>
                <w:spacing w:val="0"/>
                <w:sz w:val="20"/>
                <w:szCs w:val="20"/>
                <w:lang w:val="en-US" w:eastAsia="zh-CN" w:bidi="ar-SA"/>
              </w:rPr>
              <w:t>2</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望海湾厂区保安服务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9"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pacing w:val="0"/>
                <w:sz w:val="20"/>
                <w:szCs w:val="20"/>
                <w:lang w:val="en-US" w:eastAsia="zh-CN" w:bidi="ar-SA"/>
              </w:rPr>
            </w:pPr>
            <w:r>
              <w:rPr>
                <w:rFonts w:hint="eastAsia" w:ascii="宋体" w:hAnsi="宋体" w:eastAsia="宋体" w:cs="宋体"/>
                <w:spacing w:val="0"/>
                <w:sz w:val="20"/>
                <w:szCs w:val="20"/>
                <w:lang w:val="en-US" w:eastAsia="zh-CN" w:bidi="ar-SA"/>
              </w:rPr>
              <w:t>3</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临时保安服务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1" w:hRule="atLeast"/>
          <w:jc w:val="center"/>
        </w:trPr>
        <w:tc>
          <w:tcPr>
            <w:tcW w:w="68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eastAsia" w:ascii="宋体" w:hAnsi="宋体" w:eastAsia="宋体" w:cs="宋体"/>
                <w:sz w:val="21"/>
                <w:szCs w:val="21"/>
                <w:lang w:val="en-US" w:eastAsia="zh-CN"/>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eastAsia" w:ascii="宋体" w:hAnsi="宋体" w:eastAsia="宋体" w:cs="宋体"/>
                <w:sz w:val="21"/>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jc w:val="center"/>
        </w:trPr>
        <w:tc>
          <w:tcPr>
            <w:tcW w:w="1029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kern w:val="0"/>
                <w:sz w:val="21"/>
                <w:szCs w:val="21"/>
              </w:rPr>
              <w:t>含税总价（大写人民币）：圆整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7" w:hRule="atLeast"/>
          <w:jc w:val="center"/>
        </w:trPr>
        <w:tc>
          <w:tcPr>
            <w:tcW w:w="1029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rPr>
              <w:t>不含税总价（大写人民币）：圆整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服务类）服务期：2024.11.8起1年</w:t>
      </w:r>
      <w:r>
        <w:rPr>
          <w:rFonts w:hint="eastAsia" w:asciiTheme="minorEastAsia" w:hAnsiTheme="minorEastAsia"/>
          <w:color w:val="000000" w:themeColor="text1"/>
          <w:sz w:val="21"/>
          <w:szCs w:val="21"/>
          <w:highlight w:val="none"/>
          <w:lang w:eastAsia="zh-CN"/>
          <w14:textFill>
            <w14:solidFill>
              <w14:schemeClr w14:val="tx1"/>
            </w14:solidFill>
          </w14:textFill>
        </w:rPr>
        <w:t>。</w:t>
      </w:r>
    </w:p>
    <w:p>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厂区安保服务协议所有</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9"/>
        <w:ind w:left="0" w:leftChars="0" w:firstLine="0" w:firstLineChars="0"/>
        <w:rPr>
          <w:rFonts w:hint="eastAsia" w:cs="Calibri"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Calibri" w:asciiTheme="minorEastAsia" w:hAnsiTheme="minorEastAsia" w:eastAsiaTheme="minorEastAsia"/>
          <w:color w:val="000000" w:themeColor="text1"/>
          <w:sz w:val="21"/>
          <w:szCs w:val="21"/>
          <w:highlight w:val="none"/>
          <w:lang w:eastAsia="zh-CN"/>
          <w14:textFill>
            <w14:solidFill>
              <w14:schemeClr w14:val="tx1"/>
            </w14:solidFill>
          </w14:textFill>
        </w:rPr>
        <w:t>4、开具发票种类：增值税专用发票/增值税普通发票/其它。（请应答人如实填写具体发票种类）</w:t>
      </w:r>
    </w:p>
    <w:p>
      <w:pPr>
        <w:pStyle w:val="9"/>
        <w:ind w:left="0" w:leftChars="0" w:firstLine="0" w:firstLineChars="0"/>
        <w:rPr>
          <w:rFonts w:hint="eastAsia" w:cs="Calibri" w:asciiTheme="minorEastAsia" w:hAnsiTheme="minorEastAsia" w:eastAsiaTheme="minorEastAsia"/>
          <w:color w:val="000000" w:themeColor="text1"/>
          <w:sz w:val="21"/>
          <w:highlight w:val="none"/>
          <w:lang w:val="en-US" w:eastAsia="zh-CN"/>
          <w14:textFill>
            <w14:solidFill>
              <w14:schemeClr w14:val="tx1"/>
            </w14:solidFill>
          </w14:textFill>
        </w:rPr>
      </w:pPr>
      <w:r>
        <w:rPr>
          <w:rFonts w:hint="eastAsia" w:cs="Calibri" w:asciiTheme="minorEastAsia" w:hAnsiTheme="minorEastAsia" w:eastAsiaTheme="minorEastAsia"/>
          <w:color w:val="000000" w:themeColor="text1"/>
          <w:sz w:val="21"/>
          <w:highlight w:val="none"/>
          <w:lang w:val="en-US" w:eastAsia="zh-CN"/>
          <w14:textFill>
            <w14:solidFill>
              <w14:schemeClr w14:val="tx1"/>
            </w14:solidFill>
          </w14:textFill>
        </w:rPr>
        <w:t>付款方式：银行电汇；季</w:t>
      </w:r>
      <w:r>
        <w:rPr>
          <w:rFonts w:hint="eastAsia" w:cs="Calibri" w:asciiTheme="minorEastAsia" w:hAnsiTheme="minorEastAsia" w:eastAsiaTheme="minorEastAsia"/>
          <w:color w:val="000000" w:themeColor="text1"/>
          <w:sz w:val="21"/>
          <w:highlight w:val="none"/>
          <w:lang w:eastAsia="zh-CN"/>
          <w14:textFill>
            <w14:solidFill>
              <w14:schemeClr w14:val="tx1"/>
            </w14:solidFill>
          </w14:textFill>
        </w:rPr>
        <w:t>度结算</w:t>
      </w:r>
    </w:p>
    <w:p>
      <w:pPr>
        <w:pStyle w:val="36"/>
        <w:widowControl/>
        <w:ind w:firstLine="0" w:firstLineChars="0"/>
        <w:jc w:val="left"/>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eastAsia="zh-CN"/>
          <w14:textFill>
            <w14:solidFill>
              <w14:schemeClr w14:val="tx1"/>
            </w14:solidFill>
          </w14:textFill>
        </w:rPr>
        <w:t xml:space="preserve">付款周期要求：甲方应于验收合格且确认收到的发票及相关支持文件无异议之日起[ </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lang w:eastAsia="zh-CN"/>
          <w14:textFill>
            <w14:solidFill>
              <w14:schemeClr w14:val="tx1"/>
            </w14:solidFill>
          </w14:textFill>
        </w:rPr>
        <w:t>5 ]日内支付相应的服务费用。</w:t>
      </w:r>
      <w:r>
        <w:rPr>
          <w:rFonts w:hint="eastAsia" w:asciiTheme="minorEastAsia" w:hAnsiTheme="minorEastAsia" w:eastAsiaTheme="minorEastAsia"/>
          <w:color w:val="000000" w:themeColor="text1"/>
          <w:highlight w:val="none"/>
          <w14:textFill>
            <w14:solidFill>
              <w14:schemeClr w14:val="tx1"/>
            </w14:solidFill>
          </w14:textFill>
        </w:rPr>
        <w:t>如付款到期日为非银行工作日，则付款到期日顺延至下一个银行工作日。</w:t>
      </w:r>
    </w:p>
    <w:p>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6"/>
        <w:spacing w:line="360" w:lineRule="auto"/>
        <w:ind w:right="840" w:firstLine="0"/>
        <w:jc w:val="both"/>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6"/>
        <w:spacing w:line="360" w:lineRule="auto"/>
        <w:ind w:right="840" w:firstLine="0"/>
        <w:jc w:val="both"/>
        <w:rPr>
          <w:rFonts w:hint="eastAsia" w:cs="Calibri" w:asciiTheme="minorEastAsia" w:hAnsiTheme="minorEastAsia" w:eastAsiaTheme="minorEastAsia"/>
          <w:bCs w:val="0"/>
          <w:color w:val="000000" w:themeColor="text1"/>
          <w:sz w:val="21"/>
          <w:szCs w:val="21"/>
          <w:highlight w:val="none"/>
          <w:lang w:eastAsia="zh-CN"/>
          <w14:textFill>
            <w14:solidFill>
              <w14:schemeClr w14:val="tx1"/>
            </w14:solidFill>
          </w14:textFill>
        </w:rPr>
      </w:pPr>
      <w:r>
        <w:rPr>
          <w:rFonts w:hint="eastAsia" w:cs="Calibri" w:asciiTheme="minorEastAsia" w:hAnsiTheme="minorEastAsia" w:eastAsiaTheme="minorEastAsia"/>
          <w:bCs w:val="0"/>
          <w:color w:val="000000" w:themeColor="text1"/>
          <w:sz w:val="21"/>
          <w:szCs w:val="21"/>
          <w:highlight w:val="none"/>
          <w:lang w:eastAsia="zh-CN"/>
          <w14:textFill>
            <w14:solidFill>
              <w14:schemeClr w14:val="tx1"/>
            </w14:solidFill>
          </w14:textFill>
        </w:rPr>
        <w:t>法定代表人（单位负责人）或其委托代理人签字：</w:t>
      </w:r>
    </w:p>
    <w:p>
      <w:pPr>
        <w:pStyle w:val="36"/>
        <w:spacing w:line="360" w:lineRule="auto"/>
        <w:ind w:right="840" w:firstLine="0"/>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8B5C3"/>
    <w:multiLevelType w:val="multilevel"/>
    <w:tmpl w:val="8E18B5C3"/>
    <w:lvl w:ilvl="0" w:tentative="0">
      <w:start w:val="1"/>
      <w:numFmt w:val="decimal"/>
      <w:lvlText w:val="%1"/>
      <w:lvlJc w:val="left"/>
      <w:pPr>
        <w:ind w:left="425" w:hanging="425"/>
      </w:pPr>
    </w:lvl>
    <w:lvl w:ilvl="1" w:tentative="0">
      <w:start w:val="1"/>
      <w:numFmt w:val="decimal"/>
      <w:lvlText w:val="%1.%2"/>
      <w:lvlJc w:val="left"/>
      <w:pPr>
        <w:ind w:left="987" w:hanging="567"/>
      </w:pPr>
    </w:lvl>
    <w:lvl w:ilvl="2" w:tentative="0">
      <w:start w:val="1"/>
      <w:numFmt w:val="decimal"/>
      <w:lvlText w:val="%1.%2.%3"/>
      <w:lvlJc w:val="left"/>
      <w:pPr>
        <w:ind w:left="140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CB416B4"/>
    <w:multiLevelType w:val="multilevel"/>
    <w:tmpl w:val="0CB416B4"/>
    <w:lvl w:ilvl="0" w:tentative="0">
      <w:start w:val="1"/>
      <w:numFmt w:val="decimal"/>
      <w:lvlText w:val="%1）"/>
      <w:lvlJc w:val="left"/>
      <w:pPr>
        <w:ind w:left="360" w:hanging="360"/>
      </w:pPr>
      <w:rPr>
        <w:rFonts w:ascii="微软雅黑" w:hAnsi="微软雅黑" w:eastAsia="微软雅黑"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4CED64"/>
    <w:multiLevelType w:val="singleLevel"/>
    <w:tmpl w:val="104CED64"/>
    <w:lvl w:ilvl="0" w:tentative="0">
      <w:start w:val="1"/>
      <w:numFmt w:val="decimal"/>
      <w:lvlText w:val="%1."/>
      <w:lvlJc w:val="left"/>
      <w:pPr>
        <w:tabs>
          <w:tab w:val="left" w:pos="312"/>
        </w:tabs>
      </w:pPr>
    </w:lvl>
  </w:abstractNum>
  <w:abstractNum w:abstractNumId="5">
    <w:nsid w:val="1119287E"/>
    <w:multiLevelType w:val="multilevel"/>
    <w:tmpl w:val="1119287E"/>
    <w:lvl w:ilvl="0" w:tentative="0">
      <w:start w:val="1"/>
      <w:numFmt w:val="decimal"/>
      <w:lvlText w:val="9.%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b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7">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8324A0E"/>
    <w:multiLevelType w:val="singleLevel"/>
    <w:tmpl w:val="18324A0E"/>
    <w:lvl w:ilvl="0" w:tentative="0">
      <w:start w:val="1"/>
      <w:numFmt w:val="decimal"/>
      <w:suff w:val="nothing"/>
      <w:lvlText w:val="%1、"/>
      <w:lvlJc w:val="left"/>
    </w:lvl>
  </w:abstractNum>
  <w:abstractNum w:abstractNumId="9">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0.%2"/>
      <w:lvlJc w:val="left"/>
      <w:pPr>
        <w:tabs>
          <w:tab w:val="left" w:pos="540"/>
        </w:tabs>
        <w:ind w:left="540" w:hanging="540"/>
      </w:pPr>
      <w:rPr>
        <w:rFonts w:hint="default" w:ascii="Times New Roman" w:hAnsi="Times New Roman" w:cs="Times New Roman"/>
        <w:b w:val="0"/>
        <w:i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1">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7.%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3">
    <w:nsid w:val="2F8D79A0"/>
    <w:multiLevelType w:val="multilevel"/>
    <w:tmpl w:val="2F8D79A0"/>
    <w:lvl w:ilvl="0" w:tentative="0">
      <w:start w:val="1"/>
      <w:numFmt w:val="decimal"/>
      <w:lvlText w:val="(%1)"/>
      <w:lvlJc w:val="left"/>
      <w:pPr>
        <w:tabs>
          <w:tab w:val="left" w:pos="-958"/>
        </w:tabs>
        <w:ind w:left="422"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Times New Roman" w:hAnsi="Times New Roman" w:cs="Times New Roman"/>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5">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Times New Roman" w:hAnsi="Times New Roman" w:cs="Times New Roman"/>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2C3E48"/>
    <w:multiLevelType w:val="multilevel"/>
    <w:tmpl w:val="3B2C3E48"/>
    <w:lvl w:ilvl="0" w:tentative="0">
      <w:start w:val="1"/>
      <w:numFmt w:val="chineseCountingThousand"/>
      <w:pStyle w:val="55"/>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0B6C9A8"/>
    <w:multiLevelType w:val="singleLevel"/>
    <w:tmpl w:val="40B6C9A8"/>
    <w:lvl w:ilvl="0" w:tentative="0">
      <w:start w:val="1"/>
      <w:numFmt w:val="decimal"/>
      <w:suff w:val="nothing"/>
      <w:lvlText w:val="%1、"/>
      <w:lvlJc w:val="left"/>
    </w:lvl>
  </w:abstractNum>
  <w:abstractNum w:abstractNumId="21">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F2A4C79"/>
    <w:multiLevelType w:val="multilevel"/>
    <w:tmpl w:val="4F2A4C79"/>
    <w:lvl w:ilvl="0" w:tentative="0">
      <w:start w:val="1"/>
      <w:numFmt w:val="decimal"/>
      <w:lvlText w:val="19.%1"/>
      <w:lvlJc w:val="left"/>
      <w:pPr>
        <w:ind w:left="1126" w:hanging="420"/>
      </w:pPr>
      <w:rPr>
        <w:rFonts w:hint="eastAsia"/>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4">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4E2335E"/>
    <w:multiLevelType w:val="multilevel"/>
    <w:tmpl w:val="54E2335E"/>
    <w:lvl w:ilvl="0" w:tentative="0">
      <w:start w:val="1"/>
      <w:numFmt w:val="decimal"/>
      <w:lvlText w:val="3.%1"/>
      <w:lvlJc w:val="left"/>
      <w:pPr>
        <w:ind w:left="8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Times New Roman" w:hAnsi="Times New Roman" w:cs="Times New Roman"/>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8">
    <w:nsid w:val="58754F0F"/>
    <w:multiLevelType w:val="multilevel"/>
    <w:tmpl w:val="58754F0F"/>
    <w:lvl w:ilvl="0" w:tentative="0">
      <w:start w:val="1"/>
      <w:numFmt w:val="decimal"/>
      <w:lvlText w:val="21.%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F7F5EAC"/>
    <w:multiLevelType w:val="multilevel"/>
    <w:tmpl w:val="5F7F5EAC"/>
    <w:lvl w:ilvl="0" w:tentative="0">
      <w:start w:val="1"/>
      <w:numFmt w:val="decimal"/>
      <w:lvlText w:val="%1"/>
      <w:lvlJc w:val="left"/>
      <w:pPr>
        <w:ind w:left="425" w:hanging="425"/>
      </w:pPr>
    </w:lvl>
    <w:lvl w:ilvl="1" w:tentative="0">
      <w:start w:val="1"/>
      <w:numFmt w:val="decimal"/>
      <w:lvlText w:val="%1.%2"/>
      <w:lvlJc w:val="left"/>
      <w:pPr>
        <w:ind w:left="987" w:hanging="567"/>
      </w:pPr>
    </w:lvl>
    <w:lvl w:ilvl="2" w:tentative="0">
      <w:start w:val="1"/>
      <w:numFmt w:val="decimal"/>
      <w:lvlText w:val="%1.%2.%3"/>
      <w:lvlJc w:val="left"/>
      <w:pPr>
        <w:ind w:left="140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0">
    <w:nsid w:val="612E6536"/>
    <w:multiLevelType w:val="multilevel"/>
    <w:tmpl w:val="612E6536"/>
    <w:lvl w:ilvl="0" w:tentative="0">
      <w:start w:val="1"/>
      <w:numFmt w:val="decimal"/>
      <w:lvlText w:val="14.%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1694D6C"/>
    <w:multiLevelType w:val="singleLevel"/>
    <w:tmpl w:val="61694D6C"/>
    <w:lvl w:ilvl="0" w:tentative="0">
      <w:start w:val="1"/>
      <w:numFmt w:val="decimal"/>
      <w:suff w:val="nothing"/>
      <w:lvlText w:val="%1、"/>
      <w:lvlJc w:val="left"/>
    </w:lvl>
  </w:abstractNum>
  <w:abstractNum w:abstractNumId="32">
    <w:nsid w:val="65CE644A"/>
    <w:multiLevelType w:val="multilevel"/>
    <w:tmpl w:val="65CE644A"/>
    <w:lvl w:ilvl="0" w:tentative="0">
      <w:start w:val="1"/>
      <w:numFmt w:val="decimal"/>
      <w:lvlText w:val="20.%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2.%2"/>
      <w:lvlJc w:val="left"/>
      <w:pPr>
        <w:tabs>
          <w:tab w:val="left" w:pos="720"/>
        </w:tabs>
        <w:ind w:left="720" w:hanging="720"/>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5">
    <w:nsid w:val="754C3763"/>
    <w:multiLevelType w:val="multilevel"/>
    <w:tmpl w:val="754C3763"/>
    <w:lvl w:ilvl="0" w:tentative="0">
      <w:start w:val="1"/>
      <w:numFmt w:val="decimal"/>
      <w:lvlText w:val="5.%1"/>
      <w:lvlJc w:val="left"/>
      <w:pPr>
        <w:tabs>
          <w:tab w:val="left" w:pos="562"/>
        </w:tabs>
        <w:ind w:left="562" w:hanging="420"/>
      </w:pPr>
      <w:rPr>
        <w:rFonts w:hint="eastAsia"/>
        <w:b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7">
    <w:nsid w:val="779C61AE"/>
    <w:multiLevelType w:val="multilevel"/>
    <w:tmpl w:val="779C61AE"/>
    <w:lvl w:ilvl="0" w:tentative="0">
      <w:start w:val="1"/>
      <w:numFmt w:val="decimal"/>
      <w:lvlText w:val="18.%1"/>
      <w:lvlJc w:val="left"/>
      <w:pPr>
        <w:ind w:left="113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num w:numId="1">
    <w:abstractNumId w:val="16"/>
  </w:num>
  <w:num w:numId="2">
    <w:abstractNumId w:val="4"/>
  </w:num>
  <w:num w:numId="3">
    <w:abstractNumId w:val="29"/>
  </w:num>
  <w:num w:numId="4">
    <w:abstractNumId w:val="1"/>
  </w:num>
  <w:num w:numId="5">
    <w:abstractNumId w:val="0"/>
  </w:num>
  <w:num w:numId="6">
    <w:abstractNumId w:val="36"/>
  </w:num>
  <w:num w:numId="7">
    <w:abstractNumId w:val="15"/>
  </w:num>
  <w:num w:numId="8">
    <w:abstractNumId w:val="25"/>
  </w:num>
  <w:num w:numId="9">
    <w:abstractNumId w:val="14"/>
  </w:num>
  <w:num w:numId="10">
    <w:abstractNumId w:val="24"/>
  </w:num>
  <w:num w:numId="11">
    <w:abstractNumId w:val="38"/>
  </w:num>
  <w:num w:numId="12">
    <w:abstractNumId w:val="18"/>
  </w:num>
  <w:num w:numId="13">
    <w:abstractNumId w:val="35"/>
  </w:num>
  <w:num w:numId="14">
    <w:abstractNumId w:val="6"/>
  </w:num>
  <w:num w:numId="15">
    <w:abstractNumId w:val="27"/>
  </w:num>
  <w:num w:numId="16">
    <w:abstractNumId w:val="11"/>
  </w:num>
  <w:num w:numId="17">
    <w:abstractNumId w:val="7"/>
  </w:num>
  <w:num w:numId="18">
    <w:abstractNumId w:val="5"/>
  </w:num>
  <w:num w:numId="19">
    <w:abstractNumId w:val="10"/>
  </w:num>
  <w:num w:numId="20">
    <w:abstractNumId w:val="9"/>
  </w:num>
  <w:num w:numId="21">
    <w:abstractNumId w:val="2"/>
  </w:num>
  <w:num w:numId="22">
    <w:abstractNumId w:val="3"/>
  </w:num>
  <w:num w:numId="23">
    <w:abstractNumId w:val="12"/>
  </w:num>
  <w:num w:numId="24">
    <w:abstractNumId w:val="19"/>
  </w:num>
  <w:num w:numId="25">
    <w:abstractNumId w:val="21"/>
  </w:num>
  <w:num w:numId="26">
    <w:abstractNumId w:val="30"/>
  </w:num>
  <w:num w:numId="27">
    <w:abstractNumId w:val="26"/>
  </w:num>
  <w:num w:numId="28">
    <w:abstractNumId w:val="22"/>
  </w:num>
  <w:num w:numId="29">
    <w:abstractNumId w:val="17"/>
  </w:num>
  <w:num w:numId="30">
    <w:abstractNumId w:val="37"/>
  </w:num>
  <w:num w:numId="31">
    <w:abstractNumId w:val="23"/>
  </w:num>
  <w:num w:numId="32">
    <w:abstractNumId w:val="32"/>
  </w:num>
  <w:num w:numId="33">
    <w:abstractNumId w:val="28"/>
  </w:num>
  <w:num w:numId="34">
    <w:abstractNumId w:val="34"/>
  </w:num>
  <w:num w:numId="35">
    <w:abstractNumId w:val="13"/>
  </w:num>
  <w:num w:numId="36">
    <w:abstractNumId w:val="39"/>
  </w:num>
  <w:num w:numId="37">
    <w:abstractNumId w:val="20"/>
  </w:num>
  <w:num w:numId="38">
    <w:abstractNumId w:val="8"/>
  </w:num>
  <w:num w:numId="39">
    <w:abstractNumId w:val="3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8B09A9"/>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4D72B2"/>
    <w:rsid w:val="036B136E"/>
    <w:rsid w:val="03A64228"/>
    <w:rsid w:val="03C549C8"/>
    <w:rsid w:val="040C6E91"/>
    <w:rsid w:val="0442138C"/>
    <w:rsid w:val="04DB0285"/>
    <w:rsid w:val="04EE495B"/>
    <w:rsid w:val="05800AA3"/>
    <w:rsid w:val="059B46A8"/>
    <w:rsid w:val="064D75C2"/>
    <w:rsid w:val="06A00E6B"/>
    <w:rsid w:val="06A478F6"/>
    <w:rsid w:val="06C41C49"/>
    <w:rsid w:val="073A2498"/>
    <w:rsid w:val="07794418"/>
    <w:rsid w:val="087F37FD"/>
    <w:rsid w:val="08A40D88"/>
    <w:rsid w:val="08D65666"/>
    <w:rsid w:val="08E84AC4"/>
    <w:rsid w:val="095A50FC"/>
    <w:rsid w:val="098E03C7"/>
    <w:rsid w:val="09B7349E"/>
    <w:rsid w:val="09F2269B"/>
    <w:rsid w:val="0A6F0775"/>
    <w:rsid w:val="0A9671D9"/>
    <w:rsid w:val="0AEB188B"/>
    <w:rsid w:val="0B29724A"/>
    <w:rsid w:val="0B4266BB"/>
    <w:rsid w:val="0B531E35"/>
    <w:rsid w:val="0BAC01B4"/>
    <w:rsid w:val="0BFD0F44"/>
    <w:rsid w:val="0C3A03CD"/>
    <w:rsid w:val="0C434FF4"/>
    <w:rsid w:val="0CAB2C38"/>
    <w:rsid w:val="0CBD2ABF"/>
    <w:rsid w:val="0CEE32B2"/>
    <w:rsid w:val="0D007BE0"/>
    <w:rsid w:val="0D026C09"/>
    <w:rsid w:val="0D2F3ECE"/>
    <w:rsid w:val="0D36577E"/>
    <w:rsid w:val="0DF513F2"/>
    <w:rsid w:val="0EA20611"/>
    <w:rsid w:val="0EA44750"/>
    <w:rsid w:val="0EB219BC"/>
    <w:rsid w:val="0EB465EB"/>
    <w:rsid w:val="0F2D3164"/>
    <w:rsid w:val="0FAA4E26"/>
    <w:rsid w:val="0FD329CD"/>
    <w:rsid w:val="0FE442C8"/>
    <w:rsid w:val="0FF05B46"/>
    <w:rsid w:val="104E637E"/>
    <w:rsid w:val="10DC2046"/>
    <w:rsid w:val="116358B9"/>
    <w:rsid w:val="11A3156D"/>
    <w:rsid w:val="11C80560"/>
    <w:rsid w:val="11D51CD2"/>
    <w:rsid w:val="12404210"/>
    <w:rsid w:val="12CD4474"/>
    <w:rsid w:val="12D573EB"/>
    <w:rsid w:val="12DE0F4D"/>
    <w:rsid w:val="12F13DE0"/>
    <w:rsid w:val="136F1811"/>
    <w:rsid w:val="13991974"/>
    <w:rsid w:val="13A574D6"/>
    <w:rsid w:val="13AB3552"/>
    <w:rsid w:val="13EB3669"/>
    <w:rsid w:val="148A193E"/>
    <w:rsid w:val="14962BF2"/>
    <w:rsid w:val="15112F23"/>
    <w:rsid w:val="15560646"/>
    <w:rsid w:val="15F97AE2"/>
    <w:rsid w:val="160D2A82"/>
    <w:rsid w:val="1658087C"/>
    <w:rsid w:val="170B0129"/>
    <w:rsid w:val="17270097"/>
    <w:rsid w:val="1839700F"/>
    <w:rsid w:val="1940737B"/>
    <w:rsid w:val="19820A7A"/>
    <w:rsid w:val="19BE1AAB"/>
    <w:rsid w:val="1A182DF0"/>
    <w:rsid w:val="1AB66482"/>
    <w:rsid w:val="1AF347C3"/>
    <w:rsid w:val="1B5929C7"/>
    <w:rsid w:val="1BF931D7"/>
    <w:rsid w:val="1C4F5EF0"/>
    <w:rsid w:val="1CC02D2D"/>
    <w:rsid w:val="1D2F5DEB"/>
    <w:rsid w:val="1D506145"/>
    <w:rsid w:val="1DD763E7"/>
    <w:rsid w:val="1DFB16B0"/>
    <w:rsid w:val="1E7A4FD0"/>
    <w:rsid w:val="1E8349E3"/>
    <w:rsid w:val="1E846C1E"/>
    <w:rsid w:val="1ED61050"/>
    <w:rsid w:val="1F0C773E"/>
    <w:rsid w:val="1F1B2614"/>
    <w:rsid w:val="1F510B7E"/>
    <w:rsid w:val="1F6751CA"/>
    <w:rsid w:val="1F731332"/>
    <w:rsid w:val="1FE03C26"/>
    <w:rsid w:val="2060352B"/>
    <w:rsid w:val="20B34A6E"/>
    <w:rsid w:val="20DA7F0E"/>
    <w:rsid w:val="210015CD"/>
    <w:rsid w:val="21374CB3"/>
    <w:rsid w:val="21B454D9"/>
    <w:rsid w:val="2258523D"/>
    <w:rsid w:val="227C146B"/>
    <w:rsid w:val="22A02BE5"/>
    <w:rsid w:val="22B7139F"/>
    <w:rsid w:val="2363459D"/>
    <w:rsid w:val="23792D2F"/>
    <w:rsid w:val="23C7232D"/>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9039E7"/>
    <w:rsid w:val="31E43428"/>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C26E04"/>
    <w:rsid w:val="3AE40F3E"/>
    <w:rsid w:val="3B394512"/>
    <w:rsid w:val="3B3E70E9"/>
    <w:rsid w:val="3B720CEE"/>
    <w:rsid w:val="3B9D199D"/>
    <w:rsid w:val="3BBC6ED2"/>
    <w:rsid w:val="3BFA1DF4"/>
    <w:rsid w:val="3C6B58D1"/>
    <w:rsid w:val="3C83314E"/>
    <w:rsid w:val="3C905633"/>
    <w:rsid w:val="3C9C1A33"/>
    <w:rsid w:val="3CB74AC6"/>
    <w:rsid w:val="3CBB24EF"/>
    <w:rsid w:val="3CE26DBB"/>
    <w:rsid w:val="3D2D5518"/>
    <w:rsid w:val="3D891903"/>
    <w:rsid w:val="3E4037CC"/>
    <w:rsid w:val="3E615322"/>
    <w:rsid w:val="3E772188"/>
    <w:rsid w:val="3EE111F7"/>
    <w:rsid w:val="3EF30CA8"/>
    <w:rsid w:val="3F1E0693"/>
    <w:rsid w:val="3F476FDD"/>
    <w:rsid w:val="3F9A4869"/>
    <w:rsid w:val="3FBC4A1D"/>
    <w:rsid w:val="3FDD5D2F"/>
    <w:rsid w:val="407305E6"/>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6052955"/>
    <w:rsid w:val="466E6504"/>
    <w:rsid w:val="47721B46"/>
    <w:rsid w:val="484D79E5"/>
    <w:rsid w:val="485E2C37"/>
    <w:rsid w:val="48B90C6B"/>
    <w:rsid w:val="4916306B"/>
    <w:rsid w:val="498B21B5"/>
    <w:rsid w:val="49B63741"/>
    <w:rsid w:val="49C02B87"/>
    <w:rsid w:val="4A3B3017"/>
    <w:rsid w:val="4AB61CA3"/>
    <w:rsid w:val="4BA45DBB"/>
    <w:rsid w:val="4BAE4AF4"/>
    <w:rsid w:val="4C5770B6"/>
    <w:rsid w:val="4C5A1839"/>
    <w:rsid w:val="4C7572CD"/>
    <w:rsid w:val="4C9F74B1"/>
    <w:rsid w:val="4CED79F8"/>
    <w:rsid w:val="4DD059E1"/>
    <w:rsid w:val="4DED0341"/>
    <w:rsid w:val="4DFF4F0F"/>
    <w:rsid w:val="4E0E49B4"/>
    <w:rsid w:val="4E1A19F6"/>
    <w:rsid w:val="4E294FCA"/>
    <w:rsid w:val="4E456F05"/>
    <w:rsid w:val="4E603CD2"/>
    <w:rsid w:val="4ECC5CC5"/>
    <w:rsid w:val="4F01352B"/>
    <w:rsid w:val="4F2547B0"/>
    <w:rsid w:val="4F385E88"/>
    <w:rsid w:val="4F9A75BC"/>
    <w:rsid w:val="500C7739"/>
    <w:rsid w:val="50333805"/>
    <w:rsid w:val="50406C68"/>
    <w:rsid w:val="50656FCA"/>
    <w:rsid w:val="50D90CCF"/>
    <w:rsid w:val="512129F0"/>
    <w:rsid w:val="512E4FFA"/>
    <w:rsid w:val="51835AAE"/>
    <w:rsid w:val="51971635"/>
    <w:rsid w:val="51E444D7"/>
    <w:rsid w:val="52272A53"/>
    <w:rsid w:val="52634E37"/>
    <w:rsid w:val="52B171FA"/>
    <w:rsid w:val="540E1365"/>
    <w:rsid w:val="54956561"/>
    <w:rsid w:val="54AA3DF7"/>
    <w:rsid w:val="54B26C85"/>
    <w:rsid w:val="54B61E08"/>
    <w:rsid w:val="54D65559"/>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B5A6CFE"/>
    <w:rsid w:val="5B896B40"/>
    <w:rsid w:val="5BD55FCE"/>
    <w:rsid w:val="5BD85C58"/>
    <w:rsid w:val="5C227DB6"/>
    <w:rsid w:val="5D40278C"/>
    <w:rsid w:val="5D46011A"/>
    <w:rsid w:val="5D65502F"/>
    <w:rsid w:val="5DD06C57"/>
    <w:rsid w:val="5DFB6CB9"/>
    <w:rsid w:val="5E9E2A34"/>
    <w:rsid w:val="5F14140D"/>
    <w:rsid w:val="5F8A64CA"/>
    <w:rsid w:val="5FDD0E56"/>
    <w:rsid w:val="60086C66"/>
    <w:rsid w:val="60595BE0"/>
    <w:rsid w:val="60F40D61"/>
    <w:rsid w:val="611D63FB"/>
    <w:rsid w:val="6124336C"/>
    <w:rsid w:val="6152493E"/>
    <w:rsid w:val="617270AD"/>
    <w:rsid w:val="62115573"/>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A0B4089"/>
    <w:rsid w:val="6AD356BF"/>
    <w:rsid w:val="6ADA486E"/>
    <w:rsid w:val="6B33205C"/>
    <w:rsid w:val="6B9E7527"/>
    <w:rsid w:val="6BEB1B2A"/>
    <w:rsid w:val="6C3D3FC5"/>
    <w:rsid w:val="6CE6394F"/>
    <w:rsid w:val="6D783D26"/>
    <w:rsid w:val="6DEF510F"/>
    <w:rsid w:val="6DF01F33"/>
    <w:rsid w:val="6E146C1B"/>
    <w:rsid w:val="6E6C03DB"/>
    <w:rsid w:val="6E9523F6"/>
    <w:rsid w:val="6F3254E8"/>
    <w:rsid w:val="6F5B4BA2"/>
    <w:rsid w:val="6F615273"/>
    <w:rsid w:val="6FEB37AA"/>
    <w:rsid w:val="70F328F1"/>
    <w:rsid w:val="711F0324"/>
    <w:rsid w:val="715E6563"/>
    <w:rsid w:val="71635BDF"/>
    <w:rsid w:val="724E2F94"/>
    <w:rsid w:val="725620A9"/>
    <w:rsid w:val="72CE6A57"/>
    <w:rsid w:val="730B78D2"/>
    <w:rsid w:val="735F1183"/>
    <w:rsid w:val="73BA3D76"/>
    <w:rsid w:val="73ED7C13"/>
    <w:rsid w:val="73F855B9"/>
    <w:rsid w:val="745E3FF9"/>
    <w:rsid w:val="747A11FA"/>
    <w:rsid w:val="7593678E"/>
    <w:rsid w:val="76525BE7"/>
    <w:rsid w:val="76BF62FB"/>
    <w:rsid w:val="76C259ED"/>
    <w:rsid w:val="76D550BD"/>
    <w:rsid w:val="77506C1B"/>
    <w:rsid w:val="78CE2547"/>
    <w:rsid w:val="794E5A39"/>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书目1"/>
    <w:basedOn w:val="1"/>
    <w:next w:val="1"/>
    <w:unhideWhenUsed/>
    <w:qFormat/>
    <w:uiPriority w:val="37"/>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40"/>
    <w:unhideWhenUsed/>
    <w:qFormat/>
    <w:uiPriority w:val="99"/>
    <w:pPr>
      <w:jc w:val="left"/>
    </w:pPr>
  </w:style>
  <w:style w:type="paragraph" w:styleId="8">
    <w:name w:val="Body Text"/>
    <w:basedOn w:val="1"/>
    <w:next w:val="9"/>
    <w:link w:val="43"/>
    <w:qFormat/>
    <w:uiPriority w:val="1"/>
    <w:pPr>
      <w:spacing w:before="36"/>
      <w:ind w:left="780"/>
      <w:jc w:val="left"/>
    </w:pPr>
    <w:rPr>
      <w:rFonts w:ascii="宋体" w:hAnsi="宋体" w:eastAsia="宋体"/>
      <w:kern w:val="0"/>
      <w:szCs w:val="21"/>
      <w:lang w:eastAsia="en-US"/>
    </w:rPr>
  </w:style>
  <w:style w:type="paragraph" w:styleId="9">
    <w:name w:val="Body Text First Indent"/>
    <w:basedOn w:val="8"/>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120" w:line="240" w:lineRule="auto"/>
      <w:ind w:firstLine="420" w:firstLineChars="100"/>
    </w:pPr>
    <w:rPr>
      <w:spacing w:val="0"/>
      <w:sz w:val="20"/>
      <w:szCs w:val="21"/>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itle"/>
    <w:basedOn w:val="1"/>
    <w:qFormat/>
    <w:uiPriority w:val="0"/>
    <w:pPr>
      <w:spacing w:before="240" w:after="60"/>
      <w:jc w:val="center"/>
      <w:outlineLvl w:val="0"/>
    </w:pPr>
    <w:rPr>
      <w:rFonts w:ascii="Arial" w:hAnsi="Arial" w:eastAsia="楷体_GB2312"/>
      <w:b/>
      <w:bCs/>
      <w:sz w:val="32"/>
      <w:szCs w:val="32"/>
    </w:rPr>
  </w:style>
  <w:style w:type="paragraph" w:styleId="18">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9">
    <w:name w:val="Body Text First Indent 2"/>
    <w:basedOn w:val="10"/>
    <w:semiHidden/>
    <w:unhideWhenUsed/>
    <w:qFormat/>
    <w:uiPriority w:val="99"/>
    <w:pPr>
      <w:ind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TML Definition"/>
    <w:basedOn w:val="22"/>
    <w:semiHidden/>
    <w:unhideWhenUsed/>
    <w:qFormat/>
    <w:uiPriority w:val="99"/>
  </w:style>
  <w:style w:type="character" w:styleId="27">
    <w:name w:val="HTML Typewriter"/>
    <w:basedOn w:val="22"/>
    <w:semiHidden/>
    <w:unhideWhenUsed/>
    <w:qFormat/>
    <w:uiPriority w:val="99"/>
    <w:rPr>
      <w:rFonts w:hint="default" w:ascii="monospace" w:hAnsi="monospace" w:eastAsia="monospace" w:cs="monospace"/>
      <w:sz w:val="20"/>
    </w:rPr>
  </w:style>
  <w:style w:type="character" w:styleId="28">
    <w:name w:val="HTML Acronym"/>
    <w:basedOn w:val="22"/>
    <w:semiHidden/>
    <w:unhideWhenUsed/>
    <w:qFormat/>
    <w:uiPriority w:val="99"/>
  </w:style>
  <w:style w:type="character" w:styleId="29">
    <w:name w:val="HTML Variable"/>
    <w:basedOn w:val="22"/>
    <w:semiHidden/>
    <w:unhideWhenUsed/>
    <w:qFormat/>
    <w:uiPriority w:val="99"/>
  </w:style>
  <w:style w:type="character" w:styleId="30">
    <w:name w:val="Hyperlink"/>
    <w:basedOn w:val="22"/>
    <w:unhideWhenUsed/>
    <w:qFormat/>
    <w:uiPriority w:val="99"/>
    <w:rPr>
      <w:color w:val="0000FF" w:themeColor="hyperlink"/>
      <w:u w:val="single"/>
      <w14:textFill>
        <w14:solidFill>
          <w14:schemeClr w14:val="hlink"/>
        </w14:solidFill>
      </w14:textFill>
    </w:rPr>
  </w:style>
  <w:style w:type="character" w:styleId="31">
    <w:name w:val="HTML Code"/>
    <w:basedOn w:val="22"/>
    <w:semiHidden/>
    <w:unhideWhenUsed/>
    <w:qFormat/>
    <w:uiPriority w:val="99"/>
    <w:rPr>
      <w:rFonts w:hint="default" w:ascii="monospace" w:hAnsi="monospace" w:eastAsia="monospace" w:cs="monospace"/>
      <w:sz w:val="20"/>
    </w:rPr>
  </w:style>
  <w:style w:type="character" w:styleId="32">
    <w:name w:val="annotation reference"/>
    <w:basedOn w:val="22"/>
    <w:semiHidden/>
    <w:unhideWhenUsed/>
    <w:qFormat/>
    <w:uiPriority w:val="99"/>
    <w:rPr>
      <w:sz w:val="21"/>
      <w:szCs w:val="21"/>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hint="default" w:ascii="monospace" w:hAnsi="monospace" w:eastAsia="monospace" w:cs="monospace"/>
      <w:sz w:val="20"/>
    </w:rPr>
  </w:style>
  <w:style w:type="character" w:styleId="35">
    <w:name w:val="HTML Sample"/>
    <w:basedOn w:val="22"/>
    <w:semiHidden/>
    <w:unhideWhenUsed/>
    <w:qFormat/>
    <w:uiPriority w:val="99"/>
    <w:rPr>
      <w:rFonts w:ascii="monospace" w:hAnsi="monospace" w:eastAsia="monospace" w:cs="monospace"/>
    </w:rPr>
  </w:style>
  <w:style w:type="paragraph" w:styleId="36">
    <w:name w:val="List Paragraph"/>
    <w:basedOn w:val="1"/>
    <w:qFormat/>
    <w:uiPriority w:val="34"/>
    <w:pPr>
      <w:widowControl/>
      <w:ind w:firstLine="420"/>
    </w:pPr>
    <w:rPr>
      <w:rFonts w:ascii="Calibri" w:hAnsi="Calibri" w:eastAsia="宋体" w:cs="Calibri"/>
      <w:kern w:val="0"/>
      <w:szCs w:val="21"/>
    </w:rPr>
  </w:style>
  <w:style w:type="character" w:customStyle="1" w:styleId="37">
    <w:name w:val="页眉 字符"/>
    <w:basedOn w:val="22"/>
    <w:link w:val="16"/>
    <w:qFormat/>
    <w:uiPriority w:val="0"/>
    <w:rPr>
      <w:sz w:val="18"/>
      <w:szCs w:val="18"/>
    </w:rPr>
  </w:style>
  <w:style w:type="character" w:customStyle="1" w:styleId="38">
    <w:name w:val="页脚 字符"/>
    <w:basedOn w:val="22"/>
    <w:link w:val="15"/>
    <w:qFormat/>
    <w:uiPriority w:val="99"/>
    <w:rPr>
      <w:sz w:val="18"/>
      <w:szCs w:val="18"/>
    </w:rPr>
  </w:style>
  <w:style w:type="character" w:customStyle="1" w:styleId="39">
    <w:name w:val="批注框文本 字符"/>
    <w:basedOn w:val="22"/>
    <w:link w:val="14"/>
    <w:semiHidden/>
    <w:qFormat/>
    <w:uiPriority w:val="99"/>
    <w:rPr>
      <w:sz w:val="18"/>
      <w:szCs w:val="18"/>
    </w:rPr>
  </w:style>
  <w:style w:type="character" w:customStyle="1" w:styleId="40">
    <w:name w:val="批注文字 字符"/>
    <w:basedOn w:val="22"/>
    <w:link w:val="7"/>
    <w:qFormat/>
    <w:uiPriority w:val="99"/>
  </w:style>
  <w:style w:type="paragraph" w:customStyle="1" w:styleId="41">
    <w:name w:val="Table Paragraph"/>
    <w:basedOn w:val="1"/>
    <w:qFormat/>
    <w:uiPriority w:val="0"/>
    <w:pPr>
      <w:jc w:val="left"/>
    </w:pPr>
    <w:rPr>
      <w:kern w:val="0"/>
      <w:sz w:val="22"/>
      <w:lang w:eastAsia="en-US"/>
    </w:rPr>
  </w:style>
  <w:style w:type="paragraph" w:customStyle="1" w:styleId="42">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3">
    <w:name w:val="正文文本 字符"/>
    <w:basedOn w:val="22"/>
    <w:link w:val="8"/>
    <w:qFormat/>
    <w:uiPriority w:val="1"/>
    <w:rPr>
      <w:rFonts w:ascii="宋体" w:hAnsi="宋体" w:cstheme="minorBidi"/>
      <w:sz w:val="21"/>
      <w:szCs w:val="21"/>
      <w:lang w:eastAsia="en-US"/>
    </w:rPr>
  </w:style>
  <w:style w:type="character" w:customStyle="1" w:styleId="44">
    <w:name w:val="font41"/>
    <w:basedOn w:val="22"/>
    <w:qFormat/>
    <w:uiPriority w:val="0"/>
    <w:rPr>
      <w:rFonts w:hint="eastAsia" w:ascii="宋体" w:hAnsi="宋体" w:eastAsia="宋体" w:cs="宋体"/>
      <w:color w:val="000000"/>
      <w:sz w:val="21"/>
      <w:szCs w:val="21"/>
      <w:u w:val="none"/>
    </w:rPr>
  </w:style>
  <w:style w:type="character" w:customStyle="1" w:styleId="45">
    <w:name w:val="font31"/>
    <w:basedOn w:val="22"/>
    <w:qFormat/>
    <w:uiPriority w:val="0"/>
    <w:rPr>
      <w:rFonts w:hint="default" w:ascii="Times New Roman" w:hAnsi="Times New Roman" w:cs="Times New Roman"/>
      <w:color w:val="000000"/>
      <w:sz w:val="21"/>
      <w:szCs w:val="21"/>
      <w:u w:val="none"/>
    </w:rPr>
  </w:style>
  <w:style w:type="paragraph" w:customStyle="1" w:styleId="46">
    <w:name w:val="默认段落字体 Para Char"/>
    <w:basedOn w:val="47"/>
    <w:next w:val="1"/>
    <w:qFormat/>
    <w:uiPriority w:val="0"/>
    <w:pPr>
      <w:widowControl w:val="0"/>
      <w:spacing w:before="80" w:after="80" w:line="360" w:lineRule="auto"/>
      <w:jc w:val="both"/>
    </w:pPr>
    <w:rPr>
      <w:rFonts w:ascii="Calibri" w:hAnsi="Calibri" w:cs="Times New Roman"/>
      <w:kern w:val="2"/>
      <w:szCs w:val="20"/>
    </w:rPr>
  </w:style>
  <w:style w:type="paragraph" w:customStyle="1" w:styleId="47">
    <w:name w:val="Normal_0"/>
    <w:next w:val="1"/>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
    <w:next w:val="46"/>
    <w:qFormat/>
    <w:uiPriority w:val="0"/>
    <w:rPr>
      <w:rFonts w:ascii="Times New Roman" w:hAnsi="Times New Roman" w:eastAsia="Times New Roman" w:cs="Times New Roman"/>
      <w:sz w:val="24"/>
      <w:szCs w:val="24"/>
    </w:rPr>
  </w:style>
  <w:style w:type="paragraph" w:customStyle="1" w:styleId="50">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font01"/>
    <w:basedOn w:val="22"/>
    <w:qFormat/>
    <w:uiPriority w:val="0"/>
    <w:rPr>
      <w:rFonts w:hint="eastAsia" w:ascii="宋体" w:hAnsi="宋体" w:eastAsia="宋体" w:cs="宋体"/>
      <w:color w:val="000000"/>
      <w:sz w:val="20"/>
      <w:szCs w:val="20"/>
      <w:u w:val="none"/>
    </w:rPr>
  </w:style>
  <w:style w:type="character" w:customStyle="1" w:styleId="53">
    <w:name w:val="font51"/>
    <w:basedOn w:val="22"/>
    <w:qFormat/>
    <w:uiPriority w:val="0"/>
    <w:rPr>
      <w:rFonts w:hint="eastAsia" w:ascii="宋体" w:hAnsi="宋体" w:eastAsia="宋体" w:cs="宋体"/>
      <w:color w:val="000000"/>
      <w:sz w:val="22"/>
      <w:szCs w:val="22"/>
      <w:u w:val="none"/>
    </w:rPr>
  </w:style>
  <w:style w:type="character" w:customStyle="1" w:styleId="54">
    <w:name w:val="font21"/>
    <w:basedOn w:val="22"/>
    <w:qFormat/>
    <w:uiPriority w:val="0"/>
    <w:rPr>
      <w:rFonts w:hint="eastAsia" w:ascii="宋体" w:hAnsi="宋体" w:eastAsia="宋体" w:cs="宋体"/>
      <w:color w:val="000000"/>
      <w:sz w:val="22"/>
      <w:szCs w:val="22"/>
      <w:u w:val="none"/>
    </w:rPr>
  </w:style>
  <w:style w:type="paragraph" w:customStyle="1" w:styleId="55">
    <w:name w:val="标题2A"/>
    <w:basedOn w:val="3"/>
    <w:qFormat/>
    <w:uiPriority w:val="0"/>
    <w:pPr>
      <w:numPr>
        <w:ilvl w:val="0"/>
        <w:numId w:val="1"/>
      </w:numPr>
      <w:tabs>
        <w:tab w:val="left" w:pos="720"/>
        <w:tab w:val="clear" w:pos="2564"/>
      </w:tabs>
      <w:spacing w:before="360" w:after="360" w:line="578" w:lineRule="auto"/>
      <w:ind w:left="720"/>
      <w:jc w:val="center"/>
    </w:pPr>
    <w:rPr>
      <w:rFonts w:eastAsia="宋体"/>
      <w:sz w:val="24"/>
    </w:rPr>
  </w:style>
  <w:style w:type="character" w:customStyle="1" w:styleId="56">
    <w:name w:val="DeltaView Insertion"/>
    <w:qFormat/>
    <w:uiPriority w:val="0"/>
    <w:rPr>
      <w:color w:val="0000FF"/>
      <w:spacing w:val="0"/>
      <w:u w:val="doub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2437</Words>
  <Characters>13896</Characters>
  <Lines>115</Lines>
  <Paragraphs>32</Paragraphs>
  <TotalTime>6</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王郁炜</cp:lastModifiedBy>
  <cp:lastPrinted>2024-04-18T07:10:00Z</cp:lastPrinted>
  <dcterms:modified xsi:type="dcterms:W3CDTF">2024-10-15T01:27:25Z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2F2B87757CA840988F0B7737E9DC1C0F</vt:lpwstr>
  </property>
</Properties>
</file>