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after="0" w:line="240" w:lineRule="auto"/>
        <w:rPr>
          <w:rFonts w:hint="eastAsia" w:ascii="仿宋" w:hAnsi="仿宋" w:eastAsia="仿宋" w:cs="仿宋"/>
        </w:rPr>
      </w:pPr>
      <w:bookmarkStart w:id="0" w:name="EB161330e5504746b893022e694661210d"/>
    </w:p>
    <w:p>
      <w:pPr>
        <w:pStyle w:val="17"/>
        <w:rPr>
          <w:rFonts w:hint="eastAsia" w:ascii="仿宋" w:hAnsi="仿宋" w:eastAsia="仿宋" w:cs="仿宋"/>
        </w:rPr>
      </w:pPr>
    </w:p>
    <w:p>
      <w:pPr>
        <w:pStyle w:val="16"/>
        <w:rPr>
          <w:rFonts w:hint="eastAsia" w:ascii="仿宋" w:hAnsi="仿宋" w:eastAsia="仿宋" w:cs="仿宋"/>
        </w:rPr>
      </w:pPr>
    </w:p>
    <w:p>
      <w:pPr>
        <w:pStyle w:val="17"/>
        <w:rPr>
          <w:rFonts w:hint="eastAsia"/>
        </w:rPr>
      </w:pPr>
      <w:r>
        <w:rPr>
          <w:rFonts w:hint="eastAsia" w:ascii="仿宋" w:hAnsi="仿宋" w:eastAsia="仿宋" w:cs="仿宋"/>
        </w:rPr>
        <w:object>
          <v:shape id="_x0000_i1025" o:spt="75" type="#_x0000_t75" style="height:91.95pt;width:102.6pt;" o:ole="t" filled="f" o:preferrelative="t" stroked="f" coordsize="21600,21600">
            <v:path/>
            <v:fill on="f" focussize="0,0"/>
            <v:stroke on="f"/>
            <v:imagedata r:id="rId5" cropleft="-2204f" croptop="-1811f" cropright="-2204f" cropbottom="-1811f" o:title=""/>
            <o:lock v:ext="edit" aspectratio="t"/>
            <w10:wrap type="none"/>
            <w10:anchorlock/>
          </v:shape>
          <o:OLEObject Type="Embed" ProgID="MSDraw" ShapeID="_x0000_i1025" DrawAspect="Content" ObjectID="_1468075725" r:id="rId4">
            <o:LockedField>false</o:LockedField>
          </o:OLEObject>
        </w:object>
      </w:r>
    </w:p>
    <w:p>
      <w:pPr>
        <w:pStyle w:val="17"/>
        <w:rPr>
          <w:rFonts w:hint="eastAsia" w:ascii="仿宋" w:hAnsi="仿宋" w:eastAsia="仿宋" w:cs="仿宋"/>
        </w:rPr>
      </w:pPr>
    </w:p>
    <w:p>
      <w:pPr>
        <w:pStyle w:val="16"/>
        <w:rPr>
          <w:rFonts w:hint="eastAsia" w:ascii="仿宋" w:hAnsi="仿宋" w:eastAsia="仿宋" w:cs="仿宋"/>
        </w:rPr>
      </w:pPr>
    </w:p>
    <w:p>
      <w:pPr>
        <w:pStyle w:val="17"/>
        <w:rPr>
          <w:rFonts w:hint="eastAsia"/>
        </w:rPr>
      </w:pPr>
    </w:p>
    <w:p>
      <w:pPr>
        <w:pStyle w:val="17"/>
        <w:tabs>
          <w:tab w:val="left" w:pos="3000"/>
        </w:tabs>
        <w:spacing w:line="360" w:lineRule="auto"/>
        <w:ind w:right="11"/>
        <w:jc w:val="center"/>
        <w:rPr>
          <w:rStyle w:val="14"/>
          <w:rFonts w:hint="eastAsia" w:ascii="仿宋" w:hAnsi="仿宋" w:eastAsia="仿宋" w:cs="仿宋"/>
          <w:b/>
          <w:bCs w:val="0"/>
          <w:color w:val="000000"/>
          <w:w w:val="89"/>
          <w:sz w:val="44"/>
          <w:szCs w:val="44"/>
          <w:u w:val="single"/>
          <w:lang w:val="en-US" w:eastAsia="zh-CN"/>
        </w:rPr>
      </w:pPr>
      <w:r>
        <w:rPr>
          <w:rStyle w:val="14"/>
          <w:rFonts w:hint="eastAsia" w:ascii="仿宋" w:hAnsi="仿宋" w:eastAsia="仿宋" w:cs="仿宋"/>
          <w:b/>
          <w:bCs w:val="0"/>
          <w:color w:val="000000"/>
          <w:w w:val="89"/>
          <w:sz w:val="44"/>
          <w:szCs w:val="44"/>
          <w:u w:val="single"/>
          <w:lang w:val="en-US" w:eastAsia="zh-CN"/>
        </w:rPr>
        <w:t>高温高压原油消泡剂评价仪采购</w:t>
      </w:r>
      <w:bookmarkStart w:id="333" w:name="_GoBack"/>
      <w:bookmarkEnd w:id="333"/>
      <w:r>
        <w:rPr>
          <w:rStyle w:val="14"/>
          <w:rFonts w:hint="eastAsia" w:ascii="仿宋" w:hAnsi="仿宋" w:eastAsia="仿宋" w:cs="仿宋"/>
          <w:b/>
          <w:bCs w:val="0"/>
          <w:color w:val="000000"/>
          <w:w w:val="89"/>
          <w:sz w:val="44"/>
          <w:szCs w:val="44"/>
          <w:u w:val="single"/>
          <w:lang w:val="en-US" w:eastAsia="zh-CN"/>
        </w:rPr>
        <w:t>合同</w:t>
      </w:r>
    </w:p>
    <w:p>
      <w:pPr>
        <w:pStyle w:val="17"/>
        <w:tabs>
          <w:tab w:val="left" w:pos="6390"/>
        </w:tabs>
        <w:ind w:right="11"/>
        <w:rPr>
          <w:rStyle w:val="14"/>
          <w:rFonts w:hint="eastAsia" w:ascii="仿宋" w:hAnsi="仿宋" w:eastAsia="仿宋" w:cs="仿宋"/>
          <w:b/>
          <w:lang w:eastAsia="zh-CN"/>
        </w:rPr>
      </w:pPr>
      <w:r>
        <w:rPr>
          <w:rStyle w:val="14"/>
          <w:rFonts w:hint="eastAsia" w:ascii="仿宋" w:hAnsi="仿宋" w:eastAsia="仿宋" w:cs="仿宋"/>
          <w:b/>
          <w:color w:val="000000"/>
          <w:u w:val="none"/>
          <w:lang w:eastAsia="zh-CN"/>
        </w:rPr>
        <w:tab/>
      </w:r>
    </w:p>
    <w:p>
      <w:pPr>
        <w:pStyle w:val="17"/>
        <w:ind w:right="11"/>
        <w:jc w:val="center"/>
        <w:rPr>
          <w:rStyle w:val="14"/>
          <w:rFonts w:hint="eastAsia" w:ascii="仿宋" w:hAnsi="仿宋" w:eastAsia="仿宋" w:cs="仿宋"/>
          <w:b/>
          <w:lang w:eastAsia="zh-CN"/>
        </w:rPr>
      </w:pPr>
    </w:p>
    <w:p>
      <w:pPr>
        <w:pStyle w:val="17"/>
        <w:ind w:right="11"/>
        <w:jc w:val="center"/>
        <w:rPr>
          <w:rStyle w:val="14"/>
          <w:rFonts w:hint="eastAsia" w:ascii="仿宋" w:hAnsi="仿宋" w:eastAsia="仿宋" w:cs="仿宋"/>
          <w:b/>
          <w:sz w:val="28"/>
          <w:szCs w:val="28"/>
          <w:lang w:eastAsia="zh-CN"/>
        </w:rPr>
      </w:pPr>
    </w:p>
    <w:p>
      <w:pPr>
        <w:pStyle w:val="16"/>
        <w:rPr>
          <w:rStyle w:val="14"/>
          <w:rFonts w:hint="eastAsia" w:ascii="仿宋" w:hAnsi="仿宋" w:eastAsia="仿宋" w:cs="仿宋"/>
          <w:b/>
          <w:sz w:val="28"/>
          <w:szCs w:val="28"/>
          <w:lang w:eastAsia="zh-CN"/>
        </w:rPr>
      </w:pPr>
    </w:p>
    <w:p>
      <w:pPr>
        <w:pStyle w:val="17"/>
        <w:rPr>
          <w:rStyle w:val="14"/>
          <w:rFonts w:hint="eastAsia" w:ascii="仿宋" w:hAnsi="仿宋" w:eastAsia="仿宋" w:cs="仿宋"/>
          <w:b/>
          <w:sz w:val="28"/>
          <w:szCs w:val="28"/>
          <w:lang w:eastAsia="zh-CN"/>
        </w:rPr>
      </w:pPr>
    </w:p>
    <w:p>
      <w:pPr>
        <w:pStyle w:val="16"/>
        <w:rPr>
          <w:rFonts w:hint="eastAsia"/>
          <w:lang w:eastAsia="zh-CN"/>
        </w:rPr>
      </w:pPr>
    </w:p>
    <w:p>
      <w:pPr>
        <w:pStyle w:val="16"/>
        <w:rPr>
          <w:rStyle w:val="14"/>
          <w:rFonts w:hint="eastAsia" w:ascii="仿宋" w:hAnsi="仿宋" w:eastAsia="仿宋" w:cs="仿宋"/>
          <w:lang w:eastAsia="zh-CN"/>
        </w:rPr>
      </w:pPr>
    </w:p>
    <w:p>
      <w:pPr>
        <w:pStyle w:val="17"/>
        <w:ind w:right="11"/>
        <w:jc w:val="center"/>
        <w:rPr>
          <w:rStyle w:val="14"/>
          <w:rFonts w:hint="eastAsia" w:ascii="仿宋" w:hAnsi="仿宋" w:eastAsia="仿宋" w:cs="仿宋"/>
          <w:b/>
          <w:sz w:val="30"/>
          <w:szCs w:val="30"/>
          <w:lang w:eastAsia="zh-CN"/>
        </w:rPr>
      </w:pPr>
      <w:r>
        <w:rPr>
          <w:rStyle w:val="14"/>
          <w:rFonts w:hint="eastAsia" w:ascii="仿宋" w:hAnsi="仿宋" w:eastAsia="仿宋" w:cs="仿宋"/>
          <w:b/>
          <w:color w:val="000000"/>
          <w:sz w:val="30"/>
          <w:szCs w:val="30"/>
          <w:u w:val="none"/>
          <w:lang w:eastAsia="zh-CN"/>
        </w:rPr>
        <w:t>（合同编号：</w:t>
      </w:r>
      <w:r>
        <w:rPr>
          <w:rStyle w:val="14"/>
          <w:rFonts w:hint="eastAsia" w:ascii="仿宋" w:hAnsi="仿宋" w:eastAsia="仿宋" w:cs="仿宋"/>
          <w:b/>
          <w:color w:val="000000"/>
          <w:sz w:val="30"/>
          <w:szCs w:val="30"/>
          <w:u w:val="none"/>
          <w:lang w:val="en-US" w:eastAsia="zh-CN"/>
        </w:rPr>
        <w:t xml:space="preserve">         </w:t>
      </w:r>
      <w:r>
        <w:rPr>
          <w:rStyle w:val="14"/>
          <w:rFonts w:hint="eastAsia" w:ascii="仿宋" w:hAnsi="仿宋" w:eastAsia="仿宋" w:cs="仿宋"/>
          <w:b/>
          <w:color w:val="000000"/>
          <w:sz w:val="30"/>
          <w:szCs w:val="30"/>
          <w:u w:val="none"/>
          <w:lang w:eastAsia="zh-CN"/>
        </w:rPr>
        <w:t>）</w:t>
      </w:r>
    </w:p>
    <w:p>
      <w:pPr>
        <w:pStyle w:val="17"/>
        <w:ind w:right="11" w:firstLine="3947" w:firstLineChars="756"/>
        <w:rPr>
          <w:rStyle w:val="14"/>
          <w:rFonts w:hint="eastAsia" w:ascii="仿宋" w:hAnsi="仿宋" w:eastAsia="仿宋" w:cs="仿宋"/>
          <w:b/>
          <w:bCs/>
          <w:sz w:val="52"/>
          <w:szCs w:val="52"/>
          <w:lang w:eastAsia="zh-CN"/>
        </w:rPr>
      </w:pPr>
    </w:p>
    <w:p>
      <w:pPr>
        <w:pStyle w:val="16"/>
        <w:rPr>
          <w:rStyle w:val="14"/>
          <w:rFonts w:hint="eastAsia" w:ascii="仿宋" w:hAnsi="仿宋" w:eastAsia="仿宋" w:cs="仿宋"/>
          <w:lang w:eastAsia="zh-CN"/>
        </w:rPr>
      </w:pPr>
    </w:p>
    <w:p>
      <w:pPr>
        <w:pStyle w:val="17"/>
        <w:spacing w:line="360" w:lineRule="auto"/>
        <w:ind w:right="11" w:firstLine="1439" w:firstLineChars="512"/>
        <w:rPr>
          <w:rStyle w:val="14"/>
          <w:rFonts w:hint="eastAsia" w:ascii="仿宋" w:hAnsi="仿宋" w:eastAsia="仿宋" w:cs="仿宋"/>
          <w:b/>
          <w:sz w:val="28"/>
          <w:szCs w:val="28"/>
          <w:lang w:eastAsia="zh-CN"/>
        </w:rPr>
      </w:pPr>
      <w:r>
        <w:rPr>
          <w:rStyle w:val="14"/>
          <w:rFonts w:hint="eastAsia" w:ascii="仿宋" w:hAnsi="仿宋" w:eastAsia="仿宋" w:cs="仿宋"/>
          <w:b/>
          <w:color w:val="000000"/>
          <w:sz w:val="28"/>
          <w:szCs w:val="28"/>
          <w:u w:val="none"/>
          <w:lang w:eastAsia="zh-CN"/>
        </w:rPr>
        <w:t>买方：</w:t>
      </w:r>
      <w:r>
        <w:rPr>
          <w:rStyle w:val="14"/>
          <w:rFonts w:hint="eastAsia" w:ascii="仿宋" w:hAnsi="仿宋" w:eastAsia="仿宋" w:cs="仿宋"/>
          <w:b/>
          <w:color w:val="000000"/>
          <w:sz w:val="28"/>
          <w:szCs w:val="28"/>
          <w:u w:val="single"/>
          <w:lang w:val="en-US" w:eastAsia="zh-CN"/>
        </w:rPr>
        <w:t xml:space="preserve"> 中海油（天津）油田化工有限公司  </w:t>
      </w:r>
      <w:r>
        <w:rPr>
          <w:rStyle w:val="14"/>
          <w:rFonts w:hint="eastAsia" w:ascii="仿宋" w:hAnsi="仿宋" w:eastAsia="仿宋" w:cs="仿宋"/>
          <w:b/>
          <w:color w:val="000000"/>
          <w:sz w:val="28"/>
          <w:szCs w:val="28"/>
          <w:u w:val="none"/>
          <w:lang w:val="en-US" w:eastAsia="zh-CN"/>
        </w:rPr>
        <w:t xml:space="preserve">           </w:t>
      </w:r>
      <w:r>
        <w:rPr>
          <w:rStyle w:val="14"/>
          <w:rFonts w:hint="eastAsia" w:ascii="仿宋" w:hAnsi="仿宋" w:eastAsia="仿宋" w:cs="仿宋"/>
          <w:b/>
          <w:color w:val="000000"/>
          <w:sz w:val="28"/>
          <w:szCs w:val="28"/>
          <w:u w:val="single"/>
          <w:lang w:val="en-US" w:eastAsia="zh-CN"/>
        </w:rPr>
        <w:t xml:space="preserve">      </w:t>
      </w:r>
      <w:r>
        <w:rPr>
          <w:rStyle w:val="14"/>
          <w:rFonts w:hint="eastAsia" w:ascii="仿宋" w:hAnsi="仿宋" w:eastAsia="仿宋" w:cs="仿宋"/>
          <w:b/>
          <w:color w:val="000000"/>
          <w:sz w:val="28"/>
          <w:szCs w:val="28"/>
          <w:u w:val="none"/>
          <w:lang w:eastAsia="zh-CN"/>
        </w:rPr>
        <w:t xml:space="preserve">  </w:t>
      </w:r>
    </w:p>
    <w:p>
      <w:pPr>
        <w:pStyle w:val="17"/>
        <w:spacing w:line="360" w:lineRule="auto"/>
        <w:ind w:right="11" w:firstLine="1439" w:firstLineChars="512"/>
        <w:rPr>
          <w:rStyle w:val="14"/>
          <w:rFonts w:hint="eastAsia" w:ascii="仿宋" w:hAnsi="仿宋" w:eastAsia="仿宋" w:cs="仿宋"/>
          <w:b/>
          <w:sz w:val="28"/>
          <w:szCs w:val="28"/>
          <w:lang w:eastAsia="zh-CN"/>
        </w:rPr>
      </w:pPr>
      <w:r>
        <w:rPr>
          <w:rStyle w:val="14"/>
          <w:rFonts w:hint="eastAsia" w:ascii="仿宋" w:hAnsi="仿宋" w:eastAsia="仿宋" w:cs="仿宋"/>
          <w:b/>
          <w:color w:val="000000"/>
          <w:sz w:val="28"/>
          <w:szCs w:val="28"/>
          <w:u w:val="none"/>
          <w:lang w:eastAsia="zh-CN"/>
        </w:rPr>
        <w:t>卖方：</w:t>
      </w:r>
      <w:r>
        <w:rPr>
          <w:rStyle w:val="14"/>
          <w:rFonts w:hint="eastAsia" w:ascii="仿宋" w:hAnsi="仿宋" w:eastAsia="仿宋" w:cs="仿宋"/>
          <w:b/>
          <w:color w:val="000000"/>
          <w:sz w:val="28"/>
          <w:szCs w:val="28"/>
          <w:u w:val="single"/>
          <w:lang w:val="en-US" w:eastAsia="zh-CN"/>
        </w:rPr>
        <w:t xml:space="preserve">                                 </w:t>
      </w:r>
      <w:r>
        <w:rPr>
          <w:rStyle w:val="14"/>
          <w:rFonts w:hint="eastAsia" w:ascii="仿宋" w:hAnsi="仿宋" w:eastAsia="仿宋" w:cs="仿宋"/>
          <w:b/>
          <w:color w:val="000000"/>
          <w:sz w:val="28"/>
          <w:szCs w:val="28"/>
          <w:u w:val="none"/>
          <w:lang w:val="en-US" w:eastAsia="zh-CN"/>
        </w:rPr>
        <w:t xml:space="preserve">                   </w:t>
      </w:r>
      <w:r>
        <w:rPr>
          <w:rStyle w:val="14"/>
          <w:rFonts w:hint="eastAsia" w:ascii="仿宋" w:hAnsi="仿宋" w:eastAsia="仿宋" w:cs="仿宋"/>
          <w:b/>
          <w:color w:val="000000"/>
          <w:sz w:val="28"/>
          <w:szCs w:val="28"/>
          <w:u w:val="none"/>
          <w:lang w:eastAsia="zh-CN"/>
        </w:rPr>
        <w:t xml:space="preserve">   </w:t>
      </w:r>
    </w:p>
    <w:p>
      <w:pPr>
        <w:pStyle w:val="17"/>
        <w:ind w:right="11"/>
        <w:rPr>
          <w:rStyle w:val="14"/>
          <w:rFonts w:hint="eastAsia" w:ascii="仿宋" w:hAnsi="仿宋" w:eastAsia="仿宋" w:cs="仿宋"/>
          <w:b/>
          <w:lang w:eastAsia="zh-CN"/>
        </w:rPr>
      </w:pPr>
    </w:p>
    <w:p>
      <w:pPr>
        <w:pStyle w:val="17"/>
        <w:ind w:right="11"/>
        <w:rPr>
          <w:rStyle w:val="14"/>
          <w:rFonts w:hint="eastAsia" w:ascii="仿宋" w:hAnsi="仿宋" w:eastAsia="仿宋" w:cs="仿宋"/>
          <w:b/>
          <w:sz w:val="24"/>
          <w:szCs w:val="24"/>
          <w:lang w:eastAsia="zh-CN"/>
        </w:rPr>
      </w:pPr>
    </w:p>
    <w:p>
      <w:pPr>
        <w:pStyle w:val="17"/>
        <w:spacing w:line="360" w:lineRule="auto"/>
        <w:ind w:left="0" w:leftChars="0" w:right="11" w:firstLine="0" w:firstLineChars="0"/>
        <w:jc w:val="center"/>
        <w:rPr>
          <w:rStyle w:val="14"/>
          <w:rFonts w:hint="eastAsia" w:ascii="仿宋" w:hAnsi="仿宋" w:eastAsia="仿宋" w:cs="仿宋"/>
          <w:b/>
          <w:sz w:val="24"/>
          <w:szCs w:val="24"/>
          <w:lang w:eastAsia="zh-CN"/>
        </w:rPr>
      </w:pPr>
      <w:r>
        <w:rPr>
          <w:rStyle w:val="14"/>
          <w:rFonts w:hint="eastAsia" w:ascii="仿宋" w:hAnsi="仿宋" w:eastAsia="仿宋" w:cs="仿宋"/>
          <w:color w:val="000000"/>
          <w:sz w:val="24"/>
          <w:szCs w:val="24"/>
          <w:u w:val="none"/>
          <w:lang w:eastAsia="zh-CN"/>
        </w:rPr>
        <w:t>签订地点：天津.滨海新区</w:t>
      </w:r>
    </w:p>
    <w:p>
      <w:pPr>
        <w:pStyle w:val="17"/>
        <w:spacing w:line="360" w:lineRule="auto"/>
        <w:ind w:left="0" w:leftChars="0" w:right="11" w:firstLine="0" w:firstLineChars="0"/>
        <w:jc w:val="center"/>
        <w:rPr>
          <w:rStyle w:val="14"/>
          <w:rFonts w:hint="eastAsia" w:ascii="仿宋" w:hAnsi="仿宋" w:eastAsia="仿宋" w:cs="仿宋"/>
          <w:color w:val="000000"/>
          <w:sz w:val="24"/>
          <w:szCs w:val="24"/>
          <w:u w:val="none"/>
          <w:lang w:eastAsia="zh-CN"/>
        </w:rPr>
      </w:pPr>
      <w:r>
        <w:rPr>
          <w:rStyle w:val="14"/>
          <w:rFonts w:hint="eastAsia" w:ascii="仿宋" w:hAnsi="仿宋" w:eastAsia="仿宋" w:cs="仿宋"/>
          <w:color w:val="000000"/>
          <w:sz w:val="24"/>
          <w:szCs w:val="24"/>
          <w:u w:val="none"/>
          <w:lang w:eastAsia="zh-CN"/>
        </w:rPr>
        <w:t>签订时间：</w:t>
      </w:r>
      <w:r>
        <w:rPr>
          <w:rStyle w:val="14"/>
          <w:rFonts w:hint="eastAsia" w:ascii="仿宋" w:hAnsi="仿宋" w:eastAsia="仿宋" w:cs="仿宋"/>
          <w:color w:val="000000"/>
          <w:sz w:val="24"/>
          <w:szCs w:val="24"/>
          <w:u w:val="none"/>
          <w:lang w:val="en-US" w:eastAsia="zh-CN"/>
        </w:rPr>
        <w:t>2024</w:t>
      </w:r>
      <w:r>
        <w:rPr>
          <w:rStyle w:val="14"/>
          <w:rFonts w:hint="eastAsia" w:ascii="仿宋" w:hAnsi="仿宋" w:eastAsia="仿宋" w:cs="仿宋"/>
          <w:color w:val="000000"/>
          <w:sz w:val="24"/>
          <w:szCs w:val="24"/>
          <w:u w:val="none"/>
          <w:lang w:eastAsia="zh-CN"/>
        </w:rPr>
        <w:t>年</w:t>
      </w:r>
      <w:r>
        <w:rPr>
          <w:rStyle w:val="14"/>
          <w:rFonts w:hint="eastAsia" w:ascii="仿宋" w:hAnsi="仿宋" w:eastAsia="仿宋" w:cs="仿宋"/>
          <w:color w:val="000000"/>
          <w:sz w:val="24"/>
          <w:szCs w:val="24"/>
          <w:u w:val="none"/>
          <w:lang w:val="en-US" w:eastAsia="zh-CN"/>
        </w:rPr>
        <w:t xml:space="preserve">  </w:t>
      </w:r>
      <w:r>
        <w:rPr>
          <w:rStyle w:val="14"/>
          <w:rFonts w:hint="eastAsia" w:ascii="仿宋" w:hAnsi="仿宋" w:eastAsia="仿宋" w:cs="仿宋"/>
          <w:color w:val="000000"/>
          <w:sz w:val="24"/>
          <w:szCs w:val="24"/>
          <w:u w:val="none"/>
          <w:lang w:eastAsia="zh-CN"/>
        </w:rPr>
        <w:t>月</w:t>
      </w:r>
    </w:p>
    <w:p>
      <w:pPr>
        <w:pStyle w:val="16"/>
        <w:rPr>
          <w:rStyle w:val="14"/>
          <w:rFonts w:hint="eastAsia" w:ascii="仿宋" w:hAnsi="仿宋" w:eastAsia="仿宋" w:cs="仿宋"/>
          <w:color w:val="000000"/>
          <w:sz w:val="24"/>
          <w:szCs w:val="24"/>
          <w:u w:val="none"/>
          <w:lang w:eastAsia="zh-CN"/>
        </w:rPr>
      </w:pPr>
    </w:p>
    <w:p>
      <w:pPr>
        <w:pStyle w:val="17"/>
        <w:rPr>
          <w:rStyle w:val="14"/>
          <w:rFonts w:hint="eastAsia" w:ascii="仿宋" w:hAnsi="仿宋" w:eastAsia="仿宋" w:cs="仿宋"/>
          <w:color w:val="000000"/>
          <w:sz w:val="24"/>
          <w:szCs w:val="24"/>
          <w:u w:val="none"/>
          <w:lang w:eastAsia="zh-CN"/>
        </w:rPr>
      </w:pPr>
    </w:p>
    <w:p>
      <w:pPr>
        <w:pStyle w:val="16"/>
        <w:rPr>
          <w:rStyle w:val="14"/>
          <w:rFonts w:hint="eastAsia" w:ascii="仿宋" w:hAnsi="仿宋" w:eastAsia="仿宋" w:cs="仿宋"/>
          <w:color w:val="000000"/>
          <w:sz w:val="24"/>
          <w:szCs w:val="24"/>
          <w:u w:val="none"/>
          <w:lang w:eastAsia="zh-CN"/>
        </w:rPr>
      </w:pPr>
    </w:p>
    <w:p>
      <w:pPr>
        <w:pStyle w:val="17"/>
        <w:rPr>
          <w:rFonts w:hint="eastAsia"/>
          <w:lang w:eastAsia="zh-CN"/>
        </w:rPr>
      </w:pPr>
    </w:p>
    <w:p>
      <w:pPr>
        <w:rPr>
          <w:rFonts w:hint="eastAsia" w:ascii="仿宋" w:hAnsi="仿宋" w:eastAsia="仿宋" w:cs="仿宋"/>
          <w:color w:val="000080"/>
          <w:sz w:val="20"/>
          <w:highlight w:val="white"/>
        </w:rPr>
      </w:pPr>
      <w:r>
        <w:rPr>
          <w:rFonts w:hint="eastAsia" w:ascii="仿宋" w:hAnsi="仿宋" w:eastAsia="仿宋" w:cs="仿宋"/>
          <w:color w:val="000000"/>
          <w:sz w:val="20"/>
          <w:highlight w:val="white"/>
          <w:u w:val="none"/>
        </w:rPr>
        <w:t xml:space="preserve"> </w:t>
      </w:r>
    </w:p>
    <w:tbl>
      <w:tblPr>
        <w:tblStyle w:val="12"/>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45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02" w:type="dxa"/>
            <w:gridSpan w:val="3"/>
            <w:tcBorders>
              <w:top w:val="single" w:color="auto" w:sz="4" w:space="0"/>
              <w:left w:val="single" w:color="auto" w:sz="4" w:space="0"/>
              <w:bottom w:val="double" w:color="auto" w:sz="4" w:space="0"/>
              <w:right w:val="single" w:color="auto" w:sz="4" w:space="0"/>
            </w:tcBorders>
            <w:vAlign w:val="center"/>
          </w:tcPr>
          <w:p>
            <w:pPr>
              <w:spacing w:line="360" w:lineRule="exact"/>
              <w:ind w:firstLine="803"/>
              <w:jc w:val="center"/>
              <w:rPr>
                <w:rFonts w:hint="eastAsia" w:ascii="仿宋" w:hAnsi="仿宋" w:eastAsia="仿宋" w:cs="仿宋"/>
                <w:b/>
                <w:color w:val="000000"/>
                <w:spacing w:val="40"/>
                <w:sz w:val="32"/>
                <w:highlight w:val="none"/>
              </w:rPr>
            </w:pPr>
            <w:r>
              <w:rPr>
                <w:rFonts w:hint="eastAsia" w:ascii="仿宋" w:hAnsi="仿宋" w:eastAsia="仿宋" w:cs="仿宋"/>
                <w:b/>
                <w:color w:val="000000"/>
                <w:spacing w:val="40"/>
                <w:sz w:val="32"/>
                <w:highlight w:val="none"/>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402" w:type="dxa"/>
            <w:gridSpan w:val="3"/>
            <w:tcBorders>
              <w:top w:val="double" w:color="auto" w:sz="4" w:space="0"/>
              <w:left w:val="single" w:color="auto" w:sz="4" w:space="0"/>
              <w:bottom w:val="nil"/>
              <w:right w:val="single" w:color="auto" w:sz="4" w:space="0"/>
            </w:tcBorders>
            <w:vAlign w:val="center"/>
          </w:tcPr>
          <w:p>
            <w:pPr>
              <w:spacing w:line="360" w:lineRule="exact"/>
              <w:ind w:firstLine="420"/>
              <w:rPr>
                <w:rFonts w:hint="eastAsia" w:ascii="仿宋" w:hAnsi="仿宋" w:eastAsia="仿宋" w:cs="仿宋"/>
                <w:b/>
                <w:color w:val="000000"/>
                <w:spacing w:val="40"/>
                <w:szCs w:val="21"/>
                <w:highlight w:val="none"/>
              </w:rPr>
            </w:pP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rPr>
              <w:t>同志，现任我单位</w:t>
            </w:r>
            <w:r>
              <w:rPr>
                <w:rFonts w:hint="eastAsia" w:ascii="仿宋" w:hAnsi="仿宋" w:eastAsia="仿宋" w:cs="仿宋"/>
                <w:color w:val="000000"/>
                <w:szCs w:val="21"/>
                <w:highlight w:val="none"/>
                <w:u w:val="single"/>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职务，为法定代表人，特此证明</w:t>
            </w:r>
            <w:r>
              <w:rPr>
                <w:rFonts w:hint="eastAsia" w:ascii="仿宋" w:hAnsi="仿宋" w:eastAsia="仿宋" w:cs="仿宋"/>
                <w:b/>
                <w:color w:val="000000"/>
                <w:spacing w:val="4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888" w:type="dxa"/>
            <w:tcBorders>
              <w:top w:val="nil"/>
              <w:left w:val="single" w:color="auto" w:sz="4" w:space="0"/>
              <w:bottom w:val="nil"/>
              <w:right w:val="nil"/>
            </w:tcBorders>
            <w:vAlign w:val="center"/>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签发日期：</w:t>
            </w:r>
            <w:r>
              <w:rPr>
                <w:rFonts w:hint="eastAsia" w:ascii="仿宋" w:hAnsi="仿宋" w:eastAsia="仿宋" w:cs="仿宋"/>
                <w:b/>
                <w:bCs/>
                <w:color w:val="000000"/>
                <w:szCs w:val="21"/>
                <w:highlight w:val="none"/>
                <w:lang w:val="en-US" w:eastAsia="zh-CN"/>
              </w:rPr>
              <w:t>2024</w:t>
            </w:r>
            <w:r>
              <w:rPr>
                <w:rFonts w:hint="eastAsia" w:ascii="仿宋" w:hAnsi="仿宋" w:eastAsia="仿宋" w:cs="仿宋"/>
                <w:b/>
                <w:bCs/>
                <w:color w:val="000000"/>
                <w:szCs w:val="21"/>
                <w:highlight w:val="none"/>
              </w:rPr>
              <w:t>年</w:t>
            </w:r>
            <w:r>
              <w:rPr>
                <w:rFonts w:hint="eastAsia" w:ascii="仿宋" w:hAnsi="仿宋" w:eastAsia="仿宋" w:cs="仿宋"/>
                <w:b/>
                <w:bCs/>
                <w:color w:val="000000"/>
                <w:szCs w:val="21"/>
                <w:highlight w:val="none"/>
                <w:lang w:val="en-US" w:eastAsia="zh-CN"/>
              </w:rPr>
              <w:t xml:space="preserve">  </w:t>
            </w:r>
            <w:r>
              <w:rPr>
                <w:rFonts w:hint="eastAsia" w:ascii="仿宋" w:hAnsi="仿宋" w:eastAsia="仿宋" w:cs="仿宋"/>
                <w:b/>
                <w:bCs/>
                <w:color w:val="000000"/>
                <w:szCs w:val="21"/>
                <w:highlight w:val="none"/>
              </w:rPr>
              <w:t>月</w:t>
            </w:r>
          </w:p>
        </w:tc>
        <w:tc>
          <w:tcPr>
            <w:tcW w:w="4514" w:type="dxa"/>
            <w:gridSpan w:val="2"/>
            <w:tcBorders>
              <w:top w:val="nil"/>
              <w:left w:val="nil"/>
              <w:bottom w:val="nil"/>
              <w:right w:val="single" w:color="auto" w:sz="4" w:space="0"/>
            </w:tcBorders>
            <w:vAlign w:val="center"/>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单位：</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Cs w:val="21"/>
                <w:highlight w:val="none"/>
              </w:rPr>
              <w:t>盖章</w:t>
            </w:r>
            <w:r>
              <w:rPr>
                <w:rFonts w:hint="eastAsia" w:ascii="仿宋" w:hAnsi="仿宋" w:eastAsia="仿宋" w:cs="仿宋"/>
                <w:color w:val="00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8402" w:type="dxa"/>
            <w:gridSpan w:val="3"/>
            <w:tcBorders>
              <w:top w:val="nil"/>
              <w:left w:val="single" w:color="auto" w:sz="4" w:space="0"/>
              <w:bottom w:val="single" w:color="auto" w:sz="4" w:space="0"/>
              <w:right w:val="single" w:color="auto" w:sz="4" w:space="0"/>
            </w:tcBorders>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说明：</w:t>
            </w:r>
          </w:p>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1.法定代表人为企事业单位、国家机关、社会团体的主要行政负责人。</w:t>
            </w:r>
          </w:p>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2.内容必须填写真实、清楚，涂改无效，不得转让、买卖。</w:t>
            </w:r>
          </w:p>
          <w:p>
            <w:pPr>
              <w:spacing w:line="360" w:lineRule="exact"/>
              <w:ind w:firstLine="420"/>
              <w:rPr>
                <w:rFonts w:hint="eastAsia" w:ascii="仿宋" w:hAnsi="仿宋" w:eastAsia="仿宋" w:cs="仿宋"/>
                <w:b/>
                <w:color w:val="000000"/>
                <w:spacing w:val="4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402" w:type="dxa"/>
            <w:gridSpan w:val="3"/>
            <w:tcBorders>
              <w:top w:val="single" w:color="auto" w:sz="4" w:space="0"/>
              <w:left w:val="single" w:color="auto" w:sz="4" w:space="0"/>
              <w:bottom w:val="double" w:color="auto" w:sz="4" w:space="0"/>
              <w:right w:val="single" w:color="auto" w:sz="4" w:space="0"/>
            </w:tcBorders>
            <w:noWrap w:val="0"/>
            <w:vAlign w:val="center"/>
          </w:tcPr>
          <w:p>
            <w:pPr>
              <w:autoSpaceDN w:val="0"/>
              <w:spacing w:line="360" w:lineRule="auto"/>
              <w:jc w:val="center"/>
              <w:rPr>
                <w:rFonts w:hint="eastAsia" w:ascii="仿宋" w:hAnsi="仿宋" w:eastAsia="仿宋" w:cs="仿宋"/>
                <w:color w:val="000000"/>
                <w:spacing w:val="40"/>
                <w:sz w:val="32"/>
                <w:highlight w:val="none"/>
              </w:rPr>
            </w:pPr>
            <w:r>
              <w:rPr>
                <w:rFonts w:hint="eastAsia" w:ascii="仿宋" w:hAnsi="仿宋" w:eastAsia="仿宋" w:cs="仿宋"/>
                <w:color w:val="000000"/>
                <w:spacing w:val="40"/>
                <w:sz w:val="32"/>
                <w:highlight w:val="none"/>
              </w:rPr>
              <w:t>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8402" w:type="dxa"/>
            <w:gridSpan w:val="3"/>
            <w:tcBorders>
              <w:top w:val="double" w:color="auto" w:sz="4" w:space="0"/>
              <w:left w:val="single" w:color="auto" w:sz="4" w:space="0"/>
              <w:bottom w:val="nil"/>
              <w:right w:val="single" w:color="auto" w:sz="4" w:space="0"/>
            </w:tcBorders>
            <w:noWrap w:val="0"/>
            <w:vAlign w:val="center"/>
          </w:tcPr>
          <w:p>
            <w:pPr>
              <w:widowControl/>
              <w:snapToGrid w:val="0"/>
              <w:spacing w:line="360" w:lineRule="auto"/>
              <w:ind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兹授权</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同志（现任我单位</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职务），其权限是：为我方</w:t>
            </w:r>
            <w:r>
              <w:rPr>
                <w:rFonts w:hint="eastAsia" w:ascii="仿宋" w:hAnsi="仿宋" w:eastAsia="仿宋" w:cs="仿宋"/>
                <w:b/>
                <w:bCs/>
                <w:color w:val="000000"/>
                <w:szCs w:val="21"/>
                <w:highlight w:val="none"/>
                <w:u w:val="single"/>
                <w:lang w:val="en-US" w:eastAsia="zh-CN"/>
              </w:rPr>
              <w:t xml:space="preserve">      合同</w:t>
            </w:r>
            <w:r>
              <w:rPr>
                <w:rFonts w:hint="eastAsia" w:ascii="仿宋" w:hAnsi="仿宋" w:eastAsia="仿宋" w:cs="仿宋"/>
                <w:bCs/>
                <w:kern w:val="0"/>
                <w:sz w:val="21"/>
                <w:szCs w:val="21"/>
                <w:highlight w:val="none"/>
              </w:rPr>
              <w:t>的商务事项代理人（包括投标及合同的签订）</w:t>
            </w:r>
            <w:r>
              <w:rPr>
                <w:rFonts w:hint="eastAsia" w:ascii="仿宋" w:hAnsi="仿宋" w:eastAsia="仿宋" w:cs="仿宋"/>
                <w:color w:val="000000"/>
                <w:sz w:val="21"/>
                <w:szCs w:val="21"/>
                <w:highlight w:val="none"/>
              </w:rPr>
              <w:t xml:space="preserve">及办理其他事务代理人。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autoSpaceDN w:val="0"/>
              <w:spacing w:line="360" w:lineRule="auto"/>
              <w:ind w:left="105" w:leftChars="50"/>
              <w:rPr>
                <w:rFonts w:hint="eastAsia" w:ascii="仿宋" w:hAnsi="仿宋" w:eastAsia="仿宋" w:cs="仿宋"/>
                <w:color w:val="000000"/>
                <w:spacing w:val="40"/>
                <w:sz w:val="21"/>
                <w:szCs w:val="21"/>
                <w:highlight w:val="none"/>
              </w:rPr>
            </w:pPr>
            <w:bookmarkStart w:id="1" w:name="_Toc304795386"/>
            <w:r>
              <w:rPr>
                <w:rFonts w:hint="eastAsia" w:ascii="仿宋" w:hAnsi="仿宋" w:eastAsia="仿宋" w:cs="仿宋"/>
                <w:color w:val="000000"/>
                <w:sz w:val="21"/>
                <w:szCs w:val="21"/>
                <w:highlight w:val="none"/>
              </w:rPr>
              <w:t>授权单位：                      （盖章）</w:t>
            </w:r>
            <w:bookmarkEnd w:id="1"/>
          </w:p>
        </w:tc>
        <w:tc>
          <w:tcPr>
            <w:tcW w:w="4062" w:type="dxa"/>
            <w:tcBorders>
              <w:top w:val="nil"/>
              <w:left w:val="nil"/>
              <w:bottom w:val="nil"/>
              <w:right w:val="single" w:color="auto" w:sz="4" w:space="0"/>
            </w:tcBorders>
            <w:noWrap w:val="0"/>
            <w:vAlign w:val="center"/>
          </w:tcPr>
          <w:p>
            <w:pPr>
              <w:autoSpaceDN w:val="0"/>
              <w:spacing w:line="360" w:lineRule="auto"/>
              <w:ind w:firstLine="420" w:firstLineChars="200"/>
              <w:rPr>
                <w:rFonts w:hint="eastAsia" w:ascii="仿宋" w:hAnsi="仿宋" w:eastAsia="仿宋" w:cs="仿宋"/>
                <w:color w:val="000000"/>
                <w:spacing w:val="40"/>
                <w:sz w:val="21"/>
                <w:szCs w:val="21"/>
                <w:highlight w:val="none"/>
              </w:rPr>
            </w:pPr>
            <w:bookmarkStart w:id="2" w:name="_Toc304795387"/>
            <w:r>
              <w:rPr>
                <w:rFonts w:hint="eastAsia" w:ascii="仿宋" w:hAnsi="仿宋" w:eastAsia="仿宋" w:cs="仿宋"/>
                <w:color w:val="000000"/>
                <w:sz w:val="21"/>
                <w:szCs w:val="21"/>
                <w:highlight w:val="none"/>
              </w:rPr>
              <w:t>法定代表人：      （签名或盖章）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autoSpaceDN w:val="0"/>
              <w:spacing w:line="360" w:lineRule="auto"/>
              <w:ind w:firstLine="420"/>
              <w:rPr>
                <w:rFonts w:hint="eastAsia" w:ascii="仿宋" w:hAnsi="仿宋" w:eastAsia="仿宋" w:cs="仿宋"/>
                <w:color w:val="000000"/>
                <w:sz w:val="21"/>
                <w:szCs w:val="21"/>
                <w:highlight w:val="none"/>
              </w:rPr>
            </w:pPr>
            <w:bookmarkStart w:id="3" w:name="_Toc304795388"/>
            <w:r>
              <w:rPr>
                <w:rFonts w:hint="eastAsia" w:ascii="仿宋" w:hAnsi="仿宋" w:eastAsia="仿宋" w:cs="仿宋"/>
                <w:color w:val="000000"/>
                <w:sz w:val="21"/>
                <w:szCs w:val="21"/>
                <w:highlight w:val="none"/>
              </w:rPr>
              <w:t>签发日期：</w:t>
            </w:r>
            <w:bookmarkEnd w:id="3"/>
            <w:r>
              <w:rPr>
                <w:rFonts w:hint="eastAsia" w:ascii="仿宋" w:hAnsi="仿宋" w:eastAsia="仿宋" w:cs="仿宋"/>
                <w:b/>
                <w:bCs/>
                <w:color w:val="000000"/>
                <w:sz w:val="21"/>
                <w:szCs w:val="21"/>
                <w:highlight w:val="none"/>
                <w:lang w:val="en-US" w:eastAsia="zh-CN"/>
              </w:rPr>
              <w:t>2024</w:t>
            </w:r>
            <w:r>
              <w:rPr>
                <w:rFonts w:hint="eastAsia" w:ascii="仿宋" w:hAnsi="仿宋" w:eastAsia="仿宋" w:cs="仿宋"/>
                <w:b/>
                <w:bCs/>
                <w:color w:val="000000"/>
                <w:sz w:val="21"/>
                <w:szCs w:val="21"/>
                <w:highlight w:val="none"/>
              </w:rPr>
              <w:t>年</w:t>
            </w:r>
            <w:r>
              <w:rPr>
                <w:rFonts w:hint="eastAsia" w:ascii="仿宋" w:hAnsi="仿宋" w:eastAsia="仿宋" w:cs="仿宋"/>
                <w:b/>
                <w:bCs/>
                <w:color w:val="000000"/>
                <w:sz w:val="21"/>
                <w:szCs w:val="21"/>
                <w:highlight w:val="none"/>
                <w:lang w:val="en-US" w:eastAsia="zh-CN"/>
              </w:rPr>
              <w:t xml:space="preserve">   </w:t>
            </w:r>
            <w:r>
              <w:rPr>
                <w:rFonts w:hint="eastAsia" w:ascii="仿宋" w:hAnsi="仿宋" w:eastAsia="仿宋" w:cs="仿宋"/>
                <w:b/>
                <w:bCs/>
                <w:color w:val="000000"/>
                <w:sz w:val="21"/>
                <w:szCs w:val="21"/>
                <w:highlight w:val="none"/>
              </w:rPr>
              <w:t>月</w:t>
            </w:r>
          </w:p>
        </w:tc>
        <w:tc>
          <w:tcPr>
            <w:tcW w:w="4062" w:type="dxa"/>
            <w:tcBorders>
              <w:top w:val="nil"/>
              <w:left w:val="nil"/>
              <w:bottom w:val="nil"/>
              <w:right w:val="single" w:color="auto" w:sz="4" w:space="0"/>
            </w:tcBorders>
            <w:noWrap w:val="0"/>
            <w:vAlign w:val="center"/>
          </w:tcPr>
          <w:p>
            <w:pPr>
              <w:autoSpaceDN w:val="0"/>
              <w:spacing w:line="360" w:lineRule="auto"/>
              <w:ind w:firstLine="420"/>
              <w:rPr>
                <w:rFonts w:hint="eastAsia" w:ascii="仿宋" w:hAnsi="仿宋" w:eastAsia="仿宋" w:cs="仿宋"/>
                <w:color w:val="000000"/>
                <w:sz w:val="21"/>
                <w:szCs w:val="21"/>
                <w:highlight w:val="none"/>
              </w:rPr>
            </w:pPr>
            <w:bookmarkStart w:id="4" w:name="_Toc304795389"/>
            <w:r>
              <w:rPr>
                <w:rFonts w:hint="eastAsia" w:ascii="仿宋" w:hAnsi="仿宋" w:eastAsia="仿宋" w:cs="仿宋"/>
                <w:color w:val="000000"/>
                <w:sz w:val="21"/>
                <w:szCs w:val="21"/>
                <w:highlight w:val="none"/>
              </w:rPr>
              <w:t>有效期至：此合同履行完毕</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8402" w:type="dxa"/>
            <w:gridSpan w:val="3"/>
            <w:tcBorders>
              <w:top w:val="nil"/>
              <w:left w:val="single" w:color="auto" w:sz="4" w:space="0"/>
              <w:bottom w:val="single" w:color="auto" w:sz="4" w:space="0"/>
              <w:right w:val="single" w:color="auto" w:sz="4" w:space="0"/>
            </w:tcBorders>
            <w:noWrap w:val="0"/>
            <w:vAlign w:val="top"/>
          </w:tcPr>
          <w:p>
            <w:pPr>
              <w:spacing w:line="360" w:lineRule="auto"/>
              <w:ind w:firstLine="420"/>
              <w:rPr>
                <w:rFonts w:hint="eastAsia" w:ascii="仿宋" w:hAnsi="仿宋" w:eastAsia="仿宋" w:cs="仿宋"/>
                <w:color w:val="000000"/>
                <w:sz w:val="21"/>
                <w:szCs w:val="21"/>
                <w:highlight w:val="none"/>
              </w:rPr>
            </w:pPr>
            <w:bookmarkStart w:id="5" w:name="_Toc304795390"/>
            <w:r>
              <w:rPr>
                <w:rFonts w:hint="eastAsia" w:ascii="仿宋" w:hAnsi="仿宋" w:eastAsia="仿宋" w:cs="仿宋"/>
                <w:color w:val="000000"/>
                <w:sz w:val="21"/>
                <w:szCs w:val="21"/>
                <w:highlight w:val="none"/>
              </w:rPr>
              <w:t>说明：</w:t>
            </w:r>
            <w:bookmarkEnd w:id="5"/>
          </w:p>
          <w:p>
            <w:pPr>
              <w:spacing w:line="360" w:lineRule="auto"/>
              <w:ind w:firstLine="420"/>
              <w:rPr>
                <w:rFonts w:hint="eastAsia" w:ascii="仿宋" w:hAnsi="仿宋" w:eastAsia="仿宋" w:cs="仿宋"/>
                <w:color w:val="000000"/>
                <w:sz w:val="21"/>
                <w:szCs w:val="21"/>
                <w:highlight w:val="none"/>
              </w:rPr>
            </w:pPr>
            <w:bookmarkStart w:id="6" w:name="_Toc304795391"/>
            <w:r>
              <w:rPr>
                <w:rFonts w:hint="eastAsia" w:ascii="仿宋" w:hAnsi="仿宋" w:eastAsia="仿宋" w:cs="仿宋"/>
                <w:color w:val="000000"/>
                <w:sz w:val="21"/>
                <w:szCs w:val="21"/>
                <w:highlight w:val="none"/>
              </w:rPr>
              <w:t>1.委托书内容要填写清楚，涂改无效。</w:t>
            </w:r>
            <w:bookmarkEnd w:id="6"/>
          </w:p>
          <w:p>
            <w:pPr>
              <w:spacing w:line="360" w:lineRule="auto"/>
              <w:ind w:firstLine="420"/>
              <w:rPr>
                <w:rFonts w:hint="eastAsia" w:ascii="仿宋" w:hAnsi="仿宋" w:eastAsia="仿宋" w:cs="仿宋"/>
                <w:color w:val="000000"/>
                <w:spacing w:val="40"/>
                <w:sz w:val="21"/>
                <w:szCs w:val="21"/>
                <w:highlight w:val="none"/>
              </w:rPr>
            </w:pPr>
            <w:bookmarkStart w:id="7" w:name="_Toc304795392"/>
            <w:r>
              <w:rPr>
                <w:rFonts w:hint="eastAsia" w:ascii="仿宋" w:hAnsi="仿宋" w:eastAsia="仿宋" w:cs="仿宋"/>
                <w:color w:val="000000"/>
                <w:sz w:val="21"/>
                <w:szCs w:val="21"/>
                <w:highlight w:val="none"/>
              </w:rPr>
              <w:t>2.委托书不得转让、买卖。</w:t>
            </w:r>
            <w:bookmarkEnd w:id="7"/>
          </w:p>
        </w:tc>
      </w:tr>
    </w:tbl>
    <w:p>
      <w:pPr>
        <w:spacing w:before="0" w:beforeLines="0" w:after="0" w:afterLines="0" w:line="240" w:lineRule="auto"/>
        <w:ind w:left="0" w:leftChars="0" w:right="0" w:rightChars="0" w:firstLine="0" w:firstLineChars="0"/>
        <w:jc w:val="center"/>
        <w:rPr>
          <w:rFonts w:ascii="宋体" w:hAnsi="宋体" w:eastAsia="宋体"/>
          <w:sz w:val="52"/>
          <w:szCs w:val="52"/>
        </w:rPr>
      </w:pPr>
    </w:p>
    <w:p>
      <w:pPr>
        <w:spacing w:before="0" w:beforeLines="0" w:after="0" w:afterLines="0" w:line="240" w:lineRule="auto"/>
        <w:ind w:left="0" w:leftChars="0" w:right="0" w:rightChars="0" w:firstLine="0" w:firstLineChars="0"/>
        <w:jc w:val="center"/>
        <w:rPr>
          <w:sz w:val="52"/>
          <w:szCs w:val="52"/>
        </w:rPr>
      </w:pPr>
      <w:r>
        <w:rPr>
          <w:rFonts w:ascii="宋体" w:hAnsi="宋体" w:eastAsia="宋体"/>
          <w:sz w:val="52"/>
          <w:szCs w:val="52"/>
        </w:rPr>
        <w:t>目录</w:t>
      </w:r>
    </w:p>
    <w:p>
      <w:pPr>
        <w:pStyle w:val="8"/>
        <w:tabs>
          <w:tab w:val="right" w:leader="dot" w:pos="8306"/>
        </w:tabs>
        <w:spacing w:line="360" w:lineRule="auto"/>
        <w:rPr>
          <w:rFonts w:hint="eastAsia" w:ascii="仿宋" w:hAnsi="仿宋" w:eastAsia="仿宋" w:cs="仿宋"/>
          <w:sz w:val="24"/>
          <w:szCs w:val="24"/>
        </w:rPr>
      </w:pPr>
      <w:r>
        <w:fldChar w:fldCharType="begin"/>
      </w:r>
      <w:r>
        <w:instrText xml:space="preserve">TOC \o "1-1"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_Toc20619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第一条 </w:t>
      </w:r>
      <w:r>
        <w:rPr>
          <w:rFonts w:hint="eastAsia" w:ascii="仿宋" w:hAnsi="仿宋" w:eastAsia="仿宋" w:cs="仿宋"/>
          <w:bCs w:val="0"/>
          <w:sz w:val="24"/>
          <w:szCs w:val="24"/>
        </w:rPr>
        <w:t>合同标的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_Toc20619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_Toc17112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第二条 </w:t>
      </w:r>
      <w:r>
        <w:rPr>
          <w:rFonts w:hint="eastAsia" w:ascii="仿宋" w:hAnsi="仿宋" w:eastAsia="仿宋" w:cs="仿宋"/>
          <w:bCs w:val="0"/>
          <w:sz w:val="24"/>
          <w:szCs w:val="24"/>
        </w:rPr>
        <w:t>合同总价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_Toc17112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_Toc7685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第三条 </w:t>
      </w:r>
      <w:r>
        <w:rPr>
          <w:rFonts w:hint="eastAsia" w:ascii="仿宋" w:hAnsi="仿宋" w:eastAsia="仿宋" w:cs="仿宋"/>
          <w:bCs w:val="0"/>
          <w:sz w:val="24"/>
          <w:szCs w:val="24"/>
        </w:rPr>
        <w:t>付款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_Toc7685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_Toc3251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第四条 </w:t>
      </w:r>
      <w:r>
        <w:rPr>
          <w:rFonts w:hint="eastAsia" w:ascii="仿宋" w:hAnsi="仿宋" w:eastAsia="仿宋" w:cs="仿宋"/>
          <w:bCs w:val="0"/>
          <w:sz w:val="24"/>
          <w:szCs w:val="24"/>
        </w:rPr>
        <w:t>货物交付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第五条 </w:t>
      </w:r>
      <w:r>
        <w:rPr>
          <w:rFonts w:hint="eastAsia" w:ascii="仿宋" w:hAnsi="仿宋" w:eastAsia="仿宋" w:cs="仿宋"/>
          <w:bCs w:val="0"/>
          <w:sz w:val="24"/>
          <w:szCs w:val="24"/>
        </w:rPr>
        <w:t>货物要求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_Toc24449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第六条 </w:t>
      </w:r>
      <w:r>
        <w:rPr>
          <w:rFonts w:hint="eastAsia" w:ascii="仿宋" w:hAnsi="仿宋" w:eastAsia="仿宋" w:cs="仿宋"/>
          <w:bCs w:val="0"/>
          <w:sz w:val="24"/>
          <w:szCs w:val="24"/>
        </w:rPr>
        <w:t>运输和保险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_Toc24449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_Toc31450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第七条 </w:t>
      </w:r>
      <w:r>
        <w:rPr>
          <w:rFonts w:hint="eastAsia" w:ascii="仿宋" w:hAnsi="仿宋" w:eastAsia="仿宋" w:cs="仿宋"/>
          <w:bCs w:val="0"/>
          <w:sz w:val="24"/>
          <w:szCs w:val="24"/>
        </w:rPr>
        <w:t>验收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_Toc31450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_Toc4120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第八条 </w:t>
      </w:r>
      <w:r>
        <w:rPr>
          <w:rFonts w:hint="eastAsia" w:ascii="仿宋" w:hAnsi="仿宋" w:eastAsia="仿宋" w:cs="仿宋"/>
          <w:bCs w:val="0"/>
          <w:sz w:val="24"/>
          <w:szCs w:val="24"/>
        </w:rPr>
        <w:t>风险和所有权的转移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_Toc4120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_Toc13823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第九条 </w:t>
      </w:r>
      <w:r>
        <w:rPr>
          <w:rFonts w:hint="eastAsia" w:ascii="仿宋" w:hAnsi="仿宋" w:eastAsia="仿宋" w:cs="仿宋"/>
          <w:bCs w:val="0"/>
          <w:sz w:val="24"/>
          <w:szCs w:val="24"/>
        </w:rPr>
        <w:t>技术服务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_Toc13823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_Toc6354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第十条 </w:t>
      </w:r>
      <w:r>
        <w:rPr>
          <w:rFonts w:hint="eastAsia" w:ascii="仿宋" w:hAnsi="仿宋" w:eastAsia="仿宋" w:cs="仿宋"/>
          <w:bCs w:val="0"/>
          <w:sz w:val="24"/>
          <w:szCs w:val="24"/>
        </w:rPr>
        <w:t>权利保证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_Toc6354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_Toc8818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第十一条 </w:t>
      </w:r>
      <w:r>
        <w:rPr>
          <w:rFonts w:hint="eastAsia" w:ascii="仿宋" w:hAnsi="仿宋" w:eastAsia="仿宋" w:cs="仿宋"/>
          <w:bCs w:val="0"/>
          <w:sz w:val="24"/>
          <w:szCs w:val="24"/>
        </w:rPr>
        <w:t>质量保证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_Toc8818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_Toc8250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第十二条 </w:t>
      </w:r>
      <w:r>
        <w:rPr>
          <w:rFonts w:hint="eastAsia" w:ascii="仿宋" w:hAnsi="仿宋" w:eastAsia="仿宋" w:cs="仿宋"/>
          <w:bCs w:val="0"/>
          <w:sz w:val="24"/>
          <w:szCs w:val="24"/>
        </w:rPr>
        <w:t>违约责任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_Toc8250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_Toc1046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第十三条 </w:t>
      </w:r>
      <w:r>
        <w:rPr>
          <w:rFonts w:hint="eastAsia" w:ascii="仿宋" w:hAnsi="仿宋" w:eastAsia="仿宋" w:cs="仿宋"/>
          <w:bCs w:val="0"/>
          <w:sz w:val="24"/>
          <w:szCs w:val="24"/>
        </w:rPr>
        <w:t>合同的解除和终止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_Toc31063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第十四条 </w:t>
      </w:r>
      <w:r>
        <w:rPr>
          <w:rFonts w:hint="eastAsia" w:ascii="仿宋" w:hAnsi="仿宋" w:eastAsia="仿宋" w:cs="仿宋"/>
          <w:bCs w:val="0"/>
          <w:sz w:val="24"/>
          <w:szCs w:val="24"/>
        </w:rPr>
        <w:t>健康、安全和环保</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_Toc31063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_Toc19908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第十五条 </w:t>
      </w:r>
      <w:r>
        <w:rPr>
          <w:rFonts w:hint="eastAsia" w:ascii="仿宋" w:hAnsi="仿宋" w:eastAsia="仿宋" w:cs="仿宋"/>
          <w:bCs w:val="0"/>
          <w:sz w:val="24"/>
          <w:szCs w:val="24"/>
        </w:rPr>
        <w:t>转让和分包</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_Toc19908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_Toc12258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第十六条 </w:t>
      </w:r>
      <w:r>
        <w:rPr>
          <w:rFonts w:hint="eastAsia" w:ascii="仿宋" w:hAnsi="仿宋" w:eastAsia="仿宋" w:cs="仿宋"/>
          <w:bCs w:val="0"/>
          <w:sz w:val="24"/>
          <w:szCs w:val="24"/>
        </w:rPr>
        <w:t>不可抗力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_Toc12258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_Toc14216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第十七条 </w:t>
      </w:r>
      <w:r>
        <w:rPr>
          <w:rFonts w:hint="eastAsia" w:ascii="仿宋" w:hAnsi="仿宋" w:eastAsia="仿宋" w:cs="仿宋"/>
          <w:bCs w:val="0"/>
          <w:sz w:val="24"/>
          <w:szCs w:val="24"/>
        </w:rPr>
        <w:t>保密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_Toc14216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_Toc29189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第十八条 </w:t>
      </w:r>
      <w:r>
        <w:rPr>
          <w:rFonts w:hint="eastAsia" w:ascii="仿宋" w:hAnsi="仿宋" w:eastAsia="仿宋" w:cs="仿宋"/>
          <w:bCs w:val="0"/>
          <w:sz w:val="24"/>
          <w:szCs w:val="24"/>
        </w:rPr>
        <w:t>审计、禁止商业贿赂和反腐败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_Toc29189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_Toc31728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第十九条 </w:t>
      </w:r>
      <w:r>
        <w:rPr>
          <w:rFonts w:hint="eastAsia" w:ascii="仿宋" w:hAnsi="仿宋" w:eastAsia="仿宋" w:cs="仿宋"/>
          <w:bCs w:val="0"/>
          <w:sz w:val="24"/>
          <w:szCs w:val="24"/>
        </w:rPr>
        <w:t>通知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_Toc31728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_Toc26875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第二十条 </w:t>
      </w:r>
      <w:r>
        <w:rPr>
          <w:rFonts w:hint="eastAsia" w:ascii="仿宋" w:hAnsi="仿宋" w:eastAsia="仿宋" w:cs="仿宋"/>
          <w:bCs w:val="0"/>
          <w:sz w:val="24"/>
          <w:szCs w:val="24"/>
        </w:rPr>
        <w:t>法律适用和争议解决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_Toc26875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_Toc7331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第二十一条 </w:t>
      </w:r>
      <w:r>
        <w:rPr>
          <w:rFonts w:hint="eastAsia" w:ascii="仿宋" w:hAnsi="仿宋" w:eastAsia="仿宋" w:cs="仿宋"/>
          <w:bCs w:val="0"/>
          <w:sz w:val="24"/>
          <w:szCs w:val="24"/>
        </w:rPr>
        <w:t>其它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_Toc7331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_Toc20695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附件一：价格表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_Toc20695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_Toc20534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附件二：技术服务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_Toc20534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_Toc5221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附件三：验收报告书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_Toc5221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_Toc29280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附件四：廉洁备忘录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_Toc29280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_Toc1709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w:t>
      </w:r>
      <w:r>
        <w:rPr>
          <w:rFonts w:hint="eastAsia" w:ascii="仿宋" w:hAnsi="仿宋" w:eastAsia="仿宋" w:cs="仿宋"/>
          <w:bCs/>
          <w:iCs/>
          <w:kern w:val="0"/>
          <w:sz w:val="24"/>
          <w:szCs w:val="24"/>
          <w:lang w:val="en-US" w:eastAsia="zh-CN"/>
        </w:rPr>
        <w:t>五</w:t>
      </w:r>
      <w:r>
        <w:rPr>
          <w:rFonts w:hint="eastAsia" w:ascii="仿宋" w:hAnsi="仿宋" w:eastAsia="仿宋" w:cs="仿宋"/>
          <w:bCs/>
          <w:iCs/>
          <w:kern w:val="0"/>
          <w:sz w:val="24"/>
          <w:szCs w:val="24"/>
        </w:rPr>
        <w:t>：</w:t>
      </w:r>
      <w:r>
        <w:rPr>
          <w:rFonts w:hint="eastAsia" w:ascii="仿宋" w:hAnsi="仿宋" w:eastAsia="仿宋" w:cs="仿宋"/>
          <w:bCs/>
          <w:iCs/>
          <w:sz w:val="24"/>
          <w:szCs w:val="24"/>
          <w:highlight w:val="none"/>
        </w:rPr>
        <w:t>健康安全环保条款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_Toc1709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r>
        <w:fldChar w:fldCharType="end"/>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本货物买卖合同（以下称“合同”或“本合同”）由以下双方签署。</w:t>
      </w:r>
    </w:p>
    <w:p>
      <w:pPr>
        <w:tabs>
          <w:tab w:val="left" w:pos="3060"/>
        </w:tabs>
        <w:spacing w:before="72" w:beforeLines="30" w:after="72" w:afterLines="30" w:line="360" w:lineRule="auto"/>
        <w:ind w:firstLine="426" w:firstLineChars="177"/>
        <w:rPr>
          <w:rFonts w:hint="eastAsia" w:ascii="仿宋" w:hAnsi="仿宋" w:eastAsia="仿宋" w:cs="仿宋"/>
          <w:sz w:val="24"/>
          <w:szCs w:val="24"/>
          <w:highlight w:val="none"/>
        </w:rPr>
      </w:pPr>
      <w:r>
        <w:rPr>
          <w:rFonts w:hint="eastAsia" w:ascii="仿宋" w:hAnsi="仿宋" w:eastAsia="仿宋" w:cs="仿宋"/>
          <w:b/>
          <w:sz w:val="24"/>
          <w:szCs w:val="24"/>
          <w:highlight w:val="none"/>
        </w:rPr>
        <w:t>买  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pPr>
        <w:tabs>
          <w:tab w:val="left" w:pos="3060"/>
        </w:tabs>
        <w:spacing w:before="72" w:beforeLines="30" w:after="72" w:afterLines="30" w:line="360" w:lineRule="auto"/>
        <w:ind w:firstLine="426" w:firstLineChars="177"/>
        <w:rPr>
          <w:rFonts w:hint="eastAsia" w:ascii="仿宋" w:hAnsi="仿宋" w:eastAsia="仿宋" w:cs="仿宋"/>
          <w:sz w:val="24"/>
          <w:szCs w:val="24"/>
          <w:highlight w:val="none"/>
        </w:rPr>
      </w:pPr>
      <w:r>
        <w:rPr>
          <w:rFonts w:hint="eastAsia" w:ascii="仿宋" w:hAnsi="仿宋" w:eastAsia="仿宋" w:cs="仿宋"/>
          <w:b/>
          <w:sz w:val="24"/>
          <w:szCs w:val="24"/>
          <w:highlight w:val="none"/>
        </w:rPr>
        <w:t>卖  方：</w:t>
      </w:r>
      <w:bookmarkStart w:id="8" w:name="OLE_LINK1"/>
      <w:bookmarkStart w:id="9" w:name="OLE_LINK2"/>
      <w:r>
        <w:rPr>
          <w:rFonts w:hint="eastAsia" w:ascii="仿宋" w:hAnsi="仿宋" w:eastAsia="仿宋" w:cs="仿宋"/>
          <w:sz w:val="24"/>
          <w:szCs w:val="24"/>
          <w:highlight w:val="none"/>
          <w:u w:val="single"/>
        </w:rPr>
        <w:t xml:space="preserve">                           </w:t>
      </w:r>
      <w:bookmarkEnd w:id="8"/>
      <w:bookmarkEnd w:id="9"/>
    </w:p>
    <w:p>
      <w:pPr>
        <w:pStyle w:val="8"/>
        <w:keepNext w:val="0"/>
        <w:keepLines w:val="0"/>
        <w:pageBreakBefore w:val="0"/>
        <w:widowControl w:val="0"/>
        <w:tabs>
          <w:tab w:val="right" w:leader="dot" w:pos="8608"/>
        </w:tabs>
        <w:kinsoku/>
        <w:wordWrap/>
        <w:overflowPunct/>
        <w:topLinePunct w:val="0"/>
        <w:autoSpaceDE/>
        <w:autoSpaceDN/>
        <w:bidi w:val="0"/>
        <w:adjustRightInd/>
        <w:snapToGrid/>
        <w:spacing w:before="72" w:beforeLines="30" w:after="72" w:afterLines="3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根据《中华人民共和国民法典》及相关法律法规的规定，就</w:t>
      </w:r>
      <w:r>
        <w:rPr>
          <w:rFonts w:hint="eastAsia" w:ascii="仿宋" w:hAnsi="仿宋" w:eastAsia="仿宋" w:cs="仿宋"/>
          <w:b/>
          <w:bCs/>
          <w:sz w:val="24"/>
          <w:szCs w:val="24"/>
          <w:highlight w:val="yellow"/>
          <w:u w:val="single"/>
          <w:lang w:eastAsia="zh-CN"/>
        </w:rPr>
        <w:t>高温高压原油消泡剂评价仪</w:t>
      </w:r>
      <w:r>
        <w:rPr>
          <w:rFonts w:hint="eastAsia" w:ascii="仿宋" w:hAnsi="仿宋" w:eastAsia="仿宋" w:cs="仿宋"/>
          <w:sz w:val="24"/>
          <w:szCs w:val="24"/>
        </w:rPr>
        <w:t>的采购和销售及相关事宜，经协商一致，双方达成如下合同条款，以兹共同遵守。</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0" w:name="_Toc13296"/>
      <w:bookmarkStart w:id="11" w:name="_Toc28180"/>
      <w:bookmarkStart w:id="12" w:name="_Toc20619"/>
      <w:bookmarkStart w:id="13" w:name="_Toc306354308"/>
      <w:bookmarkStart w:id="14" w:name="_Toc2807"/>
      <w:r>
        <w:rPr>
          <w:rFonts w:hint="eastAsia" w:ascii="仿宋" w:hAnsi="仿宋" w:eastAsia="仿宋" w:cs="仿宋"/>
          <w:b/>
          <w:bCs w:val="0"/>
          <w:sz w:val="24"/>
          <w:szCs w:val="24"/>
        </w:rPr>
        <w:t>合同标的</w:t>
      </w:r>
      <w:bookmarkEnd w:id="10"/>
      <w:bookmarkEnd w:id="11"/>
      <w:bookmarkEnd w:id="12"/>
      <w:bookmarkEnd w:id="13"/>
      <w:bookmarkEnd w:id="14"/>
    </w:p>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bookmarkStart w:id="15" w:name="OLE_LINK23"/>
      <w:bookmarkStart w:id="16" w:name="OLE_LINK25"/>
      <w:bookmarkStart w:id="17" w:name="OLE_LINK17"/>
      <w:bookmarkStart w:id="18" w:name="OLE_LINK20"/>
      <w:bookmarkStart w:id="19" w:name="OLE_LINK22"/>
      <w:bookmarkStart w:id="20" w:name="OLE_LINK21"/>
      <w:bookmarkStart w:id="21" w:name="OLE_LINK13"/>
      <w:bookmarkStart w:id="22" w:name="OLE_LINK18"/>
      <w:bookmarkStart w:id="23" w:name="OLE_LINK15"/>
      <w:bookmarkStart w:id="24" w:name="OLE_LINK14"/>
      <w:bookmarkStart w:id="25" w:name="OLE_LINK24"/>
      <w:bookmarkStart w:id="26" w:name="OLE_LINK9"/>
      <w:bookmarkStart w:id="27" w:name="OLE_LINK19"/>
      <w:bookmarkStart w:id="28" w:name="OLE_LINK10"/>
      <w:bookmarkStart w:id="29" w:name="OLE_LINK16"/>
      <w:bookmarkStart w:id="30" w:name="OLE_LINK26"/>
      <w:r>
        <w:rPr>
          <w:rFonts w:hint="eastAsia" w:ascii="仿宋" w:hAnsi="仿宋" w:eastAsia="仿宋" w:cs="仿宋"/>
          <w:sz w:val="24"/>
          <w:szCs w:val="24"/>
        </w:rPr>
        <w:t>卖方向买方供应的货物的名称、数量、型号、规格</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仿宋" w:hAnsi="仿宋" w:eastAsia="仿宋" w:cs="仿宋"/>
          <w:sz w:val="24"/>
          <w:szCs w:val="24"/>
        </w:rPr>
        <w:t>、单价、原产地等如下：</w:t>
      </w:r>
    </w:p>
    <w:tbl>
      <w:tblPr>
        <w:tblStyle w:val="12"/>
        <w:tblW w:w="8247" w:type="dxa"/>
        <w:tblInd w:w="96" w:type="dxa"/>
        <w:tblLayout w:type="fixed"/>
        <w:tblCellMar>
          <w:top w:w="0" w:type="dxa"/>
          <w:left w:w="108" w:type="dxa"/>
          <w:bottom w:w="0" w:type="dxa"/>
          <w:right w:w="108" w:type="dxa"/>
        </w:tblCellMar>
      </w:tblPr>
      <w:tblGrid>
        <w:gridCol w:w="570"/>
        <w:gridCol w:w="1915"/>
        <w:gridCol w:w="2123"/>
        <w:gridCol w:w="875"/>
        <w:gridCol w:w="976"/>
        <w:gridCol w:w="1788"/>
      </w:tblGrid>
      <w:tr>
        <w:tblPrEx>
          <w:tblCellMar>
            <w:top w:w="0" w:type="dxa"/>
            <w:left w:w="108" w:type="dxa"/>
            <w:bottom w:w="0" w:type="dxa"/>
            <w:right w:w="108" w:type="dxa"/>
          </w:tblCellMar>
        </w:tblPrEx>
        <w:trPr>
          <w:trHeight w:val="57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91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物资名称</w:t>
            </w:r>
          </w:p>
        </w:tc>
        <w:tc>
          <w:tcPr>
            <w:tcW w:w="2123"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品牌规格型号</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单位</w:t>
            </w:r>
          </w:p>
        </w:tc>
        <w:tc>
          <w:tcPr>
            <w:tcW w:w="97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数量</w:t>
            </w:r>
          </w:p>
        </w:tc>
        <w:tc>
          <w:tcPr>
            <w:tcW w:w="178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备注</w:t>
            </w:r>
          </w:p>
        </w:tc>
      </w:tr>
      <w:tr>
        <w:tblPrEx>
          <w:tblCellMar>
            <w:top w:w="0" w:type="dxa"/>
            <w:left w:w="108" w:type="dxa"/>
            <w:bottom w:w="0" w:type="dxa"/>
            <w:right w:w="108" w:type="dxa"/>
          </w:tblCellMar>
        </w:tblPrEx>
        <w:trPr>
          <w:trHeight w:val="56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高温高压原油消泡剂评价仪</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套</w:t>
            </w: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r>
    </w:tbl>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买方应根据本合同的规定向卖方购买货物，并支付合同总价，卖方应根据本合同的规定向买方出售、交付货物并提供与货物使用和安装相关的技术资料和技术服务。</w:t>
      </w:r>
    </w:p>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货物将用于</w:t>
      </w:r>
      <w:r>
        <w:rPr>
          <w:rFonts w:hint="eastAsia" w:ascii="仿宋" w:hAnsi="仿宋" w:eastAsia="仿宋" w:cs="仿宋"/>
          <w:b/>
          <w:bCs/>
          <w:sz w:val="24"/>
          <w:szCs w:val="24"/>
          <w:highlight w:val="yellow"/>
          <w:u w:val="single"/>
          <w:lang w:eastAsia="zh-CN"/>
        </w:rPr>
        <w:t>高温高压原油消泡剂评价仪采购</w:t>
      </w:r>
      <w:r>
        <w:rPr>
          <w:rFonts w:hint="eastAsia" w:ascii="仿宋" w:hAnsi="仿宋" w:eastAsia="仿宋" w:cs="仿宋"/>
          <w:sz w:val="24"/>
          <w:szCs w:val="24"/>
        </w:rPr>
        <w:t>。</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31" w:name="_Toc306354309"/>
      <w:bookmarkStart w:id="32" w:name="_Toc5030"/>
      <w:bookmarkStart w:id="33" w:name="_Toc3114"/>
      <w:bookmarkStart w:id="34" w:name="_Toc10042"/>
      <w:bookmarkStart w:id="35" w:name="_Toc17112"/>
      <w:r>
        <w:rPr>
          <w:rFonts w:hint="eastAsia" w:ascii="仿宋" w:hAnsi="仿宋" w:eastAsia="仿宋" w:cs="仿宋"/>
          <w:b/>
          <w:bCs w:val="0"/>
          <w:sz w:val="24"/>
          <w:szCs w:val="24"/>
        </w:rPr>
        <w:t>合同总价</w:t>
      </w:r>
      <w:bookmarkEnd w:id="31"/>
      <w:bookmarkEnd w:id="32"/>
      <w:bookmarkEnd w:id="33"/>
      <w:bookmarkEnd w:id="34"/>
      <w:bookmarkEnd w:id="35"/>
    </w:p>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双方经协商一致，最终确定合同总价为</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rPr>
        <w:t>。</w:t>
      </w:r>
      <w:bookmarkStart w:id="36" w:name="_Hlk41394068"/>
      <w:r>
        <w:rPr>
          <w:rFonts w:hint="eastAsia" w:ascii="仿宋" w:hAnsi="仿宋" w:eastAsia="仿宋" w:cs="仿宋"/>
          <w:sz w:val="24"/>
          <w:szCs w:val="24"/>
        </w:rPr>
        <w:t>合同总价为含增值税总金额。其中，不含增值税合同价款为</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rPr>
        <w:t>，增值税税率</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yellow"/>
          <w:u w:val="single"/>
          <w:lang w:val="en-US" w:eastAsia="zh-CN"/>
        </w:rPr>
        <w:t xml:space="preserve">13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rPr>
        <w:t>。</w:t>
      </w:r>
      <w:bookmarkEnd w:id="36"/>
      <w:r>
        <w:rPr>
          <w:rFonts w:hint="eastAsia" w:ascii="仿宋" w:hAnsi="仿宋" w:eastAsia="仿宋" w:cs="仿宋"/>
          <w:sz w:val="24"/>
          <w:szCs w:val="24"/>
        </w:rPr>
        <w:t>合同总价的各分项价格和组成为：</w:t>
      </w:r>
      <w:bookmarkStart w:id="37" w:name="OLE_LINK37"/>
      <w:bookmarkStart w:id="38" w:name="OLE_LINK40"/>
      <w:bookmarkStart w:id="39" w:name="OLE_LINK39"/>
      <w:bookmarkStart w:id="40" w:name="OLE_LINK66"/>
      <w:bookmarkStart w:id="41" w:name="OLE_LINK36"/>
      <w:bookmarkStart w:id="42" w:name="OLE_LINK67"/>
      <w:r>
        <w:rPr>
          <w:rFonts w:hint="eastAsia" w:ascii="仿宋" w:hAnsi="仿宋" w:eastAsia="仿宋" w:cs="仿宋"/>
          <w:b/>
          <w:bCs/>
          <w:sz w:val="24"/>
          <w:szCs w:val="24"/>
          <w:highlight w:val="none"/>
          <w:u w:val="single"/>
        </w:rPr>
        <w:t>详见本合同附件一</w:t>
      </w:r>
      <w:r>
        <w:rPr>
          <w:rFonts w:hint="eastAsia" w:ascii="仿宋" w:hAnsi="仿宋" w:eastAsia="仿宋" w:cs="仿宋"/>
          <w:b w:val="0"/>
          <w:bCs w:val="0"/>
          <w:sz w:val="24"/>
          <w:szCs w:val="24"/>
          <w:highlight w:val="none"/>
          <w:lang w:eastAsia="zh-CN"/>
        </w:rPr>
        <w:t>。</w:t>
      </w:r>
    </w:p>
    <w:bookmarkEnd w:id="37"/>
    <w:bookmarkEnd w:id="38"/>
    <w:bookmarkEnd w:id="39"/>
    <w:bookmarkEnd w:id="40"/>
    <w:bookmarkEnd w:id="41"/>
    <w:bookmarkEnd w:id="42"/>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w:t>
      </w:r>
    </w:p>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双方应根据法律法规各自承担其应承担的与本合同有关的所有税费。买方有权根据法律法规和本合同的规定从应支付给卖方的合同总价中扣除应由买方代扣、代缴的卖方应付税费，但应向卖方提供完税证明。</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43" w:name="_Toc14549"/>
      <w:bookmarkStart w:id="44" w:name="_Toc9915"/>
      <w:bookmarkStart w:id="45" w:name="_Toc7685"/>
      <w:bookmarkStart w:id="46" w:name="_Toc10958"/>
      <w:r>
        <w:rPr>
          <w:rFonts w:hint="eastAsia" w:ascii="仿宋" w:hAnsi="仿宋" w:eastAsia="仿宋" w:cs="仿宋"/>
          <w:b/>
          <w:bCs w:val="0"/>
          <w:sz w:val="24"/>
          <w:szCs w:val="24"/>
        </w:rPr>
        <w:t>付款</w:t>
      </w:r>
      <w:bookmarkEnd w:id="43"/>
      <w:bookmarkEnd w:id="44"/>
      <w:bookmarkEnd w:id="45"/>
      <w:bookmarkEnd w:id="46"/>
    </w:p>
    <w:p>
      <w:pPr>
        <w:numPr>
          <w:ilvl w:val="0"/>
          <w:numId w:val="4"/>
        </w:numPr>
        <w:tabs>
          <w:tab w:val="left" w:pos="640"/>
        </w:tabs>
        <w:spacing w:before="72" w:beforeLines="30" w:after="72" w:afterLines="30" w:line="360" w:lineRule="auto"/>
        <w:rPr>
          <w:rFonts w:hint="eastAsia" w:ascii="仿宋" w:hAnsi="仿宋" w:eastAsia="仿宋" w:cs="仿宋"/>
          <w:sz w:val="24"/>
          <w:szCs w:val="24"/>
        </w:rPr>
      </w:pPr>
      <w:r>
        <w:rPr>
          <w:rFonts w:hint="eastAsia" w:ascii="仿宋" w:hAnsi="仿宋" w:eastAsia="仿宋" w:cs="仿宋"/>
          <w:color w:val="000000"/>
          <w:sz w:val="24"/>
          <w:szCs w:val="24"/>
        </w:rPr>
        <w:t>支付货币：</w:t>
      </w:r>
      <w:r>
        <w:rPr>
          <w:rFonts w:hint="eastAsia" w:ascii="仿宋" w:hAnsi="仿宋" w:eastAsia="仿宋" w:cs="仿宋"/>
          <w:b/>
          <w:bCs/>
          <w:color w:val="000000"/>
          <w:sz w:val="24"/>
          <w:szCs w:val="24"/>
          <w:u w:val="single"/>
          <w:lang w:val="en-US" w:eastAsia="zh-CN"/>
        </w:rPr>
        <w:t>人民币</w:t>
      </w:r>
      <w:r>
        <w:rPr>
          <w:rFonts w:hint="eastAsia" w:ascii="仿宋" w:hAnsi="仿宋" w:eastAsia="仿宋" w:cs="仿宋"/>
          <w:color w:val="000000"/>
          <w:sz w:val="24"/>
          <w:szCs w:val="24"/>
          <w:lang w:val="en-US" w:eastAsia="zh-CN"/>
        </w:rPr>
        <w:t>。</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sz w:val="24"/>
          <w:szCs w:val="24"/>
        </w:rPr>
        <w:t>本合同项下的</w:t>
      </w:r>
      <w:r>
        <w:rPr>
          <w:rFonts w:hint="eastAsia" w:ascii="仿宋" w:hAnsi="仿宋" w:eastAsia="仿宋" w:cs="仿宋"/>
          <w:color w:val="000000"/>
          <w:sz w:val="24"/>
          <w:szCs w:val="24"/>
        </w:rPr>
        <w:t>付款方式为：</w:t>
      </w:r>
      <w:r>
        <w:rPr>
          <w:rFonts w:hint="eastAsia" w:ascii="仿宋" w:hAnsi="仿宋" w:eastAsia="仿宋" w:cs="仿宋"/>
          <w:b/>
          <w:bCs/>
          <w:color w:val="000000"/>
          <w:sz w:val="24"/>
          <w:szCs w:val="24"/>
          <w:highlight w:val="none"/>
          <w:u w:val="single"/>
        </w:rPr>
        <w:t>银行电汇</w:t>
      </w:r>
      <w:r>
        <w:rPr>
          <w:rFonts w:hint="eastAsia" w:ascii="仿宋" w:hAnsi="仿宋" w:eastAsia="仿宋" w:cs="仿宋"/>
          <w:color w:val="000000"/>
          <w:sz w:val="24"/>
          <w:szCs w:val="24"/>
        </w:rPr>
        <w:t>。</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付款进度</w:t>
      </w:r>
    </w:p>
    <w:p>
      <w:pPr>
        <w:pStyle w:val="18"/>
        <w:numPr>
          <w:ilvl w:val="0"/>
          <w:numId w:val="5"/>
        </w:numPr>
        <w:tabs>
          <w:tab w:val="left" w:pos="567"/>
        </w:tabs>
        <w:spacing w:before="72" w:beforeLines="30" w:after="72" w:afterLines="30"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卖方在合同规定的期限内将货物运至交货地点，买方在收到货物并签发验收证明后</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内，如付款到期日为非银行工作日，则付款到期日顺延至下一个银行工作日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买方支付合同总价的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yellow"/>
          <w:u w:val="single"/>
          <w:lang w:val="en-US" w:eastAsia="zh-CN"/>
        </w:rPr>
        <w:t xml:space="preserve">97 </w:t>
      </w:r>
      <w:r>
        <w:rPr>
          <w:rFonts w:hint="eastAsia" w:ascii="仿宋" w:hAnsi="仿宋" w:eastAsia="仿宋" w:cs="仿宋"/>
          <w:b/>
          <w:bCs/>
          <w:sz w:val="24"/>
          <w:szCs w:val="24"/>
          <w:highlight w:val="none"/>
          <w:u w:val="none"/>
          <w:lang w:val="en-US" w:eastAsia="zh-CN"/>
        </w:rPr>
        <w:t>%</w:t>
      </w:r>
      <w:r>
        <w:rPr>
          <w:rFonts w:hint="eastAsia" w:ascii="仿宋" w:hAnsi="仿宋" w:eastAsia="仿宋" w:cs="仿宋"/>
          <w:sz w:val="24"/>
          <w:szCs w:val="24"/>
          <w:highlight w:val="none"/>
        </w:rPr>
        <w:t>，即</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highlight w:val="none"/>
        </w:rPr>
        <w:t>。</w:t>
      </w:r>
    </w:p>
    <w:p>
      <w:pPr>
        <w:pStyle w:val="18"/>
        <w:numPr>
          <w:ilvl w:val="0"/>
          <w:numId w:val="5"/>
        </w:numPr>
        <w:tabs>
          <w:tab w:val="left" w:pos="567"/>
        </w:tabs>
        <w:spacing w:before="72" w:beforeLines="30" w:after="72" w:afterLines="30" w:line="360" w:lineRule="auto"/>
        <w:ind w:firstLineChars="0"/>
        <w:rPr>
          <w:rFonts w:hint="eastAsia" w:ascii="仿宋" w:hAnsi="仿宋" w:eastAsia="仿宋" w:cs="仿宋"/>
          <w:i/>
          <w:sz w:val="24"/>
          <w:szCs w:val="24"/>
        </w:rPr>
      </w:pPr>
      <w:r>
        <w:rPr>
          <w:rFonts w:hint="eastAsia" w:ascii="仿宋" w:hAnsi="仿宋" w:eastAsia="仿宋" w:cs="仿宋"/>
          <w:sz w:val="24"/>
          <w:szCs w:val="24"/>
          <w:highlight w:val="none"/>
        </w:rPr>
        <w:t>合同总价的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yellow"/>
          <w:u w:val="single"/>
          <w:lang w:val="en-US" w:eastAsia="zh-CN"/>
        </w:rPr>
        <w:t>3</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none"/>
          <w:lang w:val="en-US" w:eastAsia="zh-CN"/>
        </w:rPr>
        <w:t>%</w:t>
      </w:r>
      <w:r>
        <w:rPr>
          <w:rFonts w:hint="eastAsia" w:ascii="仿宋" w:hAnsi="仿宋" w:eastAsia="仿宋" w:cs="仿宋"/>
          <w:sz w:val="24"/>
          <w:szCs w:val="24"/>
          <w:highlight w:val="none"/>
        </w:rPr>
        <w:t>，即</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highlight w:val="none"/>
        </w:rPr>
        <w:t>作为质保金。货物质保期结束且</w:t>
      </w:r>
      <w:r>
        <w:rPr>
          <w:rFonts w:hint="eastAsia" w:ascii="仿宋" w:hAnsi="仿宋" w:eastAsia="仿宋" w:cs="仿宋"/>
          <w:sz w:val="24"/>
          <w:szCs w:val="24"/>
        </w:rPr>
        <w:t>卖方收到买方签发的货物最终接受证书后</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rPr>
        <w:t>内，如付款到期日为非银行工作日，则付款到期日顺延至下一个银行工作日</w:t>
      </w:r>
      <w:r>
        <w:rPr>
          <w:rFonts w:hint="eastAsia" w:ascii="仿宋" w:hAnsi="仿宋" w:eastAsia="仿宋" w:cs="仿宋"/>
          <w:sz w:val="24"/>
          <w:szCs w:val="24"/>
          <w:lang w:eastAsia="zh-CN"/>
        </w:rPr>
        <w:t>，</w:t>
      </w:r>
      <w:r>
        <w:rPr>
          <w:rFonts w:hint="eastAsia" w:ascii="仿宋" w:hAnsi="仿宋" w:eastAsia="仿宋" w:cs="仿宋"/>
          <w:sz w:val="24"/>
          <w:szCs w:val="24"/>
        </w:rPr>
        <w:t>买方支付该等质保金。</w:t>
      </w:r>
    </w:p>
    <w:p>
      <w:pPr>
        <w:numPr>
          <w:ilvl w:val="0"/>
          <w:numId w:val="4"/>
        </w:numPr>
        <w:tabs>
          <w:tab w:val="left" w:pos="640"/>
        </w:tabs>
        <w:spacing w:before="72" w:beforeLines="30" w:after="72" w:afterLines="30" w:line="360" w:lineRule="auto"/>
        <w:ind w:left="640" w:leftChars="0" w:hanging="640" w:firstLineChars="0"/>
        <w:rPr>
          <w:rFonts w:hint="eastAsia" w:ascii="仿宋" w:hAnsi="仿宋" w:eastAsia="仿宋" w:cs="仿宋"/>
          <w:color w:val="000000"/>
          <w:sz w:val="24"/>
          <w:szCs w:val="24"/>
        </w:rPr>
      </w:pPr>
      <w:bookmarkStart w:id="47" w:name="OLE_LINK92"/>
      <w:bookmarkStart w:id="48" w:name="OLE_LINK91"/>
      <w:r>
        <w:rPr>
          <w:rFonts w:hint="eastAsia" w:ascii="仿宋" w:hAnsi="仿宋" w:eastAsia="仿宋" w:cs="仿宋"/>
          <w:color w:val="000000"/>
          <w:sz w:val="24"/>
          <w:szCs w:val="24"/>
        </w:rPr>
        <w:t>卖方应根据合同规定的付款条件和进度，提前向买方开具符合中国法律法规要求的发票并提供相关支持文件。如乙方提供的服务属于增值税应税范围，乙方应为甲方开具增值税专用发票。发票应注明</w:t>
      </w:r>
      <w:r>
        <w:rPr>
          <w:rFonts w:hint="eastAsia" w:ascii="仿宋" w:hAnsi="仿宋" w:eastAsia="仿宋" w:cs="仿宋"/>
          <w:b/>
          <w:bCs/>
          <w:color w:val="000000"/>
          <w:sz w:val="24"/>
          <w:szCs w:val="24"/>
          <w:u w:val="single"/>
        </w:rPr>
        <w:t>合同编号</w:t>
      </w:r>
      <w:r>
        <w:rPr>
          <w:rFonts w:hint="eastAsia" w:ascii="仿宋" w:hAnsi="仿宋" w:eastAsia="仿宋" w:cs="仿宋"/>
          <w:color w:val="000000"/>
          <w:sz w:val="24"/>
          <w:szCs w:val="24"/>
        </w:rPr>
        <w:t>且抬头应为：</w:t>
      </w:r>
      <w:r>
        <w:rPr>
          <w:rFonts w:hint="eastAsia" w:ascii="仿宋" w:hAnsi="仿宋" w:eastAsia="仿宋" w:cs="仿宋"/>
          <w:b/>
          <w:bCs/>
          <w:color w:val="000000"/>
          <w:sz w:val="24"/>
          <w:szCs w:val="24"/>
          <w:highlight w:val="yellow"/>
          <w:u w:val="single"/>
          <w:lang w:val="en-US" w:eastAsia="zh-CN"/>
        </w:rPr>
        <w:t xml:space="preserve">              </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ascii="仿宋" w:hAnsi="仿宋" w:eastAsia="仿宋" w:cs="仿宋"/>
          <w:b/>
          <w:bCs/>
          <w:color w:val="000000"/>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color w:val="000000"/>
          <w:sz w:val="24"/>
          <w:szCs w:val="24"/>
        </w:rPr>
        <w:t>内向卖方付款。</w:t>
      </w:r>
      <w:bookmarkEnd w:id="47"/>
      <w:bookmarkEnd w:id="48"/>
      <w:r>
        <w:rPr>
          <w:rFonts w:hint="eastAsia" w:ascii="仿宋" w:hAnsi="仿宋" w:eastAsia="仿宋" w:cs="仿宋"/>
          <w:color w:val="000000"/>
          <w:sz w:val="24"/>
          <w:szCs w:val="24"/>
        </w:rPr>
        <w:t>如</w:t>
      </w:r>
      <w:r>
        <w:rPr>
          <w:rFonts w:hint="eastAsia" w:ascii="仿宋" w:hAnsi="仿宋" w:eastAsia="仿宋" w:cs="仿宋"/>
          <w:color w:val="000000"/>
          <w:sz w:val="24"/>
          <w:szCs w:val="24"/>
          <w:lang w:eastAsia="zh-CN"/>
        </w:rPr>
        <w:t>买方</w:t>
      </w:r>
      <w:r>
        <w:rPr>
          <w:rFonts w:hint="eastAsia" w:ascii="仿宋" w:hAnsi="仿宋" w:eastAsia="仿宋" w:cs="仿宋"/>
          <w:color w:val="000000"/>
          <w:sz w:val="24"/>
          <w:szCs w:val="24"/>
        </w:rPr>
        <w:t>对</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开具的该等发票和相关支持文件有异议，应于收到发票及相关支持文件后</w:t>
      </w:r>
      <w:r>
        <w:rPr>
          <w:rFonts w:hint="eastAsia" w:ascii="仿宋" w:hAnsi="仿宋" w:eastAsia="仿宋" w:cs="仿宋"/>
          <w:b/>
          <w:bCs/>
          <w:color w:val="000000"/>
          <w:sz w:val="24"/>
          <w:szCs w:val="24"/>
          <w:highlight w:val="yellow"/>
          <w:u w:val="single"/>
          <w:lang w:val="en-US" w:eastAsia="zh-CN"/>
        </w:rPr>
        <w:t>10</w:t>
      </w:r>
      <w:r>
        <w:rPr>
          <w:rFonts w:hint="eastAsia" w:ascii="仿宋" w:hAnsi="仿宋" w:eastAsia="仿宋" w:cs="仿宋"/>
          <w:color w:val="000000"/>
          <w:sz w:val="24"/>
          <w:szCs w:val="24"/>
        </w:rPr>
        <w:t>日内通知</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应重新开具发票和相关支持文件，买方应于收到卖方重新开具的发票和相关支持文件之日起</w:t>
      </w:r>
      <w:r>
        <w:rPr>
          <w:rFonts w:hint="eastAsia" w:ascii="仿宋" w:hAnsi="仿宋" w:eastAsia="仿宋" w:cs="仿宋"/>
          <w:b/>
          <w:bCs/>
          <w:color w:val="000000"/>
          <w:sz w:val="24"/>
          <w:szCs w:val="24"/>
          <w:highlight w:val="yellow"/>
          <w:u w:val="single"/>
          <w:lang w:val="en-US" w:eastAsia="zh-CN"/>
        </w:rPr>
        <w:t>45</w:t>
      </w:r>
      <w:r>
        <w:rPr>
          <w:rFonts w:hint="eastAsia" w:ascii="仿宋" w:hAnsi="仿宋" w:eastAsia="仿宋" w:cs="仿宋"/>
          <w:color w:val="000000"/>
          <w:sz w:val="24"/>
          <w:szCs w:val="24"/>
        </w:rPr>
        <w:t>日内向卖方付款。</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卖方账户</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卖方应通过如下账户收取合同总价及其它款项，并通过该账户向买方支付与合同有关的任何款项：</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卖方名称：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账号：</w:t>
      </w:r>
      <w:r>
        <w:rPr>
          <w:rFonts w:hint="eastAsia" w:ascii="仿宋" w:hAnsi="仿宋" w:eastAsia="仿宋" w:cs="仿宋"/>
          <w:b/>
          <w:bCs/>
          <w:sz w:val="24"/>
          <w:szCs w:val="24"/>
          <w:highlight w:val="none"/>
          <w:u w:val="singl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开户行名称：</w:t>
      </w:r>
      <w:r>
        <w:rPr>
          <w:rFonts w:hint="eastAsia" w:ascii="仿宋" w:hAnsi="仿宋" w:eastAsia="仿宋" w:cs="仿宋"/>
          <w:b/>
          <w:bCs/>
          <w:sz w:val="24"/>
          <w:szCs w:val="24"/>
          <w:highlight w:val="none"/>
          <w:u w:val="singl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开户行地址：</w:t>
      </w:r>
      <w:bookmarkStart w:id="49" w:name="OLE_LINK45"/>
      <w:bookmarkStart w:id="50" w:name="OLE_LINK46"/>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bookmarkEnd w:id="49"/>
      <w:bookmarkEnd w:id="50"/>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邮政编码：</w:t>
      </w:r>
      <w:bookmarkStart w:id="51" w:name="OLE_LINK52"/>
      <w:bookmarkStart w:id="52" w:name="OLE_LINK53"/>
      <w:r>
        <w:rPr>
          <w:rFonts w:hint="eastAsia" w:ascii="仿宋" w:hAnsi="仿宋" w:eastAsia="仿宋" w:cs="仿宋"/>
          <w:b/>
          <w:bCs/>
          <w:sz w:val="24"/>
          <w:szCs w:val="24"/>
          <w:highlight w:val="none"/>
          <w:u w:val="single"/>
        </w:rPr>
        <w:t xml:space="preserve">                          </w:t>
      </w:r>
      <w:bookmarkEnd w:id="51"/>
      <w:bookmarkEnd w:id="52"/>
      <w:r>
        <w:rPr>
          <w:rFonts w:hint="eastAsia" w:ascii="仿宋" w:hAnsi="仿宋" w:eastAsia="仿宋" w:cs="仿宋"/>
          <w:b/>
          <w:bCs/>
          <w:sz w:val="24"/>
          <w:szCs w:val="24"/>
          <w:highlight w:val="none"/>
        </w:rPr>
        <w:t xml:space="preserve"> </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53" w:name="_Toc22569"/>
      <w:bookmarkStart w:id="54" w:name="_Toc306354310"/>
      <w:bookmarkStart w:id="55" w:name="_Toc16009"/>
      <w:bookmarkStart w:id="56" w:name="_Toc577"/>
      <w:bookmarkStart w:id="57" w:name="_Toc3251"/>
      <w:r>
        <w:rPr>
          <w:rFonts w:hint="eastAsia" w:ascii="仿宋" w:hAnsi="仿宋" w:eastAsia="仿宋" w:cs="仿宋"/>
          <w:b/>
          <w:bCs w:val="0"/>
          <w:sz w:val="24"/>
          <w:szCs w:val="24"/>
        </w:rPr>
        <w:t>货物交付</w:t>
      </w:r>
      <w:bookmarkEnd w:id="53"/>
      <w:bookmarkEnd w:id="54"/>
      <w:bookmarkEnd w:id="55"/>
      <w:bookmarkEnd w:id="56"/>
      <w:bookmarkEnd w:id="57"/>
    </w:p>
    <w:p>
      <w:pPr>
        <w:numPr>
          <w:ilvl w:val="0"/>
          <w:numId w:val="6"/>
        </w:numPr>
        <w:tabs>
          <w:tab w:val="left" w:pos="567"/>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58" w:name="_Toc15009"/>
      <w:bookmarkStart w:id="59" w:name="_Toc15540"/>
      <w:bookmarkStart w:id="60" w:name="_Toc17595"/>
      <w:bookmarkStart w:id="61" w:name="_Toc30353"/>
      <w:bookmarkStart w:id="62" w:name="_Toc2622"/>
      <w:bookmarkStart w:id="63" w:name="_Toc25506"/>
      <w:bookmarkStart w:id="64" w:name="_Toc6707"/>
      <w:bookmarkStart w:id="65" w:name="_Toc19235"/>
      <w:r>
        <w:rPr>
          <w:rFonts w:hint="eastAsia" w:ascii="仿宋" w:hAnsi="仿宋" w:eastAsia="仿宋" w:cs="仿宋"/>
          <w:b/>
          <w:sz w:val="24"/>
          <w:szCs w:val="24"/>
        </w:rPr>
        <w:t>交货日期</w:t>
      </w:r>
      <w:bookmarkEnd w:id="58"/>
      <w:bookmarkEnd w:id="59"/>
      <w:bookmarkEnd w:id="60"/>
      <w:bookmarkEnd w:id="61"/>
      <w:bookmarkEnd w:id="62"/>
      <w:bookmarkEnd w:id="63"/>
      <w:bookmarkEnd w:id="64"/>
      <w:bookmarkEnd w:id="65"/>
    </w:p>
    <w:p>
      <w:pPr>
        <w:numPr>
          <w:ilvl w:val="0"/>
          <w:numId w:val="7"/>
        </w:numPr>
        <w:tabs>
          <w:tab w:val="left" w:pos="993"/>
        </w:tabs>
        <w:spacing w:before="72" w:beforeLines="30" w:after="72" w:afterLines="30" w:line="360" w:lineRule="auto"/>
        <w:ind w:left="1047" w:leftChars="268" w:hanging="484" w:hangingChars="202"/>
        <w:outlineLvl w:val="0"/>
        <w:rPr>
          <w:rFonts w:hint="eastAsia" w:ascii="仿宋" w:hAnsi="仿宋" w:eastAsia="仿宋" w:cs="仿宋"/>
          <w:sz w:val="24"/>
          <w:szCs w:val="24"/>
        </w:rPr>
      </w:pPr>
      <w:bookmarkStart w:id="66" w:name="_Toc28081"/>
      <w:bookmarkStart w:id="67" w:name="_Toc1724"/>
      <w:bookmarkStart w:id="68" w:name="_Toc644"/>
      <w:bookmarkStart w:id="69" w:name="_Toc24585"/>
      <w:bookmarkStart w:id="70" w:name="_Toc7675"/>
      <w:bookmarkStart w:id="71" w:name="_Toc29935"/>
      <w:bookmarkStart w:id="72" w:name="_Toc27427"/>
      <w:bookmarkStart w:id="73" w:name="_Toc10366"/>
      <w:r>
        <w:rPr>
          <w:rFonts w:hint="eastAsia" w:ascii="仿宋" w:hAnsi="仿宋" w:eastAsia="仿宋" w:cs="仿宋"/>
          <w:sz w:val="24"/>
          <w:szCs w:val="24"/>
        </w:rPr>
        <w:t>卖方应在</w:t>
      </w:r>
      <w:r>
        <w:rPr>
          <w:rFonts w:hint="eastAsia" w:ascii="仿宋" w:hAnsi="仿宋" w:eastAsia="仿宋" w:cs="仿宋"/>
          <w:b/>
          <w:bCs/>
          <w:sz w:val="24"/>
          <w:szCs w:val="24"/>
          <w:highlight w:val="none"/>
          <w:u w:val="single"/>
          <w:lang w:val="en-US" w:eastAsia="zh-CN"/>
        </w:rPr>
        <w:t xml:space="preserve">自双方合同签订之日后收到买房通知后 </w:t>
      </w:r>
      <w:r>
        <w:rPr>
          <w:rFonts w:hint="eastAsia" w:ascii="仿宋" w:hAnsi="仿宋" w:eastAsia="仿宋" w:cs="仿宋"/>
          <w:b/>
          <w:bCs/>
          <w:sz w:val="24"/>
          <w:szCs w:val="24"/>
          <w:highlight w:val="yellow"/>
          <w:u w:val="single"/>
          <w:lang w:val="en-US" w:eastAsia="zh-CN"/>
        </w:rPr>
        <w:t xml:space="preserve"> 60 </w:t>
      </w:r>
      <w:r>
        <w:rPr>
          <w:rFonts w:hint="eastAsia" w:ascii="仿宋" w:hAnsi="仿宋" w:eastAsia="仿宋" w:cs="仿宋"/>
          <w:b/>
          <w:bCs/>
          <w:sz w:val="24"/>
          <w:szCs w:val="24"/>
          <w:highlight w:val="none"/>
          <w:u w:val="single"/>
          <w:lang w:val="en-US" w:eastAsia="zh-CN"/>
        </w:rPr>
        <w:t>日内完成</w:t>
      </w:r>
      <w:r>
        <w:rPr>
          <w:rFonts w:hint="eastAsia" w:ascii="仿宋" w:hAnsi="仿宋" w:eastAsia="仿宋" w:cs="仿宋"/>
          <w:sz w:val="24"/>
          <w:szCs w:val="24"/>
        </w:rPr>
        <w:t>。</w:t>
      </w:r>
      <w:bookmarkEnd w:id="66"/>
      <w:bookmarkEnd w:id="67"/>
      <w:bookmarkEnd w:id="68"/>
      <w:bookmarkEnd w:id="69"/>
      <w:bookmarkEnd w:id="70"/>
      <w:bookmarkEnd w:id="71"/>
      <w:bookmarkEnd w:id="72"/>
      <w:bookmarkEnd w:id="73"/>
    </w:p>
    <w:p>
      <w:pPr>
        <w:numPr>
          <w:ilvl w:val="0"/>
          <w:numId w:val="7"/>
        </w:numPr>
        <w:tabs>
          <w:tab w:val="left" w:pos="993"/>
        </w:tabs>
        <w:spacing w:before="72" w:beforeLines="30" w:after="72" w:afterLines="30" w:line="360" w:lineRule="auto"/>
        <w:ind w:left="1047" w:leftChars="268" w:hanging="484" w:hangingChars="202"/>
        <w:outlineLvl w:val="0"/>
        <w:rPr>
          <w:rFonts w:hint="eastAsia" w:ascii="仿宋" w:hAnsi="仿宋" w:eastAsia="仿宋" w:cs="仿宋"/>
          <w:sz w:val="24"/>
          <w:szCs w:val="24"/>
        </w:rPr>
      </w:pPr>
      <w:bookmarkStart w:id="74" w:name="_Toc16421"/>
      <w:bookmarkStart w:id="75" w:name="_Toc5095"/>
      <w:bookmarkStart w:id="76" w:name="_Toc4555"/>
      <w:bookmarkStart w:id="77" w:name="_Toc10678"/>
      <w:bookmarkStart w:id="78" w:name="_Toc29288"/>
      <w:bookmarkStart w:id="79" w:name="_Toc5245"/>
      <w:bookmarkStart w:id="80" w:name="_Toc25972"/>
      <w:bookmarkStart w:id="81" w:name="_Toc31015"/>
      <w:r>
        <w:rPr>
          <w:rFonts w:hint="eastAsia" w:ascii="仿宋" w:hAnsi="仿宋" w:eastAsia="仿宋" w:cs="仿宋"/>
          <w:sz w:val="24"/>
          <w:szCs w:val="24"/>
        </w:rPr>
        <w:t>买方有权根据自身情况要求卖方延期交付货物，但买方应在交付日期前</w:t>
      </w:r>
      <w:r>
        <w:rPr>
          <w:rFonts w:hint="eastAsia" w:ascii="仿宋" w:hAnsi="仿宋" w:eastAsia="仿宋" w:cs="仿宋"/>
          <w:b/>
          <w:bCs/>
          <w:sz w:val="24"/>
          <w:szCs w:val="24"/>
          <w:highlight w:val="none"/>
          <w:u w:val="single"/>
          <w:lang w:val="en-US" w:eastAsia="zh-CN"/>
        </w:rPr>
        <w:t>5</w:t>
      </w:r>
      <w:r>
        <w:rPr>
          <w:rFonts w:hint="eastAsia" w:ascii="仿宋" w:hAnsi="仿宋" w:eastAsia="仿宋" w:cs="仿宋"/>
          <w:sz w:val="24"/>
          <w:szCs w:val="24"/>
        </w:rPr>
        <w:t>日以书面方式通知卖方。除非买方调整交货日期实质性加重卖方义务，否则卖方不得另行向买方主张增加费用。</w:t>
      </w:r>
      <w:bookmarkEnd w:id="74"/>
      <w:bookmarkEnd w:id="75"/>
      <w:bookmarkEnd w:id="76"/>
      <w:bookmarkEnd w:id="77"/>
      <w:bookmarkEnd w:id="78"/>
      <w:bookmarkEnd w:id="79"/>
      <w:bookmarkEnd w:id="80"/>
      <w:bookmarkEnd w:id="81"/>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bCs/>
          <w:sz w:val="24"/>
          <w:szCs w:val="24"/>
          <w:u w:val="single"/>
          <w:lang w:eastAsia="zh-CN"/>
        </w:rPr>
      </w:pPr>
      <w:bookmarkStart w:id="82" w:name="_Toc24560"/>
      <w:bookmarkStart w:id="83" w:name="_Toc12038"/>
      <w:bookmarkStart w:id="84" w:name="_Toc23359"/>
      <w:bookmarkStart w:id="85" w:name="_Toc20212"/>
      <w:bookmarkStart w:id="86" w:name="_Toc18351"/>
      <w:bookmarkStart w:id="87" w:name="_Toc19095"/>
      <w:bookmarkStart w:id="88" w:name="_Toc27742"/>
      <w:bookmarkStart w:id="89" w:name="_Toc639"/>
      <w:r>
        <w:rPr>
          <w:rFonts w:hint="eastAsia" w:ascii="仿宋" w:hAnsi="仿宋" w:eastAsia="仿宋" w:cs="仿宋"/>
          <w:b/>
          <w:sz w:val="24"/>
          <w:szCs w:val="24"/>
        </w:rPr>
        <w:t>交货地点</w:t>
      </w:r>
      <w:r>
        <w:rPr>
          <w:rFonts w:hint="eastAsia" w:ascii="仿宋" w:hAnsi="仿宋" w:eastAsia="仿宋" w:cs="仿宋"/>
          <w:sz w:val="24"/>
          <w:szCs w:val="24"/>
        </w:rPr>
        <w:t>：</w:t>
      </w:r>
      <w:bookmarkStart w:id="90" w:name="OLE_LINK58"/>
      <w:bookmarkStart w:id="91" w:name="OLE_LINK59"/>
      <w:bookmarkStart w:id="92" w:name="OLE_LINK61"/>
      <w:bookmarkStart w:id="93" w:name="OLE_LINK60"/>
      <w:r>
        <w:rPr>
          <w:rFonts w:hint="eastAsia" w:ascii="仿宋" w:hAnsi="仿宋" w:eastAsia="仿宋" w:cs="仿宋"/>
          <w:b/>
          <w:bCs/>
          <w:sz w:val="24"/>
          <w:szCs w:val="24"/>
          <w:highlight w:val="yellow"/>
          <w:u w:val="single"/>
          <w:lang w:val="en-US" w:eastAsia="zh-CN"/>
        </w:rPr>
        <w:t xml:space="preserve"> 天津滨海新区高新区神舟大道与惠新路交口中海油（天津）油田化工有限公司（平房办公室）     </w:t>
      </w:r>
      <w:r>
        <w:rPr>
          <w:rFonts w:hint="eastAsia" w:ascii="仿宋" w:hAnsi="仿宋" w:eastAsia="仿宋" w:cs="仿宋"/>
          <w:b w:val="0"/>
          <w:bCs w:val="0"/>
          <w:sz w:val="24"/>
          <w:szCs w:val="24"/>
          <w:u w:val="none"/>
          <w:lang w:eastAsia="zh-CN"/>
        </w:rPr>
        <w:t>。</w:t>
      </w:r>
      <w:bookmarkEnd w:id="82"/>
      <w:bookmarkEnd w:id="83"/>
      <w:bookmarkEnd w:id="84"/>
    </w:p>
    <w:bookmarkEnd w:id="85"/>
    <w:bookmarkEnd w:id="86"/>
    <w:bookmarkEnd w:id="87"/>
    <w:bookmarkEnd w:id="88"/>
    <w:bookmarkEnd w:id="89"/>
    <w:bookmarkEnd w:id="90"/>
    <w:bookmarkEnd w:id="91"/>
    <w:bookmarkEnd w:id="92"/>
    <w:bookmarkEnd w:id="93"/>
    <w:p>
      <w:pPr>
        <w:numPr>
          <w:ilvl w:val="0"/>
          <w:numId w:val="6"/>
        </w:numPr>
        <w:tabs>
          <w:tab w:val="left" w:pos="709"/>
        </w:tabs>
        <w:spacing w:before="72" w:beforeLines="30" w:after="72" w:afterLines="30" w:line="360" w:lineRule="auto"/>
        <w:ind w:left="567" w:hanging="567"/>
        <w:outlineLvl w:val="0"/>
        <w:rPr>
          <w:rFonts w:hint="eastAsia" w:ascii="仿宋" w:hAnsi="仿宋" w:eastAsia="仿宋" w:cs="仿宋"/>
          <w:sz w:val="24"/>
          <w:szCs w:val="24"/>
        </w:rPr>
      </w:pPr>
      <w:bookmarkStart w:id="94" w:name="_Toc20737"/>
      <w:bookmarkStart w:id="95" w:name="_Toc5661"/>
      <w:bookmarkStart w:id="96" w:name="_Toc860"/>
      <w:bookmarkStart w:id="97" w:name="_Toc3255"/>
      <w:bookmarkStart w:id="98" w:name="_Toc16361"/>
      <w:bookmarkStart w:id="99" w:name="_Toc208"/>
      <w:bookmarkStart w:id="100" w:name="_Toc14894"/>
      <w:bookmarkStart w:id="101" w:name="_Toc7776"/>
      <w:r>
        <w:rPr>
          <w:rFonts w:hint="eastAsia" w:ascii="仿宋" w:hAnsi="仿宋" w:eastAsia="仿宋" w:cs="仿宋"/>
          <w:sz w:val="24"/>
          <w:szCs w:val="24"/>
        </w:rPr>
        <w:t>每批货物交付运输后</w:t>
      </w:r>
      <w:r>
        <w:rPr>
          <w:rFonts w:hint="eastAsia" w:ascii="仿宋" w:hAnsi="仿宋" w:eastAsia="仿宋" w:cs="仿宋"/>
          <w:b/>
          <w:bCs/>
          <w:sz w:val="24"/>
          <w:szCs w:val="24"/>
          <w:highlight w:val="none"/>
          <w:u w:val="single"/>
          <w:lang w:val="en-US" w:eastAsia="zh-CN"/>
        </w:rPr>
        <w:t>48</w:t>
      </w:r>
      <w:r>
        <w:rPr>
          <w:rFonts w:hint="eastAsia" w:ascii="仿宋" w:hAnsi="仿宋" w:eastAsia="仿宋" w:cs="仿宋"/>
          <w:sz w:val="24"/>
          <w:szCs w:val="24"/>
        </w:rPr>
        <w:t>小时内，卖方应通过将下列材料、信息通知买方：合同号、货物名称及编号、货物数量、货物总重量。</w:t>
      </w:r>
      <w:bookmarkEnd w:id="94"/>
      <w:bookmarkEnd w:id="95"/>
      <w:bookmarkEnd w:id="96"/>
      <w:bookmarkEnd w:id="97"/>
      <w:bookmarkEnd w:id="98"/>
      <w:bookmarkEnd w:id="99"/>
      <w:bookmarkEnd w:id="100"/>
      <w:bookmarkEnd w:id="101"/>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102" w:name="_Toc24618"/>
      <w:bookmarkStart w:id="103" w:name="_Toc13249"/>
      <w:bookmarkStart w:id="104" w:name="_Toc6130"/>
      <w:bookmarkStart w:id="105" w:name="_Toc8960"/>
      <w:bookmarkStart w:id="106" w:name="_Toc27942"/>
      <w:bookmarkStart w:id="107" w:name="_Toc12753"/>
      <w:bookmarkStart w:id="108" w:name="_Toc17855"/>
      <w:bookmarkStart w:id="109" w:name="_Toc27681"/>
      <w:r>
        <w:rPr>
          <w:rFonts w:hint="eastAsia" w:ascii="仿宋" w:hAnsi="仿宋" w:eastAsia="仿宋" w:cs="仿宋"/>
          <w:b/>
          <w:sz w:val="24"/>
          <w:szCs w:val="24"/>
        </w:rPr>
        <w:t>包装</w:t>
      </w:r>
      <w:bookmarkEnd w:id="102"/>
      <w:bookmarkEnd w:id="103"/>
      <w:bookmarkEnd w:id="104"/>
      <w:bookmarkEnd w:id="105"/>
      <w:bookmarkEnd w:id="106"/>
      <w:bookmarkEnd w:id="107"/>
      <w:bookmarkEnd w:id="108"/>
      <w:bookmarkEnd w:id="109"/>
    </w:p>
    <w:p>
      <w:pPr>
        <w:pStyle w:val="18"/>
        <w:spacing w:line="360" w:lineRule="auto"/>
        <w:ind w:left="567" w:leftChars="270" w:firstLine="0" w:firstLineChars="0"/>
        <w:rPr>
          <w:rFonts w:hint="eastAsia" w:ascii="仿宋" w:hAnsi="仿宋" w:eastAsia="仿宋" w:cs="仿宋"/>
          <w:sz w:val="24"/>
          <w:szCs w:val="24"/>
        </w:rPr>
      </w:pPr>
      <w:r>
        <w:rPr>
          <w:rFonts w:hint="eastAsia" w:ascii="仿宋" w:hAnsi="仿宋" w:eastAsia="仿宋" w:cs="仿宋"/>
          <w:sz w:val="24"/>
          <w:szCs w:val="24"/>
        </w:rPr>
        <w:t>卖方应提供将货物、货物资料运至交货地点所需要的包装，以防止货物、货物资料在运输中损坏或变质。货物、货物资料的包装应采用防潮、防晒、防锈、防腐蚀、防震动、防野蛮装卸及防止其它损坏的必要保护措施，保护货物、货物资料能够经受多次搬运、装卸及远洋和内陆长途运输。</w:t>
      </w:r>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110" w:name="_Toc7548"/>
      <w:bookmarkStart w:id="111" w:name="_Toc24948"/>
      <w:bookmarkStart w:id="112" w:name="_Toc16634"/>
      <w:bookmarkStart w:id="113" w:name="_Toc19846"/>
      <w:bookmarkStart w:id="114" w:name="_Toc21904"/>
      <w:bookmarkStart w:id="115" w:name="_Toc2343"/>
      <w:bookmarkStart w:id="116" w:name="_Toc4034"/>
      <w:bookmarkStart w:id="117" w:name="_Toc13913"/>
      <w:r>
        <w:rPr>
          <w:rFonts w:hint="eastAsia" w:ascii="仿宋" w:hAnsi="仿宋" w:eastAsia="仿宋" w:cs="仿宋"/>
          <w:b/>
          <w:sz w:val="24"/>
          <w:szCs w:val="24"/>
        </w:rPr>
        <w:t>货物资料的交付</w:t>
      </w:r>
      <w:bookmarkEnd w:id="110"/>
      <w:bookmarkEnd w:id="111"/>
      <w:bookmarkEnd w:id="112"/>
      <w:bookmarkEnd w:id="113"/>
      <w:bookmarkEnd w:id="114"/>
      <w:bookmarkEnd w:id="115"/>
      <w:bookmarkEnd w:id="116"/>
      <w:bookmarkEnd w:id="117"/>
    </w:p>
    <w:p>
      <w:pPr>
        <w:pStyle w:val="18"/>
        <w:numPr>
          <w:ilvl w:val="0"/>
          <w:numId w:val="8"/>
        </w:numPr>
        <w:tabs>
          <w:tab w:val="left" w:pos="709"/>
        </w:tabs>
        <w:spacing w:before="72" w:beforeLines="30" w:after="72" w:afterLines="30" w:line="360" w:lineRule="auto"/>
        <w:ind w:firstLineChars="0"/>
        <w:outlineLvl w:val="0"/>
        <w:rPr>
          <w:rFonts w:hint="eastAsia" w:ascii="仿宋" w:hAnsi="仿宋" w:eastAsia="仿宋" w:cs="仿宋"/>
          <w:sz w:val="24"/>
          <w:szCs w:val="24"/>
        </w:rPr>
      </w:pPr>
      <w:bookmarkStart w:id="118" w:name="_Toc18616"/>
      <w:bookmarkStart w:id="119" w:name="_Toc20530"/>
      <w:bookmarkStart w:id="120" w:name="_Toc11707"/>
      <w:bookmarkStart w:id="121" w:name="_Toc23420"/>
      <w:bookmarkStart w:id="122" w:name="_Toc2203"/>
      <w:bookmarkStart w:id="123" w:name="_Toc8608"/>
      <w:bookmarkStart w:id="124" w:name="_Toc25375"/>
      <w:r>
        <w:rPr>
          <w:rFonts w:hint="eastAsia" w:ascii="仿宋" w:hAnsi="仿宋" w:eastAsia="仿宋" w:cs="仿宋"/>
          <w:sz w:val="24"/>
          <w:szCs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卖方向买方交付货物、买方验收货物以卖方在交货日将全部货物资料交付买方为前提条件。如买方发现货物资料存在任何错漏、短缺、损坏、遗失，买方应于收到之日起合理期限内通知卖方；卖方收到通知后</w:t>
      </w:r>
      <w:r>
        <w:rPr>
          <w:rFonts w:hint="eastAsia" w:ascii="仿宋" w:hAnsi="仿宋" w:eastAsia="仿宋" w:cs="仿宋"/>
          <w:b/>
          <w:bCs/>
          <w:sz w:val="24"/>
          <w:szCs w:val="24"/>
          <w:highlight w:val="none"/>
          <w:u w:val="single"/>
          <w:lang w:val="en-US" w:eastAsia="zh-CN"/>
        </w:rPr>
        <w:t>3</w:t>
      </w:r>
      <w:r>
        <w:rPr>
          <w:rFonts w:hint="eastAsia" w:ascii="仿宋" w:hAnsi="仿宋" w:eastAsia="仿宋" w:cs="仿宋"/>
          <w:sz w:val="24"/>
          <w:szCs w:val="24"/>
        </w:rPr>
        <w:t>日内应自行承担费用将补充或替换的货物资料送达买方，并不得因此影响交货进度。</w:t>
      </w:r>
      <w:bookmarkEnd w:id="118"/>
      <w:bookmarkEnd w:id="119"/>
      <w:bookmarkEnd w:id="120"/>
      <w:bookmarkEnd w:id="121"/>
      <w:bookmarkEnd w:id="122"/>
      <w:bookmarkEnd w:id="123"/>
      <w:bookmarkEnd w:id="124"/>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25" w:name="_Toc13768"/>
      <w:bookmarkStart w:id="126" w:name="_Toc11108"/>
      <w:bookmarkStart w:id="127" w:name="_Toc14472"/>
      <w:bookmarkStart w:id="128" w:name="_Toc780"/>
      <w:bookmarkStart w:id="129" w:name="_Toc306354315"/>
      <w:r>
        <w:rPr>
          <w:rFonts w:hint="eastAsia" w:ascii="仿宋" w:hAnsi="仿宋" w:eastAsia="仿宋" w:cs="仿宋"/>
          <w:b/>
          <w:bCs w:val="0"/>
          <w:sz w:val="24"/>
          <w:szCs w:val="24"/>
        </w:rPr>
        <w:t>货物要求</w:t>
      </w:r>
      <w:bookmarkEnd w:id="125"/>
      <w:bookmarkEnd w:id="126"/>
      <w:bookmarkEnd w:id="127"/>
      <w:bookmarkEnd w:id="128"/>
    </w:p>
    <w:p>
      <w:pPr>
        <w:pStyle w:val="18"/>
        <w:numPr>
          <w:ilvl w:val="0"/>
          <w:numId w:val="9"/>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30" w:name="_Toc15113"/>
      <w:bookmarkStart w:id="131" w:name="_Toc5919"/>
      <w:bookmarkStart w:id="132" w:name="_Toc31100"/>
      <w:bookmarkStart w:id="133" w:name="_Toc26233"/>
      <w:bookmarkStart w:id="134" w:name="_Toc11859"/>
      <w:bookmarkStart w:id="135" w:name="_Toc4394"/>
      <w:bookmarkStart w:id="136" w:name="_Toc8115"/>
      <w:bookmarkStart w:id="137" w:name="_Toc13167"/>
      <w:r>
        <w:rPr>
          <w:rFonts w:hint="eastAsia" w:ascii="仿宋" w:hAnsi="仿宋" w:eastAsia="仿宋" w:cs="仿宋"/>
          <w:sz w:val="24"/>
          <w:szCs w:val="24"/>
        </w:rPr>
        <w:t>卖方应根据合同规定提供货物，其提供的货物应符合合同规定的质量、规格及其它要求。如合同未就货物相关环节的质量、规格等予以明确规定，则应符合国家标准。如无国家标准，则应符合行业标准；如无行业标准，应适用符合本合同目的的标准。</w:t>
      </w:r>
      <w:bookmarkEnd w:id="130"/>
      <w:bookmarkEnd w:id="131"/>
      <w:bookmarkEnd w:id="132"/>
      <w:bookmarkEnd w:id="133"/>
      <w:bookmarkEnd w:id="134"/>
      <w:bookmarkEnd w:id="135"/>
      <w:bookmarkEnd w:id="136"/>
      <w:bookmarkEnd w:id="137"/>
    </w:p>
    <w:p>
      <w:pPr>
        <w:pStyle w:val="18"/>
        <w:numPr>
          <w:ilvl w:val="0"/>
          <w:numId w:val="9"/>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38" w:name="_Toc32563"/>
      <w:bookmarkStart w:id="139" w:name="_Toc8707"/>
      <w:bookmarkStart w:id="140" w:name="_Toc23830"/>
      <w:bookmarkStart w:id="141" w:name="_Toc18159"/>
      <w:bookmarkStart w:id="142" w:name="_Toc22882"/>
      <w:bookmarkStart w:id="143" w:name="_Toc23308"/>
      <w:bookmarkStart w:id="144" w:name="_Toc1028"/>
      <w:bookmarkStart w:id="145" w:name="_Toc16369"/>
      <w:r>
        <w:rPr>
          <w:rFonts w:hint="eastAsia" w:ascii="仿宋" w:hAnsi="仿宋" w:eastAsia="仿宋" w:cs="仿宋"/>
          <w:sz w:val="24"/>
          <w:szCs w:val="24"/>
        </w:rPr>
        <w:t>在履行合同过程中，买方接受卖方的有关货物的建议和要求或买方的任何批准、认可不得免除卖方在本合同项下的任何义务（包括卖方对货物应符合本合同规定的质量和规格等要求应承担的责任）。</w:t>
      </w:r>
      <w:bookmarkEnd w:id="138"/>
      <w:bookmarkEnd w:id="139"/>
      <w:bookmarkEnd w:id="140"/>
      <w:bookmarkEnd w:id="141"/>
      <w:bookmarkEnd w:id="142"/>
      <w:bookmarkEnd w:id="143"/>
      <w:bookmarkEnd w:id="144"/>
      <w:bookmarkEnd w:id="145"/>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46" w:name="_Toc22696"/>
      <w:bookmarkStart w:id="147" w:name="_Toc19680"/>
      <w:bookmarkStart w:id="148" w:name="_Toc24449"/>
      <w:bookmarkStart w:id="149" w:name="_Toc24360"/>
      <w:r>
        <w:rPr>
          <w:rFonts w:hint="eastAsia" w:ascii="仿宋" w:hAnsi="仿宋" w:eastAsia="仿宋" w:cs="仿宋"/>
          <w:b/>
          <w:bCs w:val="0"/>
          <w:sz w:val="24"/>
          <w:szCs w:val="24"/>
        </w:rPr>
        <w:t>运输和保险</w:t>
      </w:r>
      <w:bookmarkEnd w:id="146"/>
      <w:bookmarkEnd w:id="147"/>
      <w:bookmarkEnd w:id="148"/>
      <w:bookmarkEnd w:id="149"/>
    </w:p>
    <w:p>
      <w:pPr>
        <w:pStyle w:val="18"/>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50" w:name="_Toc21070"/>
      <w:bookmarkStart w:id="151" w:name="_Toc4632"/>
      <w:bookmarkStart w:id="152" w:name="_Toc6436"/>
      <w:bookmarkStart w:id="153" w:name="_Toc19811"/>
      <w:bookmarkStart w:id="154" w:name="_Toc5455"/>
      <w:bookmarkStart w:id="155" w:name="_Toc7742"/>
      <w:bookmarkStart w:id="156" w:name="_Toc2297"/>
      <w:bookmarkStart w:id="157" w:name="_Toc29211"/>
      <w:r>
        <w:rPr>
          <w:rFonts w:hint="eastAsia" w:ascii="仿宋" w:hAnsi="仿宋" w:eastAsia="仿宋" w:cs="仿宋"/>
          <w:sz w:val="24"/>
          <w:szCs w:val="24"/>
        </w:rPr>
        <w:t>运输方式：</w:t>
      </w:r>
      <w:r>
        <w:rPr>
          <w:rFonts w:hint="default" w:ascii="仿宋" w:hAnsi="仿宋" w:eastAsia="仿宋" w:cs="仿宋"/>
          <w:b/>
          <w:bCs/>
          <w:sz w:val="24"/>
          <w:szCs w:val="24"/>
          <w:u w:val="single"/>
        </w:rPr>
        <w:t>在保证货物安全的基础上由卖方确定，费用由卖方承担</w:t>
      </w:r>
      <w:r>
        <w:rPr>
          <w:rFonts w:hint="eastAsia" w:ascii="仿宋" w:hAnsi="仿宋" w:eastAsia="仿宋" w:cs="仿宋"/>
          <w:sz w:val="24"/>
          <w:szCs w:val="24"/>
        </w:rPr>
        <w:t>。</w:t>
      </w:r>
      <w:bookmarkEnd w:id="150"/>
      <w:bookmarkEnd w:id="151"/>
      <w:bookmarkEnd w:id="152"/>
      <w:bookmarkEnd w:id="153"/>
      <w:bookmarkEnd w:id="154"/>
      <w:bookmarkEnd w:id="155"/>
      <w:bookmarkEnd w:id="156"/>
      <w:bookmarkEnd w:id="157"/>
    </w:p>
    <w:p>
      <w:pPr>
        <w:pStyle w:val="18"/>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58" w:name="_Toc19938"/>
      <w:bookmarkStart w:id="159" w:name="_Toc5257"/>
      <w:bookmarkStart w:id="160" w:name="_Toc19247"/>
      <w:bookmarkStart w:id="161" w:name="_Toc1277"/>
      <w:bookmarkStart w:id="162" w:name="_Toc26152"/>
      <w:bookmarkStart w:id="163" w:name="_Toc28146"/>
      <w:bookmarkStart w:id="164" w:name="_Toc8259"/>
      <w:bookmarkStart w:id="165" w:name="_Toc22911"/>
      <w:r>
        <w:rPr>
          <w:rFonts w:hint="eastAsia" w:ascii="仿宋" w:hAnsi="仿宋" w:eastAsia="仿宋" w:cs="仿宋"/>
          <w:sz w:val="24"/>
          <w:szCs w:val="24"/>
        </w:rPr>
        <w:t>除非本合同另有明确规定，卖方负责将货物及配套软件、货物资料运至交货地点，运输费用全部包含于合同总价中。如卖方需改变本合同规定的运输方式，卖方应提前</w:t>
      </w:r>
      <w:r>
        <w:rPr>
          <w:rFonts w:hint="eastAsia" w:ascii="仿宋" w:hAnsi="仿宋" w:eastAsia="仿宋" w:cs="仿宋"/>
          <w:b/>
          <w:bCs/>
          <w:sz w:val="24"/>
          <w:szCs w:val="24"/>
          <w:highlight w:val="none"/>
          <w:u w:val="single"/>
          <w:lang w:val="en-US" w:eastAsia="zh-CN"/>
        </w:rPr>
        <w:t>2</w:t>
      </w:r>
      <w:r>
        <w:rPr>
          <w:rFonts w:hint="eastAsia" w:ascii="仿宋" w:hAnsi="仿宋" w:eastAsia="仿宋" w:cs="仿宋"/>
          <w:b w:val="0"/>
          <w:bCs w:val="0"/>
          <w:sz w:val="24"/>
          <w:szCs w:val="24"/>
          <w:highlight w:val="none"/>
          <w:u w:val="none"/>
          <w:lang w:val="en-US" w:eastAsia="zh-CN"/>
        </w:rPr>
        <w:t>日</w:t>
      </w:r>
      <w:r>
        <w:rPr>
          <w:rFonts w:hint="eastAsia" w:ascii="仿宋" w:hAnsi="仿宋" w:eastAsia="仿宋" w:cs="仿宋"/>
          <w:sz w:val="24"/>
          <w:szCs w:val="24"/>
        </w:rPr>
        <w:t>通知买方，并获得买方的书面认可。</w:t>
      </w:r>
      <w:bookmarkEnd w:id="158"/>
      <w:bookmarkEnd w:id="159"/>
      <w:bookmarkEnd w:id="160"/>
      <w:bookmarkEnd w:id="161"/>
      <w:bookmarkEnd w:id="162"/>
      <w:bookmarkEnd w:id="163"/>
      <w:bookmarkEnd w:id="164"/>
      <w:bookmarkEnd w:id="165"/>
    </w:p>
    <w:p>
      <w:pPr>
        <w:pStyle w:val="18"/>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66" w:name="_Toc9091"/>
      <w:bookmarkStart w:id="167" w:name="_Toc9599"/>
      <w:bookmarkStart w:id="168" w:name="_Toc30630"/>
      <w:bookmarkStart w:id="169" w:name="_Toc14279"/>
      <w:bookmarkStart w:id="170" w:name="_Toc7963"/>
      <w:bookmarkStart w:id="171" w:name="_Toc29149"/>
      <w:bookmarkStart w:id="172" w:name="_Toc6616"/>
      <w:bookmarkStart w:id="173" w:name="_Toc19665"/>
      <w:r>
        <w:rPr>
          <w:rFonts w:hint="eastAsia" w:ascii="仿宋" w:hAnsi="仿宋" w:eastAsia="仿宋" w:cs="仿宋"/>
          <w:sz w:val="24"/>
          <w:szCs w:val="24"/>
        </w:rPr>
        <w:t>货物在交货地点的卸货由卖方负责，卸货费用由卖方承担，卖方应在买方指定的地点卸货，且遵守买方有关卸货的指示。</w:t>
      </w:r>
      <w:bookmarkEnd w:id="166"/>
      <w:bookmarkEnd w:id="167"/>
      <w:bookmarkEnd w:id="168"/>
      <w:bookmarkEnd w:id="169"/>
      <w:bookmarkEnd w:id="170"/>
      <w:bookmarkEnd w:id="171"/>
      <w:bookmarkEnd w:id="172"/>
      <w:bookmarkEnd w:id="173"/>
    </w:p>
    <w:p>
      <w:pPr>
        <w:pStyle w:val="18"/>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74" w:name="_Toc27819"/>
      <w:bookmarkStart w:id="175" w:name="_Toc22415"/>
      <w:bookmarkStart w:id="176" w:name="_Toc3589"/>
      <w:bookmarkStart w:id="177" w:name="_Toc9850"/>
      <w:bookmarkStart w:id="178" w:name="_Toc22708"/>
      <w:bookmarkStart w:id="179" w:name="_Toc4643"/>
      <w:bookmarkStart w:id="180" w:name="_Toc20295"/>
      <w:bookmarkStart w:id="181" w:name="_Toc12539"/>
      <w:r>
        <w:rPr>
          <w:rFonts w:hint="eastAsia" w:ascii="仿宋" w:hAnsi="仿宋" w:eastAsia="仿宋" w:cs="仿宋"/>
          <w:sz w:val="24"/>
          <w:szCs w:val="24"/>
        </w:rPr>
        <w:t>卖方承担与货物和货物资料运输相关的全部费用，该等费用已包含于合同总价中。</w:t>
      </w:r>
      <w:bookmarkEnd w:id="174"/>
      <w:bookmarkEnd w:id="175"/>
      <w:bookmarkEnd w:id="176"/>
      <w:bookmarkEnd w:id="177"/>
      <w:bookmarkEnd w:id="178"/>
      <w:bookmarkEnd w:id="179"/>
      <w:bookmarkEnd w:id="180"/>
      <w:bookmarkEnd w:id="181"/>
    </w:p>
    <w:p>
      <w:pPr>
        <w:pStyle w:val="18"/>
        <w:numPr>
          <w:ilvl w:val="0"/>
          <w:numId w:val="10"/>
        </w:numPr>
        <w:spacing w:line="360" w:lineRule="auto"/>
        <w:ind w:left="567" w:hanging="567" w:firstLineChars="0"/>
        <w:rPr>
          <w:rFonts w:hint="eastAsia" w:ascii="仿宋" w:hAnsi="仿宋" w:eastAsia="仿宋" w:cs="仿宋"/>
          <w:sz w:val="24"/>
          <w:szCs w:val="24"/>
        </w:rPr>
      </w:pPr>
      <w:r>
        <w:rPr>
          <w:rFonts w:hint="eastAsia" w:ascii="仿宋" w:hAnsi="仿宋" w:eastAsia="仿宋" w:cs="仿宋"/>
          <w:sz w:val="24"/>
          <w:szCs w:val="24"/>
        </w:rPr>
        <w:t>运输保险</w:t>
      </w:r>
    </w:p>
    <w:p>
      <w:pPr>
        <w:pStyle w:val="18"/>
        <w:spacing w:line="360" w:lineRule="auto"/>
        <w:ind w:left="567" w:firstLine="0" w:firstLineChars="0"/>
        <w:rPr>
          <w:rFonts w:hint="eastAsia" w:ascii="仿宋" w:hAnsi="仿宋" w:eastAsia="仿宋" w:cs="仿宋"/>
          <w:bCs/>
          <w:sz w:val="24"/>
          <w:szCs w:val="24"/>
        </w:rPr>
      </w:pPr>
      <w:r>
        <w:rPr>
          <w:rFonts w:hint="eastAsia" w:ascii="仿宋" w:hAnsi="仿宋" w:eastAsia="仿宋" w:cs="仿宋"/>
          <w:sz w:val="24"/>
          <w:szCs w:val="24"/>
        </w:rPr>
        <w:t>卖方应</w:t>
      </w:r>
      <w:r>
        <w:rPr>
          <w:rFonts w:hint="eastAsia" w:ascii="仿宋" w:hAnsi="仿宋" w:eastAsia="仿宋" w:cs="仿宋"/>
          <w:bCs/>
          <w:sz w:val="24"/>
          <w:szCs w:val="24"/>
        </w:rPr>
        <w:t>根据运输方式，向买方认可的、拥有合法资质的著名保险公司投保货物运输一切险或综合险，保险金额不低于合同总价，并将买方列为共同被保险人或受益人。保障区段为卖方制造厂存储货物的仓库到项目现场用于存储货物的仓库，保险期限始于装货（含装货）止于</w:t>
      </w:r>
      <w:r>
        <w:rPr>
          <w:rFonts w:hint="eastAsia" w:ascii="仿宋" w:hAnsi="仿宋" w:eastAsia="仿宋" w:cs="仿宋"/>
          <w:b/>
          <w:bCs w:val="0"/>
          <w:i w:val="0"/>
          <w:iCs/>
          <w:sz w:val="24"/>
          <w:szCs w:val="24"/>
          <w:highlight w:val="none"/>
          <w:u w:val="single"/>
        </w:rPr>
        <w:t>15</w:t>
      </w:r>
      <w:r>
        <w:rPr>
          <w:rFonts w:hint="eastAsia" w:ascii="仿宋" w:hAnsi="仿宋" w:eastAsia="仿宋" w:cs="仿宋"/>
          <w:bCs/>
          <w:sz w:val="24"/>
          <w:szCs w:val="24"/>
        </w:rPr>
        <w:t>日。</w:t>
      </w:r>
    </w:p>
    <w:p>
      <w:pPr>
        <w:pStyle w:val="18"/>
        <w:numPr>
          <w:ilvl w:val="0"/>
          <w:numId w:val="1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 xml:space="preserve"> 关于运输、卸货等内容的特别约定：</w:t>
      </w:r>
      <w:r>
        <w:rPr>
          <w:rFonts w:hint="eastAsia" w:ascii="仿宋" w:hAnsi="仿宋" w:eastAsia="仿宋" w:cs="仿宋"/>
          <w:b/>
          <w:bCs/>
          <w:sz w:val="24"/>
          <w:szCs w:val="24"/>
          <w:highlight w:val="none"/>
          <w:u w:val="single"/>
        </w:rPr>
        <w:t>设备及其零部件应固定牢固，避免运输中磕碰损坏</w:t>
      </w:r>
      <w:r>
        <w:rPr>
          <w:rFonts w:hint="eastAsia" w:ascii="仿宋" w:hAnsi="仿宋" w:eastAsia="仿宋" w:cs="仿宋"/>
          <w:b w:val="0"/>
          <w:bCs w:val="0"/>
          <w:sz w:val="24"/>
          <w:szCs w:val="24"/>
          <w:highlight w:val="none"/>
          <w:u w:val="none"/>
          <w:lang w:eastAsia="zh-CN"/>
        </w:rPr>
        <w:t>。</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82" w:name="_Toc11711"/>
      <w:bookmarkStart w:id="183" w:name="_Toc23680"/>
      <w:bookmarkStart w:id="184" w:name="_Toc31450"/>
      <w:bookmarkStart w:id="185" w:name="_Toc16113"/>
      <w:r>
        <w:rPr>
          <w:rFonts w:hint="eastAsia" w:ascii="仿宋" w:hAnsi="仿宋" w:eastAsia="仿宋" w:cs="仿宋"/>
          <w:b/>
          <w:bCs w:val="0"/>
          <w:sz w:val="24"/>
          <w:szCs w:val="24"/>
        </w:rPr>
        <w:t>验收</w:t>
      </w:r>
      <w:bookmarkEnd w:id="129"/>
      <w:bookmarkEnd w:id="182"/>
      <w:bookmarkEnd w:id="183"/>
      <w:bookmarkEnd w:id="184"/>
      <w:bookmarkEnd w:id="185"/>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合同货物交付前，卖方应对其进行全面检验，并在交付货物时向买方提交货物的质量合格证书。</w:t>
      </w:r>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货物运抵交货地点时，双方应共同对货物进行验收。如果货物通过验收，买方向卖方签发验收证明。如货物不符合本合同的规定，买方有权拒绝接受货物。</w:t>
      </w:r>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买方验收货物不减少、免除卖方在本合同项下的任何义务（包括卖方对货物应符合本合同质量、规格要求应承担的责任）。</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86" w:name="_Toc4120"/>
      <w:bookmarkStart w:id="187" w:name="_Toc273451799"/>
      <w:bookmarkStart w:id="188" w:name="_Toc306354316"/>
      <w:bookmarkStart w:id="189" w:name="_Toc278875415"/>
      <w:bookmarkStart w:id="190" w:name="_Toc274343583"/>
      <w:bookmarkStart w:id="191" w:name="_Toc8690"/>
      <w:bookmarkStart w:id="192" w:name="_Toc273388514"/>
      <w:bookmarkStart w:id="193" w:name="_Toc273458613"/>
      <w:bookmarkStart w:id="194" w:name="_Toc273388613"/>
      <w:bookmarkStart w:id="195" w:name="_Toc274669181"/>
      <w:bookmarkStart w:id="196" w:name="_Toc274403515"/>
      <w:bookmarkStart w:id="197" w:name="_Toc298158366"/>
      <w:bookmarkStart w:id="198" w:name="_Toc274075980"/>
      <w:bookmarkStart w:id="199" w:name="_Toc16996"/>
      <w:bookmarkStart w:id="200" w:name="_Toc274754050"/>
      <w:bookmarkStart w:id="201" w:name="_Toc274344115"/>
      <w:bookmarkStart w:id="202" w:name="_Toc29404"/>
      <w:bookmarkStart w:id="203" w:name="_Toc274668240"/>
      <w:r>
        <w:rPr>
          <w:rFonts w:hint="eastAsia" w:ascii="仿宋" w:hAnsi="仿宋" w:eastAsia="仿宋" w:cs="仿宋"/>
          <w:b/>
          <w:bCs w:val="0"/>
          <w:sz w:val="24"/>
          <w:szCs w:val="24"/>
        </w:rPr>
        <w:t>风险和所有权的转移</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除非本合同另有明确规定，卖方在指定交货地点将货物交付给买方且买方签收货物之前，货物的一切风险（包括货物在制造、储存和自发货地点至指定交货地点运输及装卸货过程中毁损、灭失的风险）由卖方承担。卖方在指定交货地点将货物交付给买方且买方签收货物之后，货物的一切风险由买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未经买方同意，卖方将货物留置或自行处置，不得视为货物合法、有效地交付买方。未经合法、有效交付，货物的风险仍由卖方承担。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虽然有前述规定，但是，如果货物的风险系因卖方违反合同规定、卖方的过错或者其它可归咎于卖方的原因造成的，货物的风险由卖方承担。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卖方在约定交货地点交货后，货物的所有权转移至买方。</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04" w:name="_Toc5113"/>
      <w:bookmarkStart w:id="205" w:name="_Toc13823"/>
      <w:bookmarkStart w:id="206" w:name="_Toc30522"/>
      <w:bookmarkStart w:id="207" w:name="_Toc7717"/>
      <w:bookmarkStart w:id="208" w:name="_Toc306354317"/>
      <w:r>
        <w:rPr>
          <w:rFonts w:hint="eastAsia" w:ascii="仿宋" w:hAnsi="仿宋" w:eastAsia="仿宋" w:cs="仿宋"/>
          <w:b/>
          <w:bCs w:val="0"/>
          <w:sz w:val="24"/>
          <w:szCs w:val="24"/>
        </w:rPr>
        <w:t>技术服务</w:t>
      </w:r>
      <w:bookmarkEnd w:id="204"/>
      <w:bookmarkEnd w:id="205"/>
      <w:bookmarkEnd w:id="206"/>
      <w:bookmarkEnd w:id="207"/>
    </w:p>
    <w:p>
      <w:pPr>
        <w:numPr>
          <w:ilvl w:val="0"/>
          <w:numId w:val="13"/>
        </w:numPr>
        <w:tabs>
          <w:tab w:val="left" w:pos="567"/>
          <w:tab w:val="clear" w:pos="1860"/>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卖方应根据本合同的规定提供技术服务。相关费用已经包含在合同总价中，技术服务的内容和具体要求</w:t>
      </w:r>
      <w:r>
        <w:rPr>
          <w:rFonts w:hint="eastAsia" w:ascii="仿宋" w:hAnsi="仿宋" w:eastAsia="仿宋" w:cs="仿宋"/>
          <w:b/>
          <w:bCs/>
          <w:i w:val="0"/>
          <w:iCs w:val="0"/>
          <w:sz w:val="24"/>
          <w:szCs w:val="24"/>
          <w:highlight w:val="none"/>
          <w:u w:val="single"/>
        </w:rPr>
        <w:t>详见本合同附件二</w:t>
      </w:r>
      <w:r>
        <w:rPr>
          <w:rFonts w:hint="eastAsia" w:ascii="仿宋" w:hAnsi="仿宋" w:eastAsia="仿宋" w:cs="仿宋"/>
          <w:sz w:val="24"/>
          <w:szCs w:val="24"/>
        </w:rPr>
        <w:t>。</w:t>
      </w:r>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卖方应根据买方要求，指派服务人员到项目现场或买方指定的其它地点提供技术服务。</w:t>
      </w:r>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bookmarkStart w:id="209" w:name="_DV_C687"/>
      <w:r>
        <w:rPr>
          <w:rFonts w:hint="eastAsia" w:ascii="仿宋" w:hAnsi="仿宋" w:eastAsia="仿宋" w:cs="仿宋"/>
          <w:sz w:val="24"/>
          <w:szCs w:val="24"/>
        </w:rPr>
        <w:t>如果买方认为卖方指派的服务人员提供的技术服务无法满足本合同的要求，卖方应更换服务人员并负担由此产生的全部费用。</w:t>
      </w:r>
      <w:bookmarkEnd w:id="209"/>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卖方指派的服务人员在为买方提供技术服务期间所遭受的人身和财产损失由卖方自行承担，除非该人身损害系因买方造成或该财产损失系因买方重大过失造成。</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0" w:name="_Toc6354"/>
      <w:bookmarkStart w:id="211" w:name="_Toc5726"/>
      <w:bookmarkStart w:id="212" w:name="_Toc24281"/>
      <w:bookmarkStart w:id="213" w:name="_Toc24375"/>
      <w:r>
        <w:rPr>
          <w:rFonts w:hint="eastAsia" w:ascii="仿宋" w:hAnsi="仿宋" w:eastAsia="仿宋" w:cs="仿宋"/>
          <w:b/>
          <w:bCs w:val="0"/>
          <w:sz w:val="24"/>
          <w:szCs w:val="24"/>
        </w:rPr>
        <w:t>权利保证</w:t>
      </w:r>
      <w:bookmarkEnd w:id="208"/>
      <w:bookmarkEnd w:id="210"/>
      <w:bookmarkEnd w:id="211"/>
      <w:bookmarkEnd w:id="212"/>
      <w:bookmarkEnd w:id="213"/>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卖方保证，货物未侵犯任何第三方的专利权、商标权或其它知识产权，货物包含的全部专利、商标及其它知识产权均为卖方合法拥有或已获得第三方的有效授权。</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卖方保证，货物交付前，卖方对其货物享有完整的所有权，且货物上不存在任何形式的担保物权及其它任何权利负担，亦未侵犯任何第三方的权利。</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货物侵犯任何第三方的权利（包括知识产权），卖方应根据买方的要求自行承担费用采取一切措施确保买方继续获得货物的权利，包括为买方的利益购买货物的全部权益（包括但不限于知识产权），或采用不侵权的材料、零部件、设计、技术、工艺、方法对货物进行变更，变更后货物的功能、品质和水平应符合本合同的规定，且不低于变更前的货物。</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双方同意，除非本合同另有约定，货物交付且买方按照本合同约定支付合同价款之后，买方</w:t>
      </w:r>
      <w:r>
        <w:rPr>
          <w:rFonts w:hint="eastAsia" w:ascii="仿宋" w:hAnsi="仿宋" w:eastAsia="仿宋" w:cs="仿宋"/>
          <w:color w:val="000000"/>
          <w:sz w:val="24"/>
          <w:szCs w:val="24"/>
        </w:rPr>
        <w:t>不自动获得并拥有货物自身附有的相关知识产权，但</w:t>
      </w:r>
      <w:r>
        <w:rPr>
          <w:rFonts w:hint="eastAsia" w:ascii="仿宋" w:hAnsi="仿宋" w:eastAsia="仿宋" w:cs="仿宋"/>
          <w:sz w:val="24"/>
          <w:szCs w:val="24"/>
        </w:rPr>
        <w:t>卖方同意无偿许可买方使用与货物有关的所有知识产权。</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4" w:name="_Toc306354318"/>
      <w:r>
        <w:rPr>
          <w:rFonts w:hint="eastAsia" w:ascii="仿宋" w:hAnsi="仿宋" w:eastAsia="仿宋" w:cs="仿宋"/>
          <w:b/>
          <w:bCs w:val="0"/>
          <w:sz w:val="24"/>
          <w:szCs w:val="24"/>
        </w:rPr>
        <w:t xml:space="preserve"> </w:t>
      </w:r>
      <w:bookmarkStart w:id="215" w:name="_Toc4589"/>
      <w:bookmarkStart w:id="216" w:name="_Toc9651"/>
      <w:bookmarkStart w:id="217" w:name="_Toc8818"/>
      <w:bookmarkStart w:id="218" w:name="_Toc13517"/>
      <w:r>
        <w:rPr>
          <w:rFonts w:hint="eastAsia" w:ascii="仿宋" w:hAnsi="仿宋" w:eastAsia="仿宋" w:cs="仿宋"/>
          <w:b/>
          <w:bCs w:val="0"/>
          <w:sz w:val="24"/>
          <w:szCs w:val="24"/>
        </w:rPr>
        <w:t>质量保证</w:t>
      </w:r>
      <w:bookmarkEnd w:id="214"/>
      <w:bookmarkEnd w:id="215"/>
      <w:bookmarkEnd w:id="216"/>
      <w:bookmarkEnd w:id="217"/>
      <w:bookmarkEnd w:id="218"/>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卖方特此保证提供的货物是崭新、从未使用过的，采用先进技术制造，具备优良的制造工艺和水平，符合本合同规定的要求，不存在任何缺陷。</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color w:val="000000"/>
          <w:sz w:val="24"/>
          <w:szCs w:val="24"/>
        </w:rPr>
      </w:pPr>
      <w:r>
        <w:rPr>
          <w:rFonts w:hint="eastAsia" w:ascii="仿宋" w:hAnsi="仿宋" w:eastAsia="仿宋" w:cs="仿宋"/>
          <w:sz w:val="24"/>
          <w:szCs w:val="24"/>
        </w:rPr>
        <w:t>货物的质保期为货物到货验收合格后</w:t>
      </w:r>
      <w:r>
        <w:rPr>
          <w:rFonts w:hint="eastAsia" w:ascii="仿宋" w:hAnsi="仿宋" w:eastAsia="仿宋" w:cs="仿宋"/>
          <w:b/>
          <w:bCs/>
          <w:color w:val="000000"/>
          <w:sz w:val="24"/>
          <w:szCs w:val="24"/>
          <w:highlight w:val="none"/>
          <w:u w:val="single"/>
          <w:lang w:val="en-US" w:eastAsia="zh-CN"/>
        </w:rPr>
        <w:t>12</w:t>
      </w:r>
      <w:r>
        <w:rPr>
          <w:rFonts w:hint="eastAsia" w:ascii="仿宋" w:hAnsi="仿宋" w:eastAsia="仿宋" w:cs="仿宋"/>
          <w:color w:val="000000"/>
          <w:sz w:val="24"/>
          <w:szCs w:val="24"/>
        </w:rPr>
        <w:t>个月。</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（3）退货。卖方承担由此产生的费用。</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对于任何修复或更换，卖方应在收到买方发出的货物缺陷通知</w:t>
      </w:r>
      <w:r>
        <w:rPr>
          <w:rFonts w:hint="eastAsia" w:ascii="仿宋" w:hAnsi="仿宋" w:eastAsia="仿宋" w:cs="仿宋"/>
          <w:b w:val="0"/>
          <w:bCs w:val="0"/>
          <w:sz w:val="24"/>
          <w:szCs w:val="24"/>
          <w:highlight w:val="none"/>
          <w:u w:val="none"/>
        </w:rPr>
        <w:t>后</w:t>
      </w:r>
      <w:r>
        <w:rPr>
          <w:rFonts w:hint="eastAsia" w:ascii="仿宋" w:hAnsi="仿宋" w:eastAsia="仿宋" w:cs="仿宋"/>
          <w:b/>
          <w:bCs/>
          <w:color w:val="000000"/>
          <w:sz w:val="24"/>
          <w:szCs w:val="24"/>
          <w:highlight w:val="none"/>
          <w:u w:val="single"/>
          <w:lang w:val="en-US" w:eastAsia="zh-CN"/>
        </w:rPr>
        <w:t>5</w:t>
      </w:r>
      <w:r>
        <w:rPr>
          <w:rFonts w:hint="eastAsia" w:ascii="仿宋" w:hAnsi="仿宋" w:eastAsia="仿宋" w:cs="仿宋"/>
          <w:sz w:val="24"/>
          <w:szCs w:val="24"/>
        </w:rPr>
        <w:t>日内完成。若卖方到通知后未在规定的时间内及时维修、重作、更换以弥补缺陷，卖方可采取必要的补救措施，但其风险和费用将由买方承担，买方根据合同规定对买方行使的其他权利不受影响。如经修复、更换仍无法消除该等缺陷，买方有权要求退货。卖方应赔偿买方因货物存在前述缺陷遭受的全部损失。</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如在质保期内发生维修、重作、更换以弥补缺陷事件，则相应的质保期应重新计算。</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质保期结束，买方向卖方签发货物最终接收证书。买方签发最终接收证书不减少、免除卖方在本合同项下的任何义务（包括卖方对货物应符合本合同质量、规格要求应承担的责任）。</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9" w:name="_Toc274076152"/>
      <w:bookmarkStart w:id="220" w:name="_Toc274754051"/>
      <w:bookmarkStart w:id="221" w:name="_Toc274343584"/>
      <w:bookmarkStart w:id="222" w:name="_Toc274669182"/>
      <w:bookmarkStart w:id="223" w:name="_Toc278875417"/>
      <w:bookmarkStart w:id="224" w:name="_Toc274344116"/>
      <w:bookmarkStart w:id="225" w:name="_Toc274668241"/>
      <w:bookmarkStart w:id="226" w:name="_Toc273451906"/>
      <w:bookmarkStart w:id="227" w:name="_Toc273451839"/>
      <w:bookmarkStart w:id="228" w:name="_Toc298158368"/>
      <w:bookmarkStart w:id="229" w:name="_Toc274403516"/>
      <w:bookmarkStart w:id="230" w:name="_Toc274075964"/>
      <w:bookmarkStart w:id="231" w:name="_Toc306354320"/>
      <w:bookmarkStart w:id="232" w:name="_Toc273458618"/>
      <w:bookmarkStart w:id="233" w:name="_Toc273388618"/>
      <w:bookmarkStart w:id="234" w:name="_Toc273388519"/>
      <w:bookmarkStart w:id="235" w:name="_Toc274075986"/>
      <w:bookmarkStart w:id="236" w:name="_Toc273451804"/>
      <w:r>
        <w:rPr>
          <w:rFonts w:hint="eastAsia" w:ascii="仿宋" w:hAnsi="仿宋" w:eastAsia="仿宋" w:cs="仿宋"/>
          <w:b/>
          <w:bCs w:val="0"/>
          <w:sz w:val="24"/>
          <w:szCs w:val="24"/>
        </w:rPr>
        <w:t xml:space="preserve"> </w:t>
      </w:r>
      <w:bookmarkStart w:id="237" w:name="_Toc29977"/>
      <w:bookmarkStart w:id="238" w:name="_Toc28391"/>
      <w:bookmarkStart w:id="239" w:name="_Toc15168"/>
      <w:bookmarkStart w:id="240" w:name="_Toc8250"/>
      <w:r>
        <w:rPr>
          <w:rFonts w:hint="eastAsia" w:ascii="仿宋" w:hAnsi="仿宋" w:eastAsia="仿宋" w:cs="仿宋"/>
          <w:b/>
          <w:bCs w:val="0"/>
          <w:sz w:val="24"/>
          <w:szCs w:val="24"/>
        </w:rPr>
        <w:t>违约责任</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7"/>
      <w:bookmarkEnd w:id="238"/>
      <w:bookmarkEnd w:id="239"/>
      <w:bookmarkEnd w:id="240"/>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卖方发生下列任一违约行为时，应向买方支付合同总价</w:t>
      </w:r>
      <w:r>
        <w:rPr>
          <w:rFonts w:hint="eastAsia" w:ascii="仿宋" w:hAnsi="仿宋" w:eastAsia="仿宋" w:cs="仿宋"/>
          <w:b/>
          <w:bCs/>
          <w:sz w:val="24"/>
          <w:szCs w:val="24"/>
          <w:u w:val="single"/>
          <w:lang w:val="en-US" w:eastAsia="zh-CN"/>
        </w:rPr>
        <w:t>20</w:t>
      </w:r>
      <w:r>
        <w:rPr>
          <w:rFonts w:hint="eastAsia" w:ascii="仿宋" w:hAnsi="仿宋" w:eastAsia="仿宋" w:cs="仿宋"/>
          <w:sz w:val="24"/>
          <w:szCs w:val="24"/>
          <w:lang w:val="en-US" w:eastAsia="zh-CN"/>
        </w:rPr>
        <w:t>%</w:t>
      </w:r>
      <w:r>
        <w:rPr>
          <w:rFonts w:hint="eastAsia" w:ascii="仿宋" w:hAnsi="仿宋" w:eastAsia="仿宋" w:cs="仿宋"/>
          <w:sz w:val="24"/>
          <w:szCs w:val="24"/>
        </w:rPr>
        <w:t>的违约金，并赔偿买方因此遭受的</w:t>
      </w:r>
      <w:r>
        <w:rPr>
          <w:rFonts w:hint="eastAsia" w:ascii="仿宋" w:hAnsi="仿宋" w:eastAsia="仿宋" w:cs="仿宋"/>
          <w:bCs/>
          <w:sz w:val="24"/>
          <w:szCs w:val="24"/>
        </w:rPr>
        <w:t>超出违约金数额的</w:t>
      </w:r>
      <w:r>
        <w:rPr>
          <w:rFonts w:hint="eastAsia" w:ascii="仿宋" w:hAnsi="仿宋" w:eastAsia="仿宋" w:cs="仿宋"/>
          <w:sz w:val="24"/>
          <w:szCs w:val="24"/>
        </w:rPr>
        <w:t>全部损失：</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卖方未按照合同的规定提供货物和相关服务；</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卖方提供的货物不合格，且卖方未根据合同规定及时更换为合格产品；</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卖方违反本合同规定的承诺、保证或其它义务。</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就卖方的上述违约行为，买方除有权依据本合同第12.1款要求卖方承担违约责任外，有权向卖方出具书面通知，要求卖方进行更正或整改。如卖方收到该等通知后</w:t>
      </w:r>
      <w:r>
        <w:rPr>
          <w:rFonts w:hint="eastAsia" w:ascii="仿宋" w:hAnsi="仿宋" w:eastAsia="仿宋" w:cs="仿宋"/>
          <w:b/>
          <w:bCs/>
          <w:sz w:val="24"/>
          <w:szCs w:val="24"/>
          <w:u w:val="single"/>
        </w:rPr>
        <w:t>10</w:t>
      </w:r>
      <w:r>
        <w:rPr>
          <w:rFonts w:hint="eastAsia" w:ascii="仿宋" w:hAnsi="仿宋" w:eastAsia="仿宋" w:cs="仿宋"/>
          <w:sz w:val="24"/>
          <w:szCs w:val="24"/>
        </w:rPr>
        <w:t>个工作日内未按照买方要求作出更正或进行整改的，买方有权立即解除本合同，卖方应赔偿买方因此而遭受的</w:t>
      </w:r>
      <w:r>
        <w:rPr>
          <w:rFonts w:hint="eastAsia" w:ascii="仿宋" w:hAnsi="仿宋" w:eastAsia="仿宋" w:cs="仿宋"/>
          <w:bCs/>
          <w:sz w:val="24"/>
          <w:szCs w:val="24"/>
        </w:rPr>
        <w:t>超出违约金数额的</w:t>
      </w:r>
      <w:r>
        <w:rPr>
          <w:rFonts w:hint="eastAsia" w:ascii="仿宋" w:hAnsi="仿宋" w:eastAsia="仿宋" w:cs="仿宋"/>
          <w:sz w:val="24"/>
          <w:szCs w:val="24"/>
        </w:rPr>
        <w:t>全部损失。</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bCs/>
          <w:sz w:val="24"/>
          <w:szCs w:val="24"/>
        </w:rPr>
      </w:pPr>
      <w:r>
        <w:rPr>
          <w:rFonts w:hint="eastAsia" w:ascii="仿宋" w:hAnsi="仿宋" w:eastAsia="仿宋" w:cs="仿宋"/>
          <w:sz w:val="24"/>
          <w:szCs w:val="24"/>
        </w:rPr>
        <w:t>如卖方未能在交付日期交付货物，每延期交付一日，卖方应向买方支付合同总价的</w:t>
      </w:r>
      <w:r>
        <w:rPr>
          <w:rFonts w:hint="eastAsia" w:ascii="仿宋" w:hAnsi="仿宋" w:eastAsia="仿宋" w:cs="仿宋"/>
          <w:b/>
          <w:bCs/>
          <w:sz w:val="24"/>
          <w:szCs w:val="24"/>
          <w:u w:val="single"/>
          <w:lang w:val="en-US" w:eastAsia="zh-CN"/>
        </w:rPr>
        <w:t>0.05%</w:t>
      </w:r>
      <w:r>
        <w:rPr>
          <w:rFonts w:hint="eastAsia" w:ascii="仿宋" w:hAnsi="仿宋" w:eastAsia="仿宋" w:cs="仿宋"/>
          <w:sz w:val="24"/>
          <w:szCs w:val="24"/>
        </w:rPr>
        <w:t>作为延期违约金，但是，该等延期违约金最高不得超过合同总价的</w:t>
      </w:r>
      <w:r>
        <w:rPr>
          <w:rFonts w:hint="eastAsia" w:ascii="仿宋" w:hAnsi="仿宋" w:eastAsia="仿宋" w:cs="仿宋"/>
          <w:b/>
          <w:bCs/>
          <w:sz w:val="24"/>
          <w:szCs w:val="24"/>
          <w:u w:val="single"/>
          <w:lang w:val="en-US" w:eastAsia="zh-CN"/>
        </w:rPr>
        <w:t>20%</w:t>
      </w:r>
      <w:r>
        <w:rPr>
          <w:rFonts w:hint="eastAsia" w:ascii="仿宋" w:hAnsi="仿宋" w:eastAsia="仿宋" w:cs="仿宋"/>
          <w:sz w:val="24"/>
          <w:szCs w:val="24"/>
        </w:rPr>
        <w:t>。如延期超过</w:t>
      </w:r>
      <w:r>
        <w:rPr>
          <w:rFonts w:hint="eastAsia" w:ascii="仿宋" w:hAnsi="仿宋" w:eastAsia="仿宋" w:cs="仿宋"/>
          <w:b/>
          <w:bCs/>
          <w:sz w:val="24"/>
          <w:szCs w:val="24"/>
          <w:u w:val="single"/>
          <w:lang w:val="en-US" w:eastAsia="zh-CN"/>
        </w:rPr>
        <w:t>30</w:t>
      </w:r>
      <w:r>
        <w:rPr>
          <w:rFonts w:hint="eastAsia" w:ascii="仿宋" w:hAnsi="仿宋" w:eastAsia="仿宋" w:cs="仿宋"/>
          <w:sz w:val="24"/>
          <w:szCs w:val="24"/>
        </w:rPr>
        <w:t>日，除要求卖方支付违约金外，买方有权解除本合同，并有权要求卖方赔偿买方因此遭</w:t>
      </w:r>
      <w:r>
        <w:rPr>
          <w:rFonts w:hint="eastAsia" w:ascii="仿宋" w:hAnsi="仿宋" w:eastAsia="仿宋" w:cs="仿宋"/>
          <w:bCs/>
          <w:sz w:val="24"/>
          <w:szCs w:val="24"/>
        </w:rPr>
        <w:t>受的超出违约金数额的全部损失。</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如仅因买方原因，买方逾期向卖方付款，卖方应向买方发出书面催款通知，买方应在收到该等通知后</w:t>
      </w:r>
      <w:r>
        <w:rPr>
          <w:rFonts w:hint="eastAsia" w:ascii="仿宋" w:hAnsi="仿宋" w:eastAsia="仿宋" w:cs="仿宋"/>
          <w:b/>
          <w:bCs/>
          <w:sz w:val="24"/>
          <w:szCs w:val="24"/>
          <w:u w:val="single"/>
          <w:lang w:val="en-US" w:eastAsia="zh-CN"/>
        </w:rPr>
        <w:t>7</w:t>
      </w:r>
      <w:r>
        <w:rPr>
          <w:rFonts w:hint="eastAsia" w:ascii="仿宋" w:hAnsi="仿宋" w:eastAsia="仿宋" w:cs="仿宋"/>
          <w:sz w:val="24"/>
          <w:szCs w:val="24"/>
        </w:rPr>
        <w:t>日内付款，否则，即应自该等</w:t>
      </w:r>
      <w:r>
        <w:rPr>
          <w:rFonts w:hint="eastAsia" w:ascii="仿宋" w:hAnsi="仿宋" w:eastAsia="仿宋" w:cs="仿宋"/>
          <w:b/>
          <w:bCs/>
          <w:sz w:val="24"/>
          <w:szCs w:val="24"/>
          <w:u w:val="single"/>
          <w:lang w:val="en-US" w:eastAsia="zh-CN"/>
        </w:rPr>
        <w:t>7</w:t>
      </w:r>
      <w:r>
        <w:rPr>
          <w:rFonts w:hint="eastAsia" w:ascii="仿宋" w:hAnsi="仿宋" w:eastAsia="仿宋" w:cs="仿宋"/>
          <w:sz w:val="24"/>
          <w:szCs w:val="24"/>
        </w:rPr>
        <w:t>日期间结束之日起，按合同订立时1年期贷款市场报价利率计算并支付应付未付合同价款的利息，最高不超过相关应付未付合同价款的</w:t>
      </w:r>
      <w:r>
        <w:rPr>
          <w:rFonts w:hint="eastAsia" w:ascii="仿宋" w:hAnsi="仿宋" w:eastAsia="仿宋" w:cs="仿宋"/>
          <w:b/>
          <w:bCs/>
          <w:sz w:val="24"/>
          <w:szCs w:val="24"/>
          <w:u w:val="single"/>
          <w:lang w:val="en-US" w:eastAsia="zh-CN"/>
        </w:rPr>
        <w:t>5%</w:t>
      </w:r>
      <w:r>
        <w:rPr>
          <w:rFonts w:hint="eastAsia" w:ascii="仿宋" w:hAnsi="仿宋" w:eastAsia="仿宋" w:cs="仿宋"/>
          <w:sz w:val="24"/>
          <w:szCs w:val="24"/>
        </w:rPr>
        <w:t>。双方同意，该等利息的支付是买方就未能如期支付相关合同价款所需承担的全部责任。</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卖方根据本合同的规定应承担违约金或赔偿责任的，买方有权从合同总价余额中直接扣除。</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 xml:space="preserve"> </w:t>
      </w:r>
      <w:bookmarkStart w:id="241" w:name="_Toc306354321"/>
      <w:bookmarkStart w:id="242" w:name="_Toc1046"/>
      <w:bookmarkStart w:id="243" w:name="_Toc968"/>
      <w:bookmarkStart w:id="244" w:name="_Toc11693"/>
      <w:bookmarkStart w:id="245" w:name="_Toc20788"/>
      <w:r>
        <w:rPr>
          <w:rFonts w:hint="eastAsia" w:ascii="仿宋" w:hAnsi="仿宋" w:eastAsia="仿宋" w:cs="仿宋"/>
          <w:b/>
          <w:bCs w:val="0"/>
          <w:sz w:val="24"/>
          <w:szCs w:val="24"/>
        </w:rPr>
        <w:t>合同的解除和终止</w:t>
      </w:r>
      <w:bookmarkEnd w:id="241"/>
      <w:bookmarkEnd w:id="242"/>
      <w:bookmarkEnd w:id="243"/>
      <w:bookmarkEnd w:id="244"/>
      <w:bookmarkEnd w:id="245"/>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如发生以下任一情形，经书面通知卖方，买方有权解除本合同： </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本合同明确规定买方有权解除合同的情形；</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卖方破产、资不抵债、停业清理、解散、被兼并、被查封；</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卖方发生其它严重违约，且未在买方要求的合理期限内纠正；</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不可抗力持续超过</w:t>
      </w:r>
      <w:r>
        <w:rPr>
          <w:rFonts w:hint="eastAsia" w:ascii="仿宋" w:hAnsi="仿宋" w:eastAsia="仿宋" w:cs="仿宋"/>
          <w:b/>
          <w:bCs/>
          <w:i w:val="0"/>
          <w:iCs/>
          <w:sz w:val="24"/>
          <w:szCs w:val="24"/>
          <w:highlight w:val="none"/>
          <w:u w:val="single"/>
        </w:rPr>
        <w:t>60</w:t>
      </w:r>
      <w:r>
        <w:rPr>
          <w:rFonts w:hint="eastAsia" w:ascii="仿宋" w:hAnsi="仿宋" w:eastAsia="仿宋" w:cs="仿宋"/>
          <w:sz w:val="24"/>
          <w:szCs w:val="24"/>
        </w:rPr>
        <w:t>日。</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如因卖方违约买方解除本合同，卖方应退回买方已经支付的全部款项，并根据本合同规定支付违约金，并且买方有权要求卖方赔偿其因此遭受的</w:t>
      </w:r>
      <w:r>
        <w:rPr>
          <w:rFonts w:hint="eastAsia" w:ascii="仿宋" w:hAnsi="仿宋" w:eastAsia="仿宋" w:cs="仿宋"/>
          <w:bCs/>
          <w:sz w:val="24"/>
          <w:szCs w:val="24"/>
        </w:rPr>
        <w:t>超出违约金数额的</w:t>
      </w:r>
      <w:r>
        <w:rPr>
          <w:rFonts w:hint="eastAsia" w:ascii="仿宋" w:hAnsi="仿宋" w:eastAsia="仿宋" w:cs="仿宋"/>
          <w:color w:val="000000"/>
          <w:sz w:val="24"/>
          <w:szCs w:val="24"/>
        </w:rPr>
        <w:t>全部损失。买方有权以适当的条件和方式购买同等货物，卖方应承担买方购买同等货物的差额费用。</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无论基于何种原因，经提前</w:t>
      </w:r>
      <w:r>
        <w:rPr>
          <w:rFonts w:hint="eastAsia" w:ascii="仿宋" w:hAnsi="仿宋" w:eastAsia="仿宋" w:cs="仿宋"/>
          <w:b/>
          <w:bCs/>
          <w:i w:val="0"/>
          <w:iCs/>
          <w:color w:val="000000"/>
          <w:sz w:val="24"/>
          <w:szCs w:val="24"/>
          <w:highlight w:val="none"/>
          <w:u w:val="single"/>
        </w:rPr>
        <w:t>15</w:t>
      </w:r>
      <w:r>
        <w:rPr>
          <w:rFonts w:hint="eastAsia" w:ascii="仿宋" w:hAnsi="仿宋" w:eastAsia="仿宋" w:cs="仿宋"/>
          <w:color w:val="000000"/>
          <w:sz w:val="24"/>
          <w:szCs w:val="24"/>
        </w:rPr>
        <w:t>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买方向卖方支付的该等补偿款系买方根据本款规定终止合同时，卖方可获得的全部赔偿。任何时候卖方均无权要求买方赔偿因合同终止引起的预期利润的损失或损害。</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bookmarkStart w:id="246" w:name="_DV_C932"/>
      <w:r>
        <w:rPr>
          <w:rFonts w:hint="eastAsia" w:ascii="仿宋" w:hAnsi="仿宋" w:eastAsia="仿宋" w:cs="仿宋"/>
          <w:color w:val="000000"/>
          <w:sz w:val="24"/>
          <w:szCs w:val="24"/>
        </w:rPr>
        <w:t>如果本合同根据本条第13.3款终止，对于合同终止前买方已经支付合同价款或提供补偿费用的货物，卖方应立即移交给买方，买方拥有相关货物的全部权益。</w:t>
      </w:r>
      <w:bookmarkEnd w:id="246"/>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47" w:name="_Toc306354322"/>
      <w:r>
        <w:rPr>
          <w:rFonts w:hint="eastAsia" w:ascii="仿宋" w:hAnsi="仿宋" w:eastAsia="仿宋" w:cs="仿宋"/>
          <w:b/>
          <w:bCs w:val="0"/>
          <w:sz w:val="24"/>
          <w:szCs w:val="24"/>
        </w:rPr>
        <w:t xml:space="preserve"> </w:t>
      </w:r>
      <w:bookmarkStart w:id="248" w:name="_Toc1865"/>
      <w:bookmarkStart w:id="249" w:name="_Toc28873"/>
      <w:bookmarkStart w:id="250" w:name="_Toc26558"/>
      <w:bookmarkStart w:id="251" w:name="_Toc31063"/>
      <w:r>
        <w:rPr>
          <w:rFonts w:hint="eastAsia" w:ascii="仿宋" w:hAnsi="仿宋" w:eastAsia="仿宋" w:cs="仿宋"/>
          <w:b/>
          <w:bCs w:val="0"/>
          <w:sz w:val="24"/>
          <w:szCs w:val="24"/>
        </w:rPr>
        <w:t>健康、安全和环保</w:t>
      </w:r>
      <w:bookmarkEnd w:id="247"/>
      <w:bookmarkEnd w:id="248"/>
      <w:bookmarkEnd w:id="249"/>
      <w:bookmarkEnd w:id="250"/>
      <w:bookmarkEnd w:id="251"/>
    </w:p>
    <w:p>
      <w:pPr>
        <w:numPr>
          <w:ilvl w:val="0"/>
          <w:numId w:val="20"/>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卖方应确保在货物制造过程中使用的材料和制作工艺符合国家标准，保证货物制造现场符合法律法规的要求。</w:t>
      </w:r>
    </w:p>
    <w:p>
      <w:pPr>
        <w:numPr>
          <w:ilvl w:val="0"/>
          <w:numId w:val="20"/>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卖方向买方提供的货物必须符合中国有关健康、安全、环保法律法规的规定。对于根据有关法律法规必须持证生产或经营的货物，卖方在生产或经营时应持有全套有效的生产许可证或经营许可证。</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52" w:name="_Toc306354323"/>
      <w:r>
        <w:rPr>
          <w:rFonts w:hint="eastAsia" w:ascii="仿宋" w:hAnsi="仿宋" w:eastAsia="仿宋" w:cs="仿宋"/>
          <w:b/>
          <w:bCs w:val="0"/>
          <w:sz w:val="24"/>
          <w:szCs w:val="24"/>
        </w:rPr>
        <w:t xml:space="preserve"> </w:t>
      </w:r>
      <w:bookmarkStart w:id="253" w:name="_Toc24856"/>
      <w:bookmarkStart w:id="254" w:name="_Toc28553"/>
      <w:bookmarkStart w:id="255" w:name="_Toc12381"/>
      <w:bookmarkStart w:id="256" w:name="_Toc19908"/>
      <w:r>
        <w:rPr>
          <w:rFonts w:hint="eastAsia" w:ascii="仿宋" w:hAnsi="仿宋" w:eastAsia="仿宋" w:cs="仿宋"/>
          <w:b/>
          <w:bCs w:val="0"/>
          <w:sz w:val="24"/>
          <w:szCs w:val="24"/>
        </w:rPr>
        <w:t>转让和分包</w:t>
      </w:r>
      <w:bookmarkEnd w:id="252"/>
      <w:bookmarkEnd w:id="253"/>
      <w:bookmarkEnd w:id="254"/>
      <w:bookmarkEnd w:id="255"/>
      <w:bookmarkEnd w:id="256"/>
    </w:p>
    <w:p>
      <w:pPr>
        <w:widowControl/>
        <w:numPr>
          <w:ilvl w:val="0"/>
          <w:numId w:val="21"/>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事先书面同意，卖方不得将其在本合同项下的任何权利和义务全部或部分转让给任何第三方，包括卖方的关联企业。买方可以将其在本合同项下的权利和义务全部或部分转让给其关联企业，且无需事先征得卖方的同意，但应书面通知卖方。</w:t>
      </w:r>
    </w:p>
    <w:p>
      <w:pPr>
        <w:widowControl/>
        <w:numPr>
          <w:ilvl w:val="0"/>
          <w:numId w:val="21"/>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未经买方事先书面同意，卖方不得将其在本合同项下的任何义务分包给任何第三方，包括卖方的关联企业。</w:t>
      </w:r>
      <w:bookmarkStart w:id="257" w:name="_DV_C867"/>
      <w:r>
        <w:rPr>
          <w:rFonts w:hint="eastAsia" w:ascii="仿宋" w:hAnsi="仿宋" w:eastAsia="仿宋" w:cs="仿宋"/>
          <w:sz w:val="24"/>
          <w:szCs w:val="24"/>
        </w:rPr>
        <w:t>卖方不得将本合同转包给任何第三方，包括其关联企业。</w:t>
      </w:r>
      <w:bookmarkEnd w:id="257"/>
    </w:p>
    <w:bookmarkEnd w:id="232"/>
    <w:bookmarkEnd w:id="233"/>
    <w:bookmarkEnd w:id="234"/>
    <w:bookmarkEnd w:id="235"/>
    <w:bookmarkEnd w:id="236"/>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58" w:name="_Toc306354324"/>
      <w:r>
        <w:rPr>
          <w:rFonts w:hint="eastAsia" w:ascii="仿宋" w:hAnsi="仿宋" w:eastAsia="仿宋" w:cs="仿宋"/>
          <w:b/>
          <w:bCs w:val="0"/>
          <w:sz w:val="24"/>
          <w:szCs w:val="24"/>
        </w:rPr>
        <w:t xml:space="preserve"> </w:t>
      </w:r>
      <w:bookmarkStart w:id="259" w:name="_Toc12084"/>
      <w:bookmarkStart w:id="260" w:name="_Toc26229"/>
      <w:bookmarkStart w:id="261" w:name="_Toc12258"/>
      <w:bookmarkStart w:id="262" w:name="_Toc12667"/>
      <w:r>
        <w:rPr>
          <w:rFonts w:hint="eastAsia" w:ascii="仿宋" w:hAnsi="仿宋" w:eastAsia="仿宋" w:cs="仿宋"/>
          <w:b/>
          <w:bCs w:val="0"/>
          <w:sz w:val="24"/>
          <w:szCs w:val="24"/>
        </w:rPr>
        <w:t>不可抗力</w:t>
      </w:r>
      <w:bookmarkEnd w:id="258"/>
      <w:bookmarkEnd w:id="259"/>
      <w:bookmarkEnd w:id="260"/>
      <w:bookmarkEnd w:id="261"/>
      <w:bookmarkEnd w:id="262"/>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不可抗力系指本合同的履行过程中，任何一方经合理努力仍不可预见、不可避</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免并不能克服的客观情况。任何一方因不可抗力不能或延迟履行本合同，不承担违约责任。</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如发生不可抗力，双方各自承担其人员和财产损失。一旦不可抗力停止或者影响消除，双方应立即履行其义务，合同的期限应该相应顺延。如果不可抗力的影响持续超过</w:t>
      </w:r>
      <w:r>
        <w:rPr>
          <w:rFonts w:hint="eastAsia" w:ascii="仿宋" w:hAnsi="仿宋" w:eastAsia="仿宋" w:cs="仿宋"/>
          <w:b/>
          <w:bCs/>
          <w:i w:val="0"/>
          <w:iCs/>
          <w:color w:val="000000"/>
          <w:sz w:val="24"/>
          <w:szCs w:val="24"/>
          <w:highlight w:val="none"/>
          <w:u w:val="single"/>
          <w:lang w:val="en-US" w:eastAsia="zh-CN"/>
        </w:rPr>
        <w:t>30</w:t>
      </w:r>
      <w:r>
        <w:rPr>
          <w:rFonts w:hint="eastAsia" w:ascii="仿宋" w:hAnsi="仿宋" w:eastAsia="仿宋" w:cs="仿宋"/>
          <w:sz w:val="24"/>
          <w:szCs w:val="24"/>
        </w:rPr>
        <w:t>日，双方应该共同商议应对措施。</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任何一方迟延履行合同后遭受不可抗力的，不得减少、免除该方在本合同项下的任何义务和责任。</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63" w:name="_Toc2545"/>
      <w:bookmarkStart w:id="264" w:name="_Toc24095"/>
      <w:bookmarkStart w:id="265" w:name="_Toc306354326"/>
      <w:bookmarkStart w:id="266" w:name="_Toc14216"/>
      <w:bookmarkStart w:id="267" w:name="_Toc21727"/>
      <w:bookmarkStart w:id="268" w:name="_Toc298158360"/>
      <w:r>
        <w:rPr>
          <w:rFonts w:hint="eastAsia" w:ascii="仿宋" w:hAnsi="仿宋" w:eastAsia="仿宋" w:cs="仿宋"/>
          <w:b/>
          <w:bCs w:val="0"/>
          <w:sz w:val="24"/>
          <w:szCs w:val="24"/>
        </w:rPr>
        <w:t>保密</w:t>
      </w:r>
      <w:bookmarkEnd w:id="263"/>
      <w:bookmarkEnd w:id="264"/>
      <w:bookmarkEnd w:id="265"/>
      <w:bookmarkEnd w:id="266"/>
      <w:bookmarkEnd w:id="267"/>
      <w:bookmarkEnd w:id="268"/>
    </w:p>
    <w:p>
      <w:pPr>
        <w:numPr>
          <w:ilvl w:val="0"/>
          <w:numId w:val="23"/>
        </w:numPr>
        <w:tabs>
          <w:tab w:val="left" w:pos="567"/>
          <w:tab w:val="left" w:pos="709"/>
        </w:tabs>
        <w:spacing w:before="72" w:beforeLines="30" w:after="72" w:afterLines="30" w:line="360" w:lineRule="auto"/>
        <w:ind w:left="567" w:hanging="567"/>
        <w:rPr>
          <w:rFonts w:hint="eastAsia" w:ascii="仿宋" w:hAnsi="仿宋" w:eastAsia="仿宋" w:cs="仿宋"/>
          <w:b/>
          <w:bCs w:val="0"/>
          <w:sz w:val="24"/>
          <w:szCs w:val="24"/>
        </w:rPr>
      </w:pPr>
      <w:r>
        <w:rPr>
          <w:rFonts w:hint="eastAsia" w:ascii="仿宋" w:hAnsi="仿宋" w:eastAsia="仿宋" w:cs="仿宋"/>
          <w:sz w:val="24"/>
          <w:szCs w:val="24"/>
        </w:rPr>
        <w:t>除非法律法规、政府机关另行强制要求，未经买方同意，卖方不得将买方保密信息披露给任何第三方（包括与合同无关的卖方员工和政府部门），亦不得将该等信息用于与本合同无关的用途。保密信息包括但不限于：合同内容；买方提供的与本合同有关的任何技术信息、图纸、样本、资料等；买方提供的或卖方获得的与项目或买方有关的任何技术和商务信息。</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69" w:name="_Toc29189"/>
      <w:bookmarkStart w:id="270" w:name="_Toc11396"/>
      <w:bookmarkStart w:id="271" w:name="_Toc17771"/>
      <w:bookmarkStart w:id="272" w:name="_Toc247"/>
      <w:bookmarkStart w:id="273" w:name="_Toc306354328"/>
      <w:r>
        <w:rPr>
          <w:rFonts w:hint="eastAsia" w:ascii="仿宋" w:hAnsi="仿宋" w:eastAsia="仿宋" w:cs="仿宋"/>
          <w:b/>
          <w:bCs w:val="0"/>
          <w:sz w:val="24"/>
          <w:szCs w:val="24"/>
        </w:rPr>
        <w:t>审计、禁止商业贿赂和反腐败</w:t>
      </w:r>
      <w:bookmarkEnd w:id="269"/>
      <w:bookmarkEnd w:id="270"/>
      <w:bookmarkEnd w:id="271"/>
      <w:bookmarkEnd w:id="272"/>
    </w:p>
    <w:p>
      <w:pPr>
        <w:pStyle w:val="18"/>
        <w:numPr>
          <w:ilvl w:val="0"/>
          <w:numId w:val="24"/>
        </w:numPr>
        <w:adjustRightInd w:val="0"/>
        <w:snapToGrid w:val="0"/>
        <w:spacing w:before="72" w:beforeLines="30" w:after="72" w:afterLines="30" w:line="360" w:lineRule="auto"/>
        <w:ind w:left="567" w:hanging="567" w:firstLineChars="0"/>
        <w:rPr>
          <w:rFonts w:hint="eastAsia" w:ascii="仿宋" w:hAnsi="仿宋" w:eastAsia="仿宋" w:cs="仿宋"/>
          <w:sz w:val="24"/>
          <w:szCs w:val="24"/>
        </w:rPr>
      </w:pPr>
      <w:r>
        <w:rPr>
          <w:rFonts w:hint="eastAsia" w:ascii="仿宋" w:hAnsi="仿宋" w:eastAsia="仿宋" w:cs="仿宋"/>
          <w:kern w:val="0"/>
          <w:sz w:val="24"/>
          <w:szCs w:val="24"/>
        </w:rPr>
        <w:t>卖方应根据买方要求，接受和配合买方或买方委</w:t>
      </w:r>
      <w:r>
        <w:rPr>
          <w:rFonts w:hint="eastAsia" w:ascii="仿宋" w:hAnsi="仿宋" w:eastAsia="仿宋" w:cs="仿宋"/>
          <w:sz w:val="24"/>
          <w:szCs w:val="24"/>
        </w:rPr>
        <w:t>托的会计师事务所进行的与本合同相关的审计。</w:t>
      </w:r>
    </w:p>
    <w:p>
      <w:pPr>
        <w:pStyle w:val="18"/>
        <w:numPr>
          <w:ilvl w:val="0"/>
          <w:numId w:val="24"/>
        </w:numPr>
        <w:adjustRightInd w:val="0"/>
        <w:snapToGrid w:val="0"/>
        <w:spacing w:before="72" w:beforeLines="30" w:after="72" w:afterLines="30" w:line="360" w:lineRule="auto"/>
        <w:ind w:left="567" w:hanging="567" w:firstLineChars="0"/>
        <w:rPr>
          <w:rFonts w:hint="eastAsia" w:ascii="仿宋" w:hAnsi="仿宋" w:eastAsia="仿宋" w:cs="仿宋"/>
          <w:sz w:val="24"/>
          <w:szCs w:val="24"/>
        </w:rPr>
      </w:pPr>
      <w:r>
        <w:rPr>
          <w:rFonts w:hint="eastAsia" w:ascii="仿宋" w:hAnsi="仿宋" w:eastAsia="仿宋" w:cs="仿宋"/>
          <w:kern w:val="0"/>
          <w:sz w:val="24"/>
          <w:szCs w:val="24"/>
        </w:rPr>
        <w:t>卖方应保存与本合同相关的记录和账目，保存期限为本合同终止后</w:t>
      </w:r>
      <w:r>
        <w:rPr>
          <w:rFonts w:hint="eastAsia" w:ascii="仿宋" w:hAnsi="仿宋" w:eastAsia="仿宋" w:cs="仿宋"/>
          <w:b/>
          <w:bCs/>
          <w:i w:val="0"/>
          <w:iCs/>
          <w:color w:val="000000"/>
          <w:sz w:val="24"/>
          <w:szCs w:val="24"/>
          <w:highlight w:val="none"/>
          <w:u w:val="single"/>
        </w:rPr>
        <w:t>1</w:t>
      </w:r>
      <w:r>
        <w:rPr>
          <w:rFonts w:hint="eastAsia" w:ascii="仿宋" w:hAnsi="仿宋" w:eastAsia="仿宋" w:cs="仿宋"/>
          <w:b/>
          <w:bCs/>
          <w:i w:val="0"/>
          <w:iCs/>
          <w:color w:val="000000"/>
          <w:sz w:val="24"/>
          <w:szCs w:val="24"/>
          <w:highlight w:val="none"/>
          <w:u w:val="single"/>
          <w:lang w:val="en-US" w:eastAsia="zh-CN"/>
        </w:rPr>
        <w:t>0</w:t>
      </w:r>
      <w:r>
        <w:rPr>
          <w:rFonts w:hint="eastAsia" w:ascii="仿宋" w:hAnsi="仿宋" w:eastAsia="仿宋" w:cs="仿宋"/>
          <w:kern w:val="0"/>
          <w:sz w:val="24"/>
          <w:szCs w:val="24"/>
        </w:rPr>
        <w:t>年或遵从所在国相关规定。经提前通知，买方或买方委托的会计师事务所有权检查并复制该等记录和账目。</w:t>
      </w:r>
    </w:p>
    <w:p>
      <w:pPr>
        <w:pStyle w:val="18"/>
        <w:numPr>
          <w:ilvl w:val="0"/>
          <w:numId w:val="24"/>
        </w:numPr>
        <w:spacing w:line="360" w:lineRule="auto"/>
        <w:ind w:left="567" w:hanging="567" w:firstLineChars="0"/>
        <w:rPr>
          <w:rFonts w:hint="eastAsia" w:ascii="仿宋" w:hAnsi="仿宋" w:eastAsia="仿宋" w:cs="仿宋"/>
          <w:b/>
          <w:bCs w:val="0"/>
          <w:sz w:val="24"/>
          <w:szCs w:val="24"/>
        </w:rPr>
      </w:pPr>
      <w:r>
        <w:rPr>
          <w:rFonts w:hint="eastAsia" w:ascii="仿宋" w:hAnsi="仿宋" w:eastAsia="仿宋" w:cs="仿宋"/>
          <w:sz w:val="24"/>
          <w:szCs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74" w:name="_Toc17120"/>
      <w:bookmarkStart w:id="275" w:name="_Toc31728"/>
      <w:bookmarkStart w:id="276" w:name="_Toc10131"/>
      <w:bookmarkStart w:id="277" w:name="_Toc4177"/>
      <w:r>
        <w:rPr>
          <w:rFonts w:hint="eastAsia" w:ascii="仿宋" w:hAnsi="仿宋" w:eastAsia="仿宋" w:cs="仿宋"/>
          <w:b/>
          <w:bCs w:val="0"/>
          <w:sz w:val="24"/>
          <w:szCs w:val="24"/>
        </w:rPr>
        <w:t>通知</w:t>
      </w:r>
      <w:bookmarkEnd w:id="273"/>
      <w:bookmarkEnd w:id="274"/>
      <w:bookmarkEnd w:id="275"/>
      <w:bookmarkEnd w:id="276"/>
      <w:bookmarkEnd w:id="277"/>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仿宋" w:hAnsi="仿宋" w:eastAsia="仿宋" w:cs="仿宋"/>
          <w:sz w:val="24"/>
          <w:szCs w:val="24"/>
        </w:rPr>
      </w:pPr>
      <w:r>
        <w:rPr>
          <w:rFonts w:hint="eastAsia" w:ascii="仿宋" w:hAnsi="仿宋" w:eastAsia="仿宋" w:cs="仿宋"/>
          <w:sz w:val="24"/>
          <w:szCs w:val="24"/>
        </w:rPr>
        <w:t>通知应根据本合同规定以亲自递送、特快专递、传真等方式送达。通知在下列情况视为送达：</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如采用亲自递送方式，于签收确认之时；</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如采用特快专递方式，于收件人签收之时；</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如采用传真方式，于确认传输之时。</w:t>
      </w:r>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仿宋" w:hAnsi="仿宋" w:eastAsia="仿宋" w:cs="仿宋"/>
          <w:sz w:val="24"/>
          <w:szCs w:val="24"/>
        </w:rPr>
      </w:pPr>
      <w:r>
        <w:rPr>
          <w:rFonts w:hint="eastAsia" w:ascii="仿宋" w:hAnsi="仿宋" w:eastAsia="仿宋" w:cs="仿宋"/>
          <w:sz w:val="24"/>
          <w:szCs w:val="24"/>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numPr>
          <w:ilvl w:val="0"/>
          <w:numId w:val="25"/>
        </w:numPr>
        <w:adjustRightInd w:val="0"/>
        <w:snapToGrid w:val="0"/>
        <w:spacing w:line="360" w:lineRule="auto"/>
        <w:ind w:left="567" w:hanging="567"/>
        <w:jc w:val="left"/>
        <w:textAlignment w:val="baseline"/>
        <w:outlineLvl w:val="3"/>
        <w:rPr>
          <w:rFonts w:hint="eastAsia" w:ascii="仿宋" w:hAnsi="仿宋" w:eastAsia="仿宋" w:cs="仿宋"/>
          <w:sz w:val="24"/>
          <w:szCs w:val="24"/>
        </w:rPr>
      </w:pPr>
      <w:r>
        <w:rPr>
          <w:rFonts w:hint="eastAsia" w:ascii="仿宋" w:hAnsi="仿宋" w:eastAsia="仿宋" w:cs="仿宋"/>
          <w:bCs/>
          <w:kern w:val="0"/>
          <w:sz w:val="24"/>
          <w:szCs w:val="24"/>
        </w:rPr>
        <w:t>本合同送达地址适用范围包括就本合同发生争议时相关文件和法律文书的 送达（包括在争议进入仲裁、民事诉讼程序后的一审、二审、再审和执行程序）。</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78" w:name="_Toc26083"/>
      <w:bookmarkStart w:id="279" w:name="_Toc26875"/>
      <w:bookmarkStart w:id="280" w:name="_Toc5105"/>
      <w:bookmarkStart w:id="281" w:name="_Toc23711"/>
      <w:bookmarkStart w:id="282" w:name="_Toc306354329"/>
      <w:r>
        <w:rPr>
          <w:rFonts w:hint="eastAsia" w:ascii="仿宋" w:hAnsi="仿宋" w:eastAsia="仿宋" w:cs="仿宋"/>
          <w:b/>
          <w:bCs w:val="0"/>
          <w:sz w:val="24"/>
          <w:szCs w:val="24"/>
        </w:rPr>
        <w:t>法律适用和争议解决</w:t>
      </w:r>
      <w:bookmarkEnd w:id="278"/>
      <w:bookmarkEnd w:id="279"/>
      <w:bookmarkEnd w:id="280"/>
      <w:bookmarkEnd w:id="281"/>
      <w:bookmarkEnd w:id="282"/>
    </w:p>
    <w:p>
      <w:pPr>
        <w:numPr>
          <w:ilvl w:val="1"/>
          <w:numId w:val="27"/>
        </w:numPr>
        <w:tabs>
          <w:tab w:val="left" w:pos="567"/>
        </w:tabs>
        <w:spacing w:before="72" w:beforeLines="30" w:after="72" w:afterLines="30" w:line="360" w:lineRule="auto"/>
        <w:ind w:left="567" w:hanging="567"/>
        <w:rPr>
          <w:rFonts w:hint="eastAsia" w:ascii="仿宋" w:hAnsi="仿宋" w:eastAsia="仿宋" w:cs="仿宋"/>
          <w:sz w:val="24"/>
          <w:szCs w:val="24"/>
        </w:rPr>
      </w:pPr>
      <w:bookmarkStart w:id="283" w:name="_Toc296955884"/>
      <w:bookmarkStart w:id="284" w:name="_Toc296959346"/>
      <w:r>
        <w:rPr>
          <w:rFonts w:hint="eastAsia" w:ascii="仿宋" w:hAnsi="仿宋" w:eastAsia="仿宋" w:cs="仿宋"/>
          <w:sz w:val="24"/>
          <w:szCs w:val="24"/>
        </w:rPr>
        <w:t>本合同适用中华人民共和国（不含香港特别行政区、澳门特别行政区和台湾地区）法律。</w:t>
      </w:r>
    </w:p>
    <w:p>
      <w:pPr>
        <w:spacing w:before="72" w:beforeLines="30" w:after="72" w:afterLines="30" w:line="360" w:lineRule="auto"/>
        <w:ind w:left="567"/>
        <w:rPr>
          <w:rFonts w:hint="eastAsia" w:ascii="仿宋" w:hAnsi="仿宋" w:eastAsia="仿宋" w:cs="仿宋"/>
          <w:sz w:val="24"/>
          <w:szCs w:val="24"/>
          <w:highlight w:val="none"/>
        </w:rPr>
      </w:pPr>
      <w:r>
        <w:rPr>
          <w:rFonts w:hint="eastAsia" w:ascii="仿宋" w:hAnsi="仿宋" w:eastAsia="仿宋" w:cs="仿宋"/>
          <w:sz w:val="24"/>
          <w:szCs w:val="24"/>
        </w:rPr>
        <w:t>因履行本合同发生的或与本合同有关的一切争议，双方首先应友好协商解决，如经协商</w:t>
      </w:r>
      <w:r>
        <w:rPr>
          <w:rFonts w:hint="eastAsia" w:ascii="仿宋" w:hAnsi="仿宋" w:eastAsia="仿宋" w:cs="仿宋"/>
          <w:b/>
          <w:bCs/>
          <w:i w:val="0"/>
          <w:iCs/>
          <w:sz w:val="24"/>
          <w:szCs w:val="24"/>
          <w:highlight w:val="none"/>
          <w:u w:val="single"/>
        </w:rPr>
        <w:t>60</w:t>
      </w:r>
      <w:r>
        <w:rPr>
          <w:rFonts w:hint="eastAsia" w:ascii="仿宋" w:hAnsi="仿宋" w:eastAsia="仿宋" w:cs="仿宋"/>
          <w:sz w:val="24"/>
          <w:szCs w:val="24"/>
        </w:rPr>
        <w:t>日内仍不能解决，</w:t>
      </w:r>
      <w:r>
        <w:rPr>
          <w:rFonts w:hint="eastAsia" w:ascii="仿宋" w:hAnsi="仿宋" w:eastAsia="仿宋" w:cs="仿宋"/>
          <w:sz w:val="24"/>
          <w:szCs w:val="24"/>
          <w:highlight w:val="none"/>
        </w:rPr>
        <w:t>双方同意</w:t>
      </w:r>
      <w:r>
        <w:rPr>
          <w:rFonts w:hint="eastAsia" w:ascii="仿宋" w:hAnsi="仿宋" w:eastAsia="仿宋" w:cs="仿宋"/>
          <w:sz w:val="24"/>
          <w:szCs w:val="24"/>
          <w:highlight w:val="none"/>
          <w:lang w:val="en-US" w:eastAsia="zh-CN"/>
        </w:rPr>
        <w:t>按照第</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方式解决</w:t>
      </w:r>
      <w:r>
        <w:rPr>
          <w:rFonts w:hint="eastAsia" w:ascii="仿宋" w:hAnsi="仿宋" w:eastAsia="仿宋" w:cs="仿宋"/>
          <w:sz w:val="24"/>
          <w:szCs w:val="24"/>
          <w:highlight w:val="none"/>
        </w:rPr>
        <w:t>：</w:t>
      </w:r>
    </w:p>
    <w:p>
      <w:pPr>
        <w:spacing w:before="72" w:beforeLines="30" w:after="72" w:afterLines="30" w:line="360" w:lineRule="auto"/>
        <w:ind w:left="567"/>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1)向买方所在地人民法院起诉。</w:t>
      </w:r>
    </w:p>
    <w:p>
      <w:pPr>
        <w:spacing w:before="72" w:beforeLines="30" w:after="72" w:afterLines="30" w:line="360" w:lineRule="auto"/>
        <w:ind w:left="567"/>
        <w:rPr>
          <w:rFonts w:hint="eastAsia" w:ascii="仿宋" w:hAnsi="仿宋" w:eastAsia="仿宋" w:cs="仿宋"/>
          <w:sz w:val="24"/>
          <w:szCs w:val="24"/>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提交□中国国际经济贸易仲裁委员会；□北京仲裁委员会；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天津仲裁委员会进行仲裁。</w:t>
      </w:r>
      <w:r>
        <w:rPr>
          <w:rFonts w:hint="eastAsia" w:ascii="仿宋" w:hAnsi="仿宋" w:eastAsia="仿宋" w:cs="仿宋"/>
          <w:bCs/>
          <w:sz w:val="24"/>
          <w:szCs w:val="24"/>
          <w:highlight w:val="none"/>
        </w:rPr>
        <w:t>仲裁应根据申请仲裁时该仲裁委员会现行有效的仲裁规则进行。仲裁员人数为</w:t>
      </w:r>
      <w:r>
        <w:rPr>
          <w:rFonts w:hint="eastAsia" w:ascii="仿宋" w:hAnsi="仿宋" w:eastAsia="仿宋" w:cs="仿宋"/>
          <w:b/>
          <w:bCs w:val="0"/>
          <w:sz w:val="24"/>
          <w:szCs w:val="24"/>
          <w:highlight w:val="none"/>
          <w:u w:val="single"/>
          <w:lang w:val="en-US" w:eastAsia="zh-CN"/>
        </w:rPr>
        <w:t>3</w:t>
      </w:r>
      <w:r>
        <w:rPr>
          <w:rFonts w:hint="eastAsia" w:ascii="仿宋" w:hAnsi="仿宋" w:eastAsia="仿宋" w:cs="仿宋"/>
          <w:bCs/>
          <w:sz w:val="24"/>
          <w:szCs w:val="24"/>
          <w:highlight w:val="none"/>
        </w:rPr>
        <w:t>名。庭审地为</w:t>
      </w:r>
      <w:r>
        <w:rPr>
          <w:rFonts w:hint="eastAsia" w:ascii="仿宋" w:hAnsi="仿宋" w:eastAsia="仿宋" w:cs="仿宋"/>
          <w:b/>
          <w:bCs w:val="0"/>
          <w:sz w:val="24"/>
          <w:szCs w:val="24"/>
          <w:highlight w:val="none"/>
          <w:u w:val="single"/>
          <w:lang w:val="en-US" w:eastAsia="zh-CN"/>
        </w:rPr>
        <w:t>天津</w:t>
      </w:r>
      <w:r>
        <w:rPr>
          <w:rFonts w:hint="eastAsia" w:ascii="仿宋" w:hAnsi="仿宋" w:eastAsia="仿宋" w:cs="仿宋"/>
          <w:bCs/>
          <w:sz w:val="24"/>
          <w:szCs w:val="24"/>
          <w:highlight w:val="none"/>
        </w:rPr>
        <w:t>。仲裁裁决是终局的，对双方均有约束力。</w:t>
      </w:r>
    </w:p>
    <w:p>
      <w:pPr>
        <w:numPr>
          <w:ilvl w:val="1"/>
          <w:numId w:val="27"/>
        </w:numPr>
        <w:tabs>
          <w:tab w:val="left" w:pos="567"/>
        </w:tabs>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争议解决期间，除争议事项外，双方应继续履行本合同。</w:t>
      </w:r>
    </w:p>
    <w:bookmarkEnd w:id="283"/>
    <w:bookmarkEnd w:id="284"/>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85" w:name="_Toc1602"/>
      <w:bookmarkStart w:id="286" w:name="_Toc26634"/>
      <w:bookmarkStart w:id="287" w:name="_Toc7331"/>
      <w:bookmarkStart w:id="288" w:name="_Toc306354330"/>
      <w:bookmarkStart w:id="289" w:name="_Toc27027"/>
      <w:r>
        <w:rPr>
          <w:rFonts w:hint="eastAsia" w:ascii="仿宋" w:hAnsi="仿宋" w:eastAsia="仿宋" w:cs="仿宋"/>
          <w:b/>
          <w:bCs w:val="0"/>
          <w:sz w:val="24"/>
          <w:szCs w:val="24"/>
        </w:rPr>
        <w:t>其它</w:t>
      </w:r>
      <w:bookmarkEnd w:id="285"/>
      <w:bookmarkEnd w:id="286"/>
      <w:bookmarkEnd w:id="287"/>
      <w:bookmarkEnd w:id="288"/>
      <w:bookmarkEnd w:id="289"/>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本合同自买卖双方法定代表人或授权代表签字并盖章之日起生效，</w:t>
      </w:r>
      <w:bookmarkStart w:id="290" w:name="OLE_LINK12"/>
      <w:bookmarkStart w:id="291" w:name="OLE_LINK11"/>
      <w:r>
        <w:rPr>
          <w:rFonts w:hint="eastAsia" w:ascii="仿宋" w:hAnsi="仿宋" w:eastAsia="仿宋" w:cs="仿宋"/>
          <w:sz w:val="24"/>
          <w:szCs w:val="24"/>
        </w:rPr>
        <w:t>自双方履行完本合同项下全部权利和义务后终止</w:t>
      </w:r>
      <w:bookmarkEnd w:id="290"/>
      <w:bookmarkEnd w:id="291"/>
      <w:r>
        <w:rPr>
          <w:rFonts w:hint="eastAsia" w:ascii="仿宋" w:hAnsi="仿宋" w:eastAsia="仿宋" w:cs="仿宋"/>
          <w:sz w:val="24"/>
          <w:szCs w:val="24"/>
        </w:rPr>
        <w:t>。</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本合同签署以前双方就本合同约定的货物买卖及相关事宜达成的所有口头和/或书面的声明、文件、信件及双方其它形式的通信在本合同生效后自动失效。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未经另一方事先书面同意，任何一方不得以任何方式使用另一方的名称、商品商标、服务商标、企业标志、商号或品牌。</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如果本合同的任何条款或规定被裁定为无效、不合法或不可强制执行，该条款或规定应视为被删除，本合同其它条款不受影响，仍继续有效。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本合同解除或终止后，本合同项下关于知识产权、保密、保证、责任、法律适用、争议解决和其它具有持续性效力的条款继续有效。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本合同未尽事宜，应由双方协商确定，并签订补充协议，补充协议与本合同具有同等法律效力。</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本合同的任何变更、修改或增减，须经双方协商一致、法定代表人或授权代表签署书面文件并盖章后生效。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本合同系双方协商、讨论的结果，合同内容非一方当事人单方拟定。本合同不属于格式合同，条款内容不属于格式条款。</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28"/>
        </w:numPr>
        <w:tabs>
          <w:tab w:val="left" w:pos="567"/>
        </w:tabs>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highlight w:val="none"/>
        </w:rPr>
        <w:t>合同一式</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份，买卖双方各持</w:t>
      </w:r>
      <w:r>
        <w:rPr>
          <w:rFonts w:hint="eastAsia" w:ascii="仿宋" w:hAnsi="仿宋" w:eastAsia="仿宋" w:cs="仿宋"/>
          <w:sz w:val="24"/>
          <w:szCs w:val="24"/>
          <w:highlight w:val="none"/>
          <w:lang w:val="en-US" w:eastAsia="zh-CN"/>
        </w:rPr>
        <w:t>壹</w:t>
      </w:r>
      <w:r>
        <w:rPr>
          <w:rFonts w:hint="eastAsia" w:ascii="仿宋" w:hAnsi="仿宋" w:eastAsia="仿宋" w:cs="仿宋"/>
          <w:sz w:val="24"/>
          <w:szCs w:val="24"/>
          <w:highlight w:val="none"/>
        </w:rPr>
        <w:t>份，具</w:t>
      </w:r>
      <w:r>
        <w:rPr>
          <w:rFonts w:hint="eastAsia" w:ascii="仿宋" w:hAnsi="仿宋" w:eastAsia="仿宋" w:cs="仿宋"/>
          <w:sz w:val="24"/>
          <w:szCs w:val="24"/>
        </w:rPr>
        <w:t>有同等效力。</w:t>
      </w:r>
    </w:p>
    <w:p>
      <w:pPr>
        <w:tabs>
          <w:tab w:val="left" w:pos="850"/>
        </w:tabs>
        <w:autoSpaceDE w:val="0"/>
        <w:autoSpaceDN w:val="0"/>
        <w:spacing w:before="72" w:beforeLines="30" w:after="72" w:afterLines="30" w:line="360" w:lineRule="auto"/>
        <w:jc w:val="center"/>
        <w:textAlignment w:val="bottom"/>
        <w:outlineLvl w:val="0"/>
        <w:rPr>
          <w:rFonts w:hint="eastAsia" w:ascii="仿宋" w:hAnsi="仿宋" w:eastAsia="仿宋" w:cs="仿宋"/>
          <w:b/>
          <w:sz w:val="24"/>
          <w:szCs w:val="24"/>
        </w:rPr>
      </w:pPr>
      <w:bookmarkStart w:id="292" w:name="_Toc25479"/>
      <w:bookmarkStart w:id="293" w:name="_Toc9862"/>
      <w:bookmarkStart w:id="294" w:name="_Toc32705"/>
      <w:bookmarkStart w:id="295" w:name="_Toc17063"/>
      <w:bookmarkStart w:id="296" w:name="_Toc27394"/>
      <w:bookmarkStart w:id="297" w:name="_Toc15539"/>
      <w:r>
        <w:rPr>
          <w:rFonts w:hint="eastAsia" w:ascii="仿宋" w:hAnsi="仿宋" w:eastAsia="仿宋" w:cs="仿宋"/>
          <w:b/>
          <w:sz w:val="24"/>
          <w:szCs w:val="24"/>
        </w:rPr>
        <w:t>（</w:t>
      </w:r>
      <w:r>
        <w:rPr>
          <w:rFonts w:hint="eastAsia" w:ascii="仿宋" w:hAnsi="仿宋" w:eastAsia="仿宋" w:cs="仿宋"/>
          <w:b/>
          <w:sz w:val="24"/>
          <w:szCs w:val="24"/>
          <w:lang w:val="en-US" w:eastAsia="zh-CN"/>
        </w:rPr>
        <w:t>以下</w:t>
      </w:r>
      <w:r>
        <w:rPr>
          <w:rFonts w:hint="eastAsia" w:ascii="仿宋" w:hAnsi="仿宋" w:eastAsia="仿宋" w:cs="仿宋"/>
          <w:b/>
          <w:sz w:val="24"/>
          <w:szCs w:val="24"/>
        </w:rPr>
        <w:t>无正文）</w:t>
      </w:r>
      <w:bookmarkEnd w:id="292"/>
      <w:bookmarkEnd w:id="293"/>
      <w:bookmarkEnd w:id="294"/>
      <w:bookmarkEnd w:id="295"/>
      <w:bookmarkEnd w:id="296"/>
      <w:bookmarkEnd w:id="297"/>
    </w:p>
    <w:p>
      <w:pPr>
        <w:widowControl/>
        <w:spacing w:before="72" w:beforeLines="30" w:after="72" w:afterLines="30" w:line="360" w:lineRule="auto"/>
        <w:jc w:val="center"/>
        <w:rPr>
          <w:rFonts w:hint="eastAsia" w:ascii="仿宋" w:hAnsi="仿宋" w:eastAsia="仿宋" w:cs="仿宋"/>
          <w:b/>
          <w:sz w:val="24"/>
          <w:szCs w:val="24"/>
        </w:rPr>
      </w:pPr>
      <w:r>
        <w:rPr>
          <w:rFonts w:hint="eastAsia" w:ascii="仿宋" w:hAnsi="仿宋" w:eastAsia="仿宋" w:cs="仿宋"/>
          <w:sz w:val="24"/>
          <w:szCs w:val="24"/>
        </w:rPr>
        <w:br w:type="page"/>
      </w:r>
      <w:bookmarkStart w:id="298" w:name="_Toc17677"/>
      <w:bookmarkStart w:id="299" w:name="_Toc21101"/>
      <w:bookmarkStart w:id="300" w:name="_Toc6390"/>
      <w:r>
        <w:rPr>
          <w:rFonts w:hint="eastAsia" w:ascii="仿宋" w:hAnsi="仿宋" w:eastAsia="仿宋" w:cs="仿宋"/>
          <w:b/>
          <w:sz w:val="24"/>
          <w:szCs w:val="24"/>
        </w:rPr>
        <w:t>（本页无正文，为签章页）</w:t>
      </w:r>
      <w:bookmarkEnd w:id="298"/>
      <w:bookmarkEnd w:id="299"/>
      <w:bookmarkEnd w:id="300"/>
    </w:p>
    <w:tbl>
      <w:tblPr>
        <w:tblStyle w:val="12"/>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1615" w:hRule="atLeast"/>
        </w:trPr>
        <w:tc>
          <w:tcPr>
            <w:tcW w:w="2603" w:type="pct"/>
            <w:noWrap w:val="0"/>
            <w:vAlign w:val="top"/>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买方（盖章）</w:t>
            </w:r>
          </w:p>
        </w:tc>
        <w:tc>
          <w:tcPr>
            <w:tcW w:w="2397" w:type="pct"/>
            <w:noWrap w:val="0"/>
            <w:vAlign w:val="top"/>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卖方（盖章）</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tc>
      </w:tr>
      <w:tr>
        <w:tblPrEx>
          <w:tblCellMar>
            <w:top w:w="0" w:type="dxa"/>
            <w:left w:w="108" w:type="dxa"/>
            <w:bottom w:w="0" w:type="dxa"/>
            <w:right w:w="108" w:type="dxa"/>
          </w:tblCellMar>
        </w:tblPrEx>
        <w:trPr>
          <w:trHeight w:val="1084" w:hRule="atLeast"/>
        </w:trPr>
        <w:tc>
          <w:tcPr>
            <w:tcW w:w="2603" w:type="pct"/>
            <w:noWrap w:val="0"/>
            <w:vAlign w:val="center"/>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法定代表人或授权代表签字：</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u w:val="single"/>
              </w:rPr>
              <w:t xml:space="preserve">                                  </w:t>
            </w:r>
          </w:p>
        </w:tc>
        <w:tc>
          <w:tcPr>
            <w:tcW w:w="2397" w:type="pct"/>
            <w:noWrap w:val="0"/>
            <w:vAlign w:val="center"/>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法定代表人或授权代表签字：</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u w:val="single"/>
              </w:rPr>
              <w:t xml:space="preserve">                                </w:t>
            </w:r>
          </w:p>
        </w:tc>
      </w:tr>
    </w:tbl>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outlineLvl w:val="0"/>
        <w:rPr>
          <w:rFonts w:hint="eastAsia" w:ascii="仿宋" w:hAnsi="仿宋" w:eastAsia="仿宋" w:cs="仿宋"/>
          <w:b/>
          <w:bCs/>
          <w:iCs/>
          <w:kern w:val="0"/>
          <w:sz w:val="24"/>
          <w:szCs w:val="24"/>
        </w:rPr>
      </w:pPr>
      <w:r>
        <w:rPr>
          <w:rFonts w:hint="eastAsia" w:ascii="仿宋" w:hAnsi="仿宋" w:eastAsia="仿宋" w:cs="仿宋"/>
          <w:b/>
          <w:bCs/>
          <w:iCs/>
          <w:kern w:val="0"/>
          <w:sz w:val="24"/>
          <w:szCs w:val="24"/>
        </w:rPr>
        <w:br w:type="page"/>
      </w:r>
      <w:bookmarkStart w:id="301" w:name="_Toc291435885"/>
      <w:bookmarkStart w:id="302" w:name="_Toc291435952"/>
      <w:bookmarkStart w:id="303" w:name="_Toc358987523"/>
      <w:bookmarkStart w:id="304" w:name="_Toc296955897"/>
      <w:bookmarkStart w:id="305" w:name="_Toc300670376"/>
      <w:bookmarkStart w:id="306" w:name="_Toc300670448"/>
      <w:bookmarkStart w:id="307" w:name="_Toc366251493"/>
      <w:bookmarkStart w:id="308" w:name="_Toc22278"/>
      <w:bookmarkStart w:id="309" w:name="_Toc5701"/>
      <w:bookmarkStart w:id="310" w:name="_Toc20695"/>
      <w:bookmarkStart w:id="311" w:name="_Toc20414"/>
      <w:r>
        <w:rPr>
          <w:rFonts w:hint="eastAsia" w:ascii="仿宋" w:hAnsi="仿宋" w:eastAsia="仿宋" w:cs="仿宋"/>
          <w:b/>
          <w:bCs/>
          <w:iCs/>
          <w:kern w:val="0"/>
          <w:sz w:val="24"/>
          <w:szCs w:val="24"/>
        </w:rPr>
        <w:t>附件一：</w:t>
      </w:r>
      <w:bookmarkEnd w:id="301"/>
      <w:bookmarkEnd w:id="302"/>
      <w:bookmarkEnd w:id="303"/>
      <w:bookmarkEnd w:id="304"/>
      <w:bookmarkEnd w:id="305"/>
      <w:bookmarkEnd w:id="306"/>
      <w:bookmarkEnd w:id="307"/>
      <w:r>
        <w:rPr>
          <w:rFonts w:hint="eastAsia" w:ascii="仿宋" w:hAnsi="仿宋" w:eastAsia="仿宋" w:cs="仿宋"/>
          <w:b/>
          <w:bCs/>
          <w:iCs/>
          <w:kern w:val="0"/>
          <w:sz w:val="24"/>
          <w:szCs w:val="24"/>
        </w:rPr>
        <w:t>价格表</w:t>
      </w:r>
      <w:bookmarkEnd w:id="308"/>
      <w:bookmarkEnd w:id="309"/>
      <w:bookmarkEnd w:id="310"/>
      <w:bookmarkEnd w:id="311"/>
    </w:p>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b/>
          <w:bCs/>
          <w:sz w:val="24"/>
          <w:szCs w:val="24"/>
          <w:lang w:val="en-US" w:eastAsia="zh-CN"/>
        </w:rPr>
      </w:pPr>
      <w:bookmarkStart w:id="312" w:name="_Toc3600"/>
      <w:bookmarkStart w:id="313" w:name="_Toc20534"/>
      <w:bookmarkStart w:id="314" w:name="_Toc22095"/>
      <w:r>
        <w:rPr>
          <w:rFonts w:hint="eastAsia" w:ascii="仿宋" w:hAnsi="仿宋" w:eastAsia="仿宋" w:cs="仿宋"/>
          <w:b/>
          <w:bCs/>
          <w:sz w:val="24"/>
          <w:szCs w:val="24"/>
          <w:lang w:val="en-US" w:eastAsia="zh-CN"/>
        </w:rPr>
        <w:t>详见招标文件之分项报价明细表。</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681"/>
        <w:gridCol w:w="669"/>
        <w:gridCol w:w="612"/>
        <w:gridCol w:w="854"/>
        <w:gridCol w:w="830"/>
        <w:gridCol w:w="89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vAlign w:val="center"/>
          </w:tcPr>
          <w:p>
            <w:pPr>
              <w:pStyle w:val="18"/>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3681" w:type="dxa"/>
            <w:shd w:val="clear" w:color="auto" w:fill="auto"/>
            <w:vAlign w:val="center"/>
          </w:tcPr>
          <w:p>
            <w:p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产品</w:t>
            </w: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669" w:type="dxa"/>
            <w:shd w:val="clear" w:color="auto" w:fill="auto"/>
            <w:vAlign w:val="center"/>
          </w:tcPr>
          <w:p>
            <w:pPr>
              <w:pStyle w:val="18"/>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612" w:type="dxa"/>
            <w:shd w:val="clear" w:color="auto" w:fill="auto"/>
            <w:vAlign w:val="center"/>
          </w:tcPr>
          <w:p>
            <w:pPr>
              <w:pStyle w:val="18"/>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854" w:type="dxa"/>
            <w:shd w:val="clear" w:color="auto" w:fill="auto"/>
            <w:vAlign w:val="center"/>
          </w:tcPr>
          <w:p>
            <w:pPr>
              <w:pStyle w:val="18"/>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830" w:type="dxa"/>
            <w:shd w:val="clear" w:color="auto" w:fill="auto"/>
            <w:vAlign w:val="center"/>
          </w:tcPr>
          <w:p>
            <w:pPr>
              <w:pStyle w:val="18"/>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单价</w:t>
            </w:r>
          </w:p>
        </w:tc>
        <w:tc>
          <w:tcPr>
            <w:tcW w:w="899" w:type="dxa"/>
            <w:shd w:val="clear" w:color="auto" w:fill="auto"/>
            <w:vAlign w:val="center"/>
          </w:tcPr>
          <w:p>
            <w:pPr>
              <w:pStyle w:val="18"/>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709" w:type="dxa"/>
            <w:shd w:val="clear" w:color="auto" w:fill="auto"/>
            <w:vAlign w:val="center"/>
          </w:tcPr>
          <w:p>
            <w:pPr>
              <w:pStyle w:val="18"/>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pPr>
              <w:pStyle w:val="18"/>
              <w:spacing w:line="360" w:lineRule="auto"/>
              <w:ind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3681" w:type="dxa"/>
            <w:shd w:val="clear" w:color="auto" w:fill="auto"/>
          </w:tcPr>
          <w:p>
            <w:pPr>
              <w:pStyle w:val="18"/>
              <w:spacing w:line="360" w:lineRule="auto"/>
              <w:ind w:firstLine="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yellow"/>
                <w14:textFill>
                  <w14:solidFill>
                    <w14:schemeClr w14:val="tx1"/>
                  </w14:solidFill>
                </w14:textFill>
              </w:rPr>
              <w:t>高温高压原油消泡剂评价仪</w:t>
            </w:r>
          </w:p>
        </w:tc>
        <w:tc>
          <w:tcPr>
            <w:tcW w:w="669" w:type="dxa"/>
            <w:shd w:val="clear" w:color="auto" w:fill="auto"/>
          </w:tcPr>
          <w:p>
            <w:pPr>
              <w:pStyle w:val="18"/>
              <w:spacing w:line="360" w:lineRule="auto"/>
              <w:ind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612" w:type="dxa"/>
            <w:shd w:val="clear" w:color="auto" w:fill="auto"/>
          </w:tcPr>
          <w:p>
            <w:pPr>
              <w:pStyle w:val="18"/>
              <w:spacing w:line="360"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854" w:type="dxa"/>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30" w:type="dxa"/>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99" w:type="dxa"/>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9" w:type="dxa"/>
            <w:gridSpan w:val="6"/>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899" w:type="dxa"/>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shd w:val="clear" w:color="auto" w:fill="auto"/>
          </w:tcPr>
          <w:p>
            <w:pPr>
              <w:pStyle w:val="18"/>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sz w:val="24"/>
          <w:szCs w:val="24"/>
        </w:rPr>
      </w:pPr>
      <w:r>
        <w:rPr>
          <w:rFonts w:hint="eastAsia" w:ascii="仿宋" w:hAnsi="仿宋" w:eastAsia="仿宋" w:cs="仿宋"/>
          <w:b/>
          <w:bCs/>
          <w:iCs/>
          <w:kern w:val="0"/>
          <w:sz w:val="24"/>
          <w:szCs w:val="24"/>
        </w:rPr>
        <w:br w:type="page"/>
      </w:r>
      <w:r>
        <w:rPr>
          <w:rFonts w:hint="eastAsia" w:ascii="仿宋" w:hAnsi="仿宋" w:eastAsia="仿宋" w:cs="仿宋"/>
          <w:b/>
          <w:bCs/>
          <w:iCs/>
          <w:kern w:val="0"/>
          <w:sz w:val="24"/>
          <w:szCs w:val="24"/>
        </w:rPr>
        <w:t>附件二：技术服务</w:t>
      </w:r>
      <w:bookmarkEnd w:id="312"/>
      <w:bookmarkEnd w:id="313"/>
      <w:bookmarkEnd w:id="314"/>
    </w:p>
    <w:p>
      <w:pPr>
        <w:pStyle w:val="21"/>
        <w:spacing w:before="120" w:after="120"/>
        <w:outlineLvl w:val="0"/>
        <w:rPr>
          <w:rFonts w:ascii="黑体" w:hAnsi="黑体" w:eastAsia="黑体" w:cs="黑体"/>
          <w:bCs/>
          <w:color w:val="auto"/>
          <w:sz w:val="32"/>
          <w:szCs w:val="32"/>
        </w:rPr>
      </w:pPr>
      <w:bookmarkStart w:id="315" w:name="_Toc26525"/>
      <w:bookmarkStart w:id="316" w:name="_Toc27454"/>
      <w:bookmarkStart w:id="317" w:name="_Toc5221"/>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、需求一览表</w:t>
      </w:r>
    </w:p>
    <w:tbl>
      <w:tblPr>
        <w:tblStyle w:val="13"/>
        <w:tblW w:w="85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2"/>
        <w:gridCol w:w="1215"/>
        <w:gridCol w:w="1215"/>
        <w:gridCol w:w="1421"/>
        <w:gridCol w:w="1769"/>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26"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序号</w:t>
            </w:r>
          </w:p>
        </w:tc>
        <w:tc>
          <w:tcPr>
            <w:tcW w:w="1642"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物资名称</w:t>
            </w:r>
          </w:p>
        </w:tc>
        <w:tc>
          <w:tcPr>
            <w:tcW w:w="1215"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规格型号</w:t>
            </w:r>
          </w:p>
        </w:tc>
        <w:tc>
          <w:tcPr>
            <w:tcW w:w="1215"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数量及单位</w:t>
            </w:r>
          </w:p>
        </w:tc>
        <w:tc>
          <w:tcPr>
            <w:tcW w:w="1421"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交货期</w:t>
            </w:r>
          </w:p>
        </w:tc>
        <w:tc>
          <w:tcPr>
            <w:tcW w:w="1769"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交货地点</w:t>
            </w:r>
          </w:p>
        </w:tc>
        <w:tc>
          <w:tcPr>
            <w:tcW w:w="635"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6" w:type="dxa"/>
            <w:vAlign w:val="center"/>
          </w:tcPr>
          <w:p>
            <w:pPr>
              <w:pStyle w:val="3"/>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1</w:t>
            </w:r>
          </w:p>
        </w:tc>
        <w:tc>
          <w:tcPr>
            <w:tcW w:w="1642"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高温高压原油消泡剂评价仪</w:t>
            </w:r>
          </w:p>
        </w:tc>
        <w:tc>
          <w:tcPr>
            <w:tcW w:w="1215" w:type="dxa"/>
            <w:vAlign w:val="center"/>
          </w:tcPr>
          <w:p>
            <w:pPr>
              <w:pStyle w:val="3"/>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w:t>
            </w:r>
          </w:p>
        </w:tc>
        <w:tc>
          <w:tcPr>
            <w:tcW w:w="1215" w:type="dxa"/>
            <w:vAlign w:val="center"/>
          </w:tcPr>
          <w:p>
            <w:pPr>
              <w:pStyle w:val="3"/>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1套</w:t>
            </w:r>
          </w:p>
        </w:tc>
        <w:tc>
          <w:tcPr>
            <w:tcW w:w="1421" w:type="dxa"/>
            <w:vAlign w:val="center"/>
          </w:tcPr>
          <w:p>
            <w:pPr>
              <w:pStyle w:val="3"/>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合同签订后经买方通知60内送货</w:t>
            </w:r>
          </w:p>
        </w:tc>
        <w:tc>
          <w:tcPr>
            <w:tcW w:w="1769" w:type="dxa"/>
            <w:vAlign w:val="center"/>
          </w:tcPr>
          <w:p>
            <w:pPr>
              <w:pStyle w:val="3"/>
              <w:jc w:val="center"/>
              <w:rPr>
                <w:rFonts w:ascii="微软雅黑" w:hAnsi="微软雅黑" w:eastAsia="微软雅黑" w:cs="微软雅黑"/>
                <w:spacing w:val="0"/>
                <w:kern w:val="2"/>
                <w:sz w:val="21"/>
                <w:szCs w:val="21"/>
              </w:rPr>
            </w:pPr>
            <w:r>
              <w:rPr>
                <w:rFonts w:hint="eastAsia" w:ascii="微软雅黑" w:hAnsi="微软雅黑" w:eastAsia="微软雅黑" w:cs="微软雅黑"/>
                <w:spacing w:val="0"/>
                <w:kern w:val="2"/>
                <w:sz w:val="21"/>
                <w:szCs w:val="21"/>
              </w:rPr>
              <w:t>天津滨海高新区神舟大道与惠新路交口工程技术公司</w:t>
            </w:r>
          </w:p>
        </w:tc>
        <w:tc>
          <w:tcPr>
            <w:tcW w:w="635" w:type="dxa"/>
            <w:vAlign w:val="center"/>
          </w:tcPr>
          <w:p>
            <w:pPr>
              <w:pStyle w:val="3"/>
              <w:jc w:val="center"/>
              <w:rPr>
                <w:rFonts w:ascii="微软雅黑" w:hAnsi="微软雅黑" w:eastAsia="微软雅黑" w:cs="微软雅黑"/>
                <w:color w:val="000000"/>
                <w:spacing w:val="0"/>
                <w:sz w:val="21"/>
                <w:szCs w:val="21"/>
              </w:rPr>
            </w:pPr>
            <w:r>
              <w:rPr>
                <w:rFonts w:hint="eastAsia" w:ascii="微软雅黑" w:hAnsi="微软雅黑" w:eastAsia="微软雅黑" w:cs="微软雅黑"/>
                <w:color w:val="000000"/>
                <w:spacing w:val="0"/>
                <w:sz w:val="21"/>
                <w:szCs w:val="21"/>
              </w:rPr>
              <w:t>-</w:t>
            </w:r>
          </w:p>
        </w:tc>
      </w:tr>
    </w:tbl>
    <w:p>
      <w:pPr>
        <w:pStyle w:val="21"/>
        <w:spacing w:before="120" w:after="120"/>
        <w:outlineLvl w:val="0"/>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、执行标准/规范</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《分析仪器通用技术条件》GB/T 12519-2021</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《承压设备的设计计算》SY/T 7085-2016</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《供配电系统设计规范》GB 50052</w:t>
      </w:r>
    </w:p>
    <w:p>
      <w:pPr>
        <w:spacing w:line="360" w:lineRule="auto"/>
      </w:pPr>
      <w:r>
        <w:rPr>
          <w:rFonts w:hint="eastAsia" w:ascii="微软雅黑" w:hAnsi="微软雅黑" w:eastAsia="微软雅黑" w:cs="微软雅黑"/>
          <w:szCs w:val="21"/>
        </w:rPr>
        <w:t>《输送流体用不锈钢无缝钢管》GB/T 14976</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《钢制对焊管件类型与参数》GB/T 12459</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《钢制对焊管件技术规范》GB/T 13401</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《无缝钢管尺寸、外形、重量及允许偏差》GB/T 17395</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《生产设备安全卫生设计总则》GB/T 5083</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《运输包装收发货标志》GB/T 6388</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《标牌》GB/T 13306</w:t>
      </w:r>
    </w:p>
    <w:p>
      <w:pPr>
        <w:spacing w:line="360" w:lineRule="auto"/>
      </w:pPr>
      <w:r>
        <w:rPr>
          <w:rFonts w:hint="eastAsia" w:ascii="微软雅黑" w:hAnsi="微软雅黑" w:eastAsia="微软雅黑" w:cs="微软雅黑"/>
          <w:szCs w:val="21"/>
        </w:rPr>
        <w:t>《质量管理体系要求》GB/T 19001</w:t>
      </w:r>
    </w:p>
    <w:p>
      <w:pPr>
        <w:pStyle w:val="21"/>
        <w:numPr>
          <w:numId w:val="0"/>
        </w:numPr>
        <w:snapToGrid w:val="0"/>
        <w:spacing w:before="120" w:after="120" w:line="360" w:lineRule="auto"/>
        <w:ind w:leftChars="0"/>
        <w:outlineLvl w:val="0"/>
        <w:rPr>
          <w:rFonts w:ascii="微软雅黑" w:hAnsi="微软雅黑" w:eastAsia="微软雅黑" w:cs="微软雅黑"/>
          <w:lang w:eastAsia="zh-CN"/>
        </w:rPr>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设计/使用条件</w:t>
      </w:r>
    </w:p>
    <w:p>
      <w:pPr>
        <w:pStyle w:val="21"/>
        <w:numPr>
          <w:ilvl w:val="-1"/>
          <w:numId w:val="0"/>
        </w:numPr>
        <w:snapToGrid w:val="0"/>
        <w:spacing w:before="120" w:after="120" w:line="360" w:lineRule="auto"/>
        <w:ind w:left="0" w:leftChars="0" w:firstLine="0" w:firstLineChars="0"/>
        <w:outlineLvl w:val="0"/>
        <w:rPr>
          <w:rFonts w:ascii="微软雅黑" w:hAnsi="微软雅黑" w:eastAsia="微软雅黑" w:cs="微软雅黑"/>
          <w:lang w:eastAsia="zh-CN"/>
        </w:rPr>
      </w:pPr>
      <w:r>
        <w:rPr>
          <w:rFonts w:hint="eastAsia" w:ascii="微软雅黑" w:hAnsi="微软雅黑" w:eastAsia="微软雅黑" w:cs="微软雅黑"/>
          <w:lang w:eastAsia="zh-CN"/>
        </w:rPr>
        <w:t>1. 采购产品或设备相关设计要求：</w:t>
      </w:r>
    </w:p>
    <w:p>
      <w:pPr>
        <w:pStyle w:val="5"/>
        <w:snapToGrid w:val="0"/>
        <w:spacing w:before="120" w:after="120" w:line="360" w:lineRule="auto"/>
        <w:ind w:left="0" w:firstLine="420" w:firstLineChars="200"/>
        <w:rPr>
          <w:rFonts w:cs="Times New Roman" w:asciiTheme="minorEastAsia" w:hAnsiTheme="minorEastAsia"/>
          <w:sz w:val="24"/>
          <w:szCs w:val="24"/>
          <w:lang w:eastAsia="zh-CN"/>
        </w:rPr>
      </w:pPr>
      <w:r>
        <w:rPr>
          <w:rFonts w:hint="eastAsia" w:ascii="微软雅黑" w:hAnsi="微软雅黑" w:eastAsia="微软雅黑" w:cs="微软雅黑"/>
          <w:lang w:eastAsia="zh-CN"/>
        </w:rPr>
        <w:t>仪器应放置在室内，实验室内配有CA</w:t>
      </w:r>
      <w:r>
        <w:rPr>
          <w:rFonts w:ascii="微软雅黑" w:hAnsi="微软雅黑" w:eastAsia="微软雅黑" w:cs="微软雅黑"/>
          <w:lang w:eastAsia="zh-CN"/>
        </w:rPr>
        <w:t>220</w:t>
      </w:r>
      <w:r>
        <w:rPr>
          <w:rFonts w:hint="eastAsia" w:ascii="微软雅黑" w:hAnsi="微软雅黑" w:eastAsia="微软雅黑" w:cs="微软雅黑"/>
          <w:lang w:eastAsia="zh-CN"/>
        </w:rPr>
        <w:t>V、50Hz电源，并保证接地良好。服务商提供设备设计方案，经我方认可后方可实施。</w:t>
      </w:r>
    </w:p>
    <w:p>
      <w:pPr>
        <w:pStyle w:val="5"/>
        <w:numPr>
          <w:ilvl w:val="0"/>
          <w:numId w:val="29"/>
        </w:numPr>
        <w:snapToGrid w:val="0"/>
        <w:spacing w:before="120" w:after="120" w:line="360" w:lineRule="auto"/>
        <w:ind w:left="-199" w:leftChars="0" w:firstLine="199" w:firstLineChars="0"/>
        <w:rPr>
          <w:rFonts w:ascii="微软雅黑" w:hAnsi="微软雅黑" w:eastAsia="微软雅黑" w:cs="微软雅黑"/>
          <w:lang w:eastAsia="zh-CN"/>
        </w:rPr>
      </w:pPr>
      <w:r>
        <w:rPr>
          <w:rFonts w:hint="eastAsia" w:ascii="微软雅黑" w:hAnsi="微软雅黑" w:eastAsia="微软雅黑" w:cs="微软雅黑"/>
          <w:lang w:eastAsia="zh-CN"/>
        </w:rPr>
        <w:t>到货/安装或使用地点：</w:t>
      </w:r>
    </w:p>
    <w:p>
      <w:pPr>
        <w:pStyle w:val="5"/>
        <w:snapToGrid w:val="0"/>
        <w:spacing w:before="120" w:after="120" w:line="360" w:lineRule="auto"/>
        <w:ind w:left="0" w:firstLine="420" w:firstLineChars="200"/>
        <w:rPr>
          <w:rFonts w:ascii="微软雅黑" w:hAnsi="微软雅黑" w:eastAsia="微软雅黑" w:cs="微软雅黑"/>
          <w:lang w:eastAsia="zh-CN"/>
        </w:rPr>
      </w:pPr>
      <w:r>
        <w:rPr>
          <w:rFonts w:hint="eastAsia" w:ascii="微软雅黑" w:hAnsi="微软雅黑" w:eastAsia="微软雅黑" w:cs="仿宋"/>
          <w:lang w:eastAsia="zh-CN"/>
        </w:rPr>
        <w:t>天津滨海高新区神舟大道与惠新路交口</w:t>
      </w:r>
      <w:r>
        <w:rPr>
          <w:rFonts w:hint="eastAsia" w:ascii="微软雅黑" w:hAnsi="微软雅黑" w:eastAsia="微软雅黑" w:cs="微软雅黑"/>
          <w:lang w:eastAsia="zh-CN"/>
        </w:rPr>
        <w:t>中海油（天津）油田化工有限公司实验室。</w:t>
      </w:r>
    </w:p>
    <w:p>
      <w:pPr>
        <w:pStyle w:val="5"/>
        <w:numPr>
          <w:ilvl w:val="0"/>
          <w:numId w:val="29"/>
        </w:numPr>
        <w:snapToGrid w:val="0"/>
        <w:spacing w:before="120" w:after="120" w:line="360" w:lineRule="auto"/>
        <w:ind w:left="-199" w:leftChars="0" w:firstLine="199" w:firstLineChars="0"/>
        <w:rPr>
          <w:rFonts w:ascii="微软雅黑" w:hAnsi="微软雅黑" w:eastAsia="微软雅黑"/>
          <w:lang w:eastAsia="zh-CN"/>
        </w:rPr>
      </w:pPr>
      <w:r>
        <w:rPr>
          <w:rFonts w:hint="eastAsia" w:ascii="微软雅黑" w:hAnsi="微软雅黑" w:eastAsia="微软雅黑"/>
          <w:lang w:eastAsia="zh-CN"/>
        </w:rPr>
        <w:t>作业环境要求：</w:t>
      </w:r>
    </w:p>
    <w:p>
      <w:pPr>
        <w:pStyle w:val="5"/>
        <w:snapToGrid w:val="0"/>
        <w:spacing w:before="120" w:after="120" w:line="360" w:lineRule="auto"/>
        <w:ind w:left="0" w:leftChars="0" w:firstLine="420" w:firstLineChars="200"/>
        <w:rPr>
          <w:rFonts w:ascii="微软雅黑" w:hAnsi="微软雅黑" w:eastAsia="微软雅黑" w:cs="微软雅黑"/>
          <w:lang w:eastAsia="zh-CN"/>
        </w:rPr>
      </w:pPr>
      <w:r>
        <w:rPr>
          <w:rFonts w:hint="eastAsia" w:ascii="微软雅黑" w:hAnsi="微软雅黑" w:eastAsia="微软雅黑" w:cs="微软雅黑"/>
          <w:lang w:eastAsia="zh-CN"/>
        </w:rPr>
        <w:t>环境温度-10～40℃，湿度＜90%。</w:t>
      </w:r>
    </w:p>
    <w:p>
      <w:pPr>
        <w:pStyle w:val="21"/>
        <w:numPr>
          <w:numId w:val="0"/>
        </w:numPr>
        <w:spacing w:before="120" w:after="120"/>
        <w:outlineLvl w:val="0"/>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四、</w:t>
      </w:r>
      <w:r>
        <w:rPr>
          <w:rFonts w:hint="eastAsia" w:ascii="黑体" w:hAnsi="黑体" w:eastAsia="黑体" w:cs="黑体"/>
          <w:bCs/>
          <w:color w:val="auto"/>
          <w:sz w:val="32"/>
          <w:szCs w:val="32"/>
        </w:rPr>
        <w:t>技术要求及参数</w:t>
      </w:r>
    </w:p>
    <w:p>
      <w:pPr>
        <w:numPr>
          <w:ilvl w:val="0"/>
          <w:numId w:val="30"/>
        </w:numPr>
        <w:spacing w:line="360" w:lineRule="auto"/>
        <w:ind w:firstLine="240" w:firstLineChars="100"/>
        <w:jc w:val="left"/>
        <w:rPr>
          <w:rFonts w:ascii="微软雅黑" w:hAnsi="微软雅黑" w:eastAsia="微软雅黑" w:cs="微软雅黑"/>
          <w:sz w:val="24"/>
          <w:szCs w:val="24"/>
        </w:rPr>
      </w:pPr>
      <w:bookmarkStart w:id="318" w:name="_Toc47625400"/>
      <w:bookmarkStart w:id="319" w:name="_Toc47625558"/>
      <w:r>
        <w:rPr>
          <w:rFonts w:hint="eastAsia" w:ascii="微软雅黑" w:hAnsi="微软雅黑" w:eastAsia="微软雅黑" w:cs="微软雅黑"/>
          <w:sz w:val="24"/>
          <w:szCs w:val="24"/>
        </w:rPr>
        <w:t>产品技术参数</w:t>
      </w:r>
    </w:p>
    <w:p>
      <w:pPr>
        <w:numPr>
          <w:ilvl w:val="0"/>
          <w:numId w:val="31"/>
        </w:numPr>
        <w:spacing w:line="360" w:lineRule="auto"/>
        <w:ind w:left="210" w:leftChars="100"/>
        <w:jc w:val="left"/>
        <w:rPr>
          <w:rFonts w:ascii="微软雅黑" w:hAnsi="微软雅黑" w:eastAsia="微软雅黑"/>
          <w:kern w:val="0"/>
          <w:szCs w:val="21"/>
        </w:rPr>
      </w:pPr>
      <w:r>
        <w:rPr>
          <w:rFonts w:hint="eastAsia" w:ascii="微软雅黑" w:hAnsi="微软雅黑" w:eastAsia="微软雅黑"/>
          <w:kern w:val="0"/>
          <w:szCs w:val="21"/>
        </w:rPr>
        <w:t>工作原理</w:t>
      </w:r>
    </w:p>
    <w:p>
      <w:pPr>
        <w:pStyle w:val="2"/>
        <w:ind w:firstLine="420" w:firstLineChars="200"/>
        <w:rPr>
          <w:rFonts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油样从海上运回陆地试验室，运输过程中其所含的天然气、轻烃多已挥发掉，油样与现场情况不符，且原油人工起泡难以奏效。本试制设备拟通过模拟现场温度、压力和搅拌的条件下，使得气相重新溶解于原油中，再通过减压阀降压使得气相从原油析出的方式，生成可供评价测试的原油泡沫，再滴加定量的消泡剂，进行消泡性能检测。经调研目前市面的消泡剂评价仪，均为水性泡沫体系，不适合海上油气分离检测需求。</w:t>
      </w:r>
    </w:p>
    <w:p>
      <w:pPr>
        <w:numPr>
          <w:ilvl w:val="0"/>
          <w:numId w:val="31"/>
        </w:numPr>
        <w:spacing w:line="360" w:lineRule="auto"/>
        <w:ind w:left="210" w:leftChars="100"/>
        <w:jc w:val="left"/>
        <w:rPr>
          <w:rFonts w:ascii="微软雅黑" w:hAnsi="微软雅黑" w:eastAsia="微软雅黑"/>
          <w:kern w:val="0"/>
          <w:szCs w:val="21"/>
        </w:rPr>
      </w:pPr>
      <w:r>
        <w:rPr>
          <w:rFonts w:hint="eastAsia" w:ascii="微软雅黑" w:hAnsi="微软雅黑" w:eastAsia="微软雅黑"/>
          <w:kern w:val="0"/>
          <w:szCs w:val="21"/>
        </w:rPr>
        <w:t>性能指标</w:t>
      </w:r>
    </w:p>
    <w:p>
      <w:pPr>
        <w:numPr>
          <w:ilvl w:val="0"/>
          <w:numId w:val="32"/>
        </w:numPr>
        <w:spacing w:line="360" w:lineRule="auto"/>
        <w:jc w:val="left"/>
        <w:rPr>
          <w:rFonts w:ascii="微软雅黑" w:hAnsi="微软雅黑" w:eastAsia="微软雅黑" w:cs="微软雅黑"/>
          <w:szCs w:val="21"/>
        </w:rPr>
      </w:pPr>
      <w:r>
        <w:rPr>
          <w:rFonts w:hint="eastAsia" w:ascii="仿宋_GB2312" w:hAnsi="微软雅黑" w:eastAsia="仿宋_GB2312" w:cs="微软雅黑"/>
          <w:b/>
          <w:szCs w:val="21"/>
        </w:rPr>
        <w:t>外观示意图：</w:t>
      </w:r>
    </w:p>
    <w:p>
      <w:pPr>
        <w:spacing w:line="360" w:lineRule="auto"/>
        <w:ind w:left="562"/>
        <w:jc w:val="center"/>
        <w:rPr>
          <w:rFonts w:ascii="微软雅黑" w:hAnsi="微软雅黑" w:eastAsia="微软雅黑" w:cs="微软雅黑"/>
          <w:sz w:val="24"/>
          <w:szCs w:val="24"/>
        </w:rPr>
      </w:pPr>
      <w:r>
        <w:rPr>
          <w:rFonts w:ascii="微软雅黑" w:hAnsi="微软雅黑" w:eastAsia="微软雅黑" w:cs="微软雅黑"/>
          <w:sz w:val="24"/>
          <w:szCs w:val="24"/>
        </w:rPr>
        <w:drawing>
          <wp:inline distT="0" distB="0" distL="0" distR="0">
            <wp:extent cx="3714750" cy="3571875"/>
            <wp:effectExtent l="9525" t="9525" r="9525" b="190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6"/>
                    <a:srcRect/>
                    <a:stretch>
                      <a:fillRect/>
                    </a:stretch>
                  </pic:blipFill>
                  <pic:spPr>
                    <a:xfrm>
                      <a:off x="0" y="0"/>
                      <a:ext cx="3714750" cy="3571875"/>
                    </a:xfrm>
                    <a:prstGeom prst="rect">
                      <a:avLst/>
                    </a:prstGeom>
                    <a:noFill/>
                    <a:ln w="9525">
                      <a:solidFill>
                        <a:schemeClr val="accent1"/>
                      </a:solidFill>
                      <a:miter lim="800000"/>
                      <a:headEnd/>
                      <a:tailEnd/>
                    </a:ln>
                  </pic:spPr>
                </pic:pic>
              </a:graphicData>
            </a:graphic>
          </wp:inline>
        </w:drawing>
      </w:r>
    </w:p>
    <w:p>
      <w:pPr>
        <w:numPr>
          <w:ilvl w:val="0"/>
          <w:numId w:val="32"/>
        </w:numPr>
        <w:spacing w:line="360" w:lineRule="auto"/>
        <w:jc w:val="left"/>
        <w:rPr>
          <w:rFonts w:ascii="宋体" w:hAnsi="宋体" w:eastAsia="宋体" w:cs="宋体"/>
          <w:color w:val="000000"/>
          <w:szCs w:val="21"/>
          <w:shd w:val="clear" w:color="auto" w:fill="FFFFFF"/>
        </w:rPr>
      </w:pPr>
      <w:r>
        <w:rPr>
          <w:rFonts w:hint="eastAsia" w:ascii="微软雅黑" w:hAnsi="微软雅黑" w:eastAsia="微软雅黑" w:cs="微软雅黑"/>
          <w:szCs w:val="21"/>
        </w:rPr>
        <w:t>结构形式：由高压气瓶、高温高压反应釜、搅拌和混合系统及减压监测系统组成</w:t>
      </w:r>
      <w:r>
        <w:rPr>
          <w:rFonts w:hint="eastAsia" w:ascii="微软雅黑" w:hAnsi="微软雅黑" w:eastAsia="微软雅黑" w:cs="微软雅黑"/>
          <w:szCs w:val="21"/>
          <w:lang w:eastAsia="zh-CN"/>
        </w:rPr>
        <w:t>（承诺）</w:t>
      </w:r>
      <w:r>
        <w:rPr>
          <w:rFonts w:hint="eastAsia" w:ascii="微软雅黑" w:hAnsi="微软雅黑" w:eastAsia="微软雅黑" w:cs="微软雅黑"/>
          <w:szCs w:val="21"/>
        </w:rPr>
        <w:t>；</w:t>
      </w:r>
    </w:p>
    <w:p>
      <w:pPr>
        <w:numPr>
          <w:ilvl w:val="0"/>
          <w:numId w:val="32"/>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高压气源为N</w:t>
      </w:r>
      <w:r>
        <w:rPr>
          <w:rFonts w:hint="eastAsia" w:ascii="微软雅黑" w:hAnsi="微软雅黑" w:eastAsia="微软雅黑" w:cs="微软雅黑"/>
          <w:szCs w:val="21"/>
          <w:vertAlign w:val="subscript"/>
        </w:rPr>
        <w:t>2</w:t>
      </w:r>
      <w:r>
        <w:rPr>
          <w:rFonts w:hint="eastAsia" w:ascii="微软雅黑" w:hAnsi="微软雅黑" w:eastAsia="微软雅黑" w:cs="微软雅黑"/>
          <w:szCs w:val="21"/>
        </w:rPr>
        <w:t>气气瓶（配套连接管线、减压阀等）由厂家提供，规格10-15L，压力不小于10mPa；</w:t>
      </w:r>
    </w:p>
    <w:p>
      <w:pPr>
        <w:numPr>
          <w:ilvl w:val="0"/>
          <w:numId w:val="32"/>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高温高压反应釜：加热器、热交换器、阀门与控制器；顶部具备减压阀及压力表，密封件、连接件、底部排液阀、排液管等；</w:t>
      </w:r>
    </w:p>
    <w:p>
      <w:pPr>
        <w:numPr>
          <w:ilvl w:val="0"/>
          <w:numId w:val="32"/>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辅助设备：搅拌驱动马达、升降台、冷凝器、产液收集瓶等。</w:t>
      </w:r>
    </w:p>
    <w:bookmarkEnd w:id="318"/>
    <w:bookmarkEnd w:id="319"/>
    <w:p>
      <w:pPr>
        <w:pStyle w:val="18"/>
        <w:spacing w:line="360" w:lineRule="auto"/>
        <w:ind w:firstLine="0" w:firstLineChars="0"/>
        <w:rPr>
          <w:rFonts w:ascii="微软雅黑" w:hAnsi="微软雅黑" w:eastAsia="微软雅黑" w:cs="微软雅黑"/>
          <w:szCs w:val="21"/>
        </w:rPr>
      </w:pPr>
      <w:r>
        <w:rPr>
          <w:rFonts w:hint="eastAsia" w:ascii="微软雅黑" w:hAnsi="微软雅黑" w:eastAsia="微软雅黑"/>
          <w:kern w:val="0"/>
          <w:szCs w:val="21"/>
        </w:rPr>
        <w:t>（</w:t>
      </w:r>
      <w:r>
        <w:rPr>
          <w:rFonts w:hint="eastAsia" w:ascii="微软雅黑" w:hAnsi="微软雅黑" w:eastAsia="微软雅黑"/>
          <w:kern w:val="0"/>
          <w:szCs w:val="21"/>
          <w:lang w:val="en-US" w:eastAsia="zh-CN"/>
        </w:rPr>
        <w:t>c</w:t>
      </w:r>
      <w:r>
        <w:rPr>
          <w:rFonts w:hint="eastAsia" w:ascii="微软雅黑" w:hAnsi="微软雅黑" w:eastAsia="微软雅黑"/>
          <w:kern w:val="0"/>
          <w:szCs w:val="21"/>
        </w:rPr>
        <w:t>）功能性指标</w:t>
      </w:r>
    </w:p>
    <w:p>
      <w:pPr>
        <w:pStyle w:val="18"/>
        <w:spacing w:line="360" w:lineRule="auto"/>
        <w:rPr>
          <w:rFonts w:ascii="微软雅黑" w:hAnsi="微软雅黑" w:eastAsia="微软雅黑" w:cs="微软雅黑"/>
          <w:szCs w:val="21"/>
        </w:rPr>
      </w:pPr>
      <w:r>
        <w:rPr>
          <w:rFonts w:hint="eastAsia" w:ascii="微软雅黑" w:hAnsi="微软雅黑" w:eastAsia="微软雅黑" w:cs="微软雅黑"/>
          <w:szCs w:val="21"/>
        </w:rPr>
        <w:t>（1）工作压力：5-10bar；</w:t>
      </w:r>
    </w:p>
    <w:p>
      <w:pPr>
        <w:pStyle w:val="18"/>
        <w:spacing w:line="360" w:lineRule="auto"/>
        <w:rPr>
          <w:rFonts w:ascii="微软雅黑" w:hAnsi="微软雅黑" w:eastAsia="微软雅黑" w:cs="微软雅黑"/>
          <w:szCs w:val="21"/>
        </w:rPr>
      </w:pPr>
      <w:r>
        <w:rPr>
          <w:rFonts w:hint="eastAsia" w:ascii="微软雅黑" w:hAnsi="微软雅黑" w:eastAsia="微软雅黑" w:cs="微软雅黑"/>
          <w:szCs w:val="21"/>
        </w:rPr>
        <w:t>（2）工作温度：常温～200℃；</w:t>
      </w:r>
    </w:p>
    <w:p>
      <w:pPr>
        <w:pStyle w:val="18"/>
        <w:spacing w:line="360" w:lineRule="auto"/>
        <w:rPr>
          <w:rFonts w:ascii="微软雅黑" w:hAnsi="微软雅黑" w:eastAsia="微软雅黑" w:cs="微软雅黑"/>
          <w:szCs w:val="21"/>
        </w:rPr>
      </w:pPr>
      <w:r>
        <w:rPr>
          <w:rFonts w:hint="eastAsia" w:ascii="微软雅黑" w:hAnsi="微软雅黑" w:eastAsia="微软雅黑" w:cs="微软雅黑"/>
          <w:szCs w:val="21"/>
        </w:rPr>
        <w:t>（3）搅拌系统：搅拌桨型为气体搅拌器，无级恒定调速</w:t>
      </w:r>
      <w:r>
        <w:rPr>
          <w:rFonts w:ascii="微软雅黑" w:hAnsi="微软雅黑" w:eastAsia="微软雅黑" w:cs="微软雅黑"/>
          <w:szCs w:val="21"/>
        </w:rPr>
        <w:t>，</w:t>
      </w:r>
      <w:r>
        <w:rPr>
          <w:rFonts w:hint="eastAsia" w:ascii="微软雅黑" w:hAnsi="微软雅黑" w:eastAsia="微软雅黑" w:cs="微软雅黑"/>
          <w:szCs w:val="21"/>
        </w:rPr>
        <w:t>无级调速2</w:t>
      </w:r>
      <w:r>
        <w:rPr>
          <w:rFonts w:ascii="微软雅黑" w:hAnsi="微软雅黑" w:eastAsia="微软雅黑" w:cs="微软雅黑"/>
          <w:szCs w:val="21"/>
        </w:rPr>
        <w:t xml:space="preserve">00- </w:t>
      </w:r>
      <w:r>
        <w:rPr>
          <w:rFonts w:hint="eastAsia" w:ascii="微软雅黑" w:hAnsi="微软雅黑" w:eastAsia="微软雅黑" w:cs="微软雅黑"/>
          <w:szCs w:val="21"/>
        </w:rPr>
        <w:t>15</w:t>
      </w:r>
      <w:r>
        <w:rPr>
          <w:rFonts w:ascii="微软雅黑" w:hAnsi="微软雅黑" w:eastAsia="微软雅黑" w:cs="微软雅黑"/>
          <w:szCs w:val="21"/>
        </w:rPr>
        <w:t>00</w:t>
      </w:r>
      <w:r>
        <w:rPr>
          <w:rFonts w:hint="eastAsia" w:ascii="微软雅黑" w:hAnsi="微软雅黑" w:eastAsia="微软雅黑" w:cs="微软雅黑"/>
          <w:szCs w:val="21"/>
        </w:rPr>
        <w:t>r/min，</w:t>
      </w:r>
      <w:r>
        <w:rPr>
          <w:rFonts w:ascii="微软雅黑" w:hAnsi="微软雅黑" w:eastAsia="微软雅黑" w:cs="微软雅黑"/>
          <w:szCs w:val="21"/>
        </w:rPr>
        <w:t>转数显示</w:t>
      </w:r>
      <w:r>
        <w:rPr>
          <w:rFonts w:hint="eastAsia" w:ascii="微软雅黑" w:hAnsi="微软雅黑" w:eastAsia="微软雅黑" w:cs="微软雅黑"/>
          <w:szCs w:val="21"/>
          <w:lang w:eastAsia="zh-CN"/>
        </w:rPr>
        <w:t>（承诺）</w:t>
      </w:r>
      <w:r>
        <w:rPr>
          <w:rFonts w:hint="eastAsia" w:ascii="微软雅黑" w:hAnsi="微软雅黑" w:eastAsia="微软雅黑" w:cs="微软雅黑"/>
          <w:szCs w:val="21"/>
        </w:rPr>
        <w:t>。</w:t>
      </w:r>
    </w:p>
    <w:p>
      <w:pPr>
        <w:spacing w:line="360" w:lineRule="auto"/>
        <w:jc w:val="left"/>
        <w:rPr>
          <w:rFonts w:ascii="微软雅黑" w:hAnsi="微软雅黑" w:eastAsia="微软雅黑" w:cs="微软雅黑"/>
          <w:sz w:val="24"/>
          <w:szCs w:val="24"/>
        </w:rPr>
      </w:pPr>
      <w:r>
        <w:rPr>
          <w:rFonts w:hint="eastAsia" w:ascii="微软雅黑" w:hAnsi="微软雅黑" w:eastAsia="微软雅黑" w:cs="微软雅黑"/>
          <w:sz w:val="24"/>
          <w:szCs w:val="24"/>
        </w:rPr>
        <w:t>2 设备技术参数</w:t>
      </w:r>
    </w:p>
    <w:p>
      <w:pPr>
        <w:pStyle w:val="18"/>
        <w:spacing w:line="360" w:lineRule="auto"/>
        <w:rPr>
          <w:rFonts w:ascii="微软雅黑" w:hAnsi="微软雅黑" w:eastAsia="微软雅黑" w:cs="微软雅黑"/>
          <w:szCs w:val="21"/>
        </w:rPr>
      </w:pPr>
      <w:r>
        <w:rPr>
          <w:rFonts w:hint="eastAsia" w:ascii="微软雅黑" w:hAnsi="微软雅黑" w:eastAsia="微软雅黑" w:cs="微软雅黑"/>
          <w:szCs w:val="21"/>
        </w:rPr>
        <w:t>（1）高温高压反应釜容积： 2L；</w:t>
      </w:r>
    </w:p>
    <w:p>
      <w:pPr>
        <w:pStyle w:val="18"/>
        <w:spacing w:line="360" w:lineRule="auto"/>
        <w:rPr>
          <w:rFonts w:ascii="微软雅黑" w:hAnsi="微软雅黑" w:eastAsia="微软雅黑" w:cs="微软雅黑"/>
          <w:szCs w:val="21"/>
        </w:rPr>
      </w:pPr>
      <w:r>
        <w:rPr>
          <w:rFonts w:hint="eastAsia" w:ascii="微软雅黑" w:hAnsi="微软雅黑" w:eastAsia="微软雅黑" w:cs="微软雅黑"/>
          <w:szCs w:val="21"/>
        </w:rPr>
        <w:t>（2）反应釜材质：哈氏合金C276，设计压力：真空～500 Bar；设计温度：-80 ～ 500 ℃；表面标准粗糙度小于0.8µm Ra</w:t>
      </w:r>
      <w:r>
        <w:rPr>
          <w:rFonts w:hint="eastAsia" w:ascii="微软雅黑" w:hAnsi="微软雅黑" w:eastAsia="微软雅黑" w:cs="微软雅黑"/>
          <w:szCs w:val="21"/>
          <w:lang w:eastAsia="zh-CN"/>
        </w:rPr>
        <w:t>。（产品合格证或说明书）</w:t>
      </w:r>
      <w:r>
        <w:rPr>
          <w:rFonts w:hint="eastAsia" w:ascii="微软雅黑" w:hAnsi="微软雅黑" w:eastAsia="微软雅黑" w:cs="微软雅黑"/>
          <w:szCs w:val="21"/>
        </w:rPr>
        <w:t>；</w:t>
      </w:r>
    </w:p>
    <w:p>
      <w:pPr>
        <w:pStyle w:val="18"/>
        <w:spacing w:line="360" w:lineRule="auto"/>
        <w:ind w:firstLine="630" w:firstLineChars="300"/>
        <w:rPr>
          <w:rFonts w:ascii="微软雅黑" w:hAnsi="微软雅黑" w:eastAsia="微软雅黑" w:cs="微软雅黑"/>
          <w:szCs w:val="21"/>
        </w:rPr>
      </w:pPr>
      <w:r>
        <w:rPr>
          <w:rFonts w:hint="eastAsia" w:ascii="微软雅黑" w:hAnsi="微软雅黑" w:eastAsia="微软雅黑" w:cs="微软雅黑"/>
          <w:szCs w:val="21"/>
        </w:rPr>
        <w:t>(3) 搅拌桨材质：哈氏合金C276，可带动多孔特殊搅拌叶片使原油中有油气泡产生</w:t>
      </w:r>
      <w:r>
        <w:rPr>
          <w:rFonts w:hint="eastAsia" w:ascii="微软雅黑" w:hAnsi="微软雅黑" w:eastAsia="微软雅黑" w:cs="微软雅黑"/>
          <w:szCs w:val="21"/>
          <w:lang w:eastAsia="zh-CN"/>
        </w:rPr>
        <w:t>（承诺）</w:t>
      </w:r>
      <w:r>
        <w:rPr>
          <w:rFonts w:hint="eastAsia" w:ascii="微软雅黑" w:hAnsi="微软雅黑" w:eastAsia="微软雅黑" w:cs="微软雅黑"/>
          <w:szCs w:val="21"/>
        </w:rPr>
        <w:t>；</w:t>
      </w:r>
    </w:p>
    <w:p>
      <w:pPr>
        <w:pStyle w:val="18"/>
        <w:spacing w:line="360" w:lineRule="auto"/>
        <w:ind w:firstLine="630" w:firstLineChars="300"/>
        <w:rPr>
          <w:rFonts w:ascii="微软雅黑" w:hAnsi="微软雅黑" w:eastAsia="微软雅黑" w:cs="微软雅黑"/>
          <w:szCs w:val="21"/>
        </w:rPr>
      </w:pPr>
      <w:r>
        <w:rPr>
          <w:rFonts w:hint="eastAsia" w:ascii="微软雅黑" w:hAnsi="微软雅黑" w:eastAsia="微软雅黑" w:cs="微软雅黑"/>
          <w:szCs w:val="21"/>
        </w:rPr>
        <w:t>(4) 搅拌轴：哈氏合金C276，带O型圈，耐25Bar压力</w:t>
      </w:r>
      <w:r>
        <w:rPr>
          <w:rFonts w:hint="eastAsia" w:ascii="微软雅黑" w:hAnsi="微软雅黑" w:eastAsia="微软雅黑" w:cs="微软雅黑"/>
          <w:szCs w:val="21"/>
          <w:lang w:eastAsia="zh-CN"/>
        </w:rPr>
        <w:t>（承诺）</w:t>
      </w:r>
      <w:r>
        <w:rPr>
          <w:rFonts w:hint="eastAsia" w:ascii="微软雅黑" w:hAnsi="微软雅黑" w:eastAsia="微软雅黑" w:cs="微软雅黑"/>
          <w:szCs w:val="21"/>
        </w:rPr>
        <w:t>。</w:t>
      </w:r>
    </w:p>
    <w:p>
      <w:pPr>
        <w:pStyle w:val="18"/>
        <w:spacing w:line="360" w:lineRule="auto"/>
        <w:ind w:firstLine="630" w:firstLineChars="300"/>
        <w:rPr>
          <w:rFonts w:ascii="微软雅黑" w:hAnsi="微软雅黑" w:eastAsia="微软雅黑"/>
          <w:kern w:val="0"/>
          <w:szCs w:val="21"/>
        </w:rPr>
      </w:pPr>
      <w:r>
        <w:rPr>
          <w:rFonts w:hint="eastAsia" w:ascii="微软雅黑" w:hAnsi="微软雅黑" w:eastAsia="微软雅黑" w:cs="微软雅黑"/>
          <w:szCs w:val="21"/>
        </w:rPr>
        <w:t>(5)</w:t>
      </w:r>
      <w:r>
        <w:rPr>
          <w:rFonts w:hint="eastAsia" w:ascii="微软雅黑" w:hAnsi="微软雅黑" w:eastAsia="微软雅黑"/>
          <w:kern w:val="0"/>
          <w:szCs w:val="21"/>
        </w:rPr>
        <w:t>底部排液阀：</w:t>
      </w:r>
      <w:r>
        <w:rPr>
          <w:rFonts w:ascii="微软雅黑" w:hAnsi="微软雅黑" w:eastAsia="微软雅黑"/>
          <w:kern w:val="0"/>
          <w:szCs w:val="21"/>
        </w:rPr>
        <w:t>釜体底部装有U型缓冲管连接针阀（进口哈氏合金针阀），针阀出口连接管路到带压取样罐（200毫升），取样罐出口连接哈氏合金阀门</w:t>
      </w:r>
      <w:r>
        <w:rPr>
          <w:rFonts w:hint="eastAsia" w:ascii="微软雅黑" w:hAnsi="微软雅黑" w:eastAsia="微软雅黑"/>
          <w:kern w:val="0"/>
          <w:szCs w:val="21"/>
        </w:rPr>
        <w:t>；</w:t>
      </w:r>
    </w:p>
    <w:p>
      <w:pPr>
        <w:pStyle w:val="18"/>
        <w:spacing w:line="360" w:lineRule="auto"/>
        <w:rPr>
          <w:rFonts w:ascii="微软雅黑" w:hAnsi="微软雅黑" w:eastAsia="微软雅黑"/>
          <w:kern w:val="0"/>
          <w:szCs w:val="21"/>
        </w:rPr>
      </w:pPr>
      <w:r>
        <w:rPr>
          <w:rFonts w:hint="eastAsia" w:ascii="微软雅黑" w:hAnsi="微软雅黑" w:eastAsia="微软雅黑" w:cs="微软雅黑"/>
          <w:szCs w:val="21"/>
        </w:rPr>
        <w:t>（6）</w:t>
      </w:r>
      <w:r>
        <w:rPr>
          <w:rFonts w:ascii="微软雅黑" w:hAnsi="微软雅黑" w:eastAsia="微软雅黑"/>
          <w:kern w:val="0"/>
          <w:szCs w:val="21"/>
        </w:rPr>
        <w:t>釜盖配置哈氏合金压力变送器，哈氏合金爆破片式安全阀，进口哈氏合金进气阀，排空阀，排液阀，隔膜压力表等</w:t>
      </w:r>
      <w:r>
        <w:rPr>
          <w:rFonts w:hint="eastAsia" w:ascii="微软雅黑" w:hAnsi="微软雅黑" w:eastAsia="微软雅黑"/>
          <w:kern w:val="0"/>
          <w:szCs w:val="21"/>
        </w:rPr>
        <w:t>；</w:t>
      </w:r>
    </w:p>
    <w:p>
      <w:pPr>
        <w:pStyle w:val="18"/>
        <w:spacing w:line="360" w:lineRule="auto"/>
        <w:rPr>
          <w:rFonts w:ascii="微软雅黑" w:hAnsi="微软雅黑" w:eastAsia="微软雅黑" w:cs="微软雅黑"/>
          <w:szCs w:val="21"/>
        </w:rPr>
      </w:pPr>
      <w:r>
        <w:rPr>
          <w:rFonts w:hint="eastAsia" w:ascii="微软雅黑" w:hAnsi="微软雅黑" w:eastAsia="微软雅黑" w:cs="微软雅黑"/>
          <w:szCs w:val="21"/>
        </w:rPr>
        <w:t>（7）加热循环器、热交换器设计需满足反应釜的设计压力及设计温度，</w:t>
      </w:r>
      <w:r>
        <w:rPr>
          <w:rFonts w:ascii="微软雅黑" w:hAnsi="微软雅黑" w:eastAsia="微软雅黑" w:cs="微软雅黑"/>
          <w:szCs w:val="21"/>
        </w:rPr>
        <w:t>加热方式：电加热炉：加热功率：2.5Kw</w:t>
      </w:r>
      <w:r>
        <w:rPr>
          <w:rFonts w:hint="eastAsia" w:ascii="微软雅黑" w:hAnsi="微软雅黑" w:eastAsia="微软雅黑" w:cs="微软雅黑"/>
          <w:szCs w:val="21"/>
        </w:rPr>
        <w:t>；</w:t>
      </w:r>
    </w:p>
    <w:p>
      <w:pPr>
        <w:pStyle w:val="18"/>
        <w:spacing w:line="360" w:lineRule="auto"/>
        <w:rPr>
          <w:rFonts w:ascii="微软雅黑" w:hAnsi="微软雅黑" w:eastAsia="微软雅黑" w:cs="微软雅黑"/>
          <w:szCs w:val="21"/>
        </w:rPr>
      </w:pPr>
      <w:r>
        <w:rPr>
          <w:rFonts w:hint="eastAsia" w:ascii="微软雅黑" w:hAnsi="微软雅黑" w:eastAsia="微软雅黑" w:cs="微软雅黑"/>
          <w:szCs w:val="21"/>
        </w:rPr>
        <w:t>（8）</w:t>
      </w:r>
      <w:r>
        <w:rPr>
          <w:rFonts w:ascii="微软雅黑" w:hAnsi="微软雅黑" w:eastAsia="微软雅黑" w:cs="微软雅黑"/>
          <w:szCs w:val="21"/>
        </w:rPr>
        <w:t>电控台：采用宇电智能仪表控制釜内温度</w:t>
      </w:r>
      <w:r>
        <w:rPr>
          <w:rFonts w:hint="eastAsia" w:ascii="微软雅黑" w:hAnsi="微软雅黑" w:eastAsia="微软雅黑" w:cs="微软雅黑"/>
          <w:szCs w:val="21"/>
        </w:rPr>
        <w:t>，</w:t>
      </w:r>
      <w:r>
        <w:rPr>
          <w:rFonts w:ascii="微软雅黑" w:hAnsi="微软雅黑" w:eastAsia="微软雅黑" w:cs="微软雅黑"/>
          <w:szCs w:val="21"/>
        </w:rPr>
        <w:t>温度控制范围：室温~500℃，控温精度：±1℃，数字压力显示范围：0~60.00MPa，采用交流电机无极调速，数字显示釜内工作转速，有过压，过流，过速，过热保护。</w:t>
      </w:r>
    </w:p>
    <w:p>
      <w:pPr>
        <w:pStyle w:val="18"/>
        <w:spacing w:line="360" w:lineRule="auto"/>
        <w:rPr>
          <w:rFonts w:ascii="微软雅黑" w:hAnsi="微软雅黑" w:eastAsia="微软雅黑"/>
          <w:kern w:val="0"/>
          <w:szCs w:val="21"/>
        </w:rPr>
      </w:pPr>
      <w:r>
        <w:rPr>
          <w:rFonts w:hint="eastAsia" w:ascii="微软雅黑" w:hAnsi="微软雅黑" w:eastAsia="微软雅黑" w:cs="微软雅黑"/>
          <w:szCs w:val="21"/>
        </w:rPr>
        <w:t>（9）产液收集瓶，为带标准刻度的底部环铅玻璃量筒，量筒容积为500mL、1000mL、2000mL</w:t>
      </w:r>
      <w:r>
        <w:rPr>
          <w:rFonts w:hint="eastAsia" w:ascii="微软雅黑" w:hAnsi="微软雅黑" w:eastAsia="微软雅黑"/>
          <w:kern w:val="0"/>
          <w:szCs w:val="21"/>
        </w:rPr>
        <w:t>。</w:t>
      </w:r>
    </w:p>
    <w:p>
      <w:pPr>
        <w:pStyle w:val="18"/>
        <w:spacing w:line="360" w:lineRule="auto"/>
        <w:rPr>
          <w:rFonts w:ascii="微软雅黑" w:hAnsi="微软雅黑" w:eastAsia="微软雅黑"/>
          <w:kern w:val="0"/>
          <w:szCs w:val="21"/>
          <w:highlight w:val="yellow"/>
        </w:rPr>
      </w:pPr>
      <w:r>
        <w:rPr>
          <w:rFonts w:hint="eastAsia" w:ascii="微软雅黑" w:hAnsi="微软雅黑" w:eastAsia="微软雅黑" w:cs="微软雅黑"/>
          <w:szCs w:val="21"/>
        </w:rPr>
        <w:t>（10）电源：220v。过压，过流，过速，过热保护。</w:t>
      </w:r>
    </w:p>
    <w:p>
      <w:pPr>
        <w:pStyle w:val="5"/>
        <w:numPr>
          <w:ilvl w:val="0"/>
          <w:numId w:val="0"/>
        </w:numPr>
        <w:spacing w:before="120" w:after="120" w:line="360" w:lineRule="auto"/>
        <w:rPr>
          <w:rFonts w:ascii="微软雅黑" w:hAnsi="微软雅黑" w:eastAsia="微软雅黑" w:cs="微软雅黑"/>
          <w:spacing w:val="2"/>
          <w:sz w:val="24"/>
          <w:szCs w:val="24"/>
          <w:lang w:eastAsia="zh-CN"/>
        </w:rPr>
      </w:pPr>
      <w:r>
        <w:rPr>
          <w:rFonts w:hint="eastAsia" w:ascii="微软雅黑" w:hAnsi="微软雅黑" w:eastAsia="微软雅黑" w:cs="微软雅黑"/>
          <w:spacing w:val="2"/>
          <w:sz w:val="24"/>
          <w:szCs w:val="24"/>
          <w:lang w:val="en-US" w:eastAsia="zh-CN"/>
        </w:rPr>
        <w:t>3.</w:t>
      </w:r>
      <w:r>
        <w:rPr>
          <w:rFonts w:hint="eastAsia" w:ascii="微软雅黑" w:hAnsi="微软雅黑" w:eastAsia="微软雅黑" w:cs="微软雅黑"/>
          <w:spacing w:val="2"/>
          <w:sz w:val="24"/>
          <w:szCs w:val="24"/>
          <w:lang w:eastAsia="zh-CN"/>
        </w:rPr>
        <w:t>资质要求</w:t>
      </w:r>
    </w:p>
    <w:p>
      <w:pPr>
        <w:pStyle w:val="5"/>
        <w:spacing w:line="256" w:lineRule="auto"/>
        <w:ind w:right="122" w:firstLine="700" w:firstLineChars="250"/>
        <w:rPr>
          <w:rFonts w:ascii="微软雅黑" w:hAnsi="微软雅黑" w:eastAsia="微软雅黑" w:cs="微软雅黑"/>
          <w:lang w:eastAsia="zh-CN"/>
        </w:rPr>
      </w:pPr>
      <w:r>
        <w:rPr>
          <w:rFonts w:hint="eastAsia" w:ascii="仿宋" w:hAnsi="仿宋" w:eastAsia="仿宋" w:cs="仿宋"/>
          <w:sz w:val="28"/>
          <w:szCs w:val="28"/>
        </w:rPr>
        <w:t>★</w:t>
      </w:r>
      <w:r>
        <w:rPr>
          <w:rFonts w:hint="eastAsia" w:ascii="微软雅黑" w:hAnsi="微软雅黑" w:eastAsia="微软雅黑" w:cs="微软雅黑"/>
          <w:lang w:eastAsia="zh-CN"/>
        </w:rPr>
        <w:t>投标人应为标的货物的制造商，不接受代理商和贸易商。</w:t>
      </w:r>
    </w:p>
    <w:p>
      <w:pPr>
        <w:pStyle w:val="21"/>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五</w:t>
      </w:r>
      <w:r>
        <w:rPr>
          <w:rFonts w:hint="eastAsia" w:ascii="微软雅黑" w:hAnsi="微软雅黑" w:eastAsia="微软雅黑" w:cs="Times New Roman"/>
          <w:bCs/>
          <w:color w:val="auto"/>
          <w:sz w:val="32"/>
          <w:szCs w:val="32"/>
        </w:rPr>
        <w:t>、检测和试验</w:t>
      </w:r>
    </w:p>
    <w:p>
      <w:pPr>
        <w:pStyle w:val="21"/>
        <w:adjustRightInd/>
        <w:spacing w:before="120" w:after="120" w:line="360" w:lineRule="auto"/>
        <w:ind w:firstLine="420" w:firstLineChars="200"/>
        <w:outlineLvl w:val="0"/>
        <w:rPr>
          <w:rFonts w:ascii="微软雅黑" w:hAnsi="微软雅黑" w:eastAsia="微软雅黑" w:cs="仿宋"/>
          <w:sz w:val="21"/>
          <w:szCs w:val="21"/>
        </w:rPr>
      </w:pPr>
      <w:r>
        <w:rPr>
          <w:rFonts w:hint="eastAsia" w:ascii="微软雅黑" w:hAnsi="微软雅黑" w:eastAsia="微软雅黑" w:cs="仿宋"/>
          <w:sz w:val="21"/>
          <w:szCs w:val="21"/>
        </w:rPr>
        <w:t>合同签订后根据甲方要求送货到厂时进行入厂前检测工作。需满足以下四条：</w:t>
      </w:r>
    </w:p>
    <w:p>
      <w:pPr>
        <w:pStyle w:val="5"/>
        <w:spacing w:before="120" w:after="120" w:line="360" w:lineRule="auto"/>
        <w:ind w:left="0" w:firstLine="0" w:firstLineChars="0"/>
        <w:jc w:val="left"/>
        <w:rPr>
          <w:rFonts w:ascii="微软雅黑" w:hAnsi="微软雅黑" w:eastAsia="微软雅黑"/>
          <w:lang w:eastAsia="zh-CN"/>
        </w:rPr>
      </w:pPr>
      <w:r>
        <w:rPr>
          <w:rFonts w:hint="eastAsia" w:ascii="微软雅黑" w:hAnsi="微软雅黑" w:eastAsia="微软雅黑"/>
          <w:lang w:eastAsia="zh-CN"/>
        </w:rPr>
        <w:t>（1）设备外观完整、无损害；</w:t>
      </w:r>
    </w:p>
    <w:p>
      <w:pPr>
        <w:pStyle w:val="5"/>
        <w:spacing w:before="120" w:after="120" w:line="360" w:lineRule="auto"/>
        <w:ind w:left="0" w:firstLine="0" w:firstLineChars="0"/>
        <w:jc w:val="left"/>
        <w:rPr>
          <w:rFonts w:ascii="微软雅黑" w:hAnsi="微软雅黑" w:eastAsia="微软雅黑"/>
          <w:lang w:eastAsia="zh-CN"/>
        </w:rPr>
      </w:pPr>
      <w:r>
        <w:rPr>
          <w:rFonts w:hint="eastAsia" w:ascii="微软雅黑" w:hAnsi="微软雅黑" w:eastAsia="微软雅黑"/>
          <w:lang w:eastAsia="zh-CN"/>
        </w:rPr>
        <w:t>（2）仪器整机、配件及软件齐全，符合合同要求；</w:t>
      </w:r>
    </w:p>
    <w:p>
      <w:pPr>
        <w:pStyle w:val="5"/>
        <w:spacing w:before="120" w:after="120" w:line="360" w:lineRule="auto"/>
        <w:ind w:left="0" w:firstLine="0" w:firstLineChars="0"/>
        <w:jc w:val="left"/>
        <w:rPr>
          <w:rFonts w:ascii="微软雅黑" w:hAnsi="微软雅黑" w:eastAsia="微软雅黑"/>
          <w:lang w:eastAsia="zh-CN"/>
        </w:rPr>
      </w:pPr>
      <w:r>
        <w:rPr>
          <w:rFonts w:hint="eastAsia" w:ascii="微软雅黑" w:hAnsi="微软雅黑" w:eastAsia="微软雅黑"/>
          <w:lang w:eastAsia="zh-CN"/>
        </w:rPr>
        <w:t>（3）仪器运行良好，操作方便、各项技术指标达到合同中的技术要求。</w:t>
      </w:r>
    </w:p>
    <w:p>
      <w:pPr>
        <w:pStyle w:val="21"/>
        <w:spacing w:before="120" w:after="120"/>
        <w:ind w:firstLine="0" w:firstLineChars="0"/>
        <w:rPr>
          <w:rFonts w:ascii="微软雅黑" w:hAnsi="微软雅黑" w:eastAsia="微软雅黑"/>
        </w:rPr>
      </w:pPr>
      <w:r>
        <w:rPr>
          <w:rFonts w:hint="eastAsia" w:ascii="微软雅黑" w:hAnsi="微软雅黑" w:eastAsia="微软雅黑"/>
          <w:sz w:val="21"/>
          <w:szCs w:val="21"/>
        </w:rPr>
        <w:t>（4）</w:t>
      </w:r>
      <w:r>
        <w:rPr>
          <w:rFonts w:hint="eastAsia" w:ascii="微软雅黑" w:hAnsi="微软雅黑" w:eastAsia="微软雅黑" w:cs="微软雅黑"/>
          <w:color w:val="auto"/>
          <w:sz w:val="21"/>
          <w:szCs w:val="21"/>
        </w:rPr>
        <w:t>安全阀及各类仪表，提供第三方检测证明；</w:t>
      </w:r>
    </w:p>
    <w:p>
      <w:pPr>
        <w:spacing w:line="360" w:lineRule="auto"/>
        <w:ind w:firstLine="0" w:firstLineChars="0"/>
        <w:rPr>
          <w:rFonts w:ascii="仿宋" w:hAnsi="仿宋" w:eastAsia="仿宋" w:cs="仿宋"/>
          <w:kern w:val="0"/>
          <w:sz w:val="28"/>
          <w:szCs w:val="28"/>
        </w:rPr>
      </w:pPr>
      <w:r>
        <w:rPr>
          <w:rFonts w:hint="eastAsia" w:ascii="微软雅黑" w:hAnsi="微软雅黑" w:eastAsia="微软雅黑"/>
        </w:rPr>
        <w:t>（5）检测不合格按照《采购技术要求书》第十、十一项相关要求执行。</w:t>
      </w:r>
    </w:p>
    <w:p>
      <w:pPr>
        <w:pStyle w:val="21"/>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六</w:t>
      </w:r>
      <w:r>
        <w:rPr>
          <w:rFonts w:hint="eastAsia" w:ascii="微软雅黑" w:hAnsi="微软雅黑" w:eastAsia="微软雅黑" w:cs="Times New Roman"/>
          <w:bCs/>
          <w:color w:val="auto"/>
          <w:sz w:val="32"/>
          <w:szCs w:val="32"/>
        </w:rPr>
        <w:t>、标识、包装、运输和存储</w:t>
      </w:r>
    </w:p>
    <w:p>
      <w:pPr>
        <w:spacing w:line="360" w:lineRule="auto"/>
        <w:rPr>
          <w:rFonts w:ascii="仿宋" w:hAnsi="仿宋" w:eastAsia="仿宋" w:cs="仿宋"/>
          <w:sz w:val="28"/>
          <w:szCs w:val="28"/>
        </w:rPr>
      </w:pPr>
      <w:r>
        <w:rPr>
          <w:rFonts w:hint="eastAsia" w:ascii="仿宋" w:hAnsi="仿宋" w:eastAsia="仿宋" w:cs="仿宋"/>
          <w:sz w:val="28"/>
          <w:szCs w:val="28"/>
        </w:rPr>
        <w:t>1．</w:t>
      </w:r>
      <w:r>
        <w:rPr>
          <w:rFonts w:hint="eastAsia" w:ascii="Microsoft YaHei UI" w:hAnsi="Microsoft YaHei UI" w:eastAsia="Microsoft YaHei UI"/>
          <w:spacing w:val="2"/>
          <w:kern w:val="0"/>
          <w:sz w:val="24"/>
          <w:szCs w:val="24"/>
        </w:rPr>
        <w:t>产品标识</w:t>
      </w:r>
    </w:p>
    <w:p>
      <w:pPr>
        <w:pStyle w:val="5"/>
        <w:spacing w:line="360" w:lineRule="auto"/>
        <w:ind w:firstLine="420"/>
        <w:rPr>
          <w:rFonts w:ascii="微软雅黑" w:hAnsi="微软雅黑" w:eastAsia="微软雅黑"/>
          <w:lang w:eastAsia="zh-CN"/>
        </w:rPr>
      </w:pPr>
      <w:r>
        <w:rPr>
          <w:rFonts w:hint="eastAsia" w:ascii="微软雅黑" w:hAnsi="微软雅黑" w:eastAsia="微软雅黑"/>
          <w:lang w:eastAsia="zh-CN"/>
        </w:rPr>
        <w:t>设备铭牌要求，包含设备编号、名称、型号、出厂日期</w:t>
      </w:r>
      <w:r>
        <w:rPr>
          <w:rFonts w:hint="eastAsia" w:ascii="宋体" w:hAnsi="宋体" w:eastAsia="宋体" w:cs="宋体"/>
          <w:lang w:eastAsia="zh-CN"/>
        </w:rPr>
        <w:t>、</w:t>
      </w:r>
      <w:r>
        <w:rPr>
          <w:rFonts w:hint="eastAsia" w:ascii="微软雅黑" w:hAnsi="微软雅黑" w:eastAsia="微软雅黑"/>
          <w:lang w:eastAsia="zh-CN"/>
        </w:rPr>
        <w:t>生产商名称、主要参数，尺寸、材质。</w:t>
      </w:r>
    </w:p>
    <w:p>
      <w:pPr>
        <w:spacing w:line="360" w:lineRule="auto"/>
        <w:rPr>
          <w:rFonts w:ascii="Microsoft YaHei UI" w:hAnsi="Microsoft YaHei UI" w:eastAsia="Microsoft YaHei UI"/>
          <w:spacing w:val="2"/>
          <w:kern w:val="0"/>
          <w:sz w:val="24"/>
          <w:szCs w:val="24"/>
        </w:rPr>
      </w:pPr>
      <w:r>
        <w:rPr>
          <w:rFonts w:hint="eastAsia" w:ascii="Microsoft YaHei UI" w:hAnsi="Microsoft YaHei UI" w:eastAsia="Microsoft YaHei UI"/>
          <w:spacing w:val="2"/>
          <w:kern w:val="0"/>
          <w:sz w:val="24"/>
          <w:szCs w:val="24"/>
        </w:rPr>
        <w:t>2．产品包装</w:t>
      </w:r>
    </w:p>
    <w:p>
      <w:pPr>
        <w:pStyle w:val="5"/>
        <w:spacing w:line="360" w:lineRule="auto"/>
        <w:ind w:firstLine="420"/>
        <w:rPr>
          <w:rFonts w:ascii="微软雅黑" w:hAnsi="微软雅黑" w:eastAsia="微软雅黑"/>
          <w:lang w:eastAsia="zh-CN"/>
        </w:rPr>
      </w:pPr>
      <w:r>
        <w:rPr>
          <w:rFonts w:hint="eastAsia" w:ascii="微软雅黑" w:hAnsi="微软雅黑" w:eastAsia="微软雅黑"/>
          <w:lang w:eastAsia="zh-CN"/>
        </w:rPr>
        <w:t>卖方</w:t>
      </w:r>
      <w:r>
        <w:rPr>
          <w:rFonts w:ascii="微软雅黑" w:hAnsi="微软雅黑" w:eastAsia="微软雅黑"/>
          <w:lang w:eastAsia="zh-CN"/>
        </w:rPr>
        <w:t>采用</w:t>
      </w:r>
      <w:r>
        <w:rPr>
          <w:rFonts w:hint="eastAsia" w:ascii="微软雅黑" w:hAnsi="微软雅黑" w:eastAsia="微软雅黑"/>
          <w:lang w:eastAsia="zh-CN"/>
        </w:rPr>
        <w:t>木箱包装供货，内部防雨处理，</w:t>
      </w:r>
      <w:r>
        <w:rPr>
          <w:rFonts w:ascii="微软雅黑" w:hAnsi="微软雅黑" w:eastAsia="微软雅黑"/>
          <w:lang w:eastAsia="zh-CN"/>
        </w:rPr>
        <w:t>包装物</w:t>
      </w:r>
      <w:r>
        <w:rPr>
          <w:rFonts w:hint="eastAsia" w:ascii="微软雅黑" w:hAnsi="微软雅黑" w:eastAsia="微软雅黑"/>
          <w:lang w:eastAsia="zh-CN"/>
        </w:rPr>
        <w:t>不可</w:t>
      </w:r>
      <w:r>
        <w:rPr>
          <w:rFonts w:ascii="微软雅黑" w:hAnsi="微软雅黑" w:eastAsia="微软雅黑"/>
          <w:lang w:eastAsia="zh-CN"/>
        </w:rPr>
        <w:t>回收</w:t>
      </w:r>
      <w:r>
        <w:rPr>
          <w:rFonts w:hint="eastAsia" w:ascii="微软雅黑" w:hAnsi="微软雅黑" w:eastAsia="微软雅黑"/>
          <w:lang w:eastAsia="zh-CN"/>
        </w:rPr>
        <w:t>。</w:t>
      </w:r>
    </w:p>
    <w:p>
      <w:pPr>
        <w:spacing w:line="360" w:lineRule="auto"/>
        <w:rPr>
          <w:rFonts w:ascii="Microsoft YaHei UI" w:hAnsi="Microsoft YaHei UI" w:eastAsia="Microsoft YaHei UI"/>
          <w:spacing w:val="2"/>
          <w:kern w:val="0"/>
          <w:sz w:val="24"/>
          <w:szCs w:val="24"/>
        </w:rPr>
      </w:pPr>
      <w:r>
        <w:rPr>
          <w:rFonts w:hint="eastAsia" w:ascii="Microsoft YaHei UI" w:hAnsi="Microsoft YaHei UI" w:eastAsia="Microsoft YaHei UI"/>
          <w:spacing w:val="2"/>
          <w:kern w:val="0"/>
          <w:sz w:val="24"/>
          <w:szCs w:val="24"/>
        </w:rPr>
        <w:t>3．产品运输</w:t>
      </w:r>
    </w:p>
    <w:p>
      <w:pPr>
        <w:spacing w:line="360" w:lineRule="auto"/>
        <w:ind w:firstLine="420" w:firstLineChars="200"/>
        <w:rPr>
          <w:rFonts w:ascii="仿宋" w:hAnsi="仿宋" w:eastAsia="仿宋" w:cs="仿宋"/>
          <w:sz w:val="28"/>
          <w:szCs w:val="28"/>
        </w:rPr>
      </w:pPr>
      <w:r>
        <w:rPr>
          <w:rFonts w:hint="eastAsia" w:ascii="微软雅黑" w:hAnsi="微软雅黑" w:eastAsia="微软雅黑" w:cs="仿宋"/>
          <w:szCs w:val="21"/>
        </w:rPr>
        <w:t>产品运输方式：免费汽运到厂车辆到达天津滨海高新区神舟大道与惠新路交口工程技术公司24小时前与货物验收人进行联系，提供车辆信息及人员信息，进行车辆入区申请。</w:t>
      </w:r>
    </w:p>
    <w:p>
      <w:pPr>
        <w:spacing w:line="360" w:lineRule="auto"/>
        <w:rPr>
          <w:rFonts w:ascii="Microsoft YaHei UI" w:hAnsi="Microsoft YaHei UI" w:eastAsia="Microsoft YaHei UI"/>
          <w:spacing w:val="2"/>
          <w:kern w:val="0"/>
          <w:sz w:val="24"/>
          <w:szCs w:val="24"/>
        </w:rPr>
      </w:pPr>
      <w:r>
        <w:rPr>
          <w:rFonts w:hint="eastAsia" w:ascii="Microsoft YaHei UI" w:hAnsi="Microsoft YaHei UI" w:eastAsia="Microsoft YaHei UI"/>
          <w:spacing w:val="2"/>
          <w:kern w:val="0"/>
          <w:sz w:val="24"/>
          <w:szCs w:val="24"/>
        </w:rPr>
        <w:t>4．产品存储</w:t>
      </w:r>
    </w:p>
    <w:p>
      <w:pPr>
        <w:spacing w:line="360" w:lineRule="auto"/>
        <w:ind w:firstLine="630" w:firstLineChars="300"/>
        <w:rPr>
          <w:rFonts w:ascii="微软雅黑" w:hAnsi="微软雅黑" w:eastAsia="微软雅黑" w:cs="仿宋"/>
          <w:szCs w:val="21"/>
        </w:rPr>
      </w:pPr>
      <w:r>
        <w:rPr>
          <w:rFonts w:hint="eastAsia" w:ascii="微软雅黑" w:hAnsi="微软雅黑" w:eastAsia="微软雅黑" w:cs="仿宋"/>
          <w:szCs w:val="21"/>
        </w:rPr>
        <w:t>常温遮阳存放，防潮。</w:t>
      </w:r>
    </w:p>
    <w:p>
      <w:pPr>
        <w:pStyle w:val="21"/>
        <w:numPr>
          <w:numId w:val="0"/>
        </w:numPr>
        <w:spacing w:before="120" w:after="120"/>
        <w:ind w:leftChars="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七、</w:t>
      </w:r>
      <w:r>
        <w:rPr>
          <w:rFonts w:hint="eastAsia" w:ascii="微软雅黑" w:hAnsi="微软雅黑" w:eastAsia="微软雅黑" w:cs="Times New Roman"/>
          <w:bCs/>
          <w:color w:val="auto"/>
          <w:sz w:val="32"/>
          <w:szCs w:val="32"/>
        </w:rPr>
        <w:t>技术文件</w:t>
      </w:r>
    </w:p>
    <w:p>
      <w:pPr>
        <w:pStyle w:val="21"/>
        <w:spacing w:before="120" w:after="120"/>
        <w:ind w:firstLine="630" w:firstLineChars="300"/>
        <w:outlineLvl w:val="0"/>
        <w:rPr>
          <w:rFonts w:ascii="微软雅黑" w:hAnsi="微软雅黑" w:eastAsia="微软雅黑" w:cs="仿宋"/>
          <w:sz w:val="21"/>
          <w:szCs w:val="21"/>
        </w:rPr>
      </w:pPr>
      <w:r>
        <w:rPr>
          <w:rFonts w:hint="eastAsia" w:ascii="微软雅黑" w:hAnsi="微软雅黑" w:eastAsia="微软雅黑" w:cs="仿宋"/>
          <w:sz w:val="21"/>
          <w:szCs w:val="21"/>
        </w:rPr>
        <w:t>卖方提供产品合格证、所用各类部件合格证、保修卡、各类仪表说明书，材质证明，纸质版</w:t>
      </w:r>
      <w:r>
        <w:rPr>
          <w:rFonts w:ascii="微软雅黑" w:hAnsi="微软雅黑" w:eastAsia="微软雅黑" w:cs="仿宋"/>
          <w:sz w:val="21"/>
          <w:szCs w:val="21"/>
        </w:rPr>
        <w:t>1份，扫描版1份。设备使用说明书（包括但不限于设备原理说明，工艺流程图，电气原理图，日常维护  日常操作方法等）等，纸质版3份，电子版1份。</w:t>
      </w:r>
    </w:p>
    <w:p>
      <w:pPr>
        <w:pStyle w:val="21"/>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八</w:t>
      </w:r>
      <w:r>
        <w:rPr>
          <w:rFonts w:hint="eastAsia" w:ascii="微软雅黑" w:hAnsi="微软雅黑" w:eastAsia="微软雅黑" w:cs="Times New Roman"/>
          <w:bCs/>
          <w:color w:val="auto"/>
          <w:sz w:val="32"/>
          <w:szCs w:val="32"/>
        </w:rPr>
        <w:t>、工作进度、监造和现场验收</w:t>
      </w:r>
    </w:p>
    <w:p>
      <w:pPr>
        <w:spacing w:line="360" w:lineRule="auto"/>
        <w:ind w:firstLine="0" w:firstLineChars="0"/>
        <w:rPr>
          <w:rFonts w:ascii="微软雅黑" w:hAnsi="微软雅黑" w:eastAsia="微软雅黑" w:cs="微软雅黑"/>
          <w:szCs w:val="21"/>
        </w:rPr>
      </w:pPr>
      <w:r>
        <w:rPr>
          <w:rFonts w:hint="eastAsia" w:ascii="微软雅黑" w:hAnsi="微软雅黑" w:eastAsia="微软雅黑" w:cs="微软雅黑"/>
          <w:szCs w:val="21"/>
        </w:rPr>
        <w:t>1．须符合建造前双方确认的技术协议所规定的具体技术要求；</w:t>
      </w:r>
    </w:p>
    <w:p>
      <w:pPr>
        <w:pStyle w:val="2"/>
        <w:rPr>
          <w:rFonts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 xml:space="preserve"> 2.提供设备的检验、验收方法、指标、验收程序、验收报告清单等，并按照买方制定的验收方案进行调试验收。</w:t>
      </w:r>
    </w:p>
    <w:p>
      <w:pPr>
        <w:spacing w:line="360" w:lineRule="auto"/>
        <w:ind w:firstLine="0" w:firstLineChars="0"/>
        <w:rPr>
          <w:rFonts w:eastAsia="黑体"/>
        </w:rPr>
      </w:pPr>
      <w:r>
        <w:rPr>
          <w:rFonts w:hint="eastAsia" w:ascii="微软雅黑" w:hAnsi="微软雅黑" w:eastAsia="微软雅黑" w:cs="微软雅黑"/>
          <w:szCs w:val="21"/>
        </w:rPr>
        <w:t>3.现场安装调试合格结束后进行验收，并提供调试记录。</w:t>
      </w:r>
    </w:p>
    <w:p>
      <w:pPr>
        <w:spacing w:line="360" w:lineRule="auto"/>
        <w:ind w:firstLine="0" w:firstLineChars="0"/>
        <w:rPr>
          <w:rFonts w:ascii="微软雅黑" w:hAnsi="微软雅黑" w:eastAsia="微软雅黑" w:cs="微软雅黑"/>
          <w:szCs w:val="21"/>
        </w:rPr>
      </w:pPr>
      <w:r>
        <w:rPr>
          <w:rFonts w:hint="eastAsia" w:ascii="微软雅黑" w:hAnsi="微软雅黑" w:eastAsia="微软雅黑" w:cs="微软雅黑"/>
          <w:szCs w:val="21"/>
        </w:rPr>
        <w:t>交货日期：合同签订后，经买方通知后60日内到货，并安排安装调试，对使用人员进行操作培训。</w:t>
      </w:r>
    </w:p>
    <w:p>
      <w:pPr>
        <w:spacing w:line="360" w:lineRule="auto"/>
        <w:ind w:firstLine="0" w:firstLineChars="0"/>
        <w:rPr>
          <w:rFonts w:ascii="微软雅黑" w:hAnsi="微软雅黑" w:eastAsia="微软雅黑" w:cs="微软雅黑"/>
          <w:szCs w:val="21"/>
        </w:rPr>
      </w:pPr>
      <w:r>
        <w:rPr>
          <w:rFonts w:hint="eastAsia" w:ascii="微软雅黑" w:hAnsi="微软雅黑" w:eastAsia="微软雅黑" w:cs="微软雅黑"/>
          <w:szCs w:val="21"/>
        </w:rPr>
        <w:t>货物接收人：王仲广13752700434</w:t>
      </w:r>
    </w:p>
    <w:p>
      <w:pPr>
        <w:pStyle w:val="18"/>
        <w:ind w:firstLine="0"/>
        <w:rPr>
          <w:rFonts w:ascii="微软雅黑" w:hAnsi="微软雅黑" w:eastAsia="微软雅黑" w:cs="微软雅黑"/>
          <w:kern w:val="0"/>
          <w:szCs w:val="21"/>
        </w:rPr>
      </w:pPr>
      <w:r>
        <w:rPr>
          <w:rFonts w:hint="eastAsia" w:ascii="微软雅黑" w:hAnsi="微软雅黑" w:eastAsia="微软雅黑" w:cs="微软雅黑"/>
          <w:kern w:val="0"/>
          <w:szCs w:val="21"/>
        </w:rPr>
        <w:t>货物验收人：胡廷 13502004571</w:t>
      </w:r>
    </w:p>
    <w:p>
      <w:pPr>
        <w:pStyle w:val="18"/>
        <w:ind w:firstLine="0"/>
        <w:rPr>
          <w:rFonts w:ascii="微软雅黑" w:hAnsi="微软雅黑" w:eastAsia="微软雅黑" w:cs="微软雅黑"/>
          <w:kern w:val="0"/>
          <w:szCs w:val="21"/>
        </w:rPr>
      </w:pPr>
      <w:r>
        <w:rPr>
          <w:rFonts w:hint="eastAsia" w:ascii="微软雅黑" w:hAnsi="微软雅黑" w:eastAsia="微软雅黑" w:cs="微软雅黑"/>
          <w:kern w:val="0"/>
          <w:szCs w:val="21"/>
        </w:rPr>
        <w:t>付款支持性文件和材料合格（包括但不限于发票、相关支持文件完整且无异议）。</w:t>
      </w:r>
    </w:p>
    <w:p>
      <w:pPr>
        <w:pStyle w:val="18"/>
        <w:rPr>
          <w:rFonts w:ascii="微软雅黑" w:hAnsi="微软雅黑" w:eastAsia="微软雅黑" w:cs="微软雅黑"/>
          <w:kern w:val="0"/>
          <w:szCs w:val="21"/>
        </w:rPr>
      </w:pPr>
      <w:r>
        <w:rPr>
          <w:rFonts w:hint="eastAsia" w:ascii="微软雅黑" w:hAnsi="微软雅黑" w:eastAsia="微软雅黑" w:cs="微软雅黑"/>
          <w:kern w:val="0"/>
          <w:szCs w:val="21"/>
        </w:rPr>
        <w:t>易损备件清单：高压N2气气瓶配套连接管线、减压阀、密封配件、产液收集瓶。</w:t>
      </w:r>
    </w:p>
    <w:p>
      <w:pPr>
        <w:pStyle w:val="21"/>
        <w:spacing w:before="120" w:after="120"/>
        <w:outlineLvl w:val="0"/>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九</w:t>
      </w:r>
      <w:r>
        <w:rPr>
          <w:rFonts w:hint="eastAsia" w:ascii="黑体" w:hAnsi="黑体" w:eastAsia="黑体" w:cs="黑体"/>
          <w:bCs/>
          <w:color w:val="auto"/>
          <w:sz w:val="32"/>
          <w:szCs w:val="32"/>
        </w:rPr>
        <w:t>、技术服务与售后服务</w:t>
      </w:r>
    </w:p>
    <w:p>
      <w:pPr>
        <w:pStyle w:val="5"/>
        <w:spacing w:before="120" w:after="120" w:line="360" w:lineRule="auto"/>
        <w:ind w:left="0" w:leftChars="0" w:firstLine="0" w:firstLineChars="0"/>
        <w:rPr>
          <w:rFonts w:ascii="微软雅黑" w:hAnsi="微软雅黑" w:eastAsia="微软雅黑"/>
          <w:lang w:eastAsia="zh-CN"/>
        </w:rPr>
      </w:pPr>
      <w:r>
        <w:rPr>
          <w:rFonts w:hint="eastAsia" w:ascii="微软雅黑" w:hAnsi="微软雅黑" w:eastAsia="微软雅黑"/>
          <w:lang w:eastAsia="zh-CN"/>
        </w:rPr>
        <w:t>1. 合同签订后，自买方通知起60日内到货，安装调试，对使用人员进行操作培训；</w:t>
      </w:r>
    </w:p>
    <w:p>
      <w:pPr>
        <w:pStyle w:val="5"/>
        <w:spacing w:before="120" w:after="120" w:line="360" w:lineRule="auto"/>
        <w:ind w:left="0" w:leftChars="0" w:firstLine="0" w:firstLineChars="0"/>
        <w:rPr>
          <w:rFonts w:ascii="微软雅黑" w:hAnsi="微软雅黑" w:eastAsia="微软雅黑"/>
          <w:lang w:eastAsia="zh-CN"/>
        </w:rPr>
      </w:pPr>
      <w:r>
        <w:rPr>
          <w:rFonts w:hint="eastAsia" w:ascii="微软雅黑" w:hAnsi="微软雅黑" w:eastAsia="微软雅黑"/>
          <w:lang w:eastAsia="zh-CN"/>
        </w:rPr>
        <w:t>2. 设备运行良好，操作方便，各项技术指标达到合同中的技术要求；</w:t>
      </w:r>
    </w:p>
    <w:p>
      <w:pPr>
        <w:pStyle w:val="5"/>
        <w:spacing w:before="120" w:after="120" w:line="360" w:lineRule="auto"/>
        <w:ind w:left="0" w:leftChars="0" w:firstLine="0" w:firstLineChars="0"/>
        <w:rPr>
          <w:rFonts w:ascii="微软雅黑" w:hAnsi="微软雅黑" w:eastAsia="微软雅黑"/>
          <w:lang w:eastAsia="zh-CN"/>
        </w:rPr>
      </w:pPr>
      <w:r>
        <w:rPr>
          <w:rFonts w:hint="eastAsia" w:ascii="微软雅黑" w:hAnsi="微软雅黑" w:eastAsia="微软雅黑"/>
          <w:lang w:eastAsia="zh-CN"/>
        </w:rPr>
        <w:t>3. 提供设备的检验、验收方法、指标、验收程序、验收报告清单</w:t>
      </w:r>
      <w:r>
        <w:rPr>
          <w:rFonts w:hint="eastAsia" w:ascii="宋体" w:hAnsi="宋体" w:eastAsia="宋体" w:cs="宋体"/>
          <w:lang w:eastAsia="zh-CN"/>
        </w:rPr>
        <w:t>、</w:t>
      </w:r>
      <w:r>
        <w:rPr>
          <w:rFonts w:hint="eastAsia" w:ascii="微软雅黑" w:hAnsi="微软雅黑" w:eastAsia="微软雅黑"/>
          <w:lang w:eastAsia="zh-CN"/>
        </w:rPr>
        <w:t>易损备件。</w:t>
      </w:r>
    </w:p>
    <w:p>
      <w:pPr>
        <w:pStyle w:val="5"/>
        <w:spacing w:before="120" w:after="120" w:line="360" w:lineRule="auto"/>
        <w:ind w:left="0" w:leftChars="0" w:firstLine="0" w:firstLineChars="0"/>
        <w:rPr>
          <w:rFonts w:ascii="微软雅黑" w:hAnsi="微软雅黑" w:eastAsia="微软雅黑"/>
          <w:lang w:eastAsia="zh-CN"/>
        </w:rPr>
      </w:pPr>
      <w:r>
        <w:rPr>
          <w:rFonts w:hint="eastAsia" w:ascii="微软雅黑" w:hAnsi="微软雅黑" w:eastAsia="微软雅黑"/>
          <w:lang w:eastAsia="zh-CN"/>
        </w:rPr>
        <w:t>4. 技术联络与响应：卖方在接到卖方通知24小时内给予答复，48小时到达现场。</w:t>
      </w:r>
    </w:p>
    <w:p>
      <w:pPr>
        <w:spacing w:before="120" w:after="120" w:line="360" w:lineRule="auto"/>
        <w:ind w:left="0" w:leftChars="0" w:firstLine="0" w:firstLineChars="0"/>
        <w:rPr>
          <w:rFonts w:ascii="微软雅黑" w:hAnsi="微软雅黑" w:eastAsia="微软雅黑" w:cs="仿宋"/>
          <w:szCs w:val="21"/>
        </w:rPr>
      </w:pPr>
      <w:r>
        <w:rPr>
          <w:rFonts w:hint="eastAsia" w:ascii="微软雅黑" w:hAnsi="微软雅黑" w:eastAsia="微软雅黑" w:cs="仿宋"/>
          <w:szCs w:val="21"/>
        </w:rPr>
        <w:t>货物接收人：王仲广13752700434</w:t>
      </w:r>
    </w:p>
    <w:p>
      <w:pPr>
        <w:spacing w:line="360" w:lineRule="auto"/>
        <w:ind w:firstLine="0" w:firstLineChars="0"/>
        <w:rPr>
          <w:rFonts w:ascii="微软雅黑" w:hAnsi="微软雅黑" w:eastAsia="微软雅黑" w:cs="微软雅黑"/>
          <w:kern w:val="0"/>
          <w:szCs w:val="21"/>
        </w:rPr>
      </w:pPr>
      <w:r>
        <w:rPr>
          <w:rFonts w:hint="eastAsia" w:ascii="微软雅黑" w:hAnsi="微软雅黑" w:eastAsia="微软雅黑" w:cs="仿宋"/>
          <w:szCs w:val="21"/>
        </w:rPr>
        <w:t>技术联系人 ：胡廷13820076541</w:t>
      </w:r>
    </w:p>
    <w:p>
      <w:pPr>
        <w:rPr>
          <w:rFonts w:ascii="黑体" w:hAnsi="黑体" w:eastAsia="黑体" w:cs="黑体"/>
          <w:bCs/>
          <w:sz w:val="32"/>
          <w:szCs w:val="32"/>
        </w:rPr>
      </w:pPr>
      <w:r>
        <w:rPr>
          <w:rFonts w:hint="eastAsia" w:ascii="黑体" w:hAnsi="黑体" w:eastAsia="黑体" w:cs="黑体"/>
          <w:bCs/>
          <w:sz w:val="32"/>
          <w:szCs w:val="32"/>
        </w:rPr>
        <w:t>十、质量保证</w:t>
      </w:r>
    </w:p>
    <w:p>
      <w:pPr>
        <w:ind w:firstLine="0" w:firstLineChars="0"/>
        <w:rPr>
          <w:rFonts w:ascii="微软雅黑" w:hAnsi="微软雅黑" w:eastAsia="微软雅黑"/>
          <w:szCs w:val="21"/>
        </w:rPr>
      </w:pPr>
      <w:bookmarkStart w:id="320" w:name="_Toc13249328"/>
      <w:bookmarkStart w:id="321" w:name="_Toc13248931"/>
      <w:r>
        <w:rPr>
          <w:rFonts w:hint="eastAsia" w:ascii="微软雅黑" w:hAnsi="微软雅黑" w:eastAsia="微软雅黑"/>
          <w:szCs w:val="21"/>
        </w:rPr>
        <w:t>1. 以货物验收双方签字确认日期计，产品质量保证期为2年，质保金3%。</w:t>
      </w:r>
    </w:p>
    <w:p>
      <w:pPr>
        <w:pStyle w:val="5"/>
        <w:spacing w:line="257" w:lineRule="auto"/>
        <w:ind w:left="0" w:right="122" w:firstLine="0"/>
        <w:rPr>
          <w:rFonts w:ascii="微软雅黑" w:hAnsi="微软雅黑" w:eastAsia="微软雅黑"/>
          <w:lang w:eastAsia="zh-CN"/>
        </w:rPr>
      </w:pPr>
      <w:r>
        <w:rPr>
          <w:rFonts w:hint="eastAsia" w:ascii="微软雅黑" w:hAnsi="微软雅黑" w:eastAsia="微软雅黑"/>
          <w:lang w:eastAsia="zh-CN"/>
        </w:rPr>
        <w:t>2. 到货验收不合格，无条件退货。</w:t>
      </w:r>
    </w:p>
    <w:p>
      <w:pPr>
        <w:pStyle w:val="21"/>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w:t>
      </w:r>
      <w:r>
        <w:rPr>
          <w:rFonts w:hint="eastAsia" w:ascii="微软雅黑" w:hAnsi="微软雅黑" w:eastAsia="微软雅黑" w:cs="Times New Roman"/>
          <w:bCs/>
          <w:color w:val="auto"/>
          <w:sz w:val="32"/>
          <w:szCs w:val="32"/>
          <w:lang w:val="en-US" w:eastAsia="zh-CN"/>
        </w:rPr>
        <w:t>一</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其他</w:t>
      </w:r>
      <w:r>
        <w:rPr>
          <w:rFonts w:ascii="微软雅黑" w:hAnsi="微软雅黑" w:eastAsia="微软雅黑" w:cs="Times New Roman"/>
          <w:bCs/>
          <w:color w:val="auto"/>
          <w:sz w:val="32"/>
          <w:szCs w:val="32"/>
        </w:rPr>
        <w:t>要求</w:t>
      </w:r>
      <w:bookmarkEnd w:id="320"/>
      <w:bookmarkEnd w:id="321"/>
    </w:p>
    <w:p>
      <w:pPr>
        <w:pStyle w:val="5"/>
        <w:spacing w:line="360" w:lineRule="auto"/>
        <w:ind w:left="0" w:firstLine="0" w:firstLineChars="0"/>
        <w:jc w:val="left"/>
        <w:rPr>
          <w:rFonts w:ascii="微软雅黑" w:hAnsi="微软雅黑" w:eastAsia="微软雅黑" w:cs="微软雅黑"/>
          <w:lang w:eastAsia="zh-CN"/>
        </w:rPr>
      </w:pPr>
      <w:bookmarkStart w:id="322" w:name="_Hlk116843716"/>
      <w:r>
        <w:rPr>
          <w:rFonts w:hint="eastAsia" w:ascii="微软雅黑" w:hAnsi="微软雅黑" w:eastAsia="微软雅黑" w:cs="微软雅黑"/>
          <w:lang w:eastAsia="zh-CN"/>
        </w:rPr>
        <w:t>1.付款方式要求，银行电汇。</w:t>
      </w:r>
    </w:p>
    <w:p>
      <w:pPr>
        <w:pStyle w:val="5"/>
        <w:spacing w:line="360" w:lineRule="auto"/>
        <w:ind w:left="0" w:firstLine="0" w:firstLineChars="0"/>
        <w:jc w:val="left"/>
        <w:rPr>
          <w:rFonts w:ascii="微软雅黑" w:hAnsi="微软雅黑" w:eastAsia="微软雅黑" w:cs="微软雅黑"/>
          <w:lang w:eastAsia="zh-CN"/>
        </w:rPr>
      </w:pPr>
      <w:r>
        <w:rPr>
          <w:rFonts w:hint="eastAsia" w:ascii="微软雅黑" w:hAnsi="微软雅黑" w:eastAsia="微软雅黑" w:cs="微软雅黑"/>
          <w:lang w:eastAsia="zh-CN"/>
        </w:rPr>
        <w:t>2.开票信息：</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发票抬头：中海油(天津)油田化工有限公司</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账号：9558830200999019730</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税号：91120116MA06D8ND82</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开户行名称：中国工商银行北京国家文化与金融合作示范区金街支行</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开户行地址：中国工商银行北京国家文化与金融合作示范区金街</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发票接收人：宋楠</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电话：022-66907094</w:t>
      </w:r>
    </w:p>
    <w:p>
      <w:pPr>
        <w:pStyle w:val="18"/>
        <w:spacing w:line="360" w:lineRule="auto"/>
        <w:ind w:firstLine="210" w:firstLineChars="100"/>
        <w:jc w:val="left"/>
        <w:rPr>
          <w:rFonts w:ascii="微软雅黑" w:hAnsi="微软雅黑" w:eastAsia="微软雅黑" w:cs="微软雅黑"/>
          <w:kern w:val="0"/>
          <w:szCs w:val="21"/>
        </w:rPr>
      </w:pPr>
      <w:r>
        <w:rPr>
          <w:rFonts w:hint="eastAsia" w:ascii="微软雅黑" w:hAnsi="微软雅黑" w:eastAsia="微软雅黑" w:cs="微软雅黑"/>
          <w:kern w:val="0"/>
          <w:szCs w:val="21"/>
        </w:rPr>
        <w:t>邮寄地址：天津滨海新区高新区神舟大道与惠新路交口中海油（天津）油田化工有限公司（平房办公室）</w:t>
      </w:r>
      <w:bookmarkEnd w:id="322"/>
    </w:p>
    <w:p>
      <w:pPr>
        <w:pStyle w:val="21"/>
        <w:spacing w:before="120" w:after="120" w:line="360" w:lineRule="auto"/>
        <w:ind w:firstLine="480" w:firstLineChars="200"/>
        <w:outlineLvl w:val="0"/>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rPr>
        <w:br w:type="page"/>
      </w:r>
    </w:p>
    <w:p>
      <w:pPr>
        <w:pStyle w:val="21"/>
        <w:spacing w:before="120" w:after="120" w:line="240" w:lineRule="auto"/>
        <w:ind w:firstLine="482" w:firstLineChars="200"/>
        <w:outlineLvl w:val="0"/>
        <w:rPr>
          <w:rFonts w:hint="eastAsia" w:ascii="仿宋" w:hAnsi="仿宋" w:eastAsia="仿宋" w:cs="仿宋"/>
          <w:b/>
          <w:bCs/>
          <w:iCs/>
          <w:kern w:val="0"/>
          <w:sz w:val="24"/>
          <w:szCs w:val="24"/>
        </w:rPr>
      </w:pPr>
      <w:r>
        <w:rPr>
          <w:rFonts w:hint="eastAsia" w:ascii="仿宋" w:hAnsi="仿宋" w:eastAsia="仿宋" w:cs="仿宋"/>
          <w:b/>
          <w:bCs/>
          <w:iCs/>
          <w:kern w:val="0"/>
          <w:sz w:val="24"/>
          <w:szCs w:val="24"/>
        </w:rPr>
        <w:t>附件三：验收报告书</w:t>
      </w:r>
      <w:bookmarkEnd w:id="315"/>
      <w:bookmarkEnd w:id="316"/>
      <w:bookmarkEnd w:id="317"/>
    </w:p>
    <w:p>
      <w:pPr>
        <w:spacing w:line="240" w:lineRule="auto"/>
        <w:jc w:val="center"/>
        <w:rPr>
          <w:rFonts w:ascii="黑体" w:hAnsi="黑体" w:eastAsia="黑体"/>
          <w:b/>
          <w:sz w:val="28"/>
        </w:rPr>
      </w:pPr>
      <w:r>
        <w:rPr>
          <w:rFonts w:hint="eastAsia" w:ascii="黑体" w:hAnsi="黑体" w:eastAsia="黑体"/>
          <w:b/>
          <w:sz w:val="28"/>
        </w:rPr>
        <w:t>中海油能源发展有限公司仓储物资验收单</w:t>
      </w:r>
    </w:p>
    <w:p>
      <w:pPr>
        <w:spacing w:line="240" w:lineRule="atLeast"/>
        <w:jc w:val="left"/>
        <w:rPr>
          <w:rFonts w:ascii="宋体" w:hAnsi="宋体"/>
          <w:sz w:val="24"/>
        </w:rPr>
      </w:pPr>
      <w:r>
        <w:rPr>
          <w:rFonts w:hint="eastAsia" w:ascii="宋体" w:hAnsi="宋体" w:cs="Calibri"/>
          <w:kern w:val="0"/>
          <w:szCs w:val="21"/>
        </w:rPr>
        <w:t>项目名称（选填）：              到货日期：           验收日期：             采购合同/订单号：         LG-01-01-C01</w:t>
      </w:r>
      <w:r>
        <w:rPr>
          <w:rFonts w:ascii="宋体" w:hAnsi="宋体" w:cs="Calibri"/>
          <w:kern w:val="0"/>
          <w:szCs w:val="21"/>
        </w:rPr>
        <w:t xml:space="preserve"> </w:t>
      </w:r>
      <w:r>
        <w:rPr>
          <w:rFonts w:ascii="宋体" w:hAnsi="宋体"/>
          <w:sz w:val="24"/>
        </w:rPr>
        <w:t xml:space="preserve">      </w:t>
      </w:r>
      <w:r>
        <w:rPr>
          <w:rFonts w:hint="eastAsia" w:ascii="宋体" w:hAnsi="宋体"/>
          <w:sz w:val="24"/>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20"/>
        <w:gridCol w:w="484"/>
        <w:gridCol w:w="1353"/>
        <w:gridCol w:w="1044"/>
        <w:gridCol w:w="1121"/>
        <w:gridCol w:w="1305"/>
        <w:gridCol w:w="945"/>
        <w:gridCol w:w="1122"/>
        <w:gridCol w:w="115"/>
        <w:gridCol w:w="254"/>
        <w:gridCol w:w="868"/>
        <w:gridCol w:w="125"/>
        <w:gridCol w:w="884"/>
        <w:gridCol w:w="244"/>
        <w:gridCol w:w="232"/>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gridSpan w:val="2"/>
            <w:vAlign w:val="center"/>
          </w:tcPr>
          <w:p>
            <w:pPr>
              <w:jc w:val="center"/>
              <w:rPr>
                <w:rFonts w:ascii="宋体" w:hAnsi="宋体"/>
                <w:szCs w:val="21"/>
              </w:rPr>
            </w:pPr>
            <w:r>
              <w:rPr>
                <w:rFonts w:hint="eastAsia" w:ascii="宋体" w:hAnsi="宋体"/>
                <w:szCs w:val="21"/>
              </w:rPr>
              <w:t>收货方单位名称</w:t>
            </w:r>
          </w:p>
        </w:tc>
        <w:tc>
          <w:tcPr>
            <w:tcW w:w="3402" w:type="dxa"/>
            <w:gridSpan w:val="3"/>
            <w:vAlign w:val="center"/>
          </w:tcPr>
          <w:p>
            <w:pPr>
              <w:jc w:val="center"/>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收货地址</w:t>
            </w:r>
          </w:p>
        </w:tc>
        <w:tc>
          <w:tcPr>
            <w:tcW w:w="2699" w:type="dxa"/>
            <w:gridSpan w:val="2"/>
            <w:vAlign w:val="center"/>
          </w:tcPr>
          <w:p>
            <w:pPr>
              <w:jc w:val="cente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收货人</w:t>
            </w:r>
          </w:p>
        </w:tc>
        <w:tc>
          <w:tcPr>
            <w:tcW w:w="1559" w:type="dxa"/>
            <w:gridSpan w:val="4"/>
            <w:vAlign w:val="center"/>
          </w:tcPr>
          <w:p>
            <w:pPr>
              <w:jc w:val="center"/>
              <w:rPr>
                <w:rFonts w:ascii="宋体" w:hAnsi="宋体"/>
                <w:szCs w:val="21"/>
              </w:rPr>
            </w:pPr>
          </w:p>
        </w:tc>
        <w:tc>
          <w:tcPr>
            <w:tcW w:w="1276" w:type="dxa"/>
            <w:gridSpan w:val="2"/>
            <w:vAlign w:val="center"/>
          </w:tcPr>
          <w:p>
            <w:pPr>
              <w:jc w:val="center"/>
              <w:rPr>
                <w:rFonts w:ascii="宋体" w:hAnsi="宋体"/>
                <w:szCs w:val="21"/>
              </w:rPr>
            </w:pPr>
            <w:r>
              <w:rPr>
                <w:rFonts w:hint="eastAsia" w:ascii="宋体" w:hAnsi="宋体"/>
                <w:szCs w:val="21"/>
              </w:rPr>
              <w:t>联系电话</w:t>
            </w: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gridSpan w:val="2"/>
            <w:vAlign w:val="center"/>
          </w:tcPr>
          <w:p>
            <w:pPr>
              <w:jc w:val="center"/>
              <w:rPr>
                <w:rFonts w:ascii="宋体" w:hAnsi="宋体"/>
                <w:szCs w:val="21"/>
              </w:rPr>
            </w:pPr>
            <w:r>
              <w:rPr>
                <w:rFonts w:hint="eastAsia" w:ascii="宋体" w:hAnsi="宋体"/>
                <w:szCs w:val="21"/>
              </w:rPr>
              <w:t>供货方公司名称</w:t>
            </w:r>
          </w:p>
        </w:tc>
        <w:tc>
          <w:tcPr>
            <w:tcW w:w="7376" w:type="dxa"/>
            <w:gridSpan w:val="6"/>
            <w:vAlign w:val="center"/>
          </w:tcPr>
          <w:p>
            <w:pPr>
              <w:jc w:val="cente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送货人</w:t>
            </w:r>
          </w:p>
        </w:tc>
        <w:tc>
          <w:tcPr>
            <w:tcW w:w="1559" w:type="dxa"/>
            <w:gridSpan w:val="4"/>
            <w:vAlign w:val="center"/>
          </w:tcPr>
          <w:p>
            <w:pPr>
              <w:jc w:val="center"/>
              <w:rPr>
                <w:rFonts w:ascii="宋体" w:hAnsi="宋体"/>
                <w:szCs w:val="21"/>
              </w:rPr>
            </w:pPr>
          </w:p>
        </w:tc>
        <w:tc>
          <w:tcPr>
            <w:tcW w:w="1276" w:type="dxa"/>
            <w:gridSpan w:val="2"/>
            <w:vAlign w:val="center"/>
          </w:tcPr>
          <w:p>
            <w:pPr>
              <w:jc w:val="center"/>
              <w:rPr>
                <w:rFonts w:ascii="宋体" w:hAnsi="宋体"/>
                <w:szCs w:val="21"/>
              </w:rPr>
            </w:pPr>
            <w:r>
              <w:rPr>
                <w:rFonts w:hint="eastAsia" w:ascii="宋体" w:hAnsi="宋体"/>
                <w:szCs w:val="21"/>
              </w:rPr>
              <w:t>联系电话</w:t>
            </w: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b/>
                <w:szCs w:val="21"/>
              </w:rPr>
            </w:pPr>
            <w:r>
              <w:rPr>
                <w:rFonts w:hint="eastAsia" w:ascii="宋体" w:hAnsi="宋体"/>
                <w:b/>
                <w:szCs w:val="21"/>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序号</w:t>
            </w:r>
          </w:p>
        </w:tc>
        <w:tc>
          <w:tcPr>
            <w:tcW w:w="1843" w:type="dxa"/>
            <w:gridSpan w:val="2"/>
            <w:vAlign w:val="center"/>
          </w:tcPr>
          <w:p>
            <w:pPr>
              <w:jc w:val="center"/>
              <w:rPr>
                <w:rFonts w:ascii="宋体" w:hAnsi="宋体"/>
                <w:szCs w:val="21"/>
              </w:rPr>
            </w:pPr>
            <w:r>
              <w:rPr>
                <w:rFonts w:hint="eastAsia" w:ascii="宋体" w:hAnsi="宋体"/>
                <w:szCs w:val="21"/>
              </w:rPr>
              <w:t>验收项目</w:t>
            </w:r>
          </w:p>
        </w:tc>
        <w:tc>
          <w:tcPr>
            <w:tcW w:w="8505" w:type="dxa"/>
            <w:gridSpan w:val="8"/>
            <w:vAlign w:val="center"/>
          </w:tcPr>
          <w:p>
            <w:pPr>
              <w:jc w:val="center"/>
              <w:rPr>
                <w:rFonts w:ascii="宋体" w:hAnsi="宋体"/>
                <w:szCs w:val="21"/>
              </w:rPr>
            </w:pPr>
            <w:r>
              <w:rPr>
                <w:rFonts w:hint="eastAsia" w:ascii="宋体" w:hAnsi="宋体"/>
                <w:szCs w:val="21"/>
              </w:rPr>
              <w:t>验收标准</w:t>
            </w:r>
          </w:p>
        </w:tc>
        <w:tc>
          <w:tcPr>
            <w:tcW w:w="2698" w:type="dxa"/>
            <w:gridSpan w:val="5"/>
            <w:vAlign w:val="center"/>
          </w:tcPr>
          <w:p>
            <w:pPr>
              <w:jc w:val="center"/>
              <w:rPr>
                <w:rFonts w:ascii="宋体" w:hAnsi="宋体"/>
                <w:szCs w:val="21"/>
              </w:rPr>
            </w:pPr>
            <w:r>
              <w:rPr>
                <w:rFonts w:hint="eastAsia" w:ascii="宋体" w:hAnsi="宋体"/>
                <w:szCs w:val="21"/>
              </w:rPr>
              <w:t>验收结果原因说明</w:t>
            </w:r>
          </w:p>
        </w:tc>
        <w:tc>
          <w:tcPr>
            <w:tcW w:w="1337" w:type="dxa"/>
            <w:vAlign w:val="center"/>
          </w:tcPr>
          <w:p>
            <w:pPr>
              <w:jc w:val="center"/>
              <w:rPr>
                <w:rFonts w:ascii="宋体" w:hAnsi="宋体"/>
                <w:szCs w:val="21"/>
              </w:rPr>
            </w:pPr>
            <w:r>
              <w:rPr>
                <w:rFonts w:hint="eastAsia" w:ascii="宋体" w:hAnsi="宋体"/>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1</w:t>
            </w:r>
          </w:p>
        </w:tc>
        <w:tc>
          <w:tcPr>
            <w:tcW w:w="1843" w:type="dxa"/>
            <w:gridSpan w:val="2"/>
            <w:vAlign w:val="center"/>
          </w:tcPr>
          <w:p>
            <w:pPr>
              <w:jc w:val="center"/>
              <w:rPr>
                <w:rFonts w:ascii="宋体" w:hAnsi="宋体"/>
                <w:szCs w:val="21"/>
              </w:rPr>
            </w:pPr>
            <w:r>
              <w:rPr>
                <w:rFonts w:hint="eastAsia" w:ascii="宋体" w:hAnsi="宋体"/>
                <w:szCs w:val="21"/>
              </w:rPr>
              <w:t>订单与物资</w:t>
            </w:r>
          </w:p>
        </w:tc>
        <w:tc>
          <w:tcPr>
            <w:tcW w:w="8505" w:type="dxa"/>
            <w:gridSpan w:val="8"/>
            <w:vAlign w:val="center"/>
          </w:tcPr>
          <w:p>
            <w:pPr>
              <w:jc w:val="left"/>
              <w:rPr>
                <w:rFonts w:ascii="宋体" w:hAnsi="宋体"/>
                <w:szCs w:val="21"/>
              </w:rPr>
            </w:pPr>
            <w:r>
              <w:rPr>
                <w:rFonts w:hint="eastAsia" w:ascii="宋体" w:hAnsi="宋体"/>
                <w:szCs w:val="21"/>
              </w:rPr>
              <w:t>物资在合同/订单中的描述与实际送达物资的名称、规格型号一致</w:t>
            </w:r>
          </w:p>
        </w:tc>
        <w:tc>
          <w:tcPr>
            <w:tcW w:w="2698" w:type="dxa"/>
            <w:gridSpan w:val="5"/>
            <w:vAlign w:val="center"/>
          </w:tcPr>
          <w:p>
            <w:pPr>
              <w:jc w:val="center"/>
              <w:rPr>
                <w:rFonts w:ascii="宋体" w:hAnsi="宋体"/>
                <w:szCs w:val="21"/>
              </w:rPr>
            </w:pPr>
          </w:p>
        </w:tc>
        <w:tc>
          <w:tcPr>
            <w:tcW w:w="1337" w:type="dxa"/>
            <w:vAlign w:val="center"/>
          </w:tcPr>
          <w:p>
            <w:pPr>
              <w:jc w:val="center"/>
              <w:rPr>
                <w:rFonts w:ascii="宋体" w:hAnsi="宋体"/>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2</w:t>
            </w:r>
          </w:p>
        </w:tc>
        <w:tc>
          <w:tcPr>
            <w:tcW w:w="1843" w:type="dxa"/>
            <w:gridSpan w:val="2"/>
            <w:vAlign w:val="center"/>
          </w:tcPr>
          <w:p>
            <w:pPr>
              <w:jc w:val="center"/>
              <w:rPr>
                <w:rFonts w:ascii="宋体" w:hAnsi="宋体"/>
                <w:szCs w:val="21"/>
              </w:rPr>
            </w:pPr>
            <w:r>
              <w:rPr>
                <w:rFonts w:hint="eastAsia" w:ascii="宋体" w:hAnsi="宋体"/>
                <w:szCs w:val="21"/>
              </w:rPr>
              <w:t>外观质量</w:t>
            </w:r>
          </w:p>
        </w:tc>
        <w:tc>
          <w:tcPr>
            <w:tcW w:w="8505" w:type="dxa"/>
            <w:gridSpan w:val="8"/>
            <w:vAlign w:val="center"/>
          </w:tcPr>
          <w:p>
            <w:pPr>
              <w:jc w:val="left"/>
              <w:rPr>
                <w:rFonts w:ascii="宋体" w:hAnsi="宋体"/>
                <w:szCs w:val="21"/>
              </w:rPr>
            </w:pPr>
            <w:r>
              <w:rPr>
                <w:rFonts w:hint="eastAsia" w:ascii="宋体" w:hAnsi="宋体"/>
                <w:szCs w:val="21"/>
              </w:rPr>
              <w:t>包装及物品本身无变形、破损、渗漏、附件缺少等现象，物品在保质期内</w:t>
            </w:r>
          </w:p>
        </w:tc>
        <w:tc>
          <w:tcPr>
            <w:tcW w:w="2698" w:type="dxa"/>
            <w:gridSpan w:val="5"/>
            <w:vAlign w:val="center"/>
          </w:tcPr>
          <w:p>
            <w:pPr>
              <w:jc w:val="center"/>
              <w:rPr>
                <w:rFonts w:ascii="宋体" w:hAnsi="宋体"/>
                <w:szCs w:val="21"/>
              </w:rPr>
            </w:pPr>
          </w:p>
        </w:tc>
        <w:tc>
          <w:tcPr>
            <w:tcW w:w="1337" w:type="dxa"/>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3</w:t>
            </w:r>
          </w:p>
        </w:tc>
        <w:tc>
          <w:tcPr>
            <w:tcW w:w="1843" w:type="dxa"/>
            <w:gridSpan w:val="2"/>
            <w:vAlign w:val="center"/>
          </w:tcPr>
          <w:p>
            <w:pPr>
              <w:jc w:val="center"/>
              <w:rPr>
                <w:rFonts w:ascii="宋体" w:hAnsi="宋体"/>
                <w:szCs w:val="21"/>
              </w:rPr>
            </w:pPr>
            <w:r>
              <w:rPr>
                <w:rFonts w:hint="eastAsia" w:ascii="宋体" w:hAnsi="宋体"/>
                <w:szCs w:val="21"/>
              </w:rPr>
              <w:t>产品资料</w:t>
            </w:r>
          </w:p>
        </w:tc>
        <w:tc>
          <w:tcPr>
            <w:tcW w:w="8505" w:type="dxa"/>
            <w:gridSpan w:val="8"/>
            <w:vAlign w:val="center"/>
          </w:tcPr>
          <w:p>
            <w:pPr>
              <w:jc w:val="left"/>
              <w:rPr>
                <w:rFonts w:ascii="宋体" w:hAnsi="宋体"/>
                <w:szCs w:val="21"/>
              </w:rPr>
            </w:pPr>
            <w:r>
              <w:rPr>
                <w:rFonts w:hint="eastAsia" w:ascii="宋体" w:hAnsi="宋体"/>
                <w:szCs w:val="21"/>
              </w:rPr>
              <w:t>订单</w:t>
            </w:r>
            <w:r>
              <w:rPr>
                <w:rFonts w:ascii="宋体" w:hAnsi="宋体"/>
                <w:szCs w:val="21"/>
              </w:rPr>
              <w:t>/</w:t>
            </w:r>
            <w:r>
              <w:rPr>
                <w:rFonts w:hint="eastAsia" w:ascii="宋体" w:hAnsi="宋体"/>
                <w:szCs w:val="21"/>
              </w:rPr>
              <w:t>合同、产品合格证、出厂检验证、商检证、装箱单、发货明细表、磅码单、产品技术说明书、安全技术说明书（M</w:t>
            </w:r>
            <w:r>
              <w:rPr>
                <w:rFonts w:ascii="宋体" w:hAnsi="宋体"/>
                <w:szCs w:val="21"/>
              </w:rPr>
              <w:t>SDS</w:t>
            </w:r>
            <w:r>
              <w:rPr>
                <w:rFonts w:hint="eastAsia" w:ascii="宋体" w:hAnsi="宋体"/>
                <w:szCs w:val="21"/>
              </w:rPr>
              <w:t>）等与物资本身有关的资料齐全</w:t>
            </w:r>
          </w:p>
        </w:tc>
        <w:tc>
          <w:tcPr>
            <w:tcW w:w="2698" w:type="dxa"/>
            <w:gridSpan w:val="5"/>
            <w:vAlign w:val="center"/>
          </w:tcPr>
          <w:p>
            <w:pPr>
              <w:jc w:val="center"/>
              <w:rPr>
                <w:rFonts w:ascii="宋体" w:hAnsi="宋体"/>
                <w:szCs w:val="21"/>
              </w:rPr>
            </w:pPr>
          </w:p>
        </w:tc>
        <w:tc>
          <w:tcPr>
            <w:tcW w:w="1337" w:type="dxa"/>
            <w:vAlign w:val="center"/>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4</w:t>
            </w:r>
          </w:p>
        </w:tc>
        <w:tc>
          <w:tcPr>
            <w:tcW w:w="1843" w:type="dxa"/>
            <w:gridSpan w:val="2"/>
            <w:vAlign w:val="center"/>
          </w:tcPr>
          <w:p>
            <w:pPr>
              <w:jc w:val="center"/>
              <w:rPr>
                <w:rFonts w:ascii="宋体" w:hAnsi="宋体"/>
                <w:szCs w:val="21"/>
              </w:rPr>
            </w:pPr>
            <w:r>
              <w:rPr>
                <w:rFonts w:hint="eastAsia" w:ascii="宋体" w:hAnsi="宋体"/>
                <w:szCs w:val="21"/>
              </w:rPr>
              <w:t>包装标识</w:t>
            </w:r>
          </w:p>
        </w:tc>
        <w:tc>
          <w:tcPr>
            <w:tcW w:w="8505" w:type="dxa"/>
            <w:gridSpan w:val="8"/>
            <w:vAlign w:val="center"/>
          </w:tcPr>
          <w:p>
            <w:pPr>
              <w:jc w:val="left"/>
              <w:rPr>
                <w:rFonts w:ascii="宋体" w:hAnsi="宋体"/>
                <w:szCs w:val="21"/>
              </w:rPr>
            </w:pPr>
            <w:r>
              <w:rPr>
                <w:rFonts w:hint="eastAsia" w:ascii="宋体" w:hAnsi="宋体"/>
                <w:szCs w:val="21"/>
              </w:rPr>
              <w:t>符合国家、公司或用户对包装及产品标识的要求</w:t>
            </w:r>
          </w:p>
        </w:tc>
        <w:tc>
          <w:tcPr>
            <w:tcW w:w="2698" w:type="dxa"/>
            <w:gridSpan w:val="5"/>
            <w:vAlign w:val="center"/>
          </w:tcPr>
          <w:p>
            <w:pPr>
              <w:jc w:val="center"/>
              <w:rPr>
                <w:rFonts w:ascii="宋体" w:hAnsi="宋体"/>
                <w:szCs w:val="21"/>
              </w:rPr>
            </w:pPr>
          </w:p>
        </w:tc>
        <w:tc>
          <w:tcPr>
            <w:tcW w:w="1337" w:type="dxa"/>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6" w:type="dxa"/>
            <w:vAlign w:val="center"/>
          </w:tcPr>
          <w:p>
            <w:pPr>
              <w:jc w:val="center"/>
              <w:rPr>
                <w:rFonts w:ascii="宋体" w:hAnsi="宋体"/>
                <w:szCs w:val="21"/>
              </w:rPr>
            </w:pPr>
            <w:r>
              <w:rPr>
                <w:rFonts w:hint="eastAsia" w:ascii="宋体" w:hAnsi="宋体"/>
                <w:szCs w:val="21"/>
              </w:rPr>
              <w:t>5</w:t>
            </w:r>
          </w:p>
        </w:tc>
        <w:tc>
          <w:tcPr>
            <w:tcW w:w="1843" w:type="dxa"/>
            <w:gridSpan w:val="2"/>
            <w:vAlign w:val="center"/>
          </w:tcPr>
          <w:p>
            <w:pPr>
              <w:jc w:val="center"/>
              <w:rPr>
                <w:rFonts w:ascii="宋体" w:hAnsi="宋体"/>
                <w:szCs w:val="21"/>
              </w:rPr>
            </w:pPr>
            <w:r>
              <w:rPr>
                <w:rFonts w:hint="eastAsia" w:ascii="宋体" w:hAnsi="宋体"/>
                <w:szCs w:val="21"/>
              </w:rPr>
              <w:t>其他</w:t>
            </w:r>
          </w:p>
        </w:tc>
        <w:tc>
          <w:tcPr>
            <w:tcW w:w="8505" w:type="dxa"/>
            <w:gridSpan w:val="8"/>
            <w:vAlign w:val="center"/>
          </w:tcPr>
          <w:p>
            <w:pPr>
              <w:jc w:val="left"/>
              <w:rPr>
                <w:rFonts w:ascii="宋体" w:hAnsi="宋体"/>
                <w:szCs w:val="21"/>
              </w:rPr>
            </w:pPr>
            <w:r>
              <w:rPr>
                <w:rFonts w:hint="eastAsia" w:ascii="宋体" w:hAnsi="宋体"/>
                <w:szCs w:val="21"/>
              </w:rPr>
              <w:t>以上未涉及或合同另行约定的项目</w:t>
            </w:r>
          </w:p>
        </w:tc>
        <w:tc>
          <w:tcPr>
            <w:tcW w:w="2698" w:type="dxa"/>
            <w:gridSpan w:val="5"/>
            <w:vAlign w:val="center"/>
          </w:tcPr>
          <w:p>
            <w:pPr>
              <w:jc w:val="center"/>
              <w:rPr>
                <w:rFonts w:ascii="宋体" w:hAnsi="宋体"/>
                <w:szCs w:val="21"/>
              </w:rPr>
            </w:pPr>
          </w:p>
        </w:tc>
        <w:tc>
          <w:tcPr>
            <w:tcW w:w="1337" w:type="dxa"/>
            <w:vAlign w:val="center"/>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b/>
                <w:szCs w:val="21"/>
              </w:rPr>
            </w:pPr>
            <w:r>
              <w:rPr>
                <w:rFonts w:hint="eastAsia" w:ascii="宋体" w:hAnsi="宋体"/>
                <w:b/>
                <w:szCs w:val="21"/>
              </w:rPr>
              <w:t>物资信息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序号</w:t>
            </w:r>
          </w:p>
        </w:tc>
        <w:tc>
          <w:tcPr>
            <w:tcW w:w="1843" w:type="dxa"/>
            <w:gridSpan w:val="2"/>
            <w:vAlign w:val="center"/>
          </w:tcPr>
          <w:p>
            <w:pPr>
              <w:jc w:val="center"/>
              <w:rPr>
                <w:rFonts w:ascii="宋体" w:hAnsi="宋体"/>
                <w:szCs w:val="21"/>
              </w:rPr>
            </w:pPr>
            <w:r>
              <w:rPr>
                <w:rFonts w:hint="eastAsia" w:ascii="宋体" w:hAnsi="宋体"/>
                <w:szCs w:val="21"/>
              </w:rPr>
              <w:t>S</w:t>
            </w:r>
            <w:r>
              <w:rPr>
                <w:rFonts w:ascii="宋体" w:hAnsi="宋体"/>
                <w:szCs w:val="21"/>
              </w:rPr>
              <w:t>AP</w:t>
            </w:r>
            <w:r>
              <w:rPr>
                <w:rFonts w:hint="eastAsia" w:ascii="宋体" w:hAnsi="宋体"/>
                <w:szCs w:val="21"/>
              </w:rPr>
              <w:t>物料编码</w:t>
            </w:r>
          </w:p>
        </w:tc>
        <w:tc>
          <w:tcPr>
            <w:tcW w:w="1559" w:type="dxa"/>
            <w:vAlign w:val="center"/>
          </w:tcPr>
          <w:p>
            <w:pPr>
              <w:jc w:val="center"/>
              <w:rPr>
                <w:rFonts w:ascii="宋体" w:hAnsi="宋体"/>
                <w:szCs w:val="21"/>
              </w:rPr>
            </w:pPr>
            <w:r>
              <w:rPr>
                <w:rFonts w:hint="eastAsia" w:ascii="宋体" w:hAnsi="宋体"/>
                <w:szCs w:val="21"/>
              </w:rPr>
              <w:t>物资名称</w:t>
            </w:r>
          </w:p>
        </w:tc>
        <w:tc>
          <w:tcPr>
            <w:tcW w:w="4111" w:type="dxa"/>
            <w:gridSpan w:val="3"/>
            <w:vAlign w:val="center"/>
          </w:tcPr>
          <w:p>
            <w:pPr>
              <w:jc w:val="center"/>
              <w:rPr>
                <w:rFonts w:ascii="宋体" w:hAnsi="宋体"/>
                <w:szCs w:val="21"/>
              </w:rPr>
            </w:pPr>
            <w:r>
              <w:rPr>
                <w:rFonts w:hint="eastAsia" w:ascii="宋体" w:hAnsi="宋体"/>
                <w:szCs w:val="21"/>
              </w:rPr>
              <w:t>规格型号</w:t>
            </w:r>
          </w:p>
        </w:tc>
        <w:tc>
          <w:tcPr>
            <w:tcW w:w="2551" w:type="dxa"/>
            <w:gridSpan w:val="3"/>
            <w:vAlign w:val="center"/>
          </w:tcPr>
          <w:p>
            <w:pPr>
              <w:jc w:val="center"/>
              <w:rPr>
                <w:rFonts w:ascii="宋体" w:hAnsi="宋体"/>
                <w:szCs w:val="21"/>
              </w:rPr>
            </w:pPr>
            <w:r>
              <w:rPr>
                <w:rFonts w:hint="eastAsia" w:ascii="宋体" w:hAnsi="宋体"/>
                <w:szCs w:val="21"/>
              </w:rPr>
              <w:t>附带资料及证书</w:t>
            </w:r>
          </w:p>
        </w:tc>
        <w:tc>
          <w:tcPr>
            <w:tcW w:w="1276" w:type="dxa"/>
            <w:gridSpan w:val="2"/>
            <w:vAlign w:val="center"/>
          </w:tcPr>
          <w:p>
            <w:pPr>
              <w:jc w:val="center"/>
              <w:rPr>
                <w:rFonts w:ascii="宋体" w:hAnsi="宋体"/>
                <w:szCs w:val="21"/>
              </w:rPr>
            </w:pPr>
            <w:r>
              <w:rPr>
                <w:rFonts w:hint="eastAsia" w:ascii="宋体" w:hAnsi="宋体"/>
                <w:szCs w:val="21"/>
              </w:rPr>
              <w:t>计量单位</w:t>
            </w:r>
          </w:p>
        </w:tc>
        <w:tc>
          <w:tcPr>
            <w:tcW w:w="1139" w:type="dxa"/>
            <w:gridSpan w:val="2"/>
            <w:vAlign w:val="center"/>
          </w:tcPr>
          <w:p>
            <w:pPr>
              <w:jc w:val="center"/>
              <w:rPr>
                <w:rFonts w:ascii="宋体" w:hAnsi="宋体"/>
                <w:szCs w:val="21"/>
              </w:rPr>
            </w:pPr>
            <w:r>
              <w:rPr>
                <w:rFonts w:hint="eastAsia" w:ascii="宋体" w:hAnsi="宋体"/>
                <w:szCs w:val="21"/>
              </w:rPr>
              <w:t>数量</w:t>
            </w:r>
          </w:p>
        </w:tc>
        <w:tc>
          <w:tcPr>
            <w:tcW w:w="1904" w:type="dxa"/>
            <w:gridSpan w:val="3"/>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1</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2</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3</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szCs w:val="21"/>
              </w:rPr>
            </w:pPr>
            <w:r>
              <w:rPr>
                <w:rFonts w:hint="eastAsia" w:ascii="宋体" w:hAnsi="宋体"/>
                <w:szCs w:val="21"/>
              </w:rPr>
              <w:t>栏目不够时请新增行数</w:t>
            </w:r>
          </w:p>
        </w:tc>
      </w:tr>
    </w:tbl>
    <w:p>
      <w:pPr>
        <w:spacing w:line="240" w:lineRule="atLeast"/>
        <w:jc w:val="left"/>
        <w:rPr>
          <w:rFonts w:ascii="宋体" w:hAnsi="宋体" w:cs="Calibri"/>
          <w:kern w:val="0"/>
          <w:szCs w:val="21"/>
        </w:rPr>
      </w:pPr>
      <w:r>
        <w:rPr>
          <w:rFonts w:hint="eastAsia" w:ascii="宋体" w:hAnsi="宋体" w:cs="Calibri"/>
          <w:kern w:val="0"/>
          <w:szCs w:val="21"/>
        </w:rPr>
        <w:t xml:space="preserve">需求部门： </w:t>
      </w:r>
      <w:r>
        <w:rPr>
          <w:rFonts w:ascii="宋体" w:hAnsi="宋体" w:cs="Calibri"/>
          <w:kern w:val="0"/>
          <w:szCs w:val="21"/>
        </w:rPr>
        <w:t xml:space="preserve">                   </w:t>
      </w:r>
      <w:r>
        <w:rPr>
          <w:rFonts w:hint="eastAsia" w:ascii="宋体" w:hAnsi="宋体" w:cs="Calibri"/>
          <w:kern w:val="0"/>
          <w:szCs w:val="21"/>
        </w:rPr>
        <w:t xml:space="preserve">质检部门： </w:t>
      </w:r>
      <w:r>
        <w:rPr>
          <w:rFonts w:ascii="宋体" w:hAnsi="宋体" w:cs="Calibri"/>
          <w:kern w:val="0"/>
          <w:szCs w:val="21"/>
        </w:rPr>
        <w:t xml:space="preserve">              </w:t>
      </w:r>
      <w:r>
        <w:rPr>
          <w:rFonts w:hint="eastAsia" w:ascii="宋体" w:hAnsi="宋体" w:cs="Calibri"/>
          <w:kern w:val="0"/>
          <w:szCs w:val="21"/>
        </w:rPr>
        <w:t xml:space="preserve"> </w:t>
      </w:r>
      <w:r>
        <w:rPr>
          <w:rFonts w:ascii="宋体" w:hAnsi="宋体" w:cs="Calibri"/>
          <w:kern w:val="0"/>
          <w:szCs w:val="21"/>
        </w:rPr>
        <w:t xml:space="preserve">       </w:t>
      </w:r>
      <w:r>
        <w:rPr>
          <w:rFonts w:hint="eastAsia" w:ascii="宋体" w:hAnsi="宋体" w:cs="Calibri"/>
          <w:kern w:val="0"/>
          <w:szCs w:val="21"/>
        </w:rPr>
        <w:t>物资/仓储管理人员：</w:t>
      </w:r>
    </w:p>
    <w:p>
      <w:pPr>
        <w:spacing w:line="240" w:lineRule="atLeast"/>
        <w:rPr>
          <w:rFonts w:ascii="宋体" w:hAnsi="宋体" w:cs="Calibri"/>
          <w:kern w:val="0"/>
          <w:szCs w:val="21"/>
        </w:rPr>
      </w:pPr>
      <w:r>
        <w:rPr>
          <w:rFonts w:hint="eastAsia" w:ascii="宋体" w:hAnsi="宋体" w:cs="Calibri"/>
          <w:kern w:val="0"/>
          <w:szCs w:val="21"/>
        </w:rPr>
        <w:t xml:space="preserve">填写说明： </w:t>
      </w:r>
    </w:p>
    <w:p>
      <w:pPr>
        <w:spacing w:line="240" w:lineRule="atLeast"/>
        <w:rPr>
          <w:rFonts w:ascii="仿宋" w:hAnsi="仿宋" w:eastAsia="仿宋"/>
          <w:szCs w:val="21"/>
        </w:rPr>
      </w:pPr>
      <w:r>
        <w:rPr>
          <w:rFonts w:ascii="宋体" w:hAnsi="宋体"/>
          <w:szCs w:val="21"/>
        </w:rPr>
        <w:t>1</w:t>
      </w:r>
      <w:r>
        <w:rPr>
          <w:rFonts w:hint="eastAsia" w:ascii="宋体" w:hAnsi="宋体"/>
          <w:szCs w:val="21"/>
        </w:rPr>
        <w:t>、Y表示符合，N表示不符合，对应方框内打</w:t>
      </w:r>
      <w:r>
        <w:rPr>
          <w:rFonts w:hint="eastAsia" w:ascii="仿宋" w:hAnsi="仿宋" w:eastAsia="仿宋"/>
          <w:szCs w:val="21"/>
        </w:rPr>
        <w:t>√，</w:t>
      </w:r>
      <w:r>
        <w:rPr>
          <w:rFonts w:hint="eastAsia" w:ascii="宋体" w:hAnsi="宋体"/>
          <w:szCs w:val="21"/>
        </w:rPr>
        <w:t>对不符合验收标准的情况要说明原因</w:t>
      </w:r>
    </w:p>
    <w:p>
      <w:pPr>
        <w:spacing w:line="240" w:lineRule="atLeast"/>
        <w:rPr>
          <w:rFonts w:ascii="宋体" w:hAnsi="宋体"/>
          <w:szCs w:val="21"/>
        </w:rPr>
      </w:pPr>
      <w:r>
        <w:rPr>
          <w:rFonts w:ascii="宋体" w:hAnsi="宋体"/>
          <w:szCs w:val="21"/>
        </w:rPr>
        <w:t>2</w:t>
      </w:r>
      <w:r>
        <w:rPr>
          <w:rFonts w:hint="eastAsia" w:ascii="宋体" w:hAnsi="宋体"/>
          <w:szCs w:val="21"/>
        </w:rPr>
        <w:t>、“项目名称”处为选填，需要时填写；</w:t>
      </w:r>
    </w:p>
    <w:p>
      <w:pPr>
        <w:spacing w:line="240" w:lineRule="atLeast"/>
        <w:ind w:left="360" w:hanging="360" w:hangingChars="150"/>
        <w:rPr>
          <w:rFonts w:asciiTheme="minorEastAsia" w:hAnsiTheme="minorEastAsia" w:eastAsiaTheme="minorEastAsia"/>
          <w:sz w:val="24"/>
        </w:rPr>
        <w:sectPr>
          <w:pgSz w:w="15840" w:h="12240" w:orient="landscape"/>
          <w:pgMar w:top="1800" w:right="1440" w:bottom="1183" w:left="1440" w:header="720" w:footer="720" w:gutter="0"/>
          <w:pgNumType w:fmt="decimal"/>
          <w:cols w:space="720" w:num="1"/>
          <w:docGrid w:linePitch="286" w:charSpace="0"/>
        </w:sectPr>
      </w:pPr>
      <w:r>
        <w:rPr>
          <w:rFonts w:hint="eastAsia" w:ascii="宋体" w:hAnsi="宋体"/>
          <w:sz w:val="24"/>
        </w:rPr>
        <w:t>3、</w:t>
      </w:r>
      <w:r>
        <w:rPr>
          <w:rFonts w:hint="eastAsia" w:ascii="宋体" w:hAnsi="宋体"/>
          <w:szCs w:val="21"/>
        </w:rPr>
        <w:t>货物验收人在收到此表后需在5个工作日内完成货物的验收工作，并填写验收意见，如收货物资</w:t>
      </w:r>
      <w:r>
        <w:rPr>
          <w:rFonts w:ascii="宋体" w:hAnsi="宋体"/>
          <w:szCs w:val="21"/>
        </w:rPr>
        <w:t>为</w:t>
      </w:r>
      <w:r>
        <w:rPr>
          <w:rFonts w:hint="eastAsia" w:ascii="宋体" w:hAnsi="宋体"/>
          <w:szCs w:val="21"/>
        </w:rPr>
        <w:t>劳保用品</w:t>
      </w:r>
      <w:r>
        <w:rPr>
          <w:rFonts w:ascii="宋体" w:hAnsi="宋体"/>
          <w:szCs w:val="21"/>
        </w:rPr>
        <w:t>、办公</w:t>
      </w:r>
      <w:r>
        <w:rPr>
          <w:rFonts w:hint="eastAsia" w:ascii="宋体" w:hAnsi="宋体"/>
          <w:szCs w:val="21"/>
        </w:rPr>
        <w:t>用品、低值易耗</w:t>
      </w:r>
      <w:r>
        <w:rPr>
          <w:rFonts w:ascii="宋体" w:hAnsi="宋体"/>
          <w:szCs w:val="21"/>
        </w:rPr>
        <w:t>品</w:t>
      </w:r>
      <w:r>
        <w:rPr>
          <w:rFonts w:hint="eastAsia" w:ascii="宋体" w:hAnsi="宋体"/>
          <w:szCs w:val="21"/>
        </w:rPr>
        <w:t>以外</w:t>
      </w:r>
      <w:r>
        <w:rPr>
          <w:rFonts w:ascii="宋体" w:hAnsi="宋体"/>
          <w:szCs w:val="21"/>
        </w:rPr>
        <w:t>物资，则需另附相应物资检验报告</w:t>
      </w:r>
      <w:r>
        <w:rPr>
          <w:rFonts w:hint="eastAsia" w:ascii="宋体" w:hAnsi="宋体"/>
          <w:szCs w:val="21"/>
        </w:rPr>
        <w:t>（</w:t>
      </w:r>
      <w:r>
        <w:rPr>
          <w:rFonts w:ascii="宋体" w:hAnsi="宋体"/>
          <w:szCs w:val="21"/>
        </w:rPr>
        <w:t>格式</w:t>
      </w:r>
      <w:r>
        <w:rPr>
          <w:rFonts w:hint="eastAsia" w:ascii="宋体" w:hAnsi="宋体"/>
          <w:szCs w:val="21"/>
        </w:rPr>
        <w:t>由</w:t>
      </w:r>
      <w:r>
        <w:rPr>
          <w:rFonts w:ascii="宋体" w:hAnsi="宋体"/>
          <w:szCs w:val="21"/>
        </w:rPr>
        <w:t>各单位</w:t>
      </w:r>
      <w:r>
        <w:rPr>
          <w:rFonts w:hint="eastAsia" w:ascii="宋体" w:hAnsi="宋体"/>
          <w:szCs w:val="21"/>
        </w:rPr>
        <w:t>自行</w:t>
      </w:r>
      <w:r>
        <w:rPr>
          <w:rFonts w:ascii="宋体" w:hAnsi="宋体"/>
          <w:szCs w:val="21"/>
        </w:rPr>
        <w:t>制定</w:t>
      </w:r>
      <w:r>
        <w:rPr>
          <w:rFonts w:hint="eastAsia" w:ascii="宋体" w:hAnsi="宋体"/>
          <w:szCs w:val="21"/>
        </w:rPr>
        <w:t>）。</w:t>
      </w:r>
    </w:p>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b/>
          <w:bCs/>
          <w:iCs/>
          <w:kern w:val="0"/>
          <w:sz w:val="24"/>
          <w:szCs w:val="24"/>
        </w:rPr>
      </w:pPr>
      <w:bookmarkStart w:id="323" w:name="_Toc29280"/>
      <w:bookmarkStart w:id="324" w:name="_Toc27868"/>
      <w:bookmarkStart w:id="325" w:name="_Toc31677"/>
      <w:bookmarkStart w:id="326" w:name="_Toc20329"/>
      <w:bookmarkStart w:id="327" w:name="_Toc7614"/>
      <w:r>
        <w:rPr>
          <w:rFonts w:hint="eastAsia" w:ascii="仿宋" w:hAnsi="仿宋" w:eastAsia="仿宋" w:cs="仿宋"/>
          <w:b/>
          <w:bCs/>
          <w:iCs/>
          <w:kern w:val="0"/>
          <w:sz w:val="24"/>
          <w:szCs w:val="24"/>
        </w:rPr>
        <w:t>附件四：廉洁备忘录</w:t>
      </w:r>
      <w:bookmarkEnd w:id="323"/>
      <w:bookmarkEnd w:id="324"/>
      <w:bookmarkEnd w:id="325"/>
      <w:bookmarkEnd w:id="326"/>
      <w:bookmarkEnd w:id="327"/>
    </w:p>
    <w:p>
      <w:pPr>
        <w:spacing w:line="360" w:lineRule="auto"/>
        <w:ind w:firstLine="480" w:firstLineChars="200"/>
        <w:rPr>
          <w:rFonts w:ascii="仿宋" w:hAnsi="仿宋" w:eastAsia="仿宋" w:cs="仿宋"/>
          <w:sz w:val="24"/>
        </w:rPr>
      </w:pPr>
      <w:r>
        <w:rPr>
          <w:rFonts w:hint="eastAsia" w:ascii="仿宋" w:hAnsi="仿宋" w:eastAsia="仿宋" w:cs="仿宋"/>
          <w:sz w:val="24"/>
        </w:rPr>
        <w:t>为进一步加强廉政建设，规范甲乙双方的各项活动，防止发生各种谋取不正当利益的违法违规行为，从源头上预防治理腐败，根据国家有关的法律法规规定，特制定本廉洁条款。</w:t>
      </w:r>
    </w:p>
    <w:p>
      <w:pPr>
        <w:spacing w:line="360" w:lineRule="auto"/>
        <w:rPr>
          <w:rFonts w:ascii="仿宋" w:hAnsi="仿宋" w:eastAsia="仿宋" w:cs="仿宋"/>
          <w:sz w:val="24"/>
        </w:rPr>
      </w:pPr>
      <w:r>
        <w:rPr>
          <w:rFonts w:hint="eastAsia" w:ascii="仿宋" w:hAnsi="仿宋" w:eastAsia="仿宋" w:cs="仿宋"/>
          <w:sz w:val="24"/>
        </w:rPr>
        <w:t>第一条 甲乙双方的权利和义务</w:t>
      </w:r>
    </w:p>
    <w:p>
      <w:pPr>
        <w:spacing w:line="360" w:lineRule="auto"/>
        <w:rPr>
          <w:rFonts w:ascii="仿宋" w:hAnsi="仿宋" w:eastAsia="仿宋" w:cs="仿宋"/>
          <w:sz w:val="24"/>
        </w:rPr>
      </w:pPr>
      <w:r>
        <w:rPr>
          <w:rFonts w:hint="eastAsia" w:ascii="仿宋" w:hAnsi="仿宋" w:eastAsia="仿宋" w:cs="仿宋"/>
          <w:sz w:val="24"/>
        </w:rPr>
        <w:t>（一）在双方的业务交往中，共同遵守相关的法律法规。</w:t>
      </w:r>
    </w:p>
    <w:p>
      <w:pPr>
        <w:spacing w:line="360" w:lineRule="auto"/>
        <w:rPr>
          <w:rFonts w:ascii="仿宋" w:hAnsi="仿宋" w:eastAsia="仿宋" w:cs="仿宋"/>
          <w:sz w:val="24"/>
        </w:rPr>
      </w:pPr>
      <w:r>
        <w:rPr>
          <w:rFonts w:hint="eastAsia" w:ascii="仿宋" w:hAnsi="仿宋" w:eastAsia="仿宋" w:cs="仿宋"/>
          <w:sz w:val="24"/>
        </w:rPr>
        <w:t>（二）加强本单位廉政建设和对员工的廉洁从业教育，不断提高员工的廉洁自律意识。</w:t>
      </w:r>
    </w:p>
    <w:p>
      <w:pPr>
        <w:spacing w:line="360" w:lineRule="auto"/>
        <w:rPr>
          <w:rFonts w:ascii="仿宋" w:hAnsi="仿宋" w:eastAsia="仿宋" w:cs="仿宋"/>
          <w:sz w:val="24"/>
        </w:rPr>
      </w:pPr>
      <w:r>
        <w:rPr>
          <w:rFonts w:hint="eastAsia" w:ascii="仿宋" w:hAnsi="仿宋" w:eastAsia="仿宋" w:cs="仿宋"/>
          <w:sz w:val="24"/>
        </w:rPr>
        <w:t>（三）加强对本单位员工的监督与检查，并自觉接受对方廉政监督。当发现对方在彼此的业务交往中存在可能或有违法违规行为时，应及时给予提醒制止，并通报对方，进行调查、处理。</w:t>
      </w:r>
    </w:p>
    <w:p>
      <w:pPr>
        <w:spacing w:line="360" w:lineRule="auto"/>
        <w:rPr>
          <w:rFonts w:ascii="仿宋" w:hAnsi="仿宋" w:eastAsia="仿宋" w:cs="仿宋"/>
          <w:sz w:val="24"/>
        </w:rPr>
      </w:pPr>
      <w:r>
        <w:rPr>
          <w:rFonts w:hint="eastAsia" w:ascii="仿宋" w:hAnsi="仿宋" w:eastAsia="仿宋" w:cs="仿宋"/>
          <w:sz w:val="24"/>
        </w:rPr>
        <w:t>第二条 甲方的责任</w:t>
      </w:r>
    </w:p>
    <w:p>
      <w:pPr>
        <w:spacing w:line="360" w:lineRule="auto"/>
        <w:rPr>
          <w:rFonts w:ascii="仿宋" w:hAnsi="仿宋" w:eastAsia="仿宋" w:cs="仿宋"/>
          <w:sz w:val="24"/>
        </w:rPr>
      </w:pPr>
      <w:r>
        <w:rPr>
          <w:rFonts w:hint="eastAsia" w:ascii="仿宋" w:hAnsi="仿宋" w:eastAsia="仿宋" w:cs="仿宋"/>
          <w:sz w:val="24"/>
        </w:rPr>
        <w:t>（一）不准向乙方索要或接受回扣、礼金、有价证券、贵重物品和好处费、感谢费等；不准在乙方报销任何由甲方或个人支付的费用。</w:t>
      </w:r>
    </w:p>
    <w:p>
      <w:pPr>
        <w:spacing w:line="360" w:lineRule="auto"/>
        <w:rPr>
          <w:rFonts w:ascii="仿宋" w:hAnsi="仿宋" w:eastAsia="仿宋" w:cs="仿宋"/>
          <w:sz w:val="24"/>
        </w:rPr>
      </w:pPr>
      <w:r>
        <w:rPr>
          <w:rFonts w:hint="eastAsia" w:ascii="仿宋" w:hAnsi="仿宋" w:eastAsia="仿宋" w:cs="仿宋"/>
          <w:sz w:val="24"/>
        </w:rPr>
        <w:t>（二）不准参加乙方安排的宴请和健身、娱乐等活动；不得接受乙方提供的通讯工具、交通工具和高档办公用品等。</w:t>
      </w:r>
    </w:p>
    <w:p>
      <w:pPr>
        <w:spacing w:line="360" w:lineRule="auto"/>
        <w:rPr>
          <w:rFonts w:ascii="仿宋" w:hAnsi="仿宋" w:eastAsia="仿宋" w:cs="仿宋"/>
          <w:sz w:val="24"/>
        </w:rPr>
      </w:pPr>
      <w:r>
        <w:rPr>
          <w:rFonts w:hint="eastAsia" w:ascii="仿宋" w:hAnsi="仿宋" w:eastAsia="仿宋" w:cs="仿宋"/>
          <w:sz w:val="24"/>
        </w:rPr>
        <w:t>（三）不准要求、暗示和接受乙方为个人装修住房、婚丧嫁娶、配偶子女的工作安排以及出国（境）旅游等提供方便。</w:t>
      </w:r>
    </w:p>
    <w:p>
      <w:pPr>
        <w:spacing w:line="360" w:lineRule="auto"/>
        <w:rPr>
          <w:rFonts w:ascii="仿宋" w:hAnsi="仿宋" w:eastAsia="仿宋" w:cs="仿宋"/>
          <w:sz w:val="24"/>
        </w:rPr>
      </w:pPr>
      <w:r>
        <w:rPr>
          <w:rFonts w:hint="eastAsia" w:ascii="仿宋" w:hAnsi="仿宋" w:eastAsia="仿宋" w:cs="仿宋"/>
          <w:sz w:val="24"/>
        </w:rPr>
        <w:t>（四）配偶、子女不得从事与乙方承包本工程有关的设备材料供应、工程分包、劳务等经济活动。</w:t>
      </w:r>
    </w:p>
    <w:p>
      <w:pPr>
        <w:spacing w:line="360" w:lineRule="auto"/>
        <w:rPr>
          <w:rFonts w:ascii="仿宋" w:hAnsi="仿宋" w:eastAsia="仿宋" w:cs="仿宋"/>
          <w:sz w:val="24"/>
        </w:rPr>
      </w:pPr>
      <w:r>
        <w:rPr>
          <w:rFonts w:hint="eastAsia" w:ascii="仿宋" w:hAnsi="仿宋" w:eastAsia="仿宋" w:cs="仿宋"/>
          <w:sz w:val="24"/>
        </w:rPr>
        <w:t>（五）不得以任何理由向乙方推荐分包单位或要求乙方购买项目合同规定外的材料、设备和服务等。</w:t>
      </w:r>
    </w:p>
    <w:p>
      <w:pPr>
        <w:spacing w:line="360" w:lineRule="auto"/>
        <w:rPr>
          <w:rFonts w:ascii="仿宋" w:hAnsi="仿宋" w:eastAsia="仿宋" w:cs="仿宋"/>
          <w:sz w:val="24"/>
        </w:rPr>
      </w:pPr>
      <w:r>
        <w:rPr>
          <w:rFonts w:hint="eastAsia" w:ascii="仿宋" w:hAnsi="仿宋" w:eastAsia="仿宋" w:cs="仿宋"/>
          <w:sz w:val="24"/>
        </w:rPr>
        <w:t>（六）其它不廉洁行为。</w:t>
      </w:r>
    </w:p>
    <w:p>
      <w:pPr>
        <w:spacing w:line="360" w:lineRule="auto"/>
        <w:rPr>
          <w:rFonts w:ascii="仿宋" w:hAnsi="仿宋" w:eastAsia="仿宋" w:cs="仿宋"/>
          <w:sz w:val="24"/>
        </w:rPr>
      </w:pPr>
      <w:r>
        <w:rPr>
          <w:rFonts w:hint="eastAsia" w:ascii="仿宋" w:hAnsi="仿宋" w:eastAsia="仿宋" w:cs="仿宋"/>
          <w:sz w:val="24"/>
        </w:rPr>
        <w:t>第三条 乙方的责任</w:t>
      </w:r>
    </w:p>
    <w:p>
      <w:pPr>
        <w:spacing w:line="360" w:lineRule="auto"/>
        <w:rPr>
          <w:rFonts w:ascii="仿宋" w:hAnsi="仿宋" w:eastAsia="仿宋" w:cs="仿宋"/>
          <w:sz w:val="24"/>
        </w:rPr>
      </w:pPr>
      <w:r>
        <w:rPr>
          <w:rFonts w:hint="eastAsia" w:ascii="仿宋" w:hAnsi="仿宋" w:eastAsia="仿宋" w:cs="仿宋"/>
          <w:sz w:val="24"/>
        </w:rPr>
        <w:t>（一）不准以任何理由向甲方工作人员（含家属、子女，下同）行贿或馈赠礼物、礼金、有价证券、贵重物品及象征性低价物品。</w:t>
      </w:r>
    </w:p>
    <w:p>
      <w:pPr>
        <w:spacing w:line="360" w:lineRule="auto"/>
        <w:rPr>
          <w:rFonts w:ascii="仿宋" w:hAnsi="仿宋" w:eastAsia="仿宋" w:cs="仿宋"/>
          <w:sz w:val="24"/>
        </w:rPr>
      </w:pPr>
      <w:r>
        <w:rPr>
          <w:rFonts w:hint="eastAsia" w:ascii="仿宋" w:hAnsi="仿宋" w:eastAsia="仿宋" w:cs="仿宋"/>
          <w:sz w:val="24"/>
        </w:rPr>
        <w:t>（二）不准以任何名义为甲方工作人员报销应由对方或个人支付的费用。</w:t>
      </w:r>
    </w:p>
    <w:p>
      <w:pPr>
        <w:spacing w:line="360" w:lineRule="auto"/>
        <w:rPr>
          <w:rFonts w:ascii="仿宋" w:hAnsi="仿宋" w:eastAsia="仿宋" w:cs="仿宋"/>
          <w:sz w:val="24"/>
        </w:rPr>
      </w:pPr>
      <w:r>
        <w:rPr>
          <w:rFonts w:hint="eastAsia" w:ascii="仿宋" w:hAnsi="仿宋" w:eastAsia="仿宋" w:cs="仿宋"/>
          <w:sz w:val="24"/>
        </w:rPr>
        <w:t>（三）不准以任何理由安排甲方工作人员参加宴请及健身、娱乐和旅游等活动。</w:t>
      </w:r>
    </w:p>
    <w:p>
      <w:pPr>
        <w:spacing w:line="360" w:lineRule="auto"/>
        <w:rPr>
          <w:rFonts w:ascii="仿宋" w:hAnsi="仿宋" w:eastAsia="仿宋" w:cs="仿宋"/>
          <w:sz w:val="24"/>
        </w:rPr>
      </w:pPr>
      <w:r>
        <w:rPr>
          <w:rFonts w:hint="eastAsia" w:ascii="仿宋" w:hAnsi="仿宋" w:eastAsia="仿宋" w:cs="仿宋"/>
          <w:sz w:val="24"/>
        </w:rPr>
        <w:t>（四）不准为甲方单位和工作人员购置或提供通讯工具、交通工具和高档办公用品和装修住房等。</w:t>
      </w:r>
    </w:p>
    <w:p>
      <w:pPr>
        <w:spacing w:line="360" w:lineRule="auto"/>
        <w:rPr>
          <w:rFonts w:ascii="仿宋" w:hAnsi="仿宋" w:eastAsia="仿宋" w:cs="仿宋"/>
          <w:sz w:val="24"/>
        </w:rPr>
      </w:pPr>
      <w:r>
        <w:rPr>
          <w:rFonts w:hint="eastAsia" w:ascii="仿宋" w:hAnsi="仿宋" w:eastAsia="仿宋" w:cs="仿宋"/>
          <w:sz w:val="24"/>
        </w:rPr>
        <w:t>（五）其它不廉洁行为。</w:t>
      </w:r>
    </w:p>
    <w:p>
      <w:pPr>
        <w:spacing w:line="360" w:lineRule="auto"/>
        <w:rPr>
          <w:rFonts w:ascii="仿宋" w:hAnsi="仿宋" w:eastAsia="仿宋" w:cs="仿宋"/>
          <w:sz w:val="24"/>
        </w:rPr>
      </w:pPr>
      <w:r>
        <w:rPr>
          <w:rFonts w:hint="eastAsia" w:ascii="仿宋" w:hAnsi="仿宋" w:eastAsia="仿宋" w:cs="仿宋"/>
          <w:sz w:val="24"/>
        </w:rPr>
        <w:t>第四条 违约责任</w:t>
      </w:r>
    </w:p>
    <w:p>
      <w:pPr>
        <w:spacing w:line="360" w:lineRule="auto"/>
        <w:rPr>
          <w:rFonts w:ascii="仿宋" w:hAnsi="仿宋" w:eastAsia="仿宋" w:cs="仿宋"/>
          <w:sz w:val="24"/>
        </w:rPr>
      </w:pPr>
      <w:r>
        <w:rPr>
          <w:rFonts w:hint="eastAsia" w:ascii="仿宋" w:hAnsi="仿宋" w:eastAsia="仿宋" w:cs="仿宋"/>
          <w:sz w:val="24"/>
        </w:rPr>
        <w:t>（一）甲方发现乙方有违反本条款或者采用不正当的手段贿赂甲方工作人员，甲方应向乙方领导举报，并取消乙方乙方资格，由此给甲方造成的损失均由乙方承担。</w:t>
      </w:r>
    </w:p>
    <w:p>
      <w:pPr>
        <w:pStyle w:val="5"/>
        <w:spacing w:line="360" w:lineRule="auto"/>
        <w:ind w:left="0" w:leftChars="0" w:firstLine="0" w:firstLineChars="0"/>
        <w:rPr>
          <w:rFonts w:hint="eastAsia" w:ascii="仿宋" w:hAnsi="仿宋" w:eastAsia="仿宋" w:cs="仿宋"/>
          <w:sz w:val="24"/>
        </w:rPr>
      </w:pPr>
      <w:r>
        <w:rPr>
          <w:rFonts w:hint="eastAsia" w:ascii="仿宋" w:hAnsi="仿宋" w:eastAsia="仿宋" w:cs="仿宋"/>
          <w:sz w:val="24"/>
        </w:rPr>
        <w:t>（二）乙方如发现甲方工作人员有违反上述条款，应当向甲方领导举报，甲方不得找任何借口对乙方进行报复或刁难、延误工作。</w:t>
      </w: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sz w:val="24"/>
        </w:rPr>
      </w:pPr>
    </w:p>
    <w:p>
      <w:pPr>
        <w:pStyle w:val="11"/>
        <w:rPr>
          <w:rFonts w:hint="eastAsia"/>
        </w:rPr>
      </w:pPr>
    </w:p>
    <w:p>
      <w:pPr>
        <w:pStyle w:val="5"/>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iCs/>
          <w:sz w:val="24"/>
          <w:szCs w:val="24"/>
          <w:highlight w:val="none"/>
        </w:rPr>
      </w:pPr>
      <w:bookmarkStart w:id="328" w:name="_Toc12887"/>
      <w:bookmarkStart w:id="329" w:name="_Toc17546"/>
      <w:bookmarkStart w:id="330" w:name="_Toc12486"/>
      <w:bookmarkStart w:id="331" w:name="_Toc26967"/>
      <w:r>
        <w:rPr>
          <w:rFonts w:hint="eastAsia" w:ascii="仿宋" w:hAnsi="仿宋" w:eastAsia="仿宋" w:cs="仿宋"/>
          <w:b/>
          <w:bCs/>
          <w:iCs/>
          <w:kern w:val="0"/>
          <w:sz w:val="24"/>
          <w:szCs w:val="24"/>
        </w:rPr>
        <w:t>附件五：</w:t>
      </w:r>
      <w:bookmarkEnd w:id="0"/>
      <w:bookmarkEnd w:id="328"/>
      <w:bookmarkEnd w:id="329"/>
      <w:bookmarkEnd w:id="330"/>
      <w:bookmarkEnd w:id="331"/>
      <w:bookmarkStart w:id="332" w:name="_Toc1709"/>
      <w:r>
        <w:rPr>
          <w:rFonts w:hint="eastAsia" w:ascii="仿宋" w:hAnsi="仿宋" w:eastAsia="仿宋" w:cs="仿宋"/>
          <w:b/>
          <w:bCs/>
          <w:iCs/>
          <w:sz w:val="24"/>
          <w:szCs w:val="24"/>
          <w:highlight w:val="none"/>
        </w:rPr>
        <w:t>健康安全环保条款</w:t>
      </w:r>
      <w:bookmarkEnd w:id="332"/>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  概述</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 适用范围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本合同附件适用于承揽与设施设备购销无关的运输服务、仓储服务、物业服务，或者在合同有效期内可能多次实施的具有期间作业性质的生产支持服务类乙方。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 基本定义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1.2.1用语“甲方”在未特殊指明的情况下是指甲方及所属的甲方使用单位。包括受雇于甲方，在甲方客户及乙方管辖区域内进行生产支持服务时的属地管理单位。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1.2.2 用语“乙方”是指向甲方提供生产支持服务的乙方及其分乙方、代理商等。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1.2.3用语“有关的法律法规和标准”是指：由那些对承包合同的执行、对乙方的活动有行政、司法管辖权和负责安全、职业健康与环境保护的政府部门或机构，已经通过和可能随时制定、通过、颁布或实施的法律、法规、条例、命令、规章、规则、标准和要求，以及与承包合同确定的工程服务或作业有关的HSE控制措施、甲方和乙方的HSE管理制度和已被广为接受的工作惯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1.2.4用语“资产”是指：甲方或乙方所拥有、提供或租用、租赁的资产，包括但不限于按照承包合同中约定的，用于乙方作业的场地，厂区、厂房、工作室和生产设施、生活设施等。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1.2.5用语“作业场所”是指：在甲方或乙方资产界内的，除生活区或办公室以外的所有区域。</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1.2.6用语“生产支持服务”是指：乙方依据与甲方订立的承包或技术服务合同向甲方提供且作业活动、作业程序、作业范围和最终成果受甲方监督管理的运输、仓储、物业，或者在合同有效期内可能多次实施的吊装、维保服务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1.2.7用语“HSE”指“健康安全环保”。</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 甲方HSE理念与政策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1.3.1甲方HSE理念：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HSE管理是公司发展的基本保障和要求，是公司生产经营活动重要组成部分。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管理HSE事务，不仅从经济上考虑，同时将其作为一种社会责任。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HSE管理的最终责任应落实在项目运行的全过程中，各级管理者应致力于将HSE管理融入每项作业和每个岗位中。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HSE管理不是短期行为，需要持续改进不断提高，确信：“没有最好，只有更好”；确信：可以通过系统管理逐步改善HSE绩效。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设定目标，努力实践，坚信只有通过“执行”中的努力才能实现既定目标。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员工是公司最宝贵的财富之一，以人为本，关爱员工，追求对人无害的目标。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作业中尽量使用清洁无害的材料和能源，保护环境和资源。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努力追求优异的HSE业绩，不仅满足遵守法规，还应在致力于提高行业水平方面发挥积极作用。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1.3.2 甲方HSE政策：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遵守公司作业所在国的法律、法规，执行行业规范和标准。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完善健康、安全和环境管理体系，推行“持续改进计划”。</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向所有员工宣传公司的健康安全环保政策，提供培训，以提高员工的安全环保意识和素质，使其在各自岗位上切实履行职责。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为员工提供安全卫生的工作场所，提供安全可靠的设施设备，提供符合国家标准的劳动保护用品。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对接触职业病危害岗位作业的员工开展职业病体检，建立和规范职业病监护档案。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定期对公司生产作业和设施运行的安全状况进行检查和报告。</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定期组织应急演习，不断完善应急计划，最大限度地减少人员伤亡及环境污染事故。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从设计、建造到生产作业的各个阶段，实行危害因素辨识评价、环境因素识别评价、节能评估审查，制定和落实控制措施。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向乙方提供健康、安全和环保信息，督促他们建立规范的安全环保管理体系，执行行业规范、标准，对员工进行持续教育与培训。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与政府机构、社会团体及公众建立良好关系，就健康、安全和环保问题进行密切合作，为创造美好的生态环境做贡献。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鼓励员工参与健康、安全、环保和节能活动，鼓励科学技术研究，合理采用健康、安全、环保和节能的科技产品。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维护工作场所工业卫生，为员工的健康及安全创造良好工作环境。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 甲方HSE责任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1.4.1 甲方应严格遵守有关的法律法规和标准，依法设置安全生产管理机构或者配备专职安全生产管理人员，对生产支持服务过程实施管理和监督。发现乙方违反法律法规和标准的行为，有权制止，并追究违约责任。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1.4.2 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1.4.3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1.4.4甲方应严格遵守工程设计，不得擅自压缩合同约定的外包项目工期，不违章指挥或者强令乙方及其从业人员冒险作业。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1.4.5 甲方是外包项目安全投入的责任主体，应当按照国家有关规定和合同约定及时、足额向乙方提供保障生产支持服务安全所需的资金，明确安全投入项目和金额，并监督乙方落实到位。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1.4.6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1.4.7外包项目实行总发包的，甲方应当督促乙方统一组织编制外包项目事故应急预案；实行分项发包的，甲方应当将乙方编制的外包项目现场应急处置方案纳入甲方应急预案体系，并定期组织演练。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将事故数据纳入甲方的统计范围，并根据事故调查报告及其批复承担相应的事故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1.4.9 甲方应严格遵守甲乙双方签订的本附件要求。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 乙方HSE责任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 乙方应采取与甲方HSE政策一致的方式来执行所有的工作计划。乙方应在所有作业中将有效的HSE管理作为其作业管理的有机整体。乙方必须将所有生产支持服务人员的安全和健康作为最基本的考虑内容，必须通过执行可靠的技术、程序和步骤来避免对环境的不利影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1.5.2外包项目实行总承包的，乙方应对作业现场的安全生产负总责。乙方的分包商或代理商按照分包合同的约定对乙方负责。乙方和其分包商或代理商对分包项目的安全生产承担连带责任。乙方依法将外包工程分包给其他单位的，其外包工程主体部分应当由总承包单位自行完成。禁止乙方转包其承揽的外包项目。禁止乙方分包商或代理商将其承揽的外包项目再次分包。禁止乙方以转让、出租、出借资质证书等方式允许他人以本单位的名义承揽项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1.5.3 以项目部承担生产支持服务的，乙方及其项目部应当根据承揽项目的规模和特点，依法健全安全生产责任体系，完善安全生产管理基本制度，设置安全生产管理机构，按照生产支持服务人员与现场安全监督20：1的比例，配备专职现场HSE管理人员。对具有重大健康安全环境影响的作业，乙方应派具有安全技术知识和专业知识的人员在现场实施全过程监督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1.5.4乙方应保证提供给甲方的安全生产许可证、安全资质证书、从业人员信息等相关资料真实可靠，并对因上述资料不真实可靠造成的后果负法律责任。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1.5.5乙方应严格遵守有关的法律法规和标准，并理解和接受甲方HSE政策。甲方的所有最新HSE管理制度和要求（只要不与相关法律、法规冲突），经书面通知乙方后成为本合同附件的条款，乙方有义务遵守和执行。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1.5.6 乙方应为其所有生产支持服务人员办理工伤保险或人员意外伤害保险等与HSE相关险种，由于其员工未能投保而带来的一切损失由乙方全权负责。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1.5.7 乙方应当依照有关法律法规和标准的规定以及承包合同和本附件的约定，及时将甲方投入的安全资金落实到位，不得挪作他用。乙方为执行并满足本附件要求所发生的各项安全生产费用均应包含在承包合同的总价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1.5.8若同一作业场所有两个以上（含两个）乙方时，乙方应与其签订HSE管理协议,明确各自职责，落实健康安全环保责任。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1.5.9 乙方应严格遵守工程设计，按施工方案组织生产支持服务，依照有关规定制定生产支持服务项目HSE控制方案，加强现场作业安全管理，定期排查并及时治理事故隐患，落实各项规章制度和安全操作规程，并接受甲方的监督管理。同时，乙方有权拒绝甲方违章指挥和强令冒险作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1.5.10乙方应当按照甲方的统一要求，保证在甲方资产界内及时维护、保养生产支持服务的设备设施。同时，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1.5.11 乙方应当接受甲方组织的安全生产培训与指导，加强对本单位从业人员的安全生产教育和培训，保证从业人员掌握必需的安全生产知识和操作技能。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1.5.12乙方应当定期排查并及时治理生产支持服务期间内的事故隐患，建立台账，做好相关记录。对于不能立即治理的事故隐患，乙方应当采取必要的防范措施，并尽快解决，避免发生安全生产事故。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1.5.13 外包项目实行总承包的，乙方应当统一组织编制外包项目应急预案，报甲方备案。乙方及其分包商或代理商应当按照国家有关规定和应急预案的要求，分别建立应急救援组织或者指定应急救援人员，配备救援设备设施和器材，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1.5.14 外包项目实行分项承包的，乙方应当根据项目的特点、范围以及作业现场容易发生事故的部位和环节，编制现场应急处置方案，报甲方备案，并定期组织演练。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1.5.16乙方在甲方或乙方资产界内为甲方提供各项生产支持服务时，如果甲方认为乙方的工作程序或工作环境对人身、财产或环境构成了威胁，违反了有关的法律法规和标准、违反了甲方HSE政策或制度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1.5.17乙方有责任和义务保护甲方，避免甲方由于乙方或乙方的员工直接或间接未能贯彻、执行、遵循和遵守有关法律法规和标准、违反甲方对乙方的HSE相关要求的原因受到任何损失、伤害、索赔或债务。在任何时候，乙方的这种责任都不应被认为可以改变、修正、减少或者重新界定乙方按承包合同应尽的其他应补偿、免除、保险或担保等义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1.5.18 乙方应严格遵守甲乙双方签订的本附件要求。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 HSE管理界面</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1.6.1 在甲方资产界内进行的各项生产支持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1.6.2在乙方资产界内进行或由乙方使用乙方资产在非甲乙方资产界内组织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  HSE具体要求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 相互沟通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 甲方致力于为所有员工提供一个安全健康的工作环境，并且认为：为了实现这一目标，加强乙方管理层与甲方管理层之间的沟通是十分必要的。</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2.1.2双方在对乙方的作业涉及健康安全环保的内容上发生争议或误解时，建议以如下步骤解决：</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如果乙方感到有直接或间接的压力迫使其做根据其专业技术判断不能做的事情时，乙方有权利拒绝去做，并及时向乙方上一层管理者报告，由双方上一层管理者共同商议处理该事项。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2.1.3为保障实现本章节的真实目的，双方沿用在本合同中规定的争议协调的步骤、上一层管理者、联络渠道和方式。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2.2风险分析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2.2.1项目开始前，乙方应委派人员与甲方相关人员进行沟通，了解项目的具体信息。包括但不仅限于：</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项目存在的主要危险及采取的措施；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确认HSE管理人员职责；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确认各项HSE工作的目标；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澄清双方在程序、规定等方面存在不一致的地方、消除双方管理规定存在相互矛盾的地方；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双方在事故应急过程中相互协调的方式方法，并明确需要使用的第三方应急资源；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项目实施前的培训计划及实施方案；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确认事故汇报和调查的程序。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2.2.2 乙方应结合作业场所实际对项目实施的各个主要阶段进行危险因素识别和评价，编制生产支持服务项目的HSE控制方案，并在信息沟通结束后的3个工作日内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2.2.3对于拖航、多功能支持平台或租用船舶的改造和大修、平台或陆地井队关键设备的维修、清/洗罐、清/洗舱、停产检修、高压气井等非常规钻井、大面积停水停电、关键通讯设备的检修、特殊大件运输等重大风险作业，以用动火、动土、高处、断路、电气、硫化氢、临时用电、限制空间、起重吊装、盲板抽堵、管线容器吹扫、放射性物质处理、危险化学品处理等特殊作业，双方应严格执行安全和技术交底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 员工资质管理及培训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2.3.1 乙方应对所有生产支持服务人员进行HSE教育培训，保证生产支持服务人员掌握必需的安全生产知识、操作技能和应急逃生知识，并确保其理解和掌握与项目相关的主要危险因素、应采取的HSE措施，以及甲方的HSE管理制度和要求，并在工作中严格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2.3.2项目实施前，乙方应将所有生产支持服务人员的名单和身份证复印件，以及有效的特种作业人员资质证书和复印件提供给甲方，并确保作业过程中不出现人员顶替或实际作业人员与提供名单不符的情况。项目实施过程中生产支持服务人员发生变换的，乙方应当书面告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2.3.3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2.3.4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2.3.5乙方有义务参加甲方组织的HSE培训，培训包括HSE管理培训及其它甲方根据项目实施情况组织的专项培训，乙方参加培训人员包括项目主要管理人员、HSE监督、施工负责人及根据甲方要求需要参加的其他人员。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2.4作业机具</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2.4.1 乙方应为其生产支持服务人员提供合适的和性能完好的机具或设备，并确保所有按承包合同和附件提供的设施、设备、机器、器械、工具和装备等符合有关的HSE标准，同时保持作业场所清洁、有序。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2.4.2 项目开始前，乙方应将项目实施中使用的所有机具或设备清单报送甲方，并协同甲方共同对作业使用的机具或设备进行性能检查，确保状态完好。项目实施过程中机具或设备发生变换的，乙方应当书面告知甲方。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2.5 个人防护装备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有关的法律、法规和规定、有关的HSE标准，乙方应为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 出入管理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2.6.1 对于具备期间作业性质的生产支持服务，乙方应在每次作业前事先将要进入甲方资产界内的生产支持服务人员基本情况通知甲方现场HSE管理人员（代表），包括临时和长期停留人员。所有生产支持服务人员在进入甲方资产界内后应先向有关管理人员报到，并服从甲方的治安保卫登记管理。进入海上设施的生产支持服务人员还应领取T卡并放入指定的T卡箱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2.6.2 进入甲方资产界的乙方生产支持服务人员，须遵守甲方的出入管理规定，禁止携带含酒精饮料、易燃易爆有毒有害物品（项目实施需要并经批准的除外）、钓鱼用具进入作业现场。照相机、摄像机等必须经过批准才可带入现场，在使用时应有现场有关人员监护，以防发生意外。收音机和录音机、非防爆移动通讯工具（包括通常使用的手机）未经许可不得带入作业场所。</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2.6.3 乙方生产支持服务人员进入甲方资产界内后，只能在指定区域内活动，行为举止应得体，并禁止到许可范围之外活动。未经甲方书面授权，乙方生产支持服务人员不得操作任何设备也不能关闭或打开任何阀门、开关和电路，承包合同另有规定除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 受控物质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2.7.1在甲方资产范围内，严禁使用、制造、分配、拥有、分发、推销、提供、销售、购买、运输、隐匿、转移、存储和交易上述受控物质及其附属用具。但合法的处方药与非处方药可以被允许使用，只要该药是原包装、有使用期限、有处方或医生的服用建议。生产支持服务人员有义务从医生或推荐渠道了解有关该药副作用的所有信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2.7.2如果生产支持服务人员服用的药物的副作用对其履行工作职责可能有不利影响，生产支持服务人员在开始服用之前应通知有关主管人员。乙方有责任观察其生产支持服务人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生产支持服务人员上岗或进入甲方资产界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2.7.3甲方保留对进入和已在甲方资产界内的生产支持服务人员及其物品、机动车进行受控物质检查的权力。甲方可以在事先不通知的情况下并且在它认为合适的时间和场所进行这样的检查。生产支持服务人员对于这种检查是否予以合作完全基于员工本人自愿。然而，如果生产支持服务人员对检查不合作时，甲方有权并可能会禁止该员工上岗或逗留在甲方资产界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2.7.4当甲方发现或有理由怀疑生产支持服务人员违反了受控物质管制政策时，会立即停止该员工在甲方资产界内工作。如甲方认为必要，将会禁止该员工今后在甲方资产界内工作并向有关司法机关报告。</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2.8HSE会议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2.8.1对于不具备期间作业性质的生产支持服务，乙方应每月自行组织实施2次班组安全会议，并保存相应记录。在每天作业开始前应组织召开班前会，对上一班的工作进行总结，并将当班作业中的危害及控制措施向生产支持服务人员进行传达，直至其完全了解。会议应形成会议记录，并留存、备查。在甲方认为有必要时，甲方有权参加上述乙方HSE会议，乙方有义务向甲方提供上述会议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2.8.2 对于具备期间作业性质的生产支持服务，生产支持服务人员超过5人及以上时，乙方应定期（重大风险作业或出现重大事故/险情情况下）召开所有员工参加的现场安全会议，了解本单位的作业需求并传达甲方的HSE要求，及时协调和解决在生产支持服务过程中出现的健康安全环保问题。生产支持服务人员超过3人及以上时，乙方应在每天作业开始前组织召开班前会，对前一天的工作进行总结，并将当天作业中的危害及控制措施向生产支持服务人员进行传达，直至其完全了解。会议应形成会议记录，并留存、备查。甲方有权在认为有必要时参加上述乙方HSE会议，乙方有义务向甲方提供上述会议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2.8.2乙方有义务参加甲方召集的各类专题HSE会议。专题HSE会议包括各主要施工阶段的HSE开工/总结会议，并汇报近期的HSE状况。另外，专题HSE会议也包括甲方代表根据项目运作过程中的实际HSE管理需求而临时召集的会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 工作许可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2.9.2 乙方在甲方资产界内为甲方提供生产支持服务，必须遵守甲方的工作许可证制度的相关程序和规定。对未能遵守者，甲方将根据甲方的相关处罚规定对乙方的相应人员进行处罚。若甲方资产界内无相应的工作许可证制度，则乙方应按照自身的HSE管理体系建立相应的工作许可证制度，对实行工作许可证制度的作业和活动以及实施程序做出明确规定，并经甲方现场HSE管理人员（代表）认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2.10HSE检查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2.10.2在甲方和乙方资产界内，甲方对乙方的HSE检查包括但不限于如下检查形式：日常检查、专项检查、综合检查。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日常检查为在任何工作时间（包括节假日及八小时外的加班时间）内对与项目有关的各项工作的例行检查。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综合检查为根据工程的实际情况实施的HSE管理控制点覆盖面比较全面的检查，原则上每项生产支持服务期间内不得少于一次。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2.10.4 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2.10.5 乙方自身也应根据既定的HSE检查程序定期进行内部HSE检查，检查应保留相关记录。甲方有权进行现场查阅，乙方有义务向甲方提供上述记录。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2.10.6在春节、国庆节等重大节假日前，乙方应进行节假日前专项检查，对隐患和潜在的风险进行识别、排查，采取有效的控制措施，并将检查结果提交给甲方；乙方有义务接受甲方安排的节假日前专项检查。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2.11分包商HSE管理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2.11.1 乙方必须建立分包商的HSE管理要求，在分包作业前，应对分包商或代理商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2.11.2 乙方必须在分包合同中明确对分包商或代理商的HSE要求，该要求不能低于甲方HSE管理体系中的相关要求。乙方对分包商或代理商出现的HSE事故承担连带责任，即使是经过甲方批准的分包合同，也不能免除乙方的HSE管理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2.11.3乙方应对其管理范围内的分包商和代理商进行HSE绩效考核，并将总体考核记录提交给甲方。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 事故/事件报告与处理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2.12.1 乙方应按甲方明确的事故/事件报告程序进行事故/事件的报告。乙方自己建立的事故/事件报告程序，须与甲方的相一致并经甲方认可。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2.12.2对于上述事故/事件，不论其规模、损失程度大小，不论发生在甲方资产界内还是乙方自身资产界内，只要与本项目相关，乙方除立即口头报告甲方现场HSE管理人员（代表）外，必须在其发生后24小时内按照甲方HSE管理体系要求书面通报给甲方现场HSE管理人员（代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2.12.3 不论在甲方资产界内还是乙方资产界内发生的与本项目相关的事故/事件，甲方都有权对事故/事件进行调查。乙方和乙方的员工应采取积极合作的态度配合甲方的调查并让甲方了解事故/事件的真实情况。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2.12.4 事故发生后，乙方有责任采取必要的安全措施防止事态扩大，并在必要时保护事故现场以方便事故调查。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2.12.6 如果因乙方控制不力，造成HSE事故或隐患，甲方有权增加己方或聘请第三方人员，进行事故或隐患的调查、分析，甲方因此而增加的额外费用由乙方承担。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2.13应急与急救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2.13.1乙方应根据作业场所特点在项目实施的不同阶段建立并保持相应的应急计划和程序，其应急计划和程序的编制应符合甲方工作现场应急计划的基本要求。在甲方资产界内，乙方的应急管理应纳入甲方的应急管理体系之内，乙方有义务对甲方的应急工作提供全部支持。在乙方资产界内，乙方的应急管理应接受甲方代表的监督、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2.13.2在不同阶段开始前，乙方必须为生产支持服务人员阐述自身应急管理的主要内容，并确保被理解和掌握。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2.13.3 乙方应在项目开始前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2.13.4 乙方有义务参加甲方或其授权协作单位组织的安全应急演习。所有安全应急演习的组织和实施必须符合甲方应急计划有关应急演习的基本原则。</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2.13.5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2.13.6 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 HSE审核</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2.14.1 甲方将根据项目进展情况组织开展项目HSE现场审核，审核组成员至少包括双方主要的HSE管理人员，甲方认为必要时将聘请第三方人员参加，审核内容包括但不限于：</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乙方的HSE管理承诺；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乙方HSE管理计划的执行情况与有效性；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生产支持服务机具及项目已完成部分的安全情况；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阶段HSE统计分析；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风险和隐患管理的有效性；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适用本项目的关键HSE程序；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HSE沟通；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其它甲方认为必要的HSE事项。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2.14.2 乙方有义务参加和支持项目HSE审核，并有责任根据审核结果对其HSE管理计划进行修改完善，对审核中发现的不符合项进行整改。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  违约责任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3.1 人员伤害事件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1）因乙方自身原因发生一般伤害事故（指造成1人及1人以上轻度伤害，包括对甲方或第三方的人员的伤害，伤害引起的损失工时不超过五个工作日），扣除合同款1000-3000元。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2）因乙方自身原因发生中等伤害事故（指造成1人及1人以上中度伤害，包括对甲方或第三方的人员的伤害，伤害引起的损失工时超过30个工作日），扣除合同款3000-5000元。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3）因抢救伤员和调查处理等发生的直接费用，由责任方承担。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3.2 环境污染事件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1）出现环境污染事件造成现场、海洋、陆地污染，扣除合同款1000-3000元；如因之造成甲方被国家或地方执法部门罚款，应负责赔付全部罚款。</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3.3 设备事件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造成甲方设备、器具停运、损伤、丢失等情况，并未对正常生产造成较大影响或未造成较大经济损失，乙方除负责恢复设备原状和/或赔偿甲方损失外，扣除合同款1000-3000元。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 质量事件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因施工、作业或服务质量未达到合同要求，但尚未对甲方安全生产构成威胁，且能迅速弥补、整改，扣除合同款1000-3000元。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 火灾隐患、险情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存在火灾隐患，经整改隐患依然存在，扣除合同款1000-3000元；拒绝整改的，甲方将采取勒令其停工现场整顿等必要的措施。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 违章违纪事件和不符合行为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1）未造成任何损失的违章违纪事件或不符合行为出现一次将提出警告。同一当事人第二次，扣除合同款1000元。同一当事人第三次，当事人不允许再承担本项目工程的任何工作，扣除合同款3000元。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2）乙方的HSE管理工作如不能满足本附件要求，并且未按照甲方要求进行整改，或者不能在合理的时间及时回复甲方的书面要求，每发生一次，甲方均可根据不符合情况扣除合同款500-3000元。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 隐瞒不报行为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乙方发生上述事件或事故隐瞒不报者，一经发现，在上述违约金的基础上追加一倍的违约金。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3.8文明安全行为中的过失行为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3.8.1甲方应对乙方的轻度过失行为人进行批评教育。轻度过失行为主要包括以下行为：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1）上班时间不穿劳保服；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2）上班时不穿工鞋进入作业区；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3）工作时间不专心工作、聊天或办私事；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4）防爆区佩戴手机等非防爆设备；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5）下班后继续在作业区逗留，并打扰其他正常上班员工；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6）作业时高声喧哗，发出怪叫或吹口哨；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7）随地吐痰，乱扔纸屑饮水瓶等杂物；</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8）不遵守出入保安条例；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9）违反常规，随地大小便。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3.8.2对乙方的较重过失行为，扣除合同款200-1000元。限期改正并要求行为人填写过失单。较重过失行为主要包括以下行为：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1）工作时间睡觉；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2）擅离工作岗位，经常迟到；</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3）对合作人员不礼貌，谩骂吵架；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4）主动参与或变相赌博活动；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5）未经许可私入库房等物资存储区；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6）搬弄是非，诽谤他人，影响团结和集体声誉；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7）未立即上缴别人遗留物品或拣到的物品；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8）不经相关领导允许带亲戚朋友到作业区或者在宿舍逗留；</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9）工作时间擅离工作岗位，做其他与工作不相关的事情；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10）未经批准不回宿舍休息；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11）伪造文件或记录等。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3.8.3对乙方的严重过失行为，扣除合同款1000-3000元。限期改正并要求行为人填写过失单.情节严重者，行为人不得在甲方的项目继续工作。严重过失行为主要包括以下行为：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1）工作时间醉酒；</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2）贪污、盗窃、受贿、行贿；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3）故意损坏公物或工友用品；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4）打架斗殴；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5）违反工作规章制度，批评后仍不改正；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6）无故旷工；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7）违反国家法律法规等。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3.9 甲方原因引起的事件对乙方的补偿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因甲方原因（甲方负事故或事件的全部/主要责任）引起的事件或事故，甲方将按甲方相关规定对相关责任人进行处理，并酌情赔偿因事件给乙方或第三方所造成的损失。</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  条款最终解释权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本附件条款最终解释权归甲方所有。</w:t>
      </w:r>
    </w:p>
    <w:p>
      <w:pPr>
        <w:pStyle w:val="11"/>
        <w:rPr>
          <w:rFonts w:hint="eastAsia" w:ascii="仿宋" w:hAnsi="仿宋" w:eastAsia="仿宋" w:cs="仿宋"/>
          <w:highlight w:val="none"/>
          <w:lang w:val="en-US" w:eastAsia="zh-CN"/>
        </w:rPr>
      </w:pPr>
    </w:p>
    <w:p>
      <w:pPr>
        <w:spacing w:line="240" w:lineRule="auto"/>
        <w:ind w:firstLine="0" w:firstLineChars="0"/>
        <w:rPr>
          <w:rFonts w:hint="eastAsia" w:ascii="仿宋" w:hAnsi="仿宋" w:eastAsia="仿宋" w:cs="仿宋"/>
          <w:bCs/>
          <w:sz w:val="24"/>
          <w:szCs w:val="24"/>
          <w:highlight w:val="none"/>
          <w:lang w:val="en-US" w:eastAsia="zh-CN"/>
        </w:rPr>
      </w:pPr>
    </w:p>
    <w:p>
      <w:pPr>
        <w:pStyle w:val="11"/>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Noto Sans CJK DemiLight">
    <w:altName w:val="微软雅黑"/>
    <w:panose1 w:val="00000000000000000000"/>
    <w:charset w:val="00"/>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B3F1C"/>
    <w:multiLevelType w:val="singleLevel"/>
    <w:tmpl w:val="DC0B3F1C"/>
    <w:lvl w:ilvl="0" w:tentative="0">
      <w:start w:val="1"/>
      <w:numFmt w:val="decimal"/>
      <w:suff w:val="space"/>
      <w:lvlText w:val="%1."/>
      <w:lvlJc w:val="left"/>
    </w:lvl>
  </w:abstractNum>
  <w:abstractNum w:abstractNumId="1">
    <w:nsid w:val="0ECB3DC2"/>
    <w:multiLevelType w:val="multilevel"/>
    <w:tmpl w:val="0ECB3DC2"/>
    <w:lvl w:ilvl="0" w:tentative="0">
      <w:start w:val="1"/>
      <w:numFmt w:val="decimal"/>
      <w:lvlText w:val="10.%1"/>
      <w:lvlJc w:val="left"/>
      <w:pPr>
        <w:ind w:left="418" w:hanging="420"/>
      </w:pPr>
      <w:rPr>
        <w:rFonts w:hint="default" w:ascii="仿宋" w:hAnsi="仿宋" w:eastAsia="仿宋" w:cs="仿宋"/>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111D4901"/>
    <w:multiLevelType w:val="multilevel"/>
    <w:tmpl w:val="111D4901"/>
    <w:lvl w:ilvl="0" w:tentative="0">
      <w:start w:val="1"/>
      <w:numFmt w:val="decimal"/>
      <w:lvlText w:val="12.%1"/>
      <w:lvlJc w:val="left"/>
      <w:pPr>
        <w:ind w:left="420" w:hanging="420"/>
      </w:pPr>
      <w:rPr>
        <w:rFonts w:hint="default" w:ascii="仿宋" w:hAnsi="仿宋" w:eastAsia="仿宋" w:cs="仿宋"/>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AE254C"/>
    <w:multiLevelType w:val="multilevel"/>
    <w:tmpl w:val="13AE254C"/>
    <w:lvl w:ilvl="0" w:tentative="0">
      <w:start w:val="1"/>
      <w:numFmt w:val="decimal"/>
      <w:lvlText w:val="8.%1"/>
      <w:lvlJc w:val="left"/>
      <w:pPr>
        <w:ind w:left="704" w:hanging="420"/>
      </w:pPr>
      <w:rPr>
        <w:rFonts w:hint="default" w:ascii="仿宋" w:hAnsi="仿宋" w:eastAsia="仿宋" w:cs="仿宋"/>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87E4373"/>
    <w:multiLevelType w:val="multilevel"/>
    <w:tmpl w:val="187E4373"/>
    <w:lvl w:ilvl="0" w:tentative="0">
      <w:start w:val="1"/>
      <w:numFmt w:val="decimal"/>
      <w:lvlText w:val="19.%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673A34"/>
    <w:multiLevelType w:val="multilevel"/>
    <w:tmpl w:val="20673A34"/>
    <w:lvl w:ilvl="0" w:tentative="0">
      <w:start w:val="1"/>
      <w:numFmt w:val="decimal"/>
      <w:lvlText w:val="9.%1"/>
      <w:lvlJc w:val="left"/>
      <w:pPr>
        <w:tabs>
          <w:tab w:val="left" w:pos="1860"/>
        </w:tabs>
        <w:ind w:left="1860" w:hanging="420"/>
      </w:pPr>
      <w:rPr>
        <w:rFonts w:hint="default" w:ascii="仿宋" w:hAnsi="仿宋" w:eastAsia="仿宋" w:cs="仿宋"/>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3F27C5"/>
    <w:multiLevelType w:val="multilevel"/>
    <w:tmpl w:val="213F27C5"/>
    <w:lvl w:ilvl="0" w:tentative="0">
      <w:start w:val="1"/>
      <w:numFmt w:val="decimal"/>
      <w:lvlText w:val="(%1)"/>
      <w:lvlJc w:val="left"/>
      <w:pPr>
        <w:ind w:left="987" w:hanging="420"/>
      </w:pPr>
      <w:rPr>
        <w:rFonts w:hint="default" w:ascii="仿宋" w:hAnsi="仿宋" w:eastAsia="仿宋" w:cs="仿宋"/>
        <w:b w:val="0"/>
        <w:i w:val="0"/>
        <w:color w:val="auto"/>
        <w:sz w:val="24"/>
        <w:szCs w:val="24"/>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22030A0D"/>
    <w:multiLevelType w:val="multilevel"/>
    <w:tmpl w:val="22030A0D"/>
    <w:lvl w:ilvl="0" w:tentative="0">
      <w:start w:val="1"/>
      <w:numFmt w:val="decimal"/>
      <w:lvlText w:val="14.%1"/>
      <w:lvlJc w:val="left"/>
      <w:pPr>
        <w:ind w:left="420" w:hanging="420"/>
      </w:pPr>
      <w:rPr>
        <w:rFonts w:hint="default" w:ascii="仿宋" w:hAnsi="仿宋" w:eastAsia="仿宋" w:cs="仿宋"/>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8C4446"/>
    <w:multiLevelType w:val="multilevel"/>
    <w:tmpl w:val="288C4446"/>
    <w:lvl w:ilvl="0" w:tentative="0">
      <w:start w:val="1"/>
      <w:numFmt w:val="decimal"/>
      <w:lvlText w:val="11.%1"/>
      <w:lvlJc w:val="left"/>
      <w:pPr>
        <w:tabs>
          <w:tab w:val="left" w:pos="1860"/>
        </w:tabs>
        <w:ind w:left="1860" w:hanging="420"/>
      </w:pPr>
      <w:rPr>
        <w:rFonts w:hint="default" w:ascii="仿宋" w:hAnsi="仿宋" w:eastAsia="仿宋" w:cs="仿宋"/>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967B86"/>
    <w:multiLevelType w:val="multilevel"/>
    <w:tmpl w:val="2E967B86"/>
    <w:lvl w:ilvl="0" w:tentative="0">
      <w:start w:val="1"/>
      <w:numFmt w:val="decimal"/>
      <w:lvlText w:val="7.%1"/>
      <w:lvlJc w:val="left"/>
      <w:pPr>
        <w:tabs>
          <w:tab w:val="left" w:pos="1860"/>
        </w:tabs>
        <w:ind w:left="1860" w:hanging="420"/>
      </w:pPr>
      <w:rPr>
        <w:rFonts w:hint="default" w:ascii="仿宋" w:hAnsi="仿宋" w:eastAsia="仿宋" w:cs="仿宋"/>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44619A6"/>
    <w:multiLevelType w:val="multilevel"/>
    <w:tmpl w:val="344619A6"/>
    <w:lvl w:ilvl="0" w:tentative="0">
      <w:start w:val="1"/>
      <w:numFmt w:val="decimal"/>
      <w:lvlText w:val="18.%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4">
    <w:nsid w:val="3944CAAA"/>
    <w:multiLevelType w:val="singleLevel"/>
    <w:tmpl w:val="3944CAAA"/>
    <w:lvl w:ilvl="0" w:tentative="0">
      <w:start w:val="1"/>
      <w:numFmt w:val="lowerLetter"/>
      <w:suff w:val="space"/>
      <w:lvlText w:val="(%1)"/>
      <w:lvlJc w:val="left"/>
    </w:lvl>
  </w:abstractNum>
  <w:abstractNum w:abstractNumId="15">
    <w:nsid w:val="3EB85368"/>
    <w:multiLevelType w:val="multilevel"/>
    <w:tmpl w:val="3EB85368"/>
    <w:lvl w:ilvl="0" w:tentative="0">
      <w:start w:val="1"/>
      <w:numFmt w:val="decimal"/>
      <w:lvlText w:val="1.%1"/>
      <w:lvlJc w:val="left"/>
      <w:pPr>
        <w:tabs>
          <w:tab w:val="left" w:pos="2278"/>
        </w:tabs>
        <w:ind w:left="2278" w:hanging="420"/>
      </w:pPr>
      <w:rPr>
        <w:rFonts w:hint="default" w:ascii="仿宋" w:hAnsi="仿宋" w:eastAsia="仿宋" w:cs="仿宋"/>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FC80A62"/>
    <w:multiLevelType w:val="multilevel"/>
    <w:tmpl w:val="3FC80A62"/>
    <w:lvl w:ilvl="0" w:tentative="0">
      <w:start w:val="1"/>
      <w:numFmt w:val="decimal"/>
      <w:lvlText w:val="4.%1"/>
      <w:lvlJc w:val="left"/>
      <w:pPr>
        <w:tabs>
          <w:tab w:val="left" w:pos="562"/>
        </w:tabs>
        <w:ind w:left="562" w:hanging="420"/>
      </w:pPr>
      <w:rPr>
        <w:rFonts w:hint="default" w:ascii="仿宋" w:hAnsi="仿宋" w:eastAsia="仿宋" w:cs="仿宋"/>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0C5160D"/>
    <w:multiLevelType w:val="multilevel"/>
    <w:tmpl w:val="40C5160D"/>
    <w:lvl w:ilvl="0" w:tentative="0">
      <w:start w:val="1"/>
      <w:numFmt w:val="decimal"/>
      <w:lvlText w:val="(%1)"/>
      <w:lvlJc w:val="left"/>
      <w:pPr>
        <w:ind w:left="988" w:hanging="420"/>
      </w:pPr>
      <w:rPr>
        <w:rFonts w:hint="default" w:ascii="仿宋" w:hAnsi="仿宋" w:eastAsia="仿宋" w:cs="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8">
    <w:nsid w:val="4328471A"/>
    <w:multiLevelType w:val="multilevel"/>
    <w:tmpl w:val="4328471A"/>
    <w:lvl w:ilvl="0" w:tentative="0">
      <w:start w:val="1"/>
      <w:numFmt w:val="decimal"/>
      <w:lvlText w:val="16.%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90B6D34"/>
    <w:multiLevelType w:val="multilevel"/>
    <w:tmpl w:val="490B6D34"/>
    <w:lvl w:ilvl="0" w:tentative="0">
      <w:start w:val="1"/>
      <w:numFmt w:val="decimal"/>
      <w:lvlText w:val="15.%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仿宋" w:hAnsi="仿宋" w:eastAsia="仿宋" w:cs="仿宋"/>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EEC7676"/>
    <w:multiLevelType w:val="multilevel"/>
    <w:tmpl w:val="4EEC7676"/>
    <w:lvl w:ilvl="0" w:tentative="0">
      <w:start w:val="1"/>
      <w:numFmt w:val="decimal"/>
      <w:lvlText w:val="13.%1."/>
      <w:lvlJc w:val="left"/>
      <w:pPr>
        <w:tabs>
          <w:tab w:val="left" w:pos="3681"/>
        </w:tabs>
        <w:ind w:left="3681" w:hanging="420"/>
      </w:pPr>
      <w:rPr>
        <w:rFonts w:hint="default" w:ascii="仿宋" w:hAnsi="仿宋" w:eastAsia="仿宋" w:cs="仿宋"/>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F2A4C79"/>
    <w:multiLevelType w:val="multilevel"/>
    <w:tmpl w:val="4F2A4C79"/>
    <w:lvl w:ilvl="0" w:tentative="0">
      <w:start w:val="1"/>
      <w:numFmt w:val="decimal"/>
      <w:lvlText w:val="17.%1"/>
      <w:lvlJc w:val="left"/>
      <w:pPr>
        <w:ind w:left="1126" w:hanging="420"/>
      </w:pPr>
      <w:rPr>
        <w:rFonts w:hint="default" w:ascii="仿宋" w:hAnsi="仿宋" w:eastAsia="仿宋" w:cs="仿宋"/>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3">
    <w:nsid w:val="56791D3E"/>
    <w:multiLevelType w:val="multilevel"/>
    <w:tmpl w:val="56791D3E"/>
    <w:lvl w:ilvl="0" w:tentative="0">
      <w:start w:val="1"/>
      <w:numFmt w:val="decimal"/>
      <w:lvlText w:val="(%1)"/>
      <w:lvlJc w:val="left"/>
      <w:pPr>
        <w:tabs>
          <w:tab w:val="left" w:pos="840"/>
        </w:tabs>
        <w:ind w:left="840" w:hanging="420"/>
      </w:pPr>
      <w:rPr>
        <w:rFonts w:hint="default" w:ascii="仿宋" w:hAnsi="仿宋" w:eastAsia="仿宋" w:cs="仿宋"/>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4">
    <w:nsid w:val="5D5607AE"/>
    <w:multiLevelType w:val="multilevel"/>
    <w:tmpl w:val="5D5607AE"/>
    <w:lvl w:ilvl="0" w:tentative="0">
      <w:start w:val="1"/>
      <w:numFmt w:val="decimal"/>
      <w:lvlText w:val="2.%1"/>
      <w:lvlJc w:val="left"/>
      <w:pPr>
        <w:tabs>
          <w:tab w:val="left" w:pos="840"/>
        </w:tabs>
        <w:ind w:left="840" w:hanging="420"/>
      </w:pPr>
      <w:rPr>
        <w:rFonts w:hint="default" w:ascii="仿宋" w:hAnsi="仿宋" w:eastAsia="仿宋" w:cs="仿宋"/>
        <w:sz w:val="24"/>
        <w:szCs w:val="24"/>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E115992"/>
    <w:multiLevelType w:val="singleLevel"/>
    <w:tmpl w:val="5E115992"/>
    <w:lvl w:ilvl="0" w:tentative="0">
      <w:start w:val="1"/>
      <w:numFmt w:val="decimal"/>
      <w:suff w:val="nothing"/>
      <w:lvlText w:val="（%1）"/>
      <w:lvlJc w:val="left"/>
      <w:pPr>
        <w:ind w:left="630" w:firstLine="0"/>
      </w:pPr>
      <w:rPr>
        <w:rFonts w:hint="default"/>
        <w:sz w:val="20"/>
        <w:szCs w:val="20"/>
      </w:rPr>
    </w:lvl>
  </w:abstractNum>
  <w:abstractNum w:abstractNumId="26">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仿宋" w:hAnsi="仿宋" w:eastAsia="仿宋" w:cs="仿宋"/>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27">
    <w:nsid w:val="707D0C4B"/>
    <w:multiLevelType w:val="singleLevel"/>
    <w:tmpl w:val="707D0C4B"/>
    <w:lvl w:ilvl="0" w:tentative="0">
      <w:start w:val="2"/>
      <w:numFmt w:val="decimal"/>
      <w:suff w:val="space"/>
      <w:lvlText w:val="%1."/>
      <w:lvlJc w:val="left"/>
      <w:pPr>
        <w:ind w:left="-619"/>
      </w:pPr>
    </w:lvl>
  </w:abstractNum>
  <w:abstractNum w:abstractNumId="28">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仿宋" w:hAnsi="仿宋" w:eastAsia="仿宋" w:cs="仿宋"/>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29">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0">
    <w:nsid w:val="7C6A4F85"/>
    <w:multiLevelType w:val="multilevel"/>
    <w:tmpl w:val="7C6A4F85"/>
    <w:lvl w:ilvl="0" w:tentative="0">
      <w:start w:val="1"/>
      <w:numFmt w:val="decimal"/>
      <w:lvlText w:val="6.%1"/>
      <w:lvlJc w:val="left"/>
      <w:pPr>
        <w:ind w:left="420" w:hanging="420"/>
      </w:pPr>
      <w:rPr>
        <w:rFonts w:hint="default" w:ascii="仿宋" w:hAnsi="仿宋" w:eastAsia="仿宋" w:cs="仿宋"/>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ECC3C6B"/>
    <w:multiLevelType w:val="multilevel"/>
    <w:tmpl w:val="7ECC3C6B"/>
    <w:lvl w:ilvl="0" w:tentative="0">
      <w:start w:val="1"/>
      <w:numFmt w:val="decimal"/>
      <w:lvlText w:val="3.%1"/>
      <w:lvlJc w:val="left"/>
      <w:pPr>
        <w:ind w:left="420" w:hanging="420"/>
      </w:pPr>
      <w:rPr>
        <w:rFonts w:hint="default" w:ascii="仿宋" w:hAnsi="仿宋" w:eastAsia="仿宋" w:cs="仿宋"/>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5"/>
  </w:num>
  <w:num w:numId="3">
    <w:abstractNumId w:val="24"/>
  </w:num>
  <w:num w:numId="4">
    <w:abstractNumId w:val="31"/>
  </w:num>
  <w:num w:numId="5">
    <w:abstractNumId w:val="7"/>
  </w:num>
  <w:num w:numId="6">
    <w:abstractNumId w:val="16"/>
  </w:num>
  <w:num w:numId="7">
    <w:abstractNumId w:val="17"/>
  </w:num>
  <w:num w:numId="8">
    <w:abstractNumId w:val="29"/>
  </w:num>
  <w:num w:numId="9">
    <w:abstractNumId w:val="3"/>
  </w:num>
  <w:num w:numId="10">
    <w:abstractNumId w:val="30"/>
  </w:num>
  <w:num w:numId="11">
    <w:abstractNumId w:val="11"/>
  </w:num>
  <w:num w:numId="12">
    <w:abstractNumId w:val="4"/>
  </w:num>
  <w:num w:numId="13">
    <w:abstractNumId w:val="6"/>
  </w:num>
  <w:num w:numId="14">
    <w:abstractNumId w:val="1"/>
  </w:num>
  <w:num w:numId="15">
    <w:abstractNumId w:val="9"/>
  </w:num>
  <w:num w:numId="16">
    <w:abstractNumId w:val="2"/>
  </w:num>
  <w:num w:numId="17">
    <w:abstractNumId w:val="20"/>
  </w:num>
  <w:num w:numId="18">
    <w:abstractNumId w:val="21"/>
  </w:num>
  <w:num w:numId="19">
    <w:abstractNumId w:val="23"/>
  </w:num>
  <w:num w:numId="20">
    <w:abstractNumId w:val="8"/>
  </w:num>
  <w:num w:numId="21">
    <w:abstractNumId w:val="19"/>
  </w:num>
  <w:num w:numId="22">
    <w:abstractNumId w:val="18"/>
  </w:num>
  <w:num w:numId="23">
    <w:abstractNumId w:val="22"/>
  </w:num>
  <w:num w:numId="24">
    <w:abstractNumId w:val="12"/>
  </w:num>
  <w:num w:numId="25">
    <w:abstractNumId w:val="5"/>
  </w:num>
  <w:num w:numId="26">
    <w:abstractNumId w:val="13"/>
  </w:num>
  <w:num w:numId="27">
    <w:abstractNumId w:val="26"/>
  </w:num>
  <w:num w:numId="28">
    <w:abstractNumId w:val="28"/>
  </w:num>
  <w:num w:numId="29">
    <w:abstractNumId w:val="27"/>
  </w:num>
  <w:num w:numId="30">
    <w:abstractNumId w:val="0"/>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9312F"/>
    <w:rsid w:val="122731D3"/>
    <w:rsid w:val="401A6B8C"/>
    <w:rsid w:val="4A25409F"/>
    <w:rsid w:val="4B450165"/>
    <w:rsid w:val="4CC42202"/>
    <w:rsid w:val="561318CF"/>
    <w:rsid w:val="58FB6FF3"/>
    <w:rsid w:val="7D28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pPr>
      <w:ind w:left="102" w:firstLine="200" w:firstLineChars="200"/>
    </w:pPr>
    <w:rPr>
      <w:rFonts w:ascii="Noto Sans CJK DemiLight" w:hAnsi="Noto Sans CJK DemiLight" w:eastAsia="Microsoft YaHei UI"/>
      <w:sz w:val="21"/>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9"/>
    <w:pPr>
      <w:spacing w:before="240" w:after="60"/>
      <w:jc w:val="left"/>
      <w:outlineLvl w:val="0"/>
    </w:pPr>
    <w:rPr>
      <w:rFonts w:ascii="Calibri Light" w:hAnsi="Calibri Light"/>
      <w:bCs/>
      <w:szCs w:val="32"/>
    </w:rPr>
  </w:style>
  <w:style w:type="paragraph" w:styleId="11">
    <w:name w:val="Body Text First Indent"/>
    <w:basedOn w:val="5"/>
    <w:next w:val="1"/>
    <w:qFormat/>
    <w:uiPriority w:val="0"/>
    <w:pPr>
      <w:widowControl w:val="0"/>
      <w:ind w:firstLine="420" w:firstLineChars="100"/>
      <w:jc w:val="both"/>
    </w:pPr>
    <w:rPr>
      <w:rFonts w:ascii="Microsoft YaHei UI" w:hAnsi="Microsoft YaHei UI" w:eastAsia="Microsoft YaHei UI" w:cstheme="minorBidi"/>
      <w:sz w:val="21"/>
      <w:szCs w:val="21"/>
      <w:lang w:val="en-US" w:eastAsia="en-US" w:bidi="ar-SA"/>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Body Text"/>
    <w:basedOn w:val="17"/>
    <w:next w:val="17"/>
    <w:qFormat/>
    <w:uiPriority w:val="0"/>
    <w:pPr>
      <w:spacing w:after="120" w:afterLines="0"/>
    </w:pPr>
  </w:style>
  <w:style w:type="paragraph" w:customStyle="1" w:styleId="17">
    <w:name w:val="Normal_1"/>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1"/>
  </w:style>
  <w:style w:type="paragraph" w:customStyle="1" w:styleId="19">
    <w:name w:val="默认段落字体 Para Char"/>
    <w:basedOn w:val="20"/>
    <w:next w:val="1"/>
    <w:qFormat/>
    <w:uiPriority w:val="0"/>
    <w:pPr>
      <w:widowControl w:val="0"/>
      <w:spacing w:before="80" w:after="80" w:line="360" w:lineRule="auto"/>
      <w:jc w:val="both"/>
    </w:pPr>
    <w:rPr>
      <w:rFonts w:ascii="Calibri" w:hAnsi="Calibri" w:cs="Times New Roman"/>
      <w:kern w:val="2"/>
      <w:szCs w:val="20"/>
    </w:rPr>
  </w:style>
  <w:style w:type="paragraph" w:customStyle="1" w:styleId="20">
    <w:name w:val="Normal_0"/>
    <w:next w:val="19"/>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font01"/>
    <w:basedOn w:val="14"/>
    <w:qFormat/>
    <w:uiPriority w:val="0"/>
    <w:rPr>
      <w:rFonts w:hint="eastAsia" w:ascii="宋体" w:hAnsi="宋体" w:eastAsia="宋体" w:cs="宋体"/>
      <w:color w:val="000000"/>
      <w:sz w:val="20"/>
      <w:szCs w:val="20"/>
      <w:u w:val="none"/>
    </w:rPr>
  </w:style>
  <w:style w:type="character" w:customStyle="1" w:styleId="23">
    <w:name w:val="font61"/>
    <w:basedOn w:val="14"/>
    <w:qFormat/>
    <w:uiPriority w:val="0"/>
    <w:rPr>
      <w:rFonts w:hint="eastAsia" w:ascii="宋体" w:hAnsi="宋体" w:eastAsia="宋体" w:cs="宋体"/>
      <w:color w:val="000000"/>
      <w:sz w:val="18"/>
      <w:szCs w:val="18"/>
      <w:u w:val="none"/>
    </w:rPr>
  </w:style>
  <w:style w:type="character" w:customStyle="1" w:styleId="24">
    <w:name w:val="font8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2023-07-13T06:57:00Z</dcterms:created>
  <dc:creator>liwm12</dc:creator>
  <cp:lastModifiedBy>尚晶</cp:lastModifiedBy>
  <dcterms:modified xsi:type="dcterms:W3CDTF">2024-08-27T06:57:19Z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772DD2479C9948CEAD3C997F2AC2294C</vt:lpwstr>
  </property>
</Properties>
</file>