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pPr>
      <w:r>
        <w:t>采办包：</w:t>
      </w:r>
      <w:r>
        <w:rPr>
          <w:rFonts w:hint="eastAsia"/>
        </w:rPr>
        <w:t xml:space="preserve">气电集团滨州管道标准气、载气采购(二次)  </w:t>
      </w:r>
      <w:r>
        <w:t xml:space="preserve">                                                    </w:t>
      </w:r>
      <w:r>
        <w:rPr>
          <w:rFonts w:hint="eastAsia"/>
          <w:lang w:val="en-US" w:eastAsia="zh-CN"/>
        </w:rPr>
        <w:t xml:space="preserve">  </w:t>
      </w:r>
    </w:p>
    <w:tbl>
      <w:tblPr>
        <w:tblStyle w:val="8"/>
        <w:tblW w:w="50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
        <w:gridCol w:w="4695"/>
        <w:gridCol w:w="2326"/>
        <w:gridCol w:w="2241"/>
        <w:gridCol w:w="2209"/>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62" w:type="pct"/>
            <w:gridSpan w:val="2"/>
            <w:vAlign w:val="center"/>
          </w:tcPr>
          <w:p>
            <w:pPr>
              <w:jc w:val="center"/>
            </w:pPr>
            <w:r>
              <w:t>资质资格条款</w:t>
            </w:r>
            <w:r>
              <w:rPr>
                <w:rFonts w:hint="eastAsia"/>
              </w:rPr>
              <w:t xml:space="preserve"> </w:t>
            </w:r>
          </w:p>
        </w:tc>
        <w:tc>
          <w:tcPr>
            <w:tcW w:w="816" w:type="pct"/>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b/>
                <w:bCs/>
                <w:color w:val="000000"/>
                <w:szCs w:val="21"/>
              </w:rPr>
            </w:pPr>
            <w:r>
              <w:rPr>
                <w:rFonts w:hint="eastAsia"/>
                <w:b/>
                <w:bCs/>
                <w:color w:val="000000"/>
                <w:szCs w:val="21"/>
              </w:rPr>
              <w:t>大连大特气体有限公司</w:t>
            </w:r>
          </w:p>
        </w:tc>
        <w:tc>
          <w:tcPr>
            <w:tcW w:w="786" w:type="pct"/>
            <w:vMerge w:val="restart"/>
            <w:tcBorders>
              <w:top w:val="single" w:color="auto" w:sz="4" w:space="0"/>
              <w:left w:val="nil"/>
              <w:bottom w:val="nil"/>
              <w:right w:val="single" w:color="auto" w:sz="4" w:space="0"/>
            </w:tcBorders>
            <w:shd w:val="clear" w:color="auto" w:fill="auto"/>
            <w:vAlign w:val="center"/>
          </w:tcPr>
          <w:p>
            <w:pPr>
              <w:jc w:val="center"/>
              <w:rPr>
                <w:rFonts w:hint="eastAsia"/>
                <w:b/>
                <w:bCs/>
                <w:color w:val="000000"/>
                <w:szCs w:val="21"/>
              </w:rPr>
            </w:pPr>
            <w:r>
              <w:rPr>
                <w:rFonts w:hint="eastAsia"/>
                <w:b/>
                <w:bCs/>
                <w:color w:val="000000"/>
                <w:szCs w:val="21"/>
              </w:rPr>
              <w:t>山东宏运达赭山气体有限公司</w:t>
            </w:r>
          </w:p>
        </w:tc>
        <w:tc>
          <w:tcPr>
            <w:tcW w:w="775" w:type="pct"/>
            <w:vMerge w:val="restart"/>
            <w:tcBorders>
              <w:top w:val="single" w:color="auto" w:sz="4" w:space="0"/>
              <w:left w:val="nil"/>
              <w:bottom w:val="nil"/>
              <w:right w:val="single" w:color="auto" w:sz="4" w:space="0"/>
            </w:tcBorders>
            <w:shd w:val="clear" w:color="auto" w:fill="auto"/>
            <w:vAlign w:val="center"/>
          </w:tcPr>
          <w:p>
            <w:pPr>
              <w:jc w:val="center"/>
              <w:rPr>
                <w:rFonts w:hint="eastAsia"/>
                <w:b/>
                <w:bCs/>
                <w:color w:val="000000"/>
                <w:szCs w:val="21"/>
              </w:rPr>
            </w:pPr>
            <w:r>
              <w:rPr>
                <w:rFonts w:hint="eastAsia"/>
                <w:b/>
                <w:bCs/>
                <w:color w:val="000000"/>
                <w:szCs w:val="21"/>
              </w:rPr>
              <w:t>上海伟创标准气体分析技术有限公司</w:t>
            </w:r>
          </w:p>
        </w:tc>
        <w:tc>
          <w:tcPr>
            <w:tcW w:w="759" w:type="pct"/>
            <w:vMerge w:val="restart"/>
            <w:tcBorders>
              <w:top w:val="single" w:color="auto" w:sz="4" w:space="0"/>
              <w:left w:val="nil"/>
              <w:bottom w:val="nil"/>
              <w:right w:val="single" w:color="auto" w:sz="4" w:space="0"/>
            </w:tcBorders>
            <w:shd w:val="clear" w:color="auto" w:fill="auto"/>
            <w:vAlign w:val="center"/>
          </w:tcPr>
          <w:p>
            <w:pPr>
              <w:jc w:val="center"/>
              <w:rPr>
                <w:rFonts w:hint="eastAsia"/>
                <w:b/>
                <w:bCs/>
                <w:color w:val="000000"/>
                <w:szCs w:val="21"/>
              </w:rPr>
            </w:pPr>
            <w:r>
              <w:rPr>
                <w:rFonts w:hint="eastAsia"/>
                <w:b/>
                <w:bCs/>
                <w:color w:val="000000"/>
                <w:szCs w:val="21"/>
              </w:rPr>
              <w:t>淄博翔宇气体有限公司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pPr>
              <w:jc w:val="center"/>
            </w:pPr>
            <w:r>
              <w:t>评审内容</w:t>
            </w:r>
          </w:p>
        </w:tc>
        <w:tc>
          <w:tcPr>
            <w:tcW w:w="1646" w:type="pct"/>
            <w:vAlign w:val="center"/>
          </w:tcPr>
          <w:p>
            <w:pPr>
              <w:jc w:val="center"/>
            </w:pPr>
            <w:r>
              <w:rPr>
                <w:rFonts w:hint="eastAsia"/>
              </w:rPr>
              <w:t>评审内容</w:t>
            </w:r>
          </w:p>
        </w:tc>
        <w:tc>
          <w:tcPr>
            <w:tcW w:w="816" w:type="pct"/>
            <w:vMerge w:val="continue"/>
            <w:vAlign w:val="center"/>
          </w:tcPr>
          <w:p>
            <w:pPr>
              <w:jc w:val="center"/>
            </w:pPr>
          </w:p>
        </w:tc>
        <w:tc>
          <w:tcPr>
            <w:tcW w:w="786" w:type="pct"/>
            <w:vMerge w:val="continue"/>
            <w:vAlign w:val="center"/>
          </w:tcPr>
          <w:p>
            <w:pPr>
              <w:jc w:val="center"/>
            </w:pPr>
          </w:p>
        </w:tc>
        <w:tc>
          <w:tcPr>
            <w:tcW w:w="775" w:type="pct"/>
            <w:vMerge w:val="continue"/>
            <w:vAlign w:val="center"/>
          </w:tcPr>
          <w:p>
            <w:pPr>
              <w:jc w:val="center"/>
            </w:pPr>
          </w:p>
        </w:tc>
        <w:tc>
          <w:tcPr>
            <w:tcW w:w="759" w:type="pct"/>
            <w:vMerge w:val="continue"/>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15" w:type="pct"/>
            <w:vAlign w:val="center"/>
          </w:tcPr>
          <w:p>
            <w:r>
              <w:rPr>
                <w:rFonts w:hint="eastAsia"/>
              </w:rPr>
              <w:t>资质要求</w:t>
            </w:r>
          </w:p>
        </w:tc>
        <w:tc>
          <w:tcPr>
            <w:tcW w:w="1646" w:type="pct"/>
          </w:tcPr>
          <w:p>
            <w:r>
              <w:rPr>
                <w:rFonts w:hint="eastAsia"/>
              </w:rPr>
              <w:t>1）应答人须是符合下列条件的中华人民共和国境内具有独立承担民事责任能力的法人，或具备国家认可经营资格的其他组织：（1）应答人为企业的，应具有有效的营业执照（“三证合一”或“五证合一”）；（2）应答人为分公司的，应具有有效的营业执照（“三证合一”或“五证合一”）和总公司合法授权书。总公司与分支机构只可一家参与应答，同时参与应答视为应答无效；（3）应答人为事业单位的，应答人应经全国各级事业单位登记管理机关核准登记或者备案，具有合法有效的事业单位法人证。</w:t>
            </w:r>
          </w:p>
        </w:tc>
        <w:tc>
          <w:tcPr>
            <w:tcW w:w="816" w:type="pct"/>
            <w:vAlign w:val="center"/>
          </w:tcPr>
          <w:p>
            <w:pPr>
              <w:jc w:val="center"/>
            </w:pPr>
            <w:r>
              <w:rPr>
                <w:rFonts w:hint="eastAsia"/>
              </w:rPr>
              <w:t>符合</w:t>
            </w:r>
          </w:p>
        </w:tc>
        <w:tc>
          <w:tcPr>
            <w:tcW w:w="786" w:type="pct"/>
            <w:vAlign w:val="center"/>
          </w:tcPr>
          <w:p>
            <w:pPr>
              <w:jc w:val="center"/>
            </w:pPr>
            <w:r>
              <w:rPr>
                <w:rFonts w:hint="eastAsia"/>
              </w:rPr>
              <w:t>符合</w:t>
            </w:r>
          </w:p>
        </w:tc>
        <w:tc>
          <w:tcPr>
            <w:tcW w:w="775" w:type="pct"/>
            <w:vAlign w:val="center"/>
          </w:tcPr>
          <w:p>
            <w:pPr>
              <w:jc w:val="center"/>
              <w:rPr>
                <w:rFonts w:hint="eastAsia"/>
              </w:rPr>
            </w:pPr>
            <w:r>
              <w:rPr>
                <w:rFonts w:hint="eastAsia"/>
              </w:rPr>
              <w:t>符合</w:t>
            </w:r>
          </w:p>
        </w:tc>
        <w:tc>
          <w:tcPr>
            <w:tcW w:w="759" w:type="pct"/>
            <w:vAlign w:val="center"/>
          </w:tcPr>
          <w:p>
            <w:pPr>
              <w:jc w:val="cente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vAlign w:val="center"/>
          </w:tcPr>
          <w:p>
            <w:r>
              <w:rPr>
                <w:rFonts w:hint="eastAsia"/>
              </w:rPr>
              <w:t>业绩要求</w:t>
            </w:r>
          </w:p>
        </w:tc>
        <w:tc>
          <w:tcPr>
            <w:tcW w:w="1646" w:type="pct"/>
          </w:tcPr>
          <w:p>
            <w:pPr>
              <w:rPr>
                <w:rFonts w:hint="eastAsia"/>
              </w:rPr>
            </w:pPr>
            <w:r>
              <w:rPr>
                <w:rFonts w:hint="eastAsia"/>
              </w:rPr>
              <w:t>1）应答人在近5年（2019年1月1日-应答截止日）至少具有1项已完成的标准气与载气供货业绩。</w:t>
            </w:r>
          </w:p>
          <w:p>
            <w:pPr>
              <w:rPr>
                <w:rFonts w:hint="eastAsia"/>
              </w:rPr>
            </w:pPr>
            <w:r>
              <w:rPr>
                <w:rFonts w:hint="eastAsia"/>
              </w:rPr>
              <w:t>2）业绩证明文件包括：业绩合同关键页（至少包括：合同首页、双方签字盖章页、合同签订日期页、供货范围描述页、主要技术参数页）和验收合格证明文件（如：物资验收单或结算发票等能够证明物资验收合格的材料）。未提供业绩证明文件或提供的业绩证明文件无法认定上述业绩要求的，视为无效业绩。</w:t>
            </w:r>
          </w:p>
          <w:p>
            <w:r>
              <w:rPr>
                <w:rFonts w:hint="eastAsia"/>
              </w:rPr>
              <w:t>3）业绩认定时间：以物资验收单签字时间或结算发票开具时间为准；如材料中各方签字日期时间不一致，以最晚签字日期为准。</w:t>
            </w:r>
          </w:p>
        </w:tc>
        <w:tc>
          <w:tcPr>
            <w:tcW w:w="816" w:type="pct"/>
            <w:vAlign w:val="center"/>
          </w:tcPr>
          <w:p>
            <w:pPr>
              <w:jc w:val="center"/>
              <w:rPr>
                <w:rFonts w:hint="eastAsia"/>
                <w:lang w:val="en-US" w:eastAsia="zh-CN"/>
              </w:rPr>
            </w:pPr>
            <w:r>
              <w:rPr>
                <w:rFonts w:hint="eastAsia"/>
              </w:rPr>
              <w:t>业绩1：</w:t>
            </w:r>
            <w:r>
              <w:rPr>
                <w:rFonts w:hint="eastAsia"/>
                <w:lang w:val="en-US" w:eastAsia="zh-CN"/>
              </w:rPr>
              <w:t>煤炭分质利用制化工新材料示范项目一期180万吨/年乙二醇工程质量监督检验中心高纯气及标准气采购合同</w:t>
            </w:r>
          </w:p>
          <w:p>
            <w:pPr>
              <w:jc w:val="center"/>
              <w:rPr>
                <w:rFonts w:hint="eastAsia"/>
                <w:lang w:val="en-US" w:eastAsia="zh-CN"/>
              </w:rPr>
            </w:pPr>
            <w:r>
              <w:rPr>
                <w:rFonts w:hint="eastAsia"/>
              </w:rPr>
              <w:t>业绩</w:t>
            </w:r>
            <w:r>
              <w:t>2</w:t>
            </w:r>
            <w:r>
              <w:rPr>
                <w:rFonts w:hint="eastAsia"/>
              </w:rPr>
              <w:t>：</w:t>
            </w:r>
            <w:r>
              <w:rPr>
                <w:rFonts w:hint="eastAsia"/>
                <w:lang w:val="en-US" w:eastAsia="zh-CN"/>
              </w:rPr>
              <w:t>标气、标液一批买卖合同</w:t>
            </w:r>
          </w:p>
          <w:p>
            <w:pPr>
              <w:jc w:val="center"/>
              <w:rPr>
                <w:rFonts w:hint="default" w:eastAsiaTheme="minorEastAsia"/>
                <w:lang w:val="en-US" w:eastAsia="zh-CN"/>
              </w:rPr>
            </w:pPr>
            <w:r>
              <w:rPr>
                <w:rFonts w:hint="eastAsia"/>
              </w:rPr>
              <w:t>业绩</w:t>
            </w:r>
            <w:r>
              <w:t>3</w:t>
            </w:r>
            <w:r>
              <w:rPr>
                <w:rFonts w:hint="eastAsia"/>
              </w:rPr>
              <w:t>：</w:t>
            </w:r>
            <w:r>
              <w:rPr>
                <w:rFonts w:hint="eastAsia"/>
                <w:lang w:val="en-US" w:eastAsia="zh-CN"/>
              </w:rPr>
              <w:t>全厂气体采购采购订单</w:t>
            </w:r>
          </w:p>
          <w:p>
            <w:pPr>
              <w:jc w:val="center"/>
            </w:pPr>
          </w:p>
          <w:p>
            <w:pPr>
              <w:jc w:val="center"/>
              <w:rPr>
                <w:rFonts w:hint="eastAsia"/>
              </w:rPr>
            </w:pPr>
          </w:p>
          <w:p>
            <w:pPr>
              <w:jc w:val="center"/>
              <w:rPr>
                <w:rFonts w:hint="eastAsia"/>
              </w:rPr>
            </w:pPr>
            <w:r>
              <w:rPr>
                <w:rFonts w:hint="eastAsia"/>
              </w:rPr>
              <w:t>符合</w:t>
            </w:r>
          </w:p>
        </w:tc>
        <w:tc>
          <w:tcPr>
            <w:tcW w:w="786" w:type="pct"/>
            <w:vAlign w:val="center"/>
          </w:tcPr>
          <w:p>
            <w:pPr>
              <w:jc w:val="center"/>
              <w:rPr>
                <w:rFonts w:hint="eastAsia"/>
                <w:lang w:val="en-US" w:eastAsia="zh-CN"/>
              </w:rPr>
            </w:pPr>
            <w:r>
              <w:rPr>
                <w:rFonts w:hint="eastAsia"/>
              </w:rPr>
              <w:t>业绩1：</w:t>
            </w:r>
            <w:r>
              <w:rPr>
                <w:rFonts w:hint="eastAsia"/>
                <w:lang w:val="en-US" w:eastAsia="zh-CN"/>
              </w:rPr>
              <w:t>气体购销合同（新疆力源）</w:t>
            </w:r>
          </w:p>
          <w:p>
            <w:pPr>
              <w:jc w:val="center"/>
              <w:rPr>
                <w:rFonts w:hint="eastAsia" w:eastAsiaTheme="minorEastAsia"/>
                <w:lang w:eastAsia="zh-CN"/>
              </w:rPr>
            </w:pPr>
            <w:r>
              <w:rPr>
                <w:rFonts w:hint="eastAsia"/>
              </w:rPr>
              <w:t>业绩</w:t>
            </w:r>
            <w:r>
              <w:t>2</w:t>
            </w:r>
            <w:r>
              <w:rPr>
                <w:rFonts w:hint="eastAsia"/>
              </w:rPr>
              <w:t>：</w:t>
            </w:r>
            <w:r>
              <w:rPr>
                <w:rFonts w:hint="eastAsia"/>
                <w:lang w:val="en-US" w:eastAsia="zh-CN"/>
              </w:rPr>
              <w:t>购销合同（呼和浩特中燃）</w:t>
            </w:r>
          </w:p>
          <w:p>
            <w:pPr>
              <w:jc w:val="center"/>
            </w:pPr>
          </w:p>
          <w:p>
            <w:pPr>
              <w:jc w:val="center"/>
            </w:pPr>
          </w:p>
          <w:p>
            <w:pPr>
              <w:jc w:val="center"/>
              <w:rPr>
                <w:rFonts w:hint="eastAsia"/>
              </w:rPr>
            </w:pPr>
          </w:p>
          <w:p>
            <w:pPr>
              <w:jc w:val="center"/>
              <w:rPr>
                <w:rFonts w:hint="eastAsia"/>
              </w:rPr>
            </w:pPr>
            <w:r>
              <w:rPr>
                <w:rFonts w:hint="eastAsia"/>
              </w:rPr>
              <w:t>符合</w:t>
            </w:r>
          </w:p>
        </w:tc>
        <w:tc>
          <w:tcPr>
            <w:tcW w:w="775" w:type="pct"/>
            <w:vAlign w:val="center"/>
          </w:tcPr>
          <w:p>
            <w:pPr>
              <w:jc w:val="center"/>
              <w:rPr>
                <w:rFonts w:hint="eastAsia"/>
              </w:rPr>
            </w:pPr>
            <w:r>
              <w:rPr>
                <w:rFonts w:hint="eastAsia"/>
              </w:rPr>
              <w:t>业绩1：</w:t>
            </w:r>
            <w:r>
              <w:rPr>
                <w:rFonts w:hint="eastAsia"/>
                <w:lang w:val="en-US" w:eastAsia="zh-CN"/>
              </w:rPr>
              <w:t>2024年常用高 纯气体，标准气体（上海管网）</w:t>
            </w: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rPr>
                <w:rFonts w:hint="eastAsia"/>
              </w:rPr>
            </w:pPr>
            <w:r>
              <w:rPr>
                <w:rFonts w:hint="eastAsia"/>
              </w:rPr>
              <w:t>符合</w:t>
            </w:r>
          </w:p>
        </w:tc>
        <w:tc>
          <w:tcPr>
            <w:tcW w:w="759" w:type="pct"/>
            <w:vAlign w:val="center"/>
          </w:tcPr>
          <w:p>
            <w:pPr>
              <w:jc w:val="center"/>
              <w:rPr>
                <w:rFonts w:hint="default" w:eastAsiaTheme="minorEastAsia"/>
                <w:lang w:val="en-US" w:eastAsia="zh-CN"/>
              </w:rPr>
            </w:pPr>
            <w:r>
              <w:rPr>
                <w:rFonts w:hint="eastAsia"/>
              </w:rPr>
              <w:t>业绩</w:t>
            </w:r>
            <w:r>
              <w:rPr>
                <w:rFonts w:hint="eastAsia"/>
                <w:lang w:val="en-US" w:eastAsia="zh-CN"/>
              </w:rPr>
              <w:t>3</w:t>
            </w:r>
            <w:r>
              <w:rPr>
                <w:rFonts w:hint="eastAsia"/>
              </w:rPr>
              <w:t>：</w:t>
            </w:r>
            <w:r>
              <w:rPr>
                <w:rFonts w:hint="eastAsia"/>
                <w:lang w:val="en-US" w:eastAsia="zh-CN"/>
              </w:rPr>
              <w:t>工业买卖合同（山东汇丰石化）</w:t>
            </w:r>
          </w:p>
          <w:p>
            <w:pPr>
              <w:jc w:val="center"/>
            </w:pPr>
          </w:p>
          <w:p>
            <w:pPr>
              <w:jc w:val="center"/>
            </w:pPr>
          </w:p>
          <w:p>
            <w:pPr>
              <w:jc w:val="center"/>
              <w:rPr>
                <w:rFonts w:hint="eastAsia"/>
              </w:rPr>
            </w:pPr>
          </w:p>
          <w:p>
            <w:pPr>
              <w:jc w:val="center"/>
              <w:rPr>
                <w:rFonts w:hint="eastAsia"/>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5" w:type="pct"/>
            <w:shd w:val="clear" w:color="auto" w:fill="auto"/>
            <w:vAlign w:val="center"/>
          </w:tcPr>
          <w:p>
            <w:pPr>
              <w:rPr>
                <w:rFonts w:hint="default" w:eastAsiaTheme="minorEastAsia"/>
                <w:lang w:val="en-US" w:eastAsia="zh-CN"/>
              </w:rPr>
            </w:pPr>
            <w:r>
              <w:rPr>
                <w:rFonts w:hint="eastAsia"/>
                <w:lang w:val="en-US" w:eastAsia="zh-CN"/>
              </w:rPr>
              <w:t>资质证书</w:t>
            </w:r>
          </w:p>
        </w:tc>
        <w:tc>
          <w:tcPr>
            <w:tcW w:w="1646" w:type="pct"/>
            <w:shd w:val="clear" w:color="auto" w:fill="auto"/>
          </w:tcPr>
          <w:p>
            <w:r>
              <w:rPr>
                <w:rFonts w:hint="eastAsia"/>
              </w:rPr>
              <w:t>应答人为制造商的，提供应答人的危险化学品经营许可证、国家标准物质定级证书和气瓶充装许可证；应答人为贸易商的，提供应答人的危险化学品经营许可证，及采购标的制造商的国家标准物质定级证书和气瓶充装许可证。以上证书均须在有效期内。</w:t>
            </w:r>
          </w:p>
        </w:tc>
        <w:tc>
          <w:tcPr>
            <w:tcW w:w="816" w:type="pct"/>
            <w:vAlign w:val="center"/>
          </w:tcPr>
          <w:p>
            <w:pPr>
              <w:jc w:val="center"/>
              <w:rPr>
                <w:rFonts w:hint="eastAsia"/>
                <w:lang w:val="en-US" w:eastAsia="zh-CN"/>
              </w:rPr>
            </w:pPr>
            <w:r>
              <w:rPr>
                <w:rFonts w:hint="eastAsia"/>
              </w:rPr>
              <w:t>危险化学品经营许可证</w:t>
            </w:r>
            <w:r>
              <w:rPr>
                <w:rFonts w:hint="eastAsia"/>
                <w:lang w:val="en-US" w:eastAsia="zh-CN"/>
              </w:rPr>
              <w:t>有效</w:t>
            </w:r>
            <w:r>
              <w:rPr>
                <w:rFonts w:hint="eastAsia"/>
              </w:rPr>
              <w:t>、国家标准物质定级证书</w:t>
            </w:r>
            <w:r>
              <w:rPr>
                <w:rFonts w:hint="eastAsia"/>
                <w:lang w:val="en-US" w:eastAsia="zh-CN"/>
              </w:rPr>
              <w:t>有效、</w:t>
            </w:r>
            <w:r>
              <w:rPr>
                <w:rFonts w:hint="eastAsia"/>
              </w:rPr>
              <w:t>气瓶充装许可证</w:t>
            </w:r>
            <w:r>
              <w:rPr>
                <w:rFonts w:hint="eastAsia"/>
                <w:lang w:val="en-US" w:eastAsia="zh-CN"/>
              </w:rPr>
              <w:t>有效</w:t>
            </w:r>
          </w:p>
          <w:p>
            <w:pPr>
              <w:jc w:val="center"/>
            </w:pPr>
            <w:r>
              <w:rPr>
                <w:rFonts w:hint="eastAsia"/>
              </w:rPr>
              <w:t>符合</w:t>
            </w:r>
          </w:p>
        </w:tc>
        <w:tc>
          <w:tcPr>
            <w:tcW w:w="786" w:type="pct"/>
            <w:vAlign w:val="center"/>
          </w:tcPr>
          <w:p>
            <w:pPr>
              <w:jc w:val="center"/>
              <w:rPr>
                <w:rFonts w:hint="eastAsia"/>
                <w:lang w:val="en-US" w:eastAsia="zh-CN"/>
              </w:rPr>
            </w:pPr>
            <w:r>
              <w:rPr>
                <w:rFonts w:hint="eastAsia"/>
              </w:rPr>
              <w:t>危险化学品经营许可证</w:t>
            </w:r>
            <w:r>
              <w:rPr>
                <w:rFonts w:hint="eastAsia"/>
                <w:lang w:val="en-US" w:eastAsia="zh-CN"/>
              </w:rPr>
              <w:t>有效</w:t>
            </w:r>
            <w:r>
              <w:rPr>
                <w:rFonts w:hint="eastAsia"/>
              </w:rPr>
              <w:t>、国家标准物质定级证书</w:t>
            </w:r>
            <w:r>
              <w:rPr>
                <w:rFonts w:hint="eastAsia"/>
                <w:lang w:val="en-US" w:eastAsia="zh-CN"/>
              </w:rPr>
              <w:t>有效、</w:t>
            </w:r>
            <w:r>
              <w:rPr>
                <w:rFonts w:hint="eastAsia"/>
              </w:rPr>
              <w:t>气瓶充装许可证</w:t>
            </w:r>
            <w:r>
              <w:rPr>
                <w:rFonts w:hint="eastAsia"/>
                <w:lang w:val="en-US" w:eastAsia="zh-CN"/>
              </w:rPr>
              <w:t>有效</w:t>
            </w:r>
          </w:p>
          <w:p>
            <w:pPr>
              <w:jc w:val="center"/>
              <w:rPr>
                <w:rFonts w:hint="default"/>
                <w:lang w:val="en-US" w:eastAsia="zh-CN"/>
              </w:rPr>
            </w:pPr>
            <w:r>
              <w:rPr>
                <w:rFonts w:hint="eastAsia"/>
                <w:lang w:val="en-US" w:eastAsia="zh-CN"/>
              </w:rPr>
              <w:t>符合</w:t>
            </w:r>
          </w:p>
        </w:tc>
        <w:tc>
          <w:tcPr>
            <w:tcW w:w="775" w:type="pct"/>
            <w:vAlign w:val="center"/>
          </w:tcPr>
          <w:p>
            <w:pPr>
              <w:jc w:val="center"/>
              <w:rPr>
                <w:rFonts w:hint="eastAsia"/>
                <w:lang w:val="en-US" w:eastAsia="zh-CN"/>
              </w:rPr>
            </w:pPr>
            <w:r>
              <w:rPr>
                <w:rFonts w:hint="eastAsia"/>
              </w:rPr>
              <w:t>危险化学品经营许可证</w:t>
            </w:r>
            <w:r>
              <w:rPr>
                <w:rFonts w:hint="eastAsia"/>
                <w:lang w:val="en-US" w:eastAsia="zh-CN"/>
              </w:rPr>
              <w:t>有效</w:t>
            </w:r>
            <w:r>
              <w:rPr>
                <w:rFonts w:hint="eastAsia"/>
              </w:rPr>
              <w:t>、国家标准物质定级证书</w:t>
            </w:r>
            <w:r>
              <w:rPr>
                <w:rFonts w:hint="eastAsia"/>
                <w:lang w:val="en-US" w:eastAsia="zh-CN"/>
              </w:rPr>
              <w:t>有效、</w:t>
            </w:r>
            <w:r>
              <w:rPr>
                <w:rFonts w:hint="eastAsia"/>
              </w:rPr>
              <w:t>气瓶充装许可证</w:t>
            </w:r>
            <w:r>
              <w:rPr>
                <w:rFonts w:hint="eastAsia"/>
                <w:lang w:val="en-US" w:eastAsia="zh-CN"/>
              </w:rPr>
              <w:t>有效</w:t>
            </w:r>
          </w:p>
          <w:p>
            <w:pPr>
              <w:jc w:val="center"/>
              <w:rPr>
                <w:rFonts w:hint="default"/>
                <w:lang w:val="en-US" w:eastAsia="zh-CN"/>
              </w:rPr>
            </w:pPr>
            <w:r>
              <w:rPr>
                <w:rFonts w:hint="eastAsia"/>
                <w:lang w:val="en-US" w:eastAsia="zh-CN"/>
              </w:rPr>
              <w:t>符合</w:t>
            </w:r>
          </w:p>
        </w:tc>
        <w:tc>
          <w:tcPr>
            <w:tcW w:w="759" w:type="pct"/>
            <w:vAlign w:val="center"/>
          </w:tcPr>
          <w:p>
            <w:pPr>
              <w:jc w:val="center"/>
              <w:rPr>
                <w:rFonts w:hint="eastAsia"/>
                <w:lang w:val="en-US" w:eastAsia="zh-CN"/>
              </w:rPr>
            </w:pPr>
            <w:r>
              <w:rPr>
                <w:rFonts w:hint="eastAsia"/>
              </w:rPr>
              <w:t>危险化学品经营许可证</w:t>
            </w:r>
            <w:r>
              <w:rPr>
                <w:rFonts w:hint="eastAsia"/>
                <w:lang w:val="en-US" w:eastAsia="zh-CN"/>
              </w:rPr>
              <w:t>有效</w:t>
            </w:r>
            <w:r>
              <w:rPr>
                <w:rFonts w:hint="eastAsia"/>
              </w:rPr>
              <w:t>、国家标准物质定级证书</w:t>
            </w:r>
            <w:r>
              <w:rPr>
                <w:rFonts w:hint="eastAsia"/>
                <w:lang w:val="en-US" w:eastAsia="zh-CN"/>
              </w:rPr>
              <w:t>有效、</w:t>
            </w:r>
            <w:r>
              <w:rPr>
                <w:rFonts w:hint="eastAsia"/>
              </w:rPr>
              <w:t>气瓶充装许可证</w:t>
            </w:r>
            <w:r>
              <w:rPr>
                <w:rFonts w:hint="eastAsia"/>
                <w:lang w:val="en-US" w:eastAsia="zh-CN"/>
              </w:rPr>
              <w:t>有效</w:t>
            </w:r>
          </w:p>
          <w:p>
            <w:pPr>
              <w:jc w:val="center"/>
              <w:rPr>
                <w:rFonts w:hint="default"/>
                <w:lang w:val="en-US" w:eastAsia="zh-CN"/>
              </w:rPr>
            </w:pPr>
            <w:r>
              <w:rPr>
                <w:rFonts w:hint="eastAsia"/>
                <w:lang w:val="en-US" w:eastAsia="zh-CN"/>
              </w:rPr>
              <w:t>符合</w:t>
            </w:r>
          </w:p>
        </w:tc>
      </w:tr>
    </w:tbl>
    <w:p>
      <w:pPr>
        <w:widowControl/>
        <w:jc w:val="left"/>
      </w:pPr>
      <w:bookmarkStart w:id="0" w:name="_GoBack"/>
      <w:bookmarkEnd w:id="0"/>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C6E"/>
    <w:rsid w:val="000244E0"/>
    <w:rsid w:val="0003294F"/>
    <w:rsid w:val="00083947"/>
    <w:rsid w:val="000E6E70"/>
    <w:rsid w:val="000F1B70"/>
    <w:rsid w:val="000F3D68"/>
    <w:rsid w:val="00104E85"/>
    <w:rsid w:val="001515A6"/>
    <w:rsid w:val="001D258F"/>
    <w:rsid w:val="00211A1B"/>
    <w:rsid w:val="002563B3"/>
    <w:rsid w:val="002764AA"/>
    <w:rsid w:val="00280E6E"/>
    <w:rsid w:val="00311337"/>
    <w:rsid w:val="0035436B"/>
    <w:rsid w:val="00361BDB"/>
    <w:rsid w:val="00377CFA"/>
    <w:rsid w:val="003B3CAC"/>
    <w:rsid w:val="003C49A9"/>
    <w:rsid w:val="00470789"/>
    <w:rsid w:val="0047080B"/>
    <w:rsid w:val="004D6334"/>
    <w:rsid w:val="004E7667"/>
    <w:rsid w:val="00516671"/>
    <w:rsid w:val="0054707A"/>
    <w:rsid w:val="00551364"/>
    <w:rsid w:val="00554F64"/>
    <w:rsid w:val="00637083"/>
    <w:rsid w:val="00641231"/>
    <w:rsid w:val="00665BDF"/>
    <w:rsid w:val="00667BAE"/>
    <w:rsid w:val="006C1844"/>
    <w:rsid w:val="006F4FAB"/>
    <w:rsid w:val="007134CD"/>
    <w:rsid w:val="00725606"/>
    <w:rsid w:val="00771303"/>
    <w:rsid w:val="008C16F9"/>
    <w:rsid w:val="008E34FA"/>
    <w:rsid w:val="00910894"/>
    <w:rsid w:val="00920B24"/>
    <w:rsid w:val="00965C2C"/>
    <w:rsid w:val="0096663B"/>
    <w:rsid w:val="00993120"/>
    <w:rsid w:val="00A151F5"/>
    <w:rsid w:val="00A661AE"/>
    <w:rsid w:val="00A66A92"/>
    <w:rsid w:val="00A87064"/>
    <w:rsid w:val="00AA0C6E"/>
    <w:rsid w:val="00AA20E7"/>
    <w:rsid w:val="00B3259D"/>
    <w:rsid w:val="00B847E9"/>
    <w:rsid w:val="00B87085"/>
    <w:rsid w:val="00BE2154"/>
    <w:rsid w:val="00BE3605"/>
    <w:rsid w:val="00BF4101"/>
    <w:rsid w:val="00C40714"/>
    <w:rsid w:val="00C65620"/>
    <w:rsid w:val="00CB211E"/>
    <w:rsid w:val="00D12BE2"/>
    <w:rsid w:val="00D136EB"/>
    <w:rsid w:val="00D14478"/>
    <w:rsid w:val="00D60FF6"/>
    <w:rsid w:val="00D64A75"/>
    <w:rsid w:val="00D71432"/>
    <w:rsid w:val="00D832CA"/>
    <w:rsid w:val="00D9039C"/>
    <w:rsid w:val="00D969FD"/>
    <w:rsid w:val="00E010EA"/>
    <w:rsid w:val="00E22419"/>
    <w:rsid w:val="00E236AF"/>
    <w:rsid w:val="00E41F61"/>
    <w:rsid w:val="00E93285"/>
    <w:rsid w:val="00EE4B70"/>
    <w:rsid w:val="00EF352D"/>
    <w:rsid w:val="00EF5F1D"/>
    <w:rsid w:val="00F20974"/>
    <w:rsid w:val="00F24726"/>
    <w:rsid w:val="00F404CE"/>
    <w:rsid w:val="00F4614B"/>
    <w:rsid w:val="00F61384"/>
    <w:rsid w:val="00F64A5D"/>
    <w:rsid w:val="05D94925"/>
    <w:rsid w:val="088A21C3"/>
    <w:rsid w:val="08F1073B"/>
    <w:rsid w:val="0DBE4B1B"/>
    <w:rsid w:val="19AF0CB4"/>
    <w:rsid w:val="19E436B3"/>
    <w:rsid w:val="1A7E0088"/>
    <w:rsid w:val="2254593D"/>
    <w:rsid w:val="235D6E11"/>
    <w:rsid w:val="23C70A3F"/>
    <w:rsid w:val="295A1365"/>
    <w:rsid w:val="2F544EB3"/>
    <w:rsid w:val="2F552934"/>
    <w:rsid w:val="318B352E"/>
    <w:rsid w:val="3204001F"/>
    <w:rsid w:val="341D288D"/>
    <w:rsid w:val="3665184D"/>
    <w:rsid w:val="401279AA"/>
    <w:rsid w:val="42284AFD"/>
    <w:rsid w:val="434A00C3"/>
    <w:rsid w:val="497004A9"/>
    <w:rsid w:val="4CB8016E"/>
    <w:rsid w:val="60457581"/>
    <w:rsid w:val="60AE372D"/>
    <w:rsid w:val="63841BD1"/>
    <w:rsid w:val="6A3B4BD9"/>
    <w:rsid w:val="6AB22299"/>
    <w:rsid w:val="6E51148A"/>
    <w:rsid w:val="6EBA5637"/>
    <w:rsid w:val="72A02D9E"/>
    <w:rsid w:val="73E82D35"/>
    <w:rsid w:val="75845FDA"/>
    <w:rsid w:val="75E572F8"/>
    <w:rsid w:val="7C4C347A"/>
    <w:rsid w:val="7D6342C7"/>
    <w:rsid w:val="7DC73FEB"/>
    <w:rsid w:val="7DC81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unhideWhenUsed/>
    <w:qFormat/>
    <w:uiPriority w:val="99"/>
    <w:pPr>
      <w:ind w:firstLine="200" w:firstLineChars="200"/>
    </w:pPr>
    <w:rPr>
      <w:rFonts w:ascii="Microsoft YaHei UI" w:hAnsi="Microsoft YaHei UI" w:eastAsia="Microsoft YaHei UI" w:cs="Times New Roman"/>
      <w:kern w:val="0"/>
      <w:szCs w:val="21"/>
    </w:rPr>
  </w:style>
  <w:style w:type="paragraph" w:styleId="3">
    <w:name w:val="Body Text Indent"/>
    <w:basedOn w:val="1"/>
    <w:link w:val="15"/>
    <w:semiHidden/>
    <w:unhideWhenUsed/>
    <w:qFormat/>
    <w:uiPriority w:val="99"/>
    <w:pPr>
      <w:spacing w:after="120"/>
      <w:ind w:left="420" w:leftChars="20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link w:val="16"/>
    <w:semiHidden/>
    <w:unhideWhenUsed/>
    <w:qFormat/>
    <w:uiPriority w:val="99"/>
    <w:pPr>
      <w:ind w:firstLine="420" w:firstLineChars="200"/>
    </w:p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正文文本 字符"/>
    <w:basedOn w:val="9"/>
    <w:link w:val="2"/>
    <w:qFormat/>
    <w:uiPriority w:val="99"/>
    <w:rPr>
      <w:rFonts w:ascii="Microsoft YaHei UI" w:hAnsi="Microsoft YaHei UI" w:eastAsia="Microsoft YaHei UI" w:cs="Times New Roman"/>
      <w:kern w:val="0"/>
      <w:szCs w:val="21"/>
    </w:rPr>
  </w:style>
  <w:style w:type="character" w:customStyle="1" w:styleId="12">
    <w:name w:val="页眉 字符"/>
    <w:basedOn w:val="9"/>
    <w:link w:val="5"/>
    <w:uiPriority w:val="99"/>
    <w:rPr>
      <w:sz w:val="18"/>
      <w:szCs w:val="18"/>
    </w:rPr>
  </w:style>
  <w:style w:type="character" w:customStyle="1" w:styleId="13">
    <w:name w:val="页脚 字符"/>
    <w:basedOn w:val="9"/>
    <w:link w:val="4"/>
    <w:qFormat/>
    <w:uiPriority w:val="99"/>
    <w:rPr>
      <w:sz w:val="18"/>
      <w:szCs w:val="18"/>
    </w:rPr>
  </w:style>
  <w:style w:type="paragraph" w:customStyle="1" w:styleId="14">
    <w:name w:val="正文_1"/>
    <w:next w:val="6"/>
    <w:qFormat/>
    <w:uiPriority w:val="0"/>
    <w:pPr>
      <w:widowControl w:val="0"/>
      <w:jc w:val="both"/>
    </w:pPr>
    <w:rPr>
      <w:rFonts w:ascii="Calibri" w:hAnsi="Calibri" w:eastAsia="宋体" w:cs="宋体"/>
      <w:kern w:val="2"/>
      <w:sz w:val="21"/>
      <w:szCs w:val="22"/>
      <w:lang w:val="en-US" w:eastAsia="zh-CN" w:bidi="ar-SA"/>
    </w:rPr>
  </w:style>
  <w:style w:type="character" w:customStyle="1" w:styleId="15">
    <w:name w:val="正文文本缩进 字符"/>
    <w:basedOn w:val="9"/>
    <w:link w:val="3"/>
    <w:semiHidden/>
    <w:uiPriority w:val="99"/>
  </w:style>
  <w:style w:type="character" w:customStyle="1" w:styleId="16">
    <w:name w:val="正文文本首行缩进 2 字符"/>
    <w:basedOn w:val="15"/>
    <w:link w:val="6"/>
    <w:semiHidden/>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206</Words>
  <Characters>1180</Characters>
  <Lines>9</Lines>
  <Paragraphs>2</Paragraphs>
  <TotalTime>3</TotalTime>
  <ScaleCrop>false</ScaleCrop>
  <LinksUpToDate>false</LinksUpToDate>
  <CharactersWithSpaces>1384</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2023-02-13T14:28:00Z</dcterms:created>
  <dc:creator>Microsoft</dc:creator>
  <cp:lastModifiedBy>刘均辉</cp:lastModifiedBy>
  <dcterms:modified xsi:type="dcterms:W3CDTF">2024-12-21T06:50:07Z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B25A49954AEE4C1C8552B1195F376307</vt:lpwstr>
  </property>
</Properties>
</file>