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
        <w:rPr>
          <w:rFonts w:hint="eastAsia" w:ascii="仿宋" w:hAnsi="仿宋" w:eastAsia="仿宋" w:cs="仿宋"/>
          <w:sz w:val="24"/>
          <w:szCs w:val="24"/>
          <w:highlight w:val="none"/>
        </w:rPr>
      </w:pPr>
    </w:p>
    <w:p>
      <w:pPr>
        <w:pStyle w:val="36"/>
        <w:rPr>
          <w:rFonts w:hint="eastAsia" w:ascii="仿宋" w:hAnsi="仿宋" w:eastAsia="仿宋" w:cs="仿宋"/>
          <w:sz w:val="24"/>
          <w:szCs w:val="24"/>
          <w:highlight w:val="none"/>
        </w:rPr>
      </w:pPr>
    </w:p>
    <w:p>
      <w:pPr>
        <w:pStyle w:val="20"/>
        <w:rPr>
          <w:rFonts w:hint="eastAsia" w:ascii="仿宋" w:hAnsi="仿宋" w:eastAsia="仿宋" w:cs="仿宋"/>
          <w:highlight w:val="none"/>
        </w:rPr>
      </w:pPr>
    </w:p>
    <w:p>
      <w:pPr>
        <w:spacing w:after="120"/>
        <w:ind w:left="420" w:leftChars="200"/>
        <w:rPr>
          <w:rFonts w:hint="eastAsia" w:ascii="仿宋" w:hAnsi="仿宋" w:eastAsia="仿宋" w:cs="仿宋"/>
          <w:kern w:val="0"/>
          <w:sz w:val="24"/>
          <w:highlight w:val="none"/>
        </w:rPr>
      </w:pPr>
      <w:r>
        <w:rPr>
          <w:rFonts w:hint="eastAsia" w:ascii="仿宋" w:hAnsi="仿宋" w:eastAsia="仿宋" w:cs="仿宋"/>
          <w:kern w:val="0"/>
          <w:sz w:val="24"/>
          <w:highlight w:val="none"/>
        </w:rPr>
        <w:object>
          <v:shape id="_x0000_i1025" o:spt="75" type="#_x0000_t75" style="height:90.75pt;width:100.5pt;" o:ole="t" filled="f" o:preferrelative="t" stroked="f" coordsize="21600,21600">
            <v:path/>
            <v:fill on="f" focussize="0,0"/>
            <v:stroke on="f" joinstyle="miter"/>
            <v:imagedata r:id="rId7" cropleft="-2204f" croptop="-1811f" cropright="-2204f" cropbottom="-1811f" o:title=""/>
            <o:lock v:ext="edit" aspectratio="t"/>
            <w10:wrap type="none"/>
            <w10:anchorlock/>
          </v:shape>
          <o:OLEObject Type="Embed" ProgID="MSDraw" ShapeID="_x0000_i1025" DrawAspect="Content" ObjectID="_1468075725" r:id="rId6">
            <o:LockedField>false</o:LockedField>
          </o:OLEObject>
        </w:object>
      </w:r>
    </w:p>
    <w:p>
      <w:pPr>
        <w:pStyle w:val="20"/>
        <w:rPr>
          <w:rFonts w:hint="eastAsia"/>
        </w:rPr>
      </w:pPr>
    </w:p>
    <w:p>
      <w:pPr>
        <w:pStyle w:val="2"/>
        <w:rPr>
          <w:rFonts w:hint="eastAsia" w:ascii="仿宋" w:hAnsi="仿宋" w:eastAsia="仿宋" w:cs="仿宋"/>
          <w:highlight w:val="none"/>
        </w:rPr>
      </w:pPr>
    </w:p>
    <w:p>
      <w:pPr>
        <w:spacing w:line="360" w:lineRule="auto"/>
        <w:ind w:left="210" w:leftChars="100"/>
        <w:jc w:val="center"/>
        <w:rPr>
          <w:rFonts w:hint="eastAsia" w:ascii="仿宋" w:hAnsi="仿宋" w:eastAsia="仿宋" w:cs="仿宋"/>
          <w:b/>
          <w:bCs/>
          <w:sz w:val="48"/>
          <w:szCs w:val="48"/>
          <w:highlight w:val="none"/>
        </w:rPr>
      </w:pPr>
    </w:p>
    <w:p>
      <w:pPr>
        <w:spacing w:line="360" w:lineRule="auto"/>
        <w:ind w:right="-82" w:rightChars="-39" w:firstLine="308" w:firstLineChars="64"/>
        <w:jc w:val="center"/>
        <w:rPr>
          <w:rFonts w:hint="eastAsia" w:ascii="仿宋" w:hAnsi="仿宋" w:eastAsia="仿宋" w:cs="仿宋"/>
          <w:b/>
          <w:bCs/>
          <w:sz w:val="48"/>
          <w:szCs w:val="48"/>
          <w:highlight w:val="none"/>
        </w:rPr>
      </w:pPr>
      <w:r>
        <w:rPr>
          <w:rFonts w:hint="eastAsia" w:ascii="仿宋" w:hAnsi="仿宋" w:eastAsia="仿宋" w:cs="仿宋"/>
          <w:b/>
          <w:bCs/>
          <w:sz w:val="48"/>
          <w:szCs w:val="48"/>
          <w:highlight w:val="none"/>
          <w:u w:val="single"/>
          <w:lang w:val="en-US" w:eastAsia="zh-CN"/>
        </w:rPr>
        <w:t>工技公司南港建设项目地震安全性评价项目</w:t>
      </w:r>
      <w:r>
        <w:rPr>
          <w:rFonts w:hint="eastAsia" w:ascii="仿宋" w:hAnsi="仿宋" w:eastAsia="仿宋" w:cs="仿宋"/>
          <w:b/>
          <w:bCs/>
          <w:sz w:val="48"/>
          <w:szCs w:val="48"/>
          <w:highlight w:val="none"/>
        </w:rPr>
        <w:t>服务合同</w:t>
      </w:r>
    </w:p>
    <w:p>
      <w:pPr>
        <w:spacing w:line="360" w:lineRule="auto"/>
        <w:jc w:val="center"/>
        <w:rPr>
          <w:rFonts w:hint="eastAsia" w:ascii="仿宋" w:hAnsi="仿宋" w:eastAsia="仿宋" w:cs="仿宋"/>
          <w:b/>
          <w:sz w:val="24"/>
          <w:highlight w:val="none"/>
        </w:rPr>
      </w:pPr>
    </w:p>
    <w:p>
      <w:pPr>
        <w:pStyle w:val="2"/>
        <w:jc w:val="center"/>
        <w:rPr>
          <w:rFonts w:hint="eastAsia" w:ascii="仿宋" w:hAnsi="仿宋" w:eastAsia="仿宋" w:cs="仿宋"/>
          <w:highlight w:val="none"/>
        </w:rPr>
      </w:pPr>
    </w:p>
    <w:p>
      <w:pPr>
        <w:rPr>
          <w:rFonts w:hint="eastAsia" w:ascii="仿宋" w:hAnsi="仿宋" w:eastAsia="仿宋" w:cs="仿宋"/>
          <w:highlight w:val="none"/>
        </w:rPr>
      </w:pPr>
    </w:p>
    <w:p>
      <w:pPr>
        <w:pStyle w:val="20"/>
        <w:rPr>
          <w:rFonts w:hint="eastAsia"/>
        </w:rPr>
      </w:pPr>
    </w:p>
    <w:p>
      <w:pPr>
        <w:pStyle w:val="2"/>
        <w:rPr>
          <w:rFonts w:hint="eastAsia" w:ascii="仿宋" w:hAnsi="仿宋" w:eastAsia="仿宋" w:cs="仿宋"/>
          <w:highlight w:val="none"/>
        </w:rPr>
      </w:pPr>
    </w:p>
    <w:p>
      <w:pPr>
        <w:rPr>
          <w:rFonts w:hint="eastAsia" w:ascii="仿宋" w:hAnsi="仿宋" w:eastAsia="仿宋" w:cs="仿宋"/>
          <w:highlight w:val="none"/>
        </w:rPr>
      </w:pPr>
    </w:p>
    <w:p>
      <w:pPr>
        <w:spacing w:line="360" w:lineRule="auto"/>
        <w:jc w:val="center"/>
        <w:rPr>
          <w:rFonts w:hint="eastAsia" w:ascii="仿宋" w:hAnsi="仿宋" w:eastAsia="仿宋" w:cs="仿宋"/>
          <w:b/>
          <w:sz w:val="30"/>
          <w:szCs w:val="30"/>
          <w:highlight w:val="none"/>
        </w:rPr>
      </w:pPr>
      <w:r>
        <w:rPr>
          <w:rFonts w:hint="eastAsia" w:ascii="仿宋" w:hAnsi="仿宋" w:eastAsia="仿宋" w:cs="仿宋"/>
          <w:b/>
          <w:sz w:val="30"/>
          <w:szCs w:val="30"/>
          <w:highlight w:val="none"/>
        </w:rPr>
        <w:t>（合同编号：</w:t>
      </w:r>
      <w:r>
        <w:rPr>
          <w:rFonts w:hint="eastAsia" w:ascii="仿宋" w:hAnsi="仿宋" w:eastAsia="仿宋" w:cs="仿宋"/>
          <w:b/>
          <w:sz w:val="30"/>
          <w:szCs w:val="30"/>
          <w:highlight w:val="none"/>
          <w:u w:val="single"/>
          <w:lang w:val="en-US" w:eastAsia="zh-CN"/>
        </w:rPr>
        <w:t xml:space="preserve">             </w:t>
      </w:r>
      <w:r>
        <w:rPr>
          <w:rFonts w:hint="eastAsia" w:ascii="仿宋" w:hAnsi="仿宋" w:eastAsia="仿宋" w:cs="仿宋"/>
          <w:b/>
          <w:sz w:val="30"/>
          <w:szCs w:val="30"/>
          <w:highlight w:val="none"/>
        </w:rPr>
        <w:t>）</w:t>
      </w:r>
    </w:p>
    <w:p>
      <w:pPr>
        <w:spacing w:line="360" w:lineRule="auto"/>
        <w:jc w:val="center"/>
        <w:rPr>
          <w:rFonts w:hint="eastAsia" w:ascii="仿宋" w:hAnsi="仿宋" w:eastAsia="仿宋" w:cs="仿宋"/>
          <w:b/>
          <w:sz w:val="28"/>
          <w:szCs w:val="28"/>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spacing w:line="360" w:lineRule="auto"/>
        <w:rPr>
          <w:rFonts w:hint="eastAsia" w:ascii="仿宋" w:hAnsi="仿宋" w:eastAsia="仿宋" w:cs="仿宋"/>
          <w:b/>
          <w:sz w:val="24"/>
          <w:highlight w:val="none"/>
        </w:rPr>
      </w:pPr>
    </w:p>
    <w:p>
      <w:pPr>
        <w:spacing w:line="360" w:lineRule="auto"/>
        <w:rPr>
          <w:rFonts w:hint="default" w:ascii="仿宋" w:hAnsi="仿宋" w:eastAsia="仿宋" w:cs="仿宋"/>
          <w:b/>
          <w:sz w:val="30"/>
          <w:szCs w:val="30"/>
          <w:highlight w:val="none"/>
          <w:u w:val="single"/>
          <w:lang w:val="en-US" w:eastAsia="zh-CN"/>
        </w:rPr>
      </w:pPr>
      <w:r>
        <w:rPr>
          <w:rFonts w:hint="eastAsia" w:ascii="仿宋" w:hAnsi="仿宋" w:eastAsia="仿宋" w:cs="仿宋"/>
          <w:b/>
          <w:sz w:val="30"/>
          <w:szCs w:val="30"/>
          <w:highlight w:val="none"/>
          <w:u w:val="none"/>
          <w:lang w:val="en-US" w:eastAsia="zh-CN"/>
        </w:rPr>
        <w:t>服务接受方（甲方）：</w:t>
      </w:r>
      <w:r>
        <w:rPr>
          <w:rFonts w:hint="eastAsia" w:ascii="仿宋" w:hAnsi="仿宋" w:eastAsia="仿宋" w:cs="仿宋"/>
          <w:b/>
          <w:sz w:val="30"/>
          <w:szCs w:val="30"/>
          <w:highlight w:val="none"/>
          <w:u w:val="single"/>
          <w:lang w:val="en-US" w:eastAsia="zh-CN"/>
        </w:rPr>
        <w:t xml:space="preserve">  中海油（天津）油田化工有限公司                 </w:t>
      </w:r>
    </w:p>
    <w:p>
      <w:pPr>
        <w:spacing w:line="360" w:lineRule="auto"/>
        <w:rPr>
          <w:rFonts w:hint="eastAsia" w:ascii="仿宋" w:hAnsi="仿宋" w:eastAsia="仿宋" w:cs="仿宋"/>
          <w:b/>
          <w:sz w:val="30"/>
          <w:szCs w:val="30"/>
          <w:highlight w:val="none"/>
          <w:u w:val="single"/>
        </w:rPr>
      </w:pPr>
      <w:r>
        <w:rPr>
          <w:rFonts w:hint="eastAsia" w:ascii="仿宋" w:hAnsi="仿宋" w:eastAsia="仿宋" w:cs="仿宋"/>
          <w:b/>
          <w:sz w:val="30"/>
          <w:szCs w:val="30"/>
          <w:highlight w:val="none"/>
        </w:rPr>
        <w:t>服务提供方（乙方）：</w:t>
      </w:r>
      <w:r>
        <w:rPr>
          <w:rFonts w:hint="eastAsia" w:ascii="仿宋" w:hAnsi="仿宋" w:eastAsia="仿宋" w:cs="仿宋"/>
          <w:b/>
          <w:sz w:val="30"/>
          <w:szCs w:val="30"/>
          <w:highlight w:val="none"/>
          <w:u w:val="single"/>
          <w:lang w:val="en-US" w:eastAsia="zh-CN"/>
        </w:rPr>
        <w:t xml:space="preserve">                                    </w:t>
      </w:r>
    </w:p>
    <w:p>
      <w:pPr>
        <w:spacing w:line="360" w:lineRule="auto"/>
        <w:rPr>
          <w:rFonts w:hint="eastAsia" w:ascii="仿宋" w:hAnsi="仿宋" w:eastAsia="仿宋" w:cs="仿宋"/>
          <w:b/>
          <w:sz w:val="30"/>
          <w:szCs w:val="30"/>
          <w:highlight w:val="none"/>
          <w:u w:val="single"/>
        </w:rPr>
      </w:pPr>
    </w:p>
    <w:p>
      <w:pPr>
        <w:pStyle w:val="2"/>
        <w:rPr>
          <w:rFonts w:hint="eastAsia" w:ascii="仿宋" w:hAnsi="仿宋" w:eastAsia="仿宋" w:cs="仿宋"/>
          <w:highlight w:val="none"/>
        </w:rPr>
      </w:pPr>
    </w:p>
    <w:p>
      <w:pPr>
        <w:rPr>
          <w:rFonts w:hint="eastAsia" w:ascii="仿宋" w:hAnsi="仿宋" w:eastAsia="仿宋" w:cs="仿宋"/>
          <w:highlight w:val="none"/>
        </w:rPr>
      </w:pPr>
    </w:p>
    <w:p>
      <w:pPr>
        <w:pStyle w:val="20"/>
        <w:rPr>
          <w:rFonts w:hint="eastAsia" w:ascii="仿宋" w:hAnsi="仿宋" w:eastAsia="仿宋" w:cs="仿宋"/>
          <w:highlight w:val="none"/>
        </w:rPr>
      </w:pPr>
    </w:p>
    <w:p>
      <w:pPr>
        <w:rPr>
          <w:rFonts w:hint="eastAsia"/>
        </w:rPr>
      </w:pPr>
    </w:p>
    <w:tbl>
      <w:tblPr>
        <w:tblStyle w:val="22"/>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452"/>
        <w:gridCol w:w="4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02" w:type="dxa"/>
            <w:gridSpan w:val="3"/>
            <w:tcBorders>
              <w:top w:val="single" w:color="auto" w:sz="4" w:space="0"/>
              <w:left w:val="single" w:color="auto" w:sz="4" w:space="0"/>
              <w:bottom w:val="double" w:color="auto" w:sz="4" w:space="0"/>
              <w:right w:val="single" w:color="auto" w:sz="4" w:space="0"/>
            </w:tcBorders>
            <w:vAlign w:val="center"/>
          </w:tcPr>
          <w:p>
            <w:pPr>
              <w:keepNext w:val="0"/>
              <w:keepLines w:val="0"/>
              <w:suppressLineNumbers w:val="0"/>
              <w:spacing w:before="0" w:beforeAutospacing="0" w:after="0" w:afterAutospacing="0" w:line="360" w:lineRule="exact"/>
              <w:ind w:left="0" w:right="0" w:firstLine="803"/>
              <w:jc w:val="center"/>
              <w:rPr>
                <w:rFonts w:hint="eastAsia" w:ascii="仿宋" w:hAnsi="仿宋" w:eastAsia="仿宋" w:cs="仿宋"/>
                <w:b/>
                <w:color w:val="000000"/>
                <w:spacing w:val="40"/>
                <w:sz w:val="32"/>
                <w:highlight w:val="none"/>
              </w:rPr>
            </w:pPr>
            <w:r>
              <w:rPr>
                <w:rFonts w:hint="eastAsia" w:ascii="仿宋" w:hAnsi="仿宋" w:eastAsia="仿宋" w:cs="仿宋"/>
                <w:b/>
                <w:color w:val="000000"/>
                <w:spacing w:val="40"/>
                <w:sz w:val="32"/>
                <w:highlight w:val="none"/>
              </w:rPr>
              <w:t>法定代表人证明书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402" w:type="dxa"/>
            <w:gridSpan w:val="3"/>
            <w:tcBorders>
              <w:top w:val="double" w:color="auto" w:sz="4" w:space="0"/>
              <w:left w:val="single" w:color="auto" w:sz="4" w:space="0"/>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b/>
                <w:color w:val="000000"/>
                <w:spacing w:val="40"/>
                <w:szCs w:val="21"/>
                <w:highlight w:val="none"/>
              </w:rPr>
            </w:pP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lang w:val="en-US" w:eastAsia="zh-CN"/>
              </w:rPr>
              <w:t xml:space="preserve"> </w:t>
            </w:r>
            <w:r>
              <w:rPr>
                <w:rFonts w:hint="eastAsia" w:ascii="仿宋" w:hAnsi="仿宋" w:eastAsia="仿宋" w:cs="仿宋"/>
                <w:color w:val="000000"/>
                <w:szCs w:val="21"/>
                <w:highlight w:val="none"/>
              </w:rPr>
              <w:t>同志，现任我单位</w:t>
            </w:r>
            <w:r>
              <w:rPr>
                <w:rFonts w:hint="eastAsia" w:ascii="仿宋" w:hAnsi="仿宋" w:eastAsia="仿宋" w:cs="仿宋"/>
                <w:color w:val="000000"/>
                <w:szCs w:val="21"/>
                <w:highlight w:val="none"/>
                <w:u w:val="single"/>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Cs w:val="21"/>
                <w:highlight w:val="none"/>
                <w:u w:val="single"/>
              </w:rPr>
              <w:t xml:space="preserve"> </w:t>
            </w:r>
            <w:r>
              <w:rPr>
                <w:rFonts w:hint="eastAsia" w:ascii="仿宋" w:hAnsi="仿宋" w:eastAsia="仿宋" w:cs="仿宋"/>
                <w:color w:val="000000"/>
                <w:szCs w:val="21"/>
                <w:highlight w:val="none"/>
              </w:rPr>
              <w:t>职务，为法定代表人，特此证明</w:t>
            </w:r>
            <w:r>
              <w:rPr>
                <w:rFonts w:hint="eastAsia" w:ascii="仿宋" w:hAnsi="仿宋" w:eastAsia="仿宋" w:cs="仿宋"/>
                <w:b/>
                <w:color w:val="000000"/>
                <w:spacing w:val="4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888" w:type="dxa"/>
            <w:tcBorders>
              <w:top w:val="nil"/>
              <w:left w:val="single" w:color="auto" w:sz="4" w:space="0"/>
              <w:bottom w:val="nil"/>
              <w:right w:val="nil"/>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签发日期：</w:t>
            </w:r>
            <w:r>
              <w:rPr>
                <w:rFonts w:hint="eastAsia" w:ascii="仿宋" w:hAnsi="仿宋" w:eastAsia="仿宋" w:cs="仿宋"/>
                <w:b/>
                <w:bCs/>
                <w:color w:val="000000"/>
                <w:szCs w:val="21"/>
                <w:highlight w:val="none"/>
                <w:lang w:val="en-US" w:eastAsia="zh-CN"/>
              </w:rPr>
              <w:t>2024</w:t>
            </w:r>
            <w:r>
              <w:rPr>
                <w:rFonts w:hint="eastAsia" w:ascii="仿宋" w:hAnsi="仿宋" w:eastAsia="仿宋" w:cs="仿宋"/>
                <w:b/>
                <w:bCs/>
                <w:color w:val="000000"/>
                <w:szCs w:val="21"/>
                <w:highlight w:val="none"/>
              </w:rPr>
              <w:t>年</w:t>
            </w:r>
            <w:r>
              <w:rPr>
                <w:rFonts w:hint="eastAsia" w:ascii="仿宋" w:hAnsi="仿宋" w:eastAsia="仿宋" w:cs="仿宋"/>
                <w:b/>
                <w:bCs/>
                <w:color w:val="000000"/>
                <w:szCs w:val="21"/>
                <w:highlight w:val="none"/>
                <w:lang w:val="en-US" w:eastAsia="zh-CN"/>
              </w:rPr>
              <w:t xml:space="preserve">  </w:t>
            </w:r>
            <w:r>
              <w:rPr>
                <w:rFonts w:hint="eastAsia" w:ascii="仿宋" w:hAnsi="仿宋" w:eastAsia="仿宋" w:cs="仿宋"/>
                <w:b/>
                <w:bCs/>
                <w:color w:val="000000"/>
                <w:szCs w:val="21"/>
                <w:highlight w:val="none"/>
              </w:rPr>
              <w:t>月</w:t>
            </w:r>
          </w:p>
        </w:tc>
        <w:tc>
          <w:tcPr>
            <w:tcW w:w="4514" w:type="dxa"/>
            <w:gridSpan w:val="2"/>
            <w:tcBorders>
              <w:top w:val="nil"/>
              <w:left w:val="nil"/>
              <w:bottom w:val="nil"/>
              <w:right w:val="single" w:color="auto" w:sz="4" w:space="0"/>
            </w:tcBorders>
            <w:vAlign w:val="center"/>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单位：</w:t>
            </w:r>
            <w:r>
              <w:rPr>
                <w:rFonts w:hint="eastAsia" w:ascii="仿宋" w:hAnsi="仿宋" w:eastAsia="仿宋" w:cs="仿宋"/>
                <w:color w:val="000000"/>
                <w:szCs w:val="21"/>
                <w:highlight w:val="none"/>
                <w:lang w:val="en-US" w:eastAsia="zh-CN"/>
              </w:rPr>
              <w:t xml:space="preserve"> （</w:t>
            </w:r>
            <w:r>
              <w:rPr>
                <w:rFonts w:hint="eastAsia" w:ascii="仿宋" w:hAnsi="仿宋" w:eastAsia="仿宋" w:cs="仿宋"/>
                <w:color w:val="000000"/>
                <w:szCs w:val="21"/>
                <w:highlight w:val="none"/>
              </w:rPr>
              <w:t>盖章</w:t>
            </w:r>
            <w:r>
              <w:rPr>
                <w:rFonts w:hint="eastAsia" w:ascii="仿宋" w:hAnsi="仿宋" w:eastAsia="仿宋" w:cs="仿宋"/>
                <w:color w:val="00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jc w:val="center"/>
        </w:trPr>
        <w:tc>
          <w:tcPr>
            <w:tcW w:w="8402" w:type="dxa"/>
            <w:gridSpan w:val="3"/>
            <w:tcBorders>
              <w:top w:val="nil"/>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说明：</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1.法定代表人为企事业单位、国家机关、社会团体的主要行政负责人。</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2.内容必须填写真实、清楚，涂改无效，不得转让、买卖。</w:t>
            </w:r>
          </w:p>
          <w:p>
            <w:pPr>
              <w:keepNext w:val="0"/>
              <w:keepLines w:val="0"/>
              <w:suppressLineNumbers w:val="0"/>
              <w:spacing w:before="0" w:beforeAutospacing="0" w:after="0" w:afterAutospacing="0" w:line="360" w:lineRule="exact"/>
              <w:ind w:left="0" w:right="0" w:firstLine="420"/>
              <w:rPr>
                <w:rFonts w:hint="eastAsia" w:ascii="仿宋" w:hAnsi="仿宋" w:eastAsia="仿宋" w:cs="仿宋"/>
                <w:b/>
                <w:color w:val="000000"/>
                <w:spacing w:val="4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402" w:type="dxa"/>
            <w:gridSpan w:val="3"/>
            <w:tcBorders>
              <w:top w:val="single" w:color="auto" w:sz="4" w:space="0"/>
              <w:left w:val="single" w:color="auto" w:sz="4" w:space="0"/>
              <w:bottom w:val="double" w:color="auto" w:sz="4" w:space="0"/>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jc w:val="center"/>
              <w:rPr>
                <w:rFonts w:hint="eastAsia" w:ascii="仿宋" w:hAnsi="仿宋" w:eastAsia="仿宋" w:cs="仿宋"/>
                <w:color w:val="000000"/>
                <w:spacing w:val="40"/>
                <w:sz w:val="32"/>
                <w:highlight w:val="none"/>
              </w:rPr>
            </w:pPr>
            <w:r>
              <w:rPr>
                <w:rFonts w:hint="eastAsia" w:ascii="仿宋" w:hAnsi="仿宋" w:eastAsia="仿宋" w:cs="仿宋"/>
                <w:color w:val="000000"/>
                <w:spacing w:val="40"/>
                <w:sz w:val="32"/>
                <w:highlight w:val="none"/>
              </w:rPr>
              <w:t>法人授权委托证明书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8402" w:type="dxa"/>
            <w:gridSpan w:val="3"/>
            <w:tcBorders>
              <w:top w:val="double" w:color="auto" w:sz="4" w:space="0"/>
              <w:left w:val="single" w:color="auto" w:sz="4" w:space="0"/>
              <w:bottom w:val="nil"/>
              <w:right w:val="single" w:color="auto" w:sz="4" w:space="0"/>
            </w:tcBorders>
            <w:noWrap w:val="0"/>
            <w:vAlign w:val="center"/>
          </w:tcPr>
          <w:p>
            <w:pPr>
              <w:keepNext w:val="0"/>
              <w:keepLines w:val="0"/>
              <w:widowControl/>
              <w:suppressLineNumbers w:val="0"/>
              <w:snapToGrid w:val="0"/>
              <w:spacing w:before="0" w:beforeAutospacing="0" w:after="0" w:afterAutospacing="0" w:line="360" w:lineRule="auto"/>
              <w:ind w:left="0" w:right="0" w:firstLine="420"/>
              <w:jc w:val="left"/>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兹授权</w:t>
            </w:r>
            <w:r>
              <w:rPr>
                <w:rFonts w:hint="eastAsia" w:ascii="仿宋" w:hAnsi="仿宋" w:eastAsia="仿宋" w:cs="仿宋"/>
                <w:color w:val="000000"/>
                <w:sz w:val="21"/>
                <w:szCs w:val="21"/>
                <w:highlight w:val="non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同志（现任我单位</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b/>
                <w:bCs/>
                <w:color w:val="000000"/>
                <w:szCs w:val="21"/>
                <w:highlight w:val="none"/>
                <w:u w:val="single"/>
                <w:lang w:val="en-US" w:eastAsia="zh-CN"/>
              </w:rPr>
              <w:t xml:space="preserve">   </w:t>
            </w:r>
            <w:r>
              <w:rPr>
                <w:rFonts w:hint="eastAsia" w:ascii="仿宋" w:hAnsi="仿宋" w:eastAsia="仿宋" w:cs="仿宋"/>
                <w:color w:val="000000"/>
                <w:sz w:val="21"/>
                <w:szCs w:val="21"/>
                <w:highlight w:val="none"/>
                <w:u w:val="single"/>
                <w:lang w:val="en-US" w:eastAsia="zh-CN"/>
              </w:rPr>
              <w:t xml:space="preserve"> </w:t>
            </w:r>
            <w:r>
              <w:rPr>
                <w:rFonts w:hint="eastAsia" w:ascii="仿宋" w:hAnsi="仿宋" w:eastAsia="仿宋" w:cs="仿宋"/>
                <w:color w:val="000000"/>
                <w:sz w:val="21"/>
                <w:szCs w:val="21"/>
                <w:highlight w:val="none"/>
              </w:rPr>
              <w:t>职务），其权限是：为我方</w:t>
            </w:r>
            <w:r>
              <w:rPr>
                <w:rFonts w:hint="eastAsia" w:ascii="仿宋" w:hAnsi="仿宋" w:eastAsia="仿宋" w:cs="仿宋"/>
                <w:b/>
                <w:bCs/>
                <w:color w:val="000000"/>
                <w:szCs w:val="21"/>
                <w:highlight w:val="yellow"/>
                <w:u w:val="single"/>
                <w:lang w:val="en-US" w:eastAsia="zh-CN"/>
              </w:rPr>
              <w:t>南港建设项目地震安全性评价</w:t>
            </w:r>
            <w:r>
              <w:rPr>
                <w:rFonts w:hint="eastAsia" w:ascii="仿宋" w:hAnsi="仿宋" w:eastAsia="仿宋" w:cs="仿宋"/>
                <w:b/>
                <w:bCs/>
                <w:color w:val="000000"/>
                <w:szCs w:val="21"/>
                <w:highlight w:val="none"/>
                <w:u w:val="single"/>
                <w:lang w:val="en-US" w:eastAsia="zh-CN"/>
              </w:rPr>
              <w:t>服务合同</w:t>
            </w:r>
            <w:r>
              <w:rPr>
                <w:rFonts w:hint="eastAsia" w:ascii="仿宋" w:hAnsi="仿宋" w:eastAsia="仿宋" w:cs="仿宋"/>
                <w:bCs/>
                <w:kern w:val="0"/>
                <w:sz w:val="21"/>
                <w:szCs w:val="21"/>
                <w:highlight w:val="none"/>
              </w:rPr>
              <w:t>的商务事项代理人（包括投标及合同的签订）</w:t>
            </w:r>
            <w:r>
              <w:rPr>
                <w:rFonts w:hint="eastAsia" w:ascii="仿宋" w:hAnsi="仿宋" w:eastAsia="仿宋" w:cs="仿宋"/>
                <w:color w:val="000000"/>
                <w:sz w:val="21"/>
                <w:szCs w:val="21"/>
                <w:highlight w:val="none"/>
              </w:rPr>
              <w:t xml:space="preserve">及办理其他事务代理人。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keepNext w:val="0"/>
              <w:keepLines w:val="0"/>
              <w:suppressLineNumbers w:val="0"/>
              <w:autoSpaceDN w:val="0"/>
              <w:spacing w:before="0" w:beforeAutospacing="0" w:after="0" w:afterAutospacing="0" w:line="360" w:lineRule="auto"/>
              <w:ind w:left="105" w:leftChars="50" w:right="0"/>
              <w:rPr>
                <w:rFonts w:hint="eastAsia" w:ascii="仿宋" w:hAnsi="仿宋" w:eastAsia="仿宋" w:cs="仿宋"/>
                <w:color w:val="000000"/>
                <w:spacing w:val="40"/>
                <w:sz w:val="21"/>
                <w:szCs w:val="21"/>
                <w:highlight w:val="none"/>
              </w:rPr>
            </w:pPr>
            <w:bookmarkStart w:id="0" w:name="_Toc304795386"/>
            <w:r>
              <w:rPr>
                <w:rFonts w:hint="eastAsia" w:ascii="仿宋" w:hAnsi="仿宋" w:eastAsia="仿宋" w:cs="仿宋"/>
                <w:color w:val="000000"/>
                <w:sz w:val="21"/>
                <w:szCs w:val="21"/>
                <w:highlight w:val="none"/>
              </w:rPr>
              <w:t>授权单位：                      （盖章）</w:t>
            </w:r>
            <w:bookmarkEnd w:id="0"/>
          </w:p>
        </w:tc>
        <w:tc>
          <w:tcPr>
            <w:tcW w:w="4062" w:type="dxa"/>
            <w:tcBorders>
              <w:top w:val="nil"/>
              <w:left w:val="nil"/>
              <w:bottom w:val="nil"/>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firstLine="420" w:firstLineChars="200"/>
              <w:rPr>
                <w:rFonts w:hint="eastAsia" w:ascii="仿宋" w:hAnsi="仿宋" w:eastAsia="仿宋" w:cs="仿宋"/>
                <w:color w:val="000000"/>
                <w:spacing w:val="40"/>
                <w:sz w:val="21"/>
                <w:szCs w:val="21"/>
                <w:highlight w:val="none"/>
              </w:rPr>
            </w:pPr>
            <w:bookmarkStart w:id="1" w:name="_Toc304795387"/>
            <w:r>
              <w:rPr>
                <w:rFonts w:hint="eastAsia" w:ascii="仿宋" w:hAnsi="仿宋" w:eastAsia="仿宋" w:cs="仿宋"/>
                <w:color w:val="000000"/>
                <w:sz w:val="21"/>
                <w:szCs w:val="21"/>
                <w:highlight w:val="none"/>
              </w:rPr>
              <w:t>法定代表人：      （签名或盖章）</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340" w:type="dxa"/>
            <w:gridSpan w:val="2"/>
            <w:tcBorders>
              <w:top w:val="nil"/>
              <w:left w:val="single" w:color="auto" w:sz="4" w:space="0"/>
              <w:bottom w:val="nil"/>
              <w:right w:val="nil"/>
            </w:tcBorders>
            <w:noWrap w:val="0"/>
            <w:vAlign w:val="center"/>
          </w:tcPr>
          <w:p>
            <w:pPr>
              <w:keepNext w:val="0"/>
              <w:keepLines w:val="0"/>
              <w:suppressLineNumbers w:val="0"/>
              <w:autoSpaceDN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2" w:name="_Toc304795388"/>
            <w:r>
              <w:rPr>
                <w:rFonts w:hint="eastAsia" w:ascii="仿宋" w:hAnsi="仿宋" w:eastAsia="仿宋" w:cs="仿宋"/>
                <w:color w:val="000000"/>
                <w:sz w:val="21"/>
                <w:szCs w:val="21"/>
                <w:highlight w:val="none"/>
              </w:rPr>
              <w:t>签发日期：</w:t>
            </w:r>
            <w:bookmarkEnd w:id="2"/>
            <w:r>
              <w:rPr>
                <w:rFonts w:hint="eastAsia" w:ascii="仿宋" w:hAnsi="仿宋" w:eastAsia="仿宋" w:cs="仿宋"/>
                <w:b/>
                <w:bCs/>
                <w:color w:val="000000"/>
                <w:sz w:val="21"/>
                <w:szCs w:val="21"/>
                <w:highlight w:val="none"/>
                <w:lang w:val="en-US" w:eastAsia="zh-CN"/>
              </w:rPr>
              <w:t>2024</w:t>
            </w:r>
            <w:r>
              <w:rPr>
                <w:rFonts w:hint="eastAsia" w:ascii="仿宋" w:hAnsi="仿宋" w:eastAsia="仿宋" w:cs="仿宋"/>
                <w:b/>
                <w:bCs/>
                <w:color w:val="000000"/>
                <w:sz w:val="21"/>
                <w:szCs w:val="21"/>
                <w:highlight w:val="none"/>
              </w:rPr>
              <w:t>年</w:t>
            </w:r>
            <w:r>
              <w:rPr>
                <w:rFonts w:hint="eastAsia" w:ascii="仿宋" w:hAnsi="仿宋" w:eastAsia="仿宋" w:cs="仿宋"/>
                <w:b/>
                <w:bCs/>
                <w:color w:val="000000"/>
                <w:sz w:val="21"/>
                <w:szCs w:val="21"/>
                <w:highlight w:val="none"/>
                <w:lang w:val="en-US" w:eastAsia="zh-CN"/>
              </w:rPr>
              <w:t xml:space="preserve">  </w:t>
            </w:r>
            <w:r>
              <w:rPr>
                <w:rFonts w:hint="eastAsia" w:ascii="仿宋" w:hAnsi="仿宋" w:eastAsia="仿宋" w:cs="仿宋"/>
                <w:b/>
                <w:bCs/>
                <w:color w:val="000000"/>
                <w:sz w:val="21"/>
                <w:szCs w:val="21"/>
                <w:highlight w:val="none"/>
              </w:rPr>
              <w:t>月</w:t>
            </w:r>
          </w:p>
        </w:tc>
        <w:tc>
          <w:tcPr>
            <w:tcW w:w="4062" w:type="dxa"/>
            <w:tcBorders>
              <w:top w:val="nil"/>
              <w:left w:val="nil"/>
              <w:bottom w:val="nil"/>
              <w:right w:val="single" w:color="auto" w:sz="4" w:space="0"/>
            </w:tcBorders>
            <w:noWrap w:val="0"/>
            <w:vAlign w:val="center"/>
          </w:tcPr>
          <w:p>
            <w:pPr>
              <w:keepNext w:val="0"/>
              <w:keepLines w:val="0"/>
              <w:suppressLineNumbers w:val="0"/>
              <w:autoSpaceDN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3" w:name="_Toc304795389"/>
            <w:r>
              <w:rPr>
                <w:rFonts w:hint="eastAsia" w:ascii="仿宋" w:hAnsi="仿宋" w:eastAsia="仿宋" w:cs="仿宋"/>
                <w:color w:val="000000"/>
                <w:sz w:val="21"/>
                <w:szCs w:val="21"/>
                <w:highlight w:val="none"/>
              </w:rPr>
              <w:t>有效期至：此合同履行完毕</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8402" w:type="dxa"/>
            <w:gridSpan w:val="3"/>
            <w:tcBorders>
              <w:top w:val="nil"/>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4" w:name="_Toc304795390"/>
            <w:r>
              <w:rPr>
                <w:rFonts w:hint="eastAsia" w:ascii="仿宋" w:hAnsi="仿宋" w:eastAsia="仿宋" w:cs="仿宋"/>
                <w:color w:val="000000"/>
                <w:sz w:val="21"/>
                <w:szCs w:val="21"/>
                <w:highlight w:val="none"/>
              </w:rPr>
              <w:t>说明：</w:t>
            </w:r>
            <w:bookmarkEnd w:id="4"/>
          </w:p>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z w:val="21"/>
                <w:szCs w:val="21"/>
                <w:highlight w:val="none"/>
              </w:rPr>
            </w:pPr>
            <w:bookmarkStart w:id="5" w:name="_Toc304795391"/>
            <w:r>
              <w:rPr>
                <w:rFonts w:hint="eastAsia" w:ascii="仿宋" w:hAnsi="仿宋" w:eastAsia="仿宋" w:cs="仿宋"/>
                <w:color w:val="000000"/>
                <w:sz w:val="21"/>
                <w:szCs w:val="21"/>
                <w:highlight w:val="none"/>
              </w:rPr>
              <w:t>1.委托书内容要填写清楚，涂改无效。</w:t>
            </w:r>
            <w:bookmarkEnd w:id="5"/>
          </w:p>
          <w:p>
            <w:pPr>
              <w:keepNext w:val="0"/>
              <w:keepLines w:val="0"/>
              <w:suppressLineNumbers w:val="0"/>
              <w:spacing w:before="0" w:beforeAutospacing="0" w:after="0" w:afterAutospacing="0" w:line="360" w:lineRule="auto"/>
              <w:ind w:left="0" w:right="0" w:firstLine="420"/>
              <w:rPr>
                <w:rFonts w:hint="eastAsia" w:ascii="仿宋" w:hAnsi="仿宋" w:eastAsia="仿宋" w:cs="仿宋"/>
                <w:color w:val="000000"/>
                <w:spacing w:val="40"/>
                <w:sz w:val="21"/>
                <w:szCs w:val="21"/>
                <w:highlight w:val="none"/>
              </w:rPr>
            </w:pPr>
            <w:bookmarkStart w:id="6" w:name="_Toc304795392"/>
            <w:r>
              <w:rPr>
                <w:rFonts w:hint="eastAsia" w:ascii="仿宋" w:hAnsi="仿宋" w:eastAsia="仿宋" w:cs="仿宋"/>
                <w:color w:val="000000"/>
                <w:sz w:val="21"/>
                <w:szCs w:val="21"/>
                <w:highlight w:val="none"/>
              </w:rPr>
              <w:t>2.委托书不得转让、买卖。</w:t>
            </w:r>
            <w:bookmarkEnd w:id="6"/>
          </w:p>
        </w:tc>
      </w:tr>
    </w:tbl>
    <w:p>
      <w:pPr>
        <w:pStyle w:val="20"/>
        <w:rPr>
          <w:rFonts w:hint="eastAsia" w:ascii="仿宋" w:hAnsi="仿宋" w:eastAsia="仿宋" w:cs="仿宋"/>
          <w:highlight w:val="none"/>
        </w:rPr>
      </w:pPr>
    </w:p>
    <w:p>
      <w:pPr>
        <w:rPr>
          <w:rFonts w:hint="eastAsia" w:ascii="仿宋" w:hAnsi="仿宋" w:eastAsia="仿宋" w:cs="仿宋"/>
          <w:highlight w:val="none"/>
        </w:rPr>
      </w:pPr>
    </w:p>
    <w:p>
      <w:pPr>
        <w:pStyle w:val="2"/>
        <w:rPr>
          <w:rFonts w:hint="eastAsia" w:ascii="仿宋" w:hAnsi="仿宋" w:eastAsia="仿宋" w:cs="仿宋"/>
          <w:highlight w:val="none"/>
        </w:rPr>
      </w:pPr>
    </w:p>
    <w:p>
      <w:pPr>
        <w:spacing w:line="360" w:lineRule="auto"/>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目    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mallCaps/>
          <w:sz w:val="24"/>
          <w:szCs w:val="24"/>
          <w:highlight w:val="none"/>
        </w:rPr>
        <w:fldChar w:fldCharType="begin"/>
      </w:r>
      <w:r>
        <w:rPr>
          <w:rFonts w:hint="eastAsia" w:ascii="仿宋" w:hAnsi="仿宋" w:eastAsia="仿宋" w:cs="仿宋"/>
          <w:smallCaps/>
          <w:sz w:val="24"/>
          <w:szCs w:val="24"/>
          <w:highlight w:val="none"/>
        </w:rPr>
        <w:instrText xml:space="preserve"> TOC \o "1-3" \h \z \u </w:instrText>
      </w:r>
      <w:r>
        <w:rPr>
          <w:rFonts w:hint="eastAsia" w:ascii="仿宋" w:hAnsi="仿宋" w:eastAsia="仿宋" w:cs="仿宋"/>
          <w:smallCaps/>
          <w:sz w:val="24"/>
          <w:szCs w:val="24"/>
          <w:highlight w:val="none"/>
        </w:rPr>
        <w:fldChar w:fldCharType="separate"/>
      </w:r>
      <w:r>
        <w:rPr>
          <w:rFonts w:hint="eastAsia" w:ascii="仿宋" w:hAnsi="仿宋" w:eastAsia="仿宋" w:cs="仿宋"/>
          <w:smallCaps/>
          <w:sz w:val="24"/>
          <w:szCs w:val="24"/>
          <w:highlight w:val="none"/>
        </w:rPr>
        <w:fldChar w:fldCharType="begin"/>
      </w:r>
      <w:r>
        <w:rPr>
          <w:rFonts w:hint="eastAsia" w:ascii="仿宋" w:hAnsi="仿宋" w:eastAsia="仿宋" w:cs="仿宋"/>
          <w:smallCaps/>
          <w:sz w:val="24"/>
          <w:szCs w:val="24"/>
          <w:highlight w:val="none"/>
        </w:rPr>
        <w:instrText xml:space="preserve"> HYPERLINK \l _Toc1730 </w:instrText>
      </w:r>
      <w:r>
        <w:rPr>
          <w:rFonts w:hint="eastAsia" w:ascii="仿宋" w:hAnsi="仿宋" w:eastAsia="仿宋" w:cs="仿宋"/>
          <w:smallCaps/>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第一条 </w:t>
      </w:r>
      <w:r>
        <w:rPr>
          <w:rFonts w:hint="eastAsia" w:ascii="仿宋" w:hAnsi="仿宋" w:eastAsia="仿宋" w:cs="仿宋"/>
          <w:bCs/>
          <w:sz w:val="24"/>
          <w:szCs w:val="24"/>
          <w:highlight w:val="none"/>
        </w:rPr>
        <w:t>服务</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_Toc1730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mallCaps/>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_Toc3176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第二条 </w:t>
      </w:r>
      <w:r>
        <w:rPr>
          <w:rFonts w:hint="eastAsia" w:ascii="仿宋" w:hAnsi="仿宋" w:eastAsia="仿宋" w:cs="仿宋"/>
          <w:bCs/>
          <w:sz w:val="24"/>
          <w:szCs w:val="24"/>
          <w:highlight w:val="none"/>
        </w:rPr>
        <w:t>合同总价和付款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_Toc3176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_Toc9648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第三条 </w:t>
      </w:r>
      <w:r>
        <w:rPr>
          <w:rFonts w:hint="eastAsia" w:ascii="仿宋" w:hAnsi="仿宋" w:eastAsia="仿宋" w:cs="仿宋"/>
          <w:bCs/>
          <w:sz w:val="24"/>
          <w:szCs w:val="24"/>
          <w:highlight w:val="none"/>
        </w:rPr>
        <w:t>工作期限</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_Toc9648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_Toc19868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第四条 </w:t>
      </w:r>
      <w:r>
        <w:rPr>
          <w:rFonts w:hint="eastAsia" w:ascii="仿宋" w:hAnsi="仿宋" w:eastAsia="仿宋" w:cs="仿宋"/>
          <w:bCs/>
          <w:sz w:val="24"/>
          <w:szCs w:val="24"/>
          <w:highlight w:val="none"/>
        </w:rPr>
        <w:t>乙方人员</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_Toc19868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_Toc25408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第五条 </w:t>
      </w:r>
      <w:r>
        <w:rPr>
          <w:rFonts w:hint="eastAsia" w:ascii="仿宋" w:hAnsi="仿宋" w:eastAsia="仿宋" w:cs="仿宋"/>
          <w:sz w:val="24"/>
          <w:szCs w:val="24"/>
          <w:highlight w:val="none"/>
        </w:rPr>
        <w:t>甲方</w:t>
      </w:r>
      <w:r>
        <w:rPr>
          <w:rFonts w:hint="eastAsia" w:ascii="仿宋" w:hAnsi="仿宋" w:eastAsia="仿宋" w:cs="仿宋"/>
          <w:bCs/>
          <w:sz w:val="24"/>
          <w:szCs w:val="24"/>
          <w:highlight w:val="none"/>
        </w:rPr>
        <w:t>代表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_Toc25408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第六条 </w:t>
      </w:r>
      <w:r>
        <w:rPr>
          <w:rFonts w:hint="eastAsia" w:ascii="仿宋" w:hAnsi="仿宋" w:eastAsia="仿宋" w:cs="仿宋"/>
          <w:sz w:val="24"/>
          <w:szCs w:val="24"/>
          <w:highlight w:val="none"/>
        </w:rPr>
        <w:t>工作</w:t>
      </w:r>
      <w:r>
        <w:rPr>
          <w:rFonts w:hint="eastAsia" w:ascii="仿宋" w:hAnsi="仿宋" w:eastAsia="仿宋" w:cs="仿宋"/>
          <w:bCs/>
          <w:sz w:val="24"/>
          <w:szCs w:val="24"/>
          <w:highlight w:val="none"/>
        </w:rPr>
        <w:t>设施</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_Toc16056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第七条 </w:t>
      </w:r>
      <w:r>
        <w:rPr>
          <w:rFonts w:hint="eastAsia" w:ascii="仿宋" w:hAnsi="仿宋" w:eastAsia="仿宋" w:cs="仿宋"/>
          <w:bCs/>
          <w:sz w:val="24"/>
          <w:szCs w:val="24"/>
          <w:highlight w:val="none"/>
        </w:rPr>
        <w:t>监督检查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_Toc16056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_Toc30966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第八条 </w:t>
      </w:r>
      <w:r>
        <w:rPr>
          <w:rFonts w:hint="eastAsia" w:ascii="仿宋" w:hAnsi="仿宋" w:eastAsia="仿宋" w:cs="仿宋"/>
          <w:bCs/>
          <w:sz w:val="24"/>
          <w:szCs w:val="24"/>
          <w:highlight w:val="none"/>
        </w:rPr>
        <w:t>工作成果及验收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_Toc30966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_Toc1822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第九条 </w:t>
      </w:r>
      <w:r>
        <w:rPr>
          <w:rFonts w:hint="eastAsia" w:ascii="仿宋" w:hAnsi="仿宋" w:eastAsia="仿宋" w:cs="仿宋"/>
          <w:bCs/>
          <w:sz w:val="24"/>
          <w:szCs w:val="24"/>
          <w:highlight w:val="none"/>
        </w:rPr>
        <w:t>质量保证</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_Toc1822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_Toc1772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第十条 </w:t>
      </w:r>
      <w:r>
        <w:rPr>
          <w:rFonts w:hint="eastAsia" w:ascii="仿宋" w:hAnsi="仿宋" w:eastAsia="仿宋" w:cs="仿宋"/>
          <w:sz w:val="24"/>
          <w:szCs w:val="24"/>
          <w:highlight w:val="none"/>
        </w:rPr>
        <w:t>工作</w:t>
      </w:r>
      <w:r>
        <w:rPr>
          <w:rFonts w:hint="eastAsia" w:ascii="仿宋" w:hAnsi="仿宋" w:eastAsia="仿宋" w:cs="仿宋"/>
          <w:bCs/>
          <w:sz w:val="24"/>
          <w:szCs w:val="24"/>
          <w:highlight w:val="none"/>
        </w:rPr>
        <w:t>变更</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_Toc1772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_Toc9697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第十一条 </w:t>
      </w:r>
      <w:r>
        <w:rPr>
          <w:rFonts w:hint="eastAsia" w:ascii="仿宋" w:hAnsi="仿宋" w:eastAsia="仿宋" w:cs="仿宋"/>
          <w:sz w:val="24"/>
          <w:szCs w:val="24"/>
          <w:highlight w:val="none"/>
        </w:rPr>
        <w:t>工作暂停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_Toc9697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_Toc22099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第十二条 </w:t>
      </w:r>
      <w:r>
        <w:rPr>
          <w:rFonts w:hint="eastAsia" w:ascii="仿宋" w:hAnsi="仿宋" w:eastAsia="仿宋" w:cs="仿宋"/>
          <w:bCs/>
          <w:sz w:val="24"/>
          <w:szCs w:val="24"/>
          <w:highlight w:val="none"/>
        </w:rPr>
        <w:t>权利保证</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_Toc22099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_Toc9145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第十三条 </w:t>
      </w:r>
      <w:r>
        <w:rPr>
          <w:rFonts w:hint="eastAsia" w:ascii="仿宋" w:hAnsi="仿宋" w:eastAsia="仿宋" w:cs="仿宋"/>
          <w:bCs/>
          <w:sz w:val="24"/>
          <w:szCs w:val="24"/>
          <w:highlight w:val="none"/>
        </w:rPr>
        <w:t>违约责任</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_Toc9145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_Toc19273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第十四条 </w:t>
      </w:r>
      <w:r>
        <w:rPr>
          <w:rFonts w:hint="eastAsia" w:ascii="仿宋" w:hAnsi="仿宋" w:eastAsia="仿宋" w:cs="仿宋"/>
          <w:sz w:val="24"/>
          <w:szCs w:val="24"/>
          <w:highlight w:val="none"/>
        </w:rPr>
        <w:t>合同</w:t>
      </w:r>
      <w:r>
        <w:rPr>
          <w:rFonts w:hint="eastAsia" w:ascii="仿宋" w:hAnsi="仿宋" w:eastAsia="仿宋" w:cs="仿宋"/>
          <w:bCs/>
          <w:sz w:val="24"/>
          <w:szCs w:val="24"/>
          <w:highlight w:val="none"/>
        </w:rPr>
        <w:t>的解除和终止</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_Toc19273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_Toc24963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第十五条 </w:t>
      </w:r>
      <w:r>
        <w:rPr>
          <w:rFonts w:hint="eastAsia" w:ascii="仿宋" w:hAnsi="仿宋" w:eastAsia="仿宋" w:cs="仿宋"/>
          <w:bCs/>
          <w:sz w:val="24"/>
          <w:szCs w:val="24"/>
          <w:highlight w:val="none"/>
        </w:rPr>
        <w:t>健康、安全和环保</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_Toc24963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_Toc897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第十六条 </w:t>
      </w:r>
      <w:r>
        <w:rPr>
          <w:rFonts w:hint="eastAsia" w:ascii="仿宋" w:hAnsi="仿宋" w:eastAsia="仿宋" w:cs="仿宋"/>
          <w:bCs/>
          <w:sz w:val="24"/>
          <w:szCs w:val="24"/>
          <w:highlight w:val="none"/>
        </w:rPr>
        <w:t>转让和分包</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_Toc3381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第十七条 </w:t>
      </w:r>
      <w:r>
        <w:rPr>
          <w:rFonts w:hint="eastAsia" w:ascii="仿宋" w:hAnsi="仿宋" w:eastAsia="仿宋" w:cs="仿宋"/>
          <w:bCs/>
          <w:sz w:val="24"/>
          <w:szCs w:val="24"/>
          <w:highlight w:val="none"/>
        </w:rPr>
        <w:t>不可抗力</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_Toc3381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_Toc2050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第十八条 </w:t>
      </w:r>
      <w:r>
        <w:rPr>
          <w:rFonts w:hint="eastAsia" w:ascii="仿宋" w:hAnsi="仿宋" w:eastAsia="仿宋" w:cs="仿宋"/>
          <w:bCs/>
          <w:sz w:val="24"/>
          <w:szCs w:val="24"/>
          <w:highlight w:val="none"/>
        </w:rPr>
        <w:t>保障</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_Toc2050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_Toc23311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第十九条 </w:t>
      </w:r>
      <w:r>
        <w:rPr>
          <w:rFonts w:hint="eastAsia" w:ascii="仿宋" w:hAnsi="仿宋" w:eastAsia="仿宋" w:cs="仿宋"/>
          <w:bCs/>
          <w:sz w:val="24"/>
          <w:szCs w:val="24"/>
          <w:highlight w:val="none"/>
        </w:rPr>
        <w:t>保密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_Toc13817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第二十条 </w:t>
      </w:r>
      <w:r>
        <w:rPr>
          <w:rFonts w:hint="eastAsia" w:ascii="仿宋" w:hAnsi="仿宋" w:eastAsia="仿宋" w:cs="仿宋"/>
          <w:sz w:val="24"/>
          <w:szCs w:val="24"/>
          <w:highlight w:val="none"/>
        </w:rPr>
        <w:t>审计、禁止商业贿赂和反腐败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_Toc13817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_Toc3511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第二十一条 </w:t>
      </w:r>
      <w:r>
        <w:rPr>
          <w:rFonts w:hint="eastAsia" w:ascii="仿宋" w:hAnsi="仿宋" w:eastAsia="仿宋" w:cs="仿宋"/>
          <w:bCs/>
          <w:sz w:val="24"/>
          <w:szCs w:val="24"/>
          <w:highlight w:val="none"/>
        </w:rPr>
        <w:t>通知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_Toc3511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_Toc24315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第二十二条 </w:t>
      </w:r>
      <w:r>
        <w:rPr>
          <w:rFonts w:hint="eastAsia" w:ascii="仿宋" w:hAnsi="仿宋" w:eastAsia="仿宋" w:cs="仿宋"/>
          <w:bCs/>
          <w:kern w:val="0"/>
          <w:sz w:val="24"/>
          <w:szCs w:val="24"/>
          <w:highlight w:val="none"/>
        </w:rPr>
        <w:t>法律适用和争议解决</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_Toc24315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_Toc27624 </w:instrText>
      </w:r>
      <w:r>
        <w:rPr>
          <w:rFonts w:hint="eastAsia" w:ascii="仿宋" w:hAnsi="仿宋" w:eastAsia="仿宋" w:cs="仿宋"/>
          <w:sz w:val="24"/>
          <w:szCs w:val="24"/>
          <w:highlight w:val="none"/>
        </w:rPr>
        <w:fldChar w:fldCharType="separate"/>
      </w:r>
      <w:r>
        <w:rPr>
          <w:rFonts w:hint="eastAsia" w:ascii="仿宋" w:hAnsi="仿宋" w:eastAsia="仿宋" w:cs="仿宋"/>
          <w:bCs w:val="0"/>
          <w:i w:val="0"/>
          <w:iCs w:val="0"/>
          <w:caps w:val="0"/>
          <w:smallCaps w:val="0"/>
          <w:strike w:val="0"/>
          <w:dstrike w:val="0"/>
          <w:snapToGrid w:val="0"/>
          <w:vanish w:val="0"/>
          <w:spacing w:val="0"/>
          <w:w w:val="0"/>
          <w:kern w:val="0"/>
          <w:position w:val="0"/>
          <w:sz w:val="24"/>
          <w:szCs w:val="24"/>
          <w:highlight w:val="none"/>
          <w:vertAlign w:val="baseline"/>
          <w:lang w:val="en-US"/>
        </w:rPr>
        <w:t xml:space="preserve">第二十三条 </w:t>
      </w:r>
      <w:r>
        <w:rPr>
          <w:rFonts w:hint="eastAsia" w:ascii="仿宋" w:hAnsi="仿宋" w:eastAsia="仿宋" w:cs="仿宋"/>
          <w:bCs/>
          <w:sz w:val="24"/>
          <w:szCs w:val="24"/>
          <w:highlight w:val="none"/>
        </w:rPr>
        <w:t>其它</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_Toc27624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_Toc25701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附件一：技术规格书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_Toc25701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_Toc8942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附件二：价格表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_Toc8942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22</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_Toc16087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附件三：验收报告书</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_Toc16087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_Toc25486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附件四：廉洁备忘录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_Toc25486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_Toc15078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附件五：健康安全环保条款</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_Toc15078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29</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ascii="仿宋" w:hAnsi="仿宋" w:eastAsia="仿宋" w:cs="仿宋"/>
          <w:highlight w:val="none"/>
        </w:rPr>
      </w:pPr>
    </w:p>
    <w:p>
      <w:pPr>
        <w:tabs>
          <w:tab w:val="left" w:pos="3090"/>
        </w:tabs>
        <w:adjustRightInd w:val="0"/>
        <w:snapToGrid w:val="0"/>
        <w:spacing w:before="93" w:beforeLines="30" w:after="93" w:afterLines="30" w:line="360" w:lineRule="auto"/>
        <w:rPr>
          <w:rFonts w:hint="eastAsia" w:ascii="仿宋" w:hAnsi="仿宋" w:eastAsia="仿宋" w:cs="仿宋"/>
          <w:highlight w:val="none"/>
        </w:rPr>
      </w:pPr>
      <w:r>
        <w:rPr>
          <w:rFonts w:hint="eastAsia" w:ascii="仿宋" w:hAnsi="仿宋" w:eastAsia="仿宋" w:cs="仿宋"/>
          <w:highlight w:val="none"/>
        </w:rPr>
        <w:fldChar w:fldCharType="end"/>
      </w:r>
    </w:p>
    <w:p>
      <w:pPr>
        <w:tabs>
          <w:tab w:val="left" w:pos="3090"/>
        </w:tabs>
        <w:adjustRightInd w:val="0"/>
        <w:snapToGrid w:val="0"/>
        <w:spacing w:before="93" w:beforeLines="30" w:after="93" w:afterLines="3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本服务合同（以下称“合同”或“本合同”）由以下双方签订：</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hint="default" w:ascii="仿宋" w:hAnsi="仿宋" w:eastAsia="仿宋" w:cs="仿宋"/>
          <w:b/>
          <w:bCs/>
          <w:sz w:val="24"/>
          <w:szCs w:val="24"/>
          <w:highlight w:val="yellow"/>
          <w:u w:val="single"/>
          <w:lang w:val="en-US" w:eastAsia="zh-CN"/>
        </w:rPr>
      </w:pPr>
      <w:r>
        <w:rPr>
          <w:rFonts w:hint="eastAsia" w:ascii="仿宋" w:hAnsi="仿宋" w:eastAsia="仿宋" w:cs="仿宋"/>
          <w:sz w:val="24"/>
          <w:szCs w:val="24"/>
          <w:highlight w:val="yellow"/>
        </w:rPr>
        <w:t>甲    方：</w:t>
      </w:r>
      <w:r>
        <w:rPr>
          <w:rFonts w:hint="eastAsia" w:ascii="仿宋" w:hAnsi="仿宋" w:eastAsia="仿宋" w:cs="仿宋"/>
          <w:b/>
          <w:bCs/>
          <w:sz w:val="24"/>
          <w:szCs w:val="24"/>
          <w:highlight w:val="yellow"/>
          <w:u w:val="single"/>
          <w:lang w:val="en-US" w:eastAsia="zh-CN"/>
        </w:rPr>
        <w:t>中海油（天津）油田化工有限公司</w:t>
      </w:r>
    </w:p>
    <w:p>
      <w:pPr>
        <w:tabs>
          <w:tab w:val="left" w:pos="567"/>
          <w:tab w:val="left" w:pos="900"/>
        </w:tabs>
        <w:adjustRightInd w:val="0"/>
        <w:snapToGrid w:val="0"/>
        <w:spacing w:before="93" w:beforeLines="30" w:after="93" w:afterLines="30" w:line="360" w:lineRule="auto"/>
        <w:ind w:left="556" w:leftChars="265" w:right="-512" w:rightChars="-244" w:firstLine="9" w:firstLineChars="4"/>
        <w:rPr>
          <w:rFonts w:hint="eastAsia" w:ascii="仿宋" w:hAnsi="仿宋" w:eastAsia="仿宋" w:cs="仿宋"/>
          <w:sz w:val="24"/>
          <w:szCs w:val="24"/>
          <w:highlight w:val="yellow"/>
        </w:rPr>
      </w:pPr>
      <w:r>
        <w:rPr>
          <w:rFonts w:hint="eastAsia" w:ascii="仿宋" w:hAnsi="仿宋" w:eastAsia="仿宋" w:cs="仿宋"/>
          <w:sz w:val="24"/>
          <w:szCs w:val="24"/>
          <w:highlight w:val="yellow"/>
        </w:rPr>
        <w:t>乙    方：</w:t>
      </w:r>
      <w:r>
        <w:rPr>
          <w:rFonts w:hint="eastAsia" w:ascii="仿宋" w:hAnsi="仿宋" w:eastAsia="仿宋" w:cs="仿宋"/>
          <w:b/>
          <w:bCs/>
          <w:sz w:val="24"/>
          <w:szCs w:val="24"/>
          <w:highlight w:val="yellow"/>
          <w:u w:val="single"/>
          <w:lang w:val="en-US" w:eastAsia="zh-CN"/>
        </w:rPr>
        <w:t xml:space="preserve">                              </w:t>
      </w:r>
    </w:p>
    <w:p>
      <w:pPr>
        <w:adjustRightInd w:val="0"/>
        <w:snapToGrid w:val="0"/>
        <w:spacing w:before="93" w:beforeLines="30" w:after="93" w:afterLines="30" w:line="360" w:lineRule="auto"/>
        <w:ind w:firstLine="567"/>
        <w:rPr>
          <w:rFonts w:hint="eastAsia" w:ascii="仿宋" w:hAnsi="仿宋" w:eastAsia="仿宋" w:cs="仿宋"/>
          <w:sz w:val="24"/>
          <w:szCs w:val="24"/>
          <w:highlight w:val="none"/>
        </w:rPr>
      </w:pPr>
      <w:r>
        <w:rPr>
          <w:rFonts w:hint="eastAsia" w:ascii="仿宋" w:hAnsi="仿宋" w:eastAsia="仿宋" w:cs="仿宋"/>
          <w:sz w:val="24"/>
          <w:szCs w:val="24"/>
          <w:highlight w:val="none"/>
        </w:rPr>
        <w:t>根据《</w:t>
      </w:r>
      <w:r>
        <w:rPr>
          <w:rFonts w:hint="eastAsia" w:ascii="仿宋" w:hAnsi="仿宋" w:eastAsia="仿宋" w:cs="仿宋"/>
          <w:b/>
          <w:bCs/>
          <w:sz w:val="24"/>
          <w:szCs w:val="24"/>
          <w:highlight w:val="none"/>
        </w:rPr>
        <w:t>中华人民共和国民法典</w:t>
      </w:r>
      <w:r>
        <w:rPr>
          <w:rFonts w:hint="eastAsia" w:ascii="仿宋" w:hAnsi="仿宋" w:eastAsia="仿宋" w:cs="仿宋"/>
          <w:sz w:val="24"/>
          <w:szCs w:val="24"/>
          <w:highlight w:val="none"/>
        </w:rPr>
        <w:t>》及中华人民共和国各级立法、行政机关颁布并生效的法律、法规、规章及其它规范性文件（“法律法规”），在遵循平等、自愿、公平和诚实信用原则的基础上，经协商一致，双方订立本合同如下：</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sz w:val="24"/>
          <w:szCs w:val="24"/>
          <w:highlight w:val="none"/>
        </w:rPr>
      </w:pPr>
      <w:bookmarkStart w:id="7" w:name="_Toc276888298"/>
      <w:bookmarkStart w:id="8" w:name="_Toc1730"/>
      <w:bookmarkStart w:id="9" w:name="_Toc276825187"/>
      <w:bookmarkStart w:id="10" w:name="_Toc275096412"/>
      <w:bookmarkStart w:id="11" w:name="_Toc276828333"/>
      <w:bookmarkStart w:id="12" w:name="_Toc364839361"/>
      <w:bookmarkStart w:id="13" w:name="_Toc276578424"/>
      <w:bookmarkStart w:id="14" w:name="_Toc276842642"/>
      <w:bookmarkStart w:id="15" w:name="_Toc299915678"/>
      <w:bookmarkStart w:id="16" w:name="_Toc275173805"/>
      <w:bookmarkStart w:id="17" w:name="_Toc275096343"/>
      <w:bookmarkStart w:id="18" w:name="_Toc276888365"/>
      <w:bookmarkStart w:id="19" w:name="_Toc276842694"/>
      <w:r>
        <w:rPr>
          <w:rFonts w:hint="eastAsia" w:ascii="仿宋" w:hAnsi="仿宋" w:eastAsia="仿宋" w:cs="仿宋"/>
          <w:b/>
          <w:bCs/>
          <w:sz w:val="24"/>
          <w:szCs w:val="24"/>
          <w:highlight w:val="none"/>
        </w:rPr>
        <w:t>服务</w:t>
      </w:r>
      <w:bookmarkEnd w:id="7"/>
      <w:bookmarkEnd w:id="8"/>
      <w:bookmarkEnd w:id="9"/>
      <w:bookmarkEnd w:id="10"/>
      <w:bookmarkEnd w:id="11"/>
      <w:bookmarkEnd w:id="12"/>
      <w:bookmarkEnd w:id="13"/>
      <w:bookmarkEnd w:id="14"/>
      <w:bookmarkEnd w:id="15"/>
      <w:bookmarkEnd w:id="16"/>
      <w:bookmarkEnd w:id="17"/>
      <w:bookmarkEnd w:id="18"/>
      <w:bookmarkEnd w:id="19"/>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b/>
          <w:bCs/>
          <w:color w:val="000000"/>
          <w:sz w:val="24"/>
          <w:szCs w:val="24"/>
          <w:highlight w:val="none"/>
          <w:u w:val="single"/>
        </w:rPr>
      </w:pPr>
      <w:r>
        <w:rPr>
          <w:rFonts w:hint="eastAsia" w:ascii="仿宋" w:hAnsi="仿宋" w:eastAsia="仿宋" w:cs="仿宋"/>
          <w:color w:val="000000"/>
          <w:sz w:val="24"/>
          <w:szCs w:val="24"/>
          <w:highlight w:val="none"/>
        </w:rPr>
        <w:t>乙方应根据本合同规定为甲方提供</w:t>
      </w:r>
      <w:r>
        <w:rPr>
          <w:rFonts w:hint="eastAsia" w:ascii="仿宋" w:hAnsi="仿宋" w:eastAsia="仿宋" w:cs="仿宋"/>
          <w:b/>
          <w:bCs/>
          <w:sz w:val="24"/>
          <w:szCs w:val="24"/>
          <w:highlight w:val="yellow"/>
          <w:u w:val="single"/>
          <w:lang w:eastAsia="zh-CN"/>
        </w:rPr>
        <w:t>南港建设项目地震安全性评价</w:t>
      </w:r>
      <w:r>
        <w:rPr>
          <w:rFonts w:hint="eastAsia" w:ascii="仿宋" w:hAnsi="仿宋" w:eastAsia="仿宋" w:cs="仿宋"/>
          <w:b/>
          <w:bCs/>
          <w:sz w:val="24"/>
          <w:szCs w:val="24"/>
          <w:highlight w:val="none"/>
          <w:u w:val="single"/>
          <w:lang w:eastAsia="zh-CN"/>
        </w:rPr>
        <w:t>服务</w:t>
      </w:r>
      <w:r>
        <w:rPr>
          <w:rFonts w:hint="eastAsia" w:ascii="仿宋" w:hAnsi="仿宋" w:eastAsia="仿宋" w:cs="仿宋"/>
          <w:color w:val="000000"/>
          <w:sz w:val="24"/>
          <w:szCs w:val="24"/>
          <w:highlight w:val="none"/>
        </w:rPr>
        <w:t>，完成合同规定的全部工作，具体</w:t>
      </w:r>
      <w:r>
        <w:rPr>
          <w:rFonts w:hint="eastAsia" w:ascii="仿宋" w:hAnsi="仿宋" w:eastAsia="仿宋" w:cs="仿宋"/>
          <w:sz w:val="24"/>
          <w:szCs w:val="24"/>
          <w:highlight w:val="none"/>
        </w:rPr>
        <w:t>服务和相关工作的内</w:t>
      </w:r>
      <w:r>
        <w:rPr>
          <w:rFonts w:hint="eastAsia" w:ascii="仿宋" w:hAnsi="仿宋" w:eastAsia="仿宋" w:cs="仿宋"/>
          <w:color w:val="000000"/>
          <w:sz w:val="24"/>
          <w:szCs w:val="24"/>
          <w:highlight w:val="none"/>
        </w:rPr>
        <w:t>容、范围、地点及要求【</w:t>
      </w:r>
      <w:r>
        <w:rPr>
          <w:rFonts w:hint="eastAsia" w:ascii="仿宋" w:hAnsi="仿宋" w:eastAsia="仿宋" w:cs="仿宋"/>
          <w:b/>
          <w:bCs/>
          <w:color w:val="000000"/>
          <w:sz w:val="24"/>
          <w:szCs w:val="24"/>
          <w:highlight w:val="none"/>
          <w:u w:val="single"/>
        </w:rPr>
        <w:t>详见本合同附件一</w:t>
      </w:r>
      <w:r>
        <w:rPr>
          <w:rFonts w:hint="eastAsia" w:ascii="仿宋" w:hAnsi="仿宋" w:eastAsia="仿宋" w:cs="仿宋"/>
          <w:color w:val="000000"/>
          <w:sz w:val="24"/>
          <w:szCs w:val="24"/>
          <w:highlight w:val="none"/>
        </w:rPr>
        <w:t>】。</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乙方应执行良好的行业惯例提供优质、高效的服务。在提供服务过程中，乙方应维护甲方利益，不得实施任何违背甲方利益的行为。</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即使本合同未对某项工作予以明确规定，但是，如相关工作系乙方提供同类服务时，通过</w:t>
      </w:r>
      <w:r>
        <w:rPr>
          <w:rFonts w:hint="eastAsia" w:ascii="仿宋" w:hAnsi="仿宋" w:eastAsia="仿宋" w:cs="仿宋"/>
          <w:b w:val="0"/>
          <w:bCs w:val="0"/>
          <w:color w:val="000000"/>
          <w:sz w:val="24"/>
          <w:szCs w:val="24"/>
          <w:highlight w:val="none"/>
          <w:u w:val="none"/>
        </w:rPr>
        <w:t>执行良好的行业惯例应当预见和完成的工作，或属于为实现本合同目的应当实施的工作，乙方应以符合本合同目的的方式实施该等工作，乙方无权要求调整合同总价或工作期限。</w:t>
      </w:r>
    </w:p>
    <w:p>
      <w:pPr>
        <w:keepNext w:val="0"/>
        <w:keepLines w:val="0"/>
        <w:pageBreakBefore w:val="0"/>
        <w:widowControl w:val="0"/>
        <w:numPr>
          <w:ilvl w:val="1"/>
          <w:numId w:val="2"/>
        </w:numPr>
        <w:tabs>
          <w:tab w:val="left" w:pos="710"/>
          <w:tab w:val="left" w:pos="840"/>
          <w:tab w:val="clear" w:pos="540"/>
        </w:tabs>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u w:val="none"/>
        </w:rPr>
        <w:t>乙方提供的服务将用于</w:t>
      </w:r>
      <w:r>
        <w:rPr>
          <w:rFonts w:hint="eastAsia" w:ascii="仿宋" w:hAnsi="仿宋" w:eastAsia="仿宋" w:cs="仿宋"/>
          <w:b/>
          <w:bCs/>
          <w:sz w:val="24"/>
          <w:szCs w:val="24"/>
          <w:highlight w:val="yellow"/>
          <w:u w:val="single"/>
          <w:lang w:eastAsia="zh-CN"/>
        </w:rPr>
        <w:t>南港建设项目地震安全性评价</w:t>
      </w:r>
      <w:r>
        <w:rPr>
          <w:rFonts w:hint="eastAsia" w:ascii="仿宋" w:hAnsi="仿宋" w:eastAsia="仿宋" w:cs="仿宋"/>
          <w:b/>
          <w:bCs/>
          <w:color w:val="000000"/>
          <w:sz w:val="24"/>
          <w:szCs w:val="24"/>
          <w:highlight w:val="none"/>
          <w:u w:val="single"/>
          <w:lang w:val="en-US" w:eastAsia="zh-CN"/>
        </w:rPr>
        <w:t>服务</w:t>
      </w:r>
      <w:r>
        <w:rPr>
          <w:rFonts w:hint="eastAsia" w:ascii="仿宋" w:hAnsi="仿宋" w:eastAsia="仿宋" w:cs="仿宋"/>
          <w:color w:val="000000"/>
          <w:sz w:val="24"/>
          <w:szCs w:val="24"/>
          <w:highlight w:val="none"/>
        </w:rPr>
        <w:t>。</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i/>
          <w:iCs/>
          <w:sz w:val="24"/>
          <w:szCs w:val="24"/>
          <w:highlight w:val="none"/>
        </w:rPr>
      </w:pPr>
      <w:bookmarkStart w:id="20" w:name="_Toc288479378"/>
      <w:bookmarkStart w:id="21" w:name="_Toc296955842"/>
      <w:bookmarkStart w:id="22" w:name="_Toc296959304"/>
      <w:bookmarkStart w:id="23" w:name="_Toc299915679"/>
      <w:bookmarkStart w:id="24" w:name="_Toc364839362"/>
      <w:bookmarkStart w:id="25" w:name="_Toc3176"/>
      <w:bookmarkStart w:id="26" w:name="_Toc274075954"/>
      <w:bookmarkStart w:id="27" w:name="_Toc274343601"/>
      <w:bookmarkStart w:id="28" w:name="_Toc273451896"/>
      <w:bookmarkStart w:id="29" w:name="_Toc274076142"/>
      <w:bookmarkStart w:id="30" w:name="_Toc278889775"/>
      <w:bookmarkStart w:id="31" w:name="_Toc291435828"/>
      <w:bookmarkStart w:id="32" w:name="_Toc273451829"/>
      <w:bookmarkStart w:id="33" w:name="_Toc274403530"/>
      <w:bookmarkStart w:id="34" w:name="_Toc274474905"/>
      <w:bookmarkStart w:id="35" w:name="_Toc274669314"/>
      <w:bookmarkStart w:id="36" w:name="_Toc274668316"/>
      <w:bookmarkStart w:id="37" w:name="_Toc291435895"/>
      <w:bookmarkStart w:id="38" w:name="_Toc274754020"/>
      <w:r>
        <w:rPr>
          <w:rFonts w:hint="eastAsia" w:ascii="仿宋" w:hAnsi="仿宋" w:eastAsia="仿宋" w:cs="仿宋"/>
          <w:b/>
          <w:bCs/>
          <w:sz w:val="24"/>
          <w:szCs w:val="24"/>
          <w:highlight w:val="none"/>
        </w:rPr>
        <w:t>合同</w:t>
      </w:r>
      <w:bookmarkEnd w:id="20"/>
      <w:bookmarkEnd w:id="21"/>
      <w:r>
        <w:rPr>
          <w:rFonts w:hint="eastAsia" w:ascii="仿宋" w:hAnsi="仿宋" w:eastAsia="仿宋" w:cs="仿宋"/>
          <w:b/>
          <w:bCs/>
          <w:sz w:val="24"/>
          <w:szCs w:val="24"/>
          <w:highlight w:val="none"/>
        </w:rPr>
        <w:t>总价</w:t>
      </w:r>
      <w:bookmarkEnd w:id="22"/>
      <w:bookmarkEnd w:id="23"/>
      <w:r>
        <w:rPr>
          <w:rFonts w:hint="eastAsia" w:ascii="仿宋" w:hAnsi="仿宋" w:eastAsia="仿宋" w:cs="仿宋"/>
          <w:b/>
          <w:bCs/>
          <w:sz w:val="24"/>
          <w:szCs w:val="24"/>
          <w:highlight w:val="none"/>
        </w:rPr>
        <w:t>和付款</w:t>
      </w:r>
      <w:bookmarkEnd w:id="24"/>
      <w:bookmarkEnd w:id="25"/>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本合同项下的</w:t>
      </w:r>
      <w:r>
        <w:rPr>
          <w:rFonts w:hint="eastAsia" w:ascii="仿宋" w:hAnsi="仿宋" w:eastAsia="仿宋" w:cs="仿宋"/>
          <w:b/>
          <w:bCs/>
          <w:sz w:val="24"/>
          <w:szCs w:val="24"/>
          <w:highlight w:val="none"/>
          <w:u w:val="single"/>
        </w:rPr>
        <w:t>合同总价</w:t>
      </w:r>
      <w:r>
        <w:rPr>
          <w:rFonts w:hint="eastAsia" w:ascii="仿宋" w:hAnsi="仿宋" w:eastAsia="仿宋" w:cs="仿宋"/>
          <w:sz w:val="24"/>
          <w:szCs w:val="24"/>
          <w:highlight w:val="none"/>
        </w:rPr>
        <w:t>为</w:t>
      </w:r>
      <w:bookmarkStart w:id="39" w:name="OLE_LINK56"/>
      <w:bookmarkStart w:id="40" w:name="OLE_LINK58"/>
      <w:bookmarkStart w:id="41" w:name="OLE_LINK57"/>
      <w:r>
        <w:rPr>
          <w:rFonts w:hint="eastAsia" w:ascii="仿宋" w:hAnsi="仿宋" w:eastAsia="仿宋" w:cs="仿宋"/>
          <w:sz w:val="24"/>
          <w:szCs w:val="24"/>
          <w:highlight w:val="none"/>
        </w:rPr>
        <w:t>RMB：</w:t>
      </w:r>
      <w:bookmarkEnd w:id="39"/>
      <w:bookmarkEnd w:id="40"/>
      <w:bookmarkEnd w:id="41"/>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b/>
          <w:bCs/>
          <w:sz w:val="24"/>
          <w:szCs w:val="24"/>
          <w:highlight w:val="none"/>
          <w:u w:val="single"/>
        </w:rPr>
        <w:t>人民币</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）。合同总价为含税（包括增值税）总金额。其中，不含增值税合同价款为人民币RMB：</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（大写：</w:t>
      </w:r>
      <w:r>
        <w:rPr>
          <w:rFonts w:hint="eastAsia" w:ascii="仿宋" w:hAnsi="仿宋" w:eastAsia="仿宋" w:cs="仿宋"/>
          <w:b/>
          <w:bCs/>
          <w:sz w:val="24"/>
          <w:szCs w:val="24"/>
          <w:highlight w:val="none"/>
          <w:u w:val="single"/>
        </w:rPr>
        <w:t>人民币</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），增值税税率为</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 xml:space="preserve">  </w:t>
      </w:r>
      <w:r>
        <w:rPr>
          <w:rFonts w:hint="eastAsia" w:ascii="仿宋" w:hAnsi="仿宋" w:eastAsia="仿宋" w:cs="仿宋"/>
          <w:sz w:val="24"/>
          <w:szCs w:val="24"/>
          <w:highlight w:val="none"/>
        </w:rPr>
        <w:t>%。合同总价的各分项价格和组成【</w:t>
      </w:r>
      <w:r>
        <w:rPr>
          <w:rFonts w:hint="eastAsia" w:ascii="仿宋" w:hAnsi="仿宋" w:eastAsia="仿宋" w:cs="仿宋"/>
          <w:b/>
          <w:bCs/>
          <w:sz w:val="24"/>
          <w:szCs w:val="24"/>
          <w:highlight w:val="none"/>
          <w:u w:val="single"/>
        </w:rPr>
        <w:t>详见本合同附件二</w:t>
      </w:r>
      <w:r>
        <w:rPr>
          <w:rFonts w:hint="eastAsia" w:ascii="仿宋" w:hAnsi="仿宋" w:eastAsia="仿宋" w:cs="仿宋"/>
          <w:sz w:val="24"/>
          <w:szCs w:val="24"/>
          <w:highlight w:val="none"/>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合同总价是本合同项下乙方完成工作、完整履行本合同，甲方应支付的全部金额。除非根据本合同规定或国家增值税税率调整引起合同总价调整外，合同总价为固定价格，不受通货膨胀、利率、汇率、税费、成本及市场等因素变化的影响。为免疑义，如果增值税税率因国家增值税税率调整而发生变化，合同总价自动调整，但不含增值税的合同价款保持不变。除非合同另有约定，乙方应承担其在履行合同义务时产生的全部费用和税费。乙方确认，其同意合同总价前已经获得了所有信息并已考虑了所有可能影响成本和费用的因素。为避免歧义，合同总价包括：完成工作所需的设备、器具、材料、供应品、备品备件等的费用；直接成本、间接成本、人力成本；履行质量保证责任的费用；与合同相关的所有税费；或有费用及合同没有列明但系为实现合同目的所必需的工作和服务费用；乙方所有的风险、义务和责任，以及合同中明确说明由乙方承担的成本和费用等。</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双方应根据法律法规各自承担其应承担的与本合同有关的所有税费。甲方有权根据法律法规和本合同的规定从应支付给乙方的合同总价中扣除应由甲方代扣、代缴的乙方应付税费，但应向乙方提供完税证明。</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支付货币：本合同项下的所有应付款项均应以【</w:t>
      </w:r>
      <w:r>
        <w:rPr>
          <w:rFonts w:hint="eastAsia" w:ascii="仿宋" w:hAnsi="仿宋" w:eastAsia="仿宋" w:cs="仿宋"/>
          <w:b/>
          <w:bCs/>
          <w:sz w:val="24"/>
          <w:szCs w:val="24"/>
          <w:highlight w:val="none"/>
        </w:rPr>
        <w:t>人民币</w:t>
      </w:r>
      <w:r>
        <w:rPr>
          <w:rFonts w:hint="eastAsia" w:ascii="仿宋" w:hAnsi="仿宋" w:eastAsia="仿宋" w:cs="仿宋"/>
          <w:sz w:val="24"/>
          <w:szCs w:val="24"/>
          <w:highlight w:val="none"/>
        </w:rPr>
        <w:t>】支付</w:t>
      </w:r>
      <w:r>
        <w:rPr>
          <w:rFonts w:hint="eastAsia" w:ascii="仿宋" w:hAnsi="仿宋" w:eastAsia="仿宋" w:cs="仿宋"/>
          <w:sz w:val="24"/>
          <w:szCs w:val="24"/>
          <w:highlight w:val="none"/>
          <w:lang w:eastAsia="zh-CN"/>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本合同项下的</w:t>
      </w:r>
      <w:r>
        <w:rPr>
          <w:rFonts w:hint="eastAsia" w:ascii="仿宋" w:hAnsi="仿宋" w:eastAsia="仿宋" w:cs="仿宋"/>
          <w:color w:val="000000"/>
          <w:sz w:val="24"/>
          <w:szCs w:val="24"/>
          <w:highlight w:val="none"/>
        </w:rPr>
        <w:t>付款方式：</w:t>
      </w:r>
      <w:r>
        <w:rPr>
          <w:rFonts w:hint="eastAsia" w:ascii="仿宋" w:hAnsi="仿宋" w:eastAsia="仿宋" w:cs="仿宋"/>
          <w:color w:val="000000"/>
          <w:sz w:val="24"/>
          <w:szCs w:val="24"/>
          <w:highlight w:val="none"/>
        </w:rPr>
        <w:sym w:font="Wingdings" w:char="00FE"/>
      </w:r>
      <w:r>
        <w:rPr>
          <w:rFonts w:hint="eastAsia" w:ascii="仿宋" w:hAnsi="仿宋" w:eastAsia="仿宋" w:cs="仿宋"/>
          <w:b/>
          <w:bCs/>
          <w:color w:val="000000"/>
          <w:sz w:val="24"/>
          <w:szCs w:val="24"/>
          <w:highlight w:val="none"/>
        </w:rPr>
        <w:t>银行电汇</w:t>
      </w:r>
      <w:r>
        <w:rPr>
          <w:rFonts w:hint="eastAsia" w:ascii="仿宋" w:hAnsi="仿宋" w:eastAsia="仿宋" w:cs="仿宋"/>
          <w:color w:val="000000"/>
          <w:sz w:val="24"/>
          <w:szCs w:val="24"/>
          <w:highlight w:val="none"/>
        </w:rPr>
        <w:t>；□其它</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w:t>
      </w:r>
      <w:r>
        <w:rPr>
          <w:rFonts w:hint="eastAsia" w:ascii="仿宋" w:hAnsi="仿宋" w:eastAsia="仿宋" w:cs="仿宋"/>
          <w:color w:val="000000"/>
          <w:sz w:val="24"/>
          <w:szCs w:val="24"/>
          <w:highlight w:val="none"/>
        </w:rPr>
        <w:t xml:space="preserve">    </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付款进度：</w:t>
      </w:r>
    </w:p>
    <w:p>
      <w:pPr>
        <w:numPr>
          <w:ilvl w:val="0"/>
          <w:numId w:val="4"/>
        </w:numPr>
        <w:adjustRightInd w:val="0"/>
        <w:spacing w:after="120" w:line="360" w:lineRule="auto"/>
        <w:ind w:left="420" w:leftChars="200" w:firstLine="146" w:firstLineChars="61"/>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预付款支付</w:t>
      </w:r>
      <w:r>
        <w:rPr>
          <w:rFonts w:hint="eastAsia" w:ascii="仿宋" w:hAnsi="仿宋" w:eastAsia="仿宋" w:cs="仿宋"/>
          <w:color w:val="000000"/>
          <w:sz w:val="24"/>
          <w:szCs w:val="24"/>
          <w:highlight w:val="none"/>
          <w:lang w:eastAsia="zh-CN"/>
        </w:rPr>
        <w:t>：</w:t>
      </w:r>
      <w:r>
        <w:rPr>
          <w:rFonts w:hint="eastAsia" w:ascii="仿宋" w:hAnsi="仿宋" w:eastAsia="仿宋" w:cs="仿宋"/>
          <w:b/>
          <w:bCs/>
          <w:color w:val="000000"/>
          <w:sz w:val="24"/>
          <w:szCs w:val="24"/>
          <w:highlight w:val="none"/>
          <w:u w:val="single"/>
          <w:lang w:val="en-US" w:eastAsia="zh-CN"/>
        </w:rPr>
        <w:t>无</w:t>
      </w:r>
      <w:r>
        <w:rPr>
          <w:rFonts w:hint="eastAsia" w:ascii="仿宋" w:hAnsi="仿宋" w:eastAsia="仿宋" w:cs="仿宋"/>
          <w:color w:val="000000"/>
          <w:sz w:val="24"/>
          <w:szCs w:val="24"/>
          <w:highlight w:val="none"/>
          <w:lang w:val="en-US" w:eastAsia="zh-CN"/>
        </w:rPr>
        <w:t>。</w:t>
      </w:r>
    </w:p>
    <w:p>
      <w:pPr>
        <w:adjustRightInd w:val="0"/>
        <w:spacing w:after="120" w:line="360" w:lineRule="auto"/>
        <w:ind w:left="420" w:leftChars="200" w:firstLine="146" w:firstLineChars="6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（2）进度款支付：</w:t>
      </w:r>
      <w:r>
        <w:rPr>
          <w:rFonts w:hint="eastAsia" w:ascii="仿宋" w:hAnsi="仿宋" w:eastAsia="仿宋" w:cs="仿宋"/>
          <w:b/>
          <w:bCs/>
          <w:color w:val="000000"/>
          <w:sz w:val="24"/>
          <w:szCs w:val="24"/>
          <w:highlight w:val="none"/>
          <w:u w:val="single"/>
          <w:lang w:val="en-US" w:eastAsia="zh-CN"/>
        </w:rPr>
        <w:t>无</w:t>
      </w:r>
      <w:r>
        <w:rPr>
          <w:rFonts w:hint="eastAsia" w:ascii="仿宋" w:hAnsi="仿宋" w:eastAsia="仿宋" w:cs="仿宋"/>
          <w:color w:val="000000"/>
          <w:sz w:val="24"/>
          <w:szCs w:val="24"/>
          <w:highlight w:val="none"/>
          <w:lang w:val="en-US" w:eastAsia="zh-CN"/>
        </w:rPr>
        <w:t>。</w:t>
      </w:r>
    </w:p>
    <w:p>
      <w:pPr>
        <w:adjustRightInd w:val="0"/>
        <w:spacing w:after="120" w:line="360" w:lineRule="auto"/>
        <w:ind w:left="420" w:leftChars="200" w:firstLine="146" w:firstLineChars="6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（3）完工款支付： </w:t>
      </w:r>
    </w:p>
    <w:p>
      <w:pPr>
        <w:tabs>
          <w:tab w:val="left" w:pos="709"/>
        </w:tabs>
        <w:spacing w:before="109" w:beforeLines="35" w:line="360" w:lineRule="auto"/>
        <w:ind w:left="710" w:leftChars="338" w:firstLine="480" w:firstLineChars="200"/>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sz w:val="24"/>
          <w:szCs w:val="24"/>
          <w:highlight w:val="none"/>
          <w:lang w:val="en-US" w:eastAsia="zh-CN"/>
        </w:rPr>
        <w:t>对于本合同的合同价款，乙方完成本合同项下的具体工作、提交工作成果，且经甲方验收合格后，乙方向甲方执行方提供有效增值税专用发票及相关支持文件，甲方在收到有效增值税专用发票及相关支持文件并审核无误后</w:t>
      </w:r>
      <w:r>
        <w:rPr>
          <w:rFonts w:hint="eastAsia" w:ascii="仿宋" w:hAnsi="仿宋" w:eastAsia="仿宋" w:cs="仿宋"/>
          <w:b/>
          <w:bCs/>
          <w:color w:val="000000"/>
          <w:sz w:val="24"/>
          <w:szCs w:val="24"/>
          <w:highlight w:val="yellow"/>
          <w:u w:val="single"/>
          <w:lang w:val="en-US" w:eastAsia="zh-CN"/>
        </w:rPr>
        <w:t>45</w:t>
      </w:r>
      <w:r>
        <w:rPr>
          <w:rFonts w:hint="eastAsia" w:ascii="仿宋" w:hAnsi="仿宋" w:eastAsia="仿宋" w:cs="仿宋"/>
          <w:color w:val="000000"/>
          <w:sz w:val="24"/>
          <w:szCs w:val="24"/>
          <w:highlight w:val="none"/>
          <w:lang w:val="en-US" w:eastAsia="zh-CN"/>
        </w:rPr>
        <w:t>日内，甲方应向乙方支付按审核确认完成合同总价的</w:t>
      </w:r>
      <w:r>
        <w:rPr>
          <w:rFonts w:hint="eastAsia" w:ascii="仿宋" w:hAnsi="仿宋" w:eastAsia="仿宋" w:cs="仿宋"/>
          <w:b/>
          <w:bCs/>
          <w:color w:val="000000"/>
          <w:sz w:val="24"/>
          <w:szCs w:val="24"/>
          <w:highlight w:val="yellow"/>
          <w:u w:val="single"/>
          <w:lang w:val="en-US" w:eastAsia="zh-CN"/>
        </w:rPr>
        <w:t>100</w:t>
      </w:r>
      <w:r>
        <w:rPr>
          <w:rFonts w:hint="eastAsia" w:ascii="仿宋" w:hAnsi="仿宋" w:eastAsia="仿宋" w:cs="仿宋"/>
          <w:color w:val="000000"/>
          <w:sz w:val="24"/>
          <w:szCs w:val="24"/>
          <w:highlight w:val="none"/>
          <w:lang w:val="en-US" w:eastAsia="zh-CN"/>
        </w:rPr>
        <w:t>%，</w:t>
      </w:r>
      <w:r>
        <w:rPr>
          <w:rFonts w:hint="eastAsia" w:ascii="仿宋" w:hAnsi="仿宋" w:eastAsia="仿宋" w:cs="仿宋"/>
          <w:b w:val="0"/>
          <w:bCs w:val="0"/>
          <w:color w:val="000000"/>
          <w:sz w:val="24"/>
          <w:szCs w:val="24"/>
          <w:highlight w:val="none"/>
          <w:u w:val="none"/>
          <w:lang w:val="en-US" w:eastAsia="zh-CN"/>
        </w:rPr>
        <w:t>即￥：</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元（大写：</w:t>
      </w:r>
      <w:r>
        <w:rPr>
          <w:rFonts w:hint="eastAsia" w:ascii="仿宋" w:hAnsi="仿宋" w:eastAsia="仿宋" w:cs="仿宋"/>
          <w:b/>
          <w:bCs/>
          <w:color w:val="000000"/>
          <w:sz w:val="24"/>
          <w:szCs w:val="24"/>
          <w:highlight w:val="none"/>
          <w:u w:val="single"/>
          <w:lang w:val="en-US" w:eastAsia="zh-CN"/>
        </w:rPr>
        <w:t xml:space="preserve">人民币   </w:t>
      </w:r>
      <w:r>
        <w:rPr>
          <w:rFonts w:hint="eastAsia" w:ascii="仿宋" w:hAnsi="仿宋" w:eastAsia="仿宋" w:cs="仿宋"/>
          <w:b w:val="0"/>
          <w:bCs w:val="0"/>
          <w:color w:val="000000"/>
          <w:sz w:val="24"/>
          <w:szCs w:val="24"/>
          <w:highlight w:val="none"/>
          <w:u w:val="none"/>
          <w:lang w:val="en-US" w:eastAsia="zh-CN"/>
        </w:rPr>
        <w:t>）,其中不含税价为￥</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元，税金为￥</w:t>
      </w:r>
      <w:r>
        <w:rPr>
          <w:rFonts w:hint="eastAsia" w:ascii="仿宋" w:hAnsi="仿宋" w:eastAsia="仿宋" w:cs="仿宋"/>
          <w:b/>
          <w:bCs/>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u w:val="none"/>
          <w:lang w:val="en-US" w:eastAsia="zh-CN"/>
        </w:rPr>
        <w:t>元</w:t>
      </w:r>
      <w:r>
        <w:rPr>
          <w:rFonts w:hint="eastAsia" w:ascii="仿宋" w:hAnsi="仿宋" w:eastAsia="仿宋" w:cs="仿宋"/>
          <w:b w:val="0"/>
          <w:bCs w:val="0"/>
          <w:color w:val="000000"/>
          <w:sz w:val="24"/>
          <w:szCs w:val="24"/>
          <w:highlight w:val="none"/>
          <w:lang w:val="en-US" w:eastAsia="zh-CN"/>
        </w:rPr>
        <w:t>。</w:t>
      </w:r>
      <w:r>
        <w:rPr>
          <w:rFonts w:hint="eastAsia" w:ascii="仿宋" w:hAnsi="仿宋" w:eastAsia="仿宋" w:cs="仿宋"/>
          <w:b/>
          <w:bCs/>
          <w:sz w:val="24"/>
          <w:szCs w:val="24"/>
          <w:highlight w:val="none"/>
        </w:rPr>
        <w:t>如付款到期日非为银行工作日，则付款到期日顺延至下一个银行工作日</w:t>
      </w:r>
      <w:r>
        <w:rPr>
          <w:rFonts w:hint="eastAsia" w:ascii="仿宋" w:hAnsi="仿宋" w:eastAsia="仿宋" w:cs="仿宋"/>
          <w:sz w:val="24"/>
          <w:szCs w:val="24"/>
          <w:highlight w:val="none"/>
        </w:rPr>
        <w:t>。</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乙方应根据合同规定的付款条件和进度，提前向甲方开具符合中国法律法规要求的发票并提供相关支持文件。如乙方提供的服务属于增值税应税范围，乙方应为甲方开具增值税专用发票。发票应注明</w:t>
      </w:r>
      <w:r>
        <w:rPr>
          <w:rFonts w:hint="eastAsia" w:ascii="仿宋" w:hAnsi="仿宋" w:eastAsia="仿宋" w:cs="仿宋"/>
          <w:b/>
          <w:bCs/>
          <w:sz w:val="24"/>
          <w:szCs w:val="24"/>
          <w:highlight w:val="none"/>
          <w:u w:val="single"/>
        </w:rPr>
        <w:t>合同编号</w:t>
      </w:r>
      <w:r>
        <w:rPr>
          <w:rFonts w:hint="eastAsia" w:ascii="仿宋" w:hAnsi="仿宋" w:eastAsia="仿宋" w:cs="仿宋"/>
          <w:sz w:val="24"/>
          <w:szCs w:val="24"/>
          <w:highlight w:val="none"/>
        </w:rPr>
        <w:t>且抬头应为：</w:t>
      </w:r>
      <w:r>
        <w:rPr>
          <w:rFonts w:hint="eastAsia" w:ascii="仿宋" w:hAnsi="仿宋" w:eastAsia="仿宋" w:cs="仿宋"/>
          <w:b/>
          <w:bCs/>
          <w:sz w:val="24"/>
          <w:szCs w:val="24"/>
          <w:highlight w:val="yellow"/>
          <w:u w:val="single"/>
          <w:lang w:val="en-US" w:eastAsia="zh-CN"/>
        </w:rPr>
        <w:t xml:space="preserve">      </w:t>
      </w:r>
      <w:r>
        <w:rPr>
          <w:rFonts w:hint="eastAsia" w:ascii="仿宋" w:hAnsi="仿宋" w:eastAsia="仿宋" w:cs="仿宋"/>
          <w:sz w:val="24"/>
          <w:szCs w:val="24"/>
          <w:highlight w:val="none"/>
        </w:rPr>
        <w:t>。如乙方未开具上述发票并提供相关支持文件，甲方有权拒付相关合同价款。如果甲方对乙方出具的该等发票和提供的相关支持文件无异议，经甲方确认无误后，甲方将在</w:t>
      </w:r>
      <w:r>
        <w:rPr>
          <w:rFonts w:hint="eastAsia" w:ascii="仿宋" w:hAnsi="仿宋" w:eastAsia="仿宋" w:cs="仿宋"/>
          <w:b/>
          <w:bCs/>
          <w:sz w:val="24"/>
          <w:szCs w:val="24"/>
          <w:highlight w:val="yellow"/>
          <w:u w:val="single"/>
          <w:lang w:val="en-US" w:eastAsia="zh-CN"/>
        </w:rPr>
        <w:t>45</w:t>
      </w:r>
      <w:r>
        <w:rPr>
          <w:rFonts w:hint="eastAsia" w:ascii="仿宋" w:hAnsi="仿宋" w:eastAsia="仿宋" w:cs="仿宋"/>
          <w:sz w:val="24"/>
          <w:szCs w:val="24"/>
          <w:highlight w:val="none"/>
          <w:lang w:val="en-US" w:eastAsia="zh-CN"/>
        </w:rPr>
        <w:t>日</w:t>
      </w:r>
      <w:r>
        <w:rPr>
          <w:rFonts w:hint="eastAsia" w:ascii="仿宋" w:hAnsi="仿宋" w:eastAsia="仿宋" w:cs="仿宋"/>
          <w:sz w:val="24"/>
          <w:szCs w:val="24"/>
          <w:highlight w:val="none"/>
        </w:rPr>
        <w:t>内向乙方付款。如付款到期日非为银行工作日，则付款到期日顺延至下一个银行工作日。如果甲方对乙方提交的该等发票和相关支持文件全部或部分有异议，应及时通知乙方，乙方应根据甲方要求修改并重新开具发票，该等情况下，付款期限从甲方收到该等重新开具的发票和相关支持文件之日起重新计算。</w:t>
      </w:r>
    </w:p>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甲方开票信息</w:t>
      </w:r>
    </w:p>
    <w:tbl>
      <w:tblPr>
        <w:tblStyle w:val="22"/>
        <w:tblW w:w="7502" w:type="dxa"/>
        <w:tblInd w:w="880" w:type="dxa"/>
        <w:tblLayout w:type="autofit"/>
        <w:tblCellMar>
          <w:top w:w="0" w:type="dxa"/>
          <w:left w:w="108" w:type="dxa"/>
          <w:bottom w:w="0" w:type="dxa"/>
          <w:right w:w="108" w:type="dxa"/>
        </w:tblCellMar>
      </w:tblPr>
      <w:tblGrid>
        <w:gridCol w:w="7502"/>
      </w:tblGrid>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公 司 名 称：</w:t>
            </w:r>
            <w:r>
              <w:rPr>
                <w:rFonts w:hint="eastAsia" w:ascii="仿宋" w:hAnsi="仿宋" w:eastAsia="仿宋" w:cs="仿宋"/>
                <w:b/>
                <w:bCs/>
                <w:color w:val="000000"/>
                <w:kern w:val="0"/>
                <w:sz w:val="24"/>
                <w:szCs w:val="24"/>
                <w:highlight w:val="none"/>
                <w:lang w:val="en-US" w:eastAsia="zh-CN"/>
              </w:rPr>
              <w:t xml:space="preserve"> 中海油(天津)油田化工有限公司</w:t>
            </w:r>
          </w:p>
        </w:tc>
      </w:tr>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rPr>
              <w:t>纳税人识别号：</w:t>
            </w:r>
            <w:r>
              <w:rPr>
                <w:rFonts w:hint="eastAsia" w:ascii="仿宋" w:hAnsi="仿宋" w:eastAsia="仿宋" w:cs="仿宋"/>
                <w:b/>
                <w:bCs/>
                <w:color w:val="000000"/>
                <w:kern w:val="0"/>
                <w:sz w:val="24"/>
                <w:szCs w:val="24"/>
                <w:highlight w:val="none"/>
                <w:lang w:val="en-US" w:eastAsia="zh-CN"/>
              </w:rPr>
              <w:t xml:space="preserve"> 91120116MA06D8ND82</w:t>
            </w:r>
          </w:p>
          <w:p>
            <w:pPr>
              <w:keepNext w:val="0"/>
              <w:keepLines w:val="0"/>
              <w:widowControl/>
              <w:suppressLineNumbers w:val="0"/>
              <w:spacing w:before="0" w:beforeAutospacing="0" w:after="0" w:afterAutospacing="0" w:line="360" w:lineRule="auto"/>
              <w:ind w:left="0" w:right="0"/>
              <w:rPr>
                <w:rFonts w:hint="eastAsia" w:ascii="仿宋" w:hAnsi="仿宋" w:eastAsia="仿宋" w:cs="仿宋"/>
                <w:color w:val="000000"/>
                <w:kern w:val="0"/>
                <w:sz w:val="24"/>
                <w:szCs w:val="24"/>
                <w:highlight w:val="none"/>
                <w:lang w:eastAsia="zh-CN"/>
              </w:rPr>
            </w:pPr>
            <w:r>
              <w:rPr>
                <w:rFonts w:hint="eastAsia" w:ascii="仿宋" w:hAnsi="仿宋" w:eastAsia="仿宋" w:cs="仿宋"/>
                <w:b/>
                <w:color w:val="000000"/>
                <w:kern w:val="0"/>
                <w:sz w:val="24"/>
                <w:szCs w:val="24"/>
                <w:highlight w:val="none"/>
              </w:rPr>
              <w:t>地   址：</w:t>
            </w:r>
            <w:r>
              <w:rPr>
                <w:rFonts w:hint="eastAsia" w:ascii="仿宋" w:hAnsi="仿宋" w:eastAsia="仿宋" w:cs="仿宋"/>
                <w:b/>
                <w:color w:val="000000"/>
                <w:kern w:val="0"/>
                <w:sz w:val="24"/>
                <w:szCs w:val="24"/>
                <w:highlight w:val="none"/>
                <w:lang w:val="en-US" w:eastAsia="zh-CN"/>
              </w:rPr>
              <w:t xml:space="preserve"> 天津开发区南港工业区泰汇道6号，022-66907117</w:t>
            </w:r>
          </w:p>
        </w:tc>
      </w:tr>
      <w:tr>
        <w:tblPrEx>
          <w:tblCellMar>
            <w:top w:w="0" w:type="dxa"/>
            <w:left w:w="108" w:type="dxa"/>
            <w:bottom w:w="0" w:type="dxa"/>
            <w:right w:w="108" w:type="dxa"/>
          </w:tblCellMar>
        </w:tblPrEx>
        <w:trPr>
          <w:trHeight w:val="374" w:hRule="atLeast"/>
        </w:trPr>
        <w:tc>
          <w:tcPr>
            <w:tcW w:w="75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line="360" w:lineRule="auto"/>
              <w:ind w:left="1924" w:leftChars="-3" w:right="0" w:hanging="1930" w:hangingChars="801"/>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开户行及账号：</w:t>
            </w:r>
            <w:r>
              <w:rPr>
                <w:rFonts w:hint="eastAsia" w:ascii="仿宋" w:hAnsi="仿宋" w:eastAsia="仿宋" w:cs="仿宋"/>
                <w:b/>
                <w:bCs/>
                <w:color w:val="000000"/>
                <w:kern w:val="0"/>
                <w:sz w:val="24"/>
                <w:szCs w:val="24"/>
                <w:highlight w:val="none"/>
                <w:lang w:val="en-US" w:eastAsia="zh-CN"/>
              </w:rPr>
              <w:t xml:space="preserve"> 中国工商银行北京国家文化与金融合作示范区金街支行9558830200999019730</w:t>
            </w:r>
          </w:p>
        </w:tc>
      </w:tr>
    </w:tbl>
    <w:p>
      <w:pPr>
        <w:numPr>
          <w:ilvl w:val="1"/>
          <w:numId w:val="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乙方账户</w:t>
      </w:r>
    </w:p>
    <w:p>
      <w:pPr>
        <w:tabs>
          <w:tab w:val="left" w:pos="709"/>
          <w:tab w:val="left" w:pos="1418"/>
        </w:tabs>
        <w:adjustRightInd w:val="0"/>
        <w:snapToGrid w:val="0"/>
        <w:spacing w:before="93" w:beforeLines="30" w:after="93" w:afterLines="30" w:line="360" w:lineRule="auto"/>
        <w:ind w:left="708" w:leftChars="337"/>
        <w:rPr>
          <w:rFonts w:hint="eastAsia" w:ascii="仿宋" w:hAnsi="仿宋" w:eastAsia="仿宋" w:cs="仿宋"/>
          <w:sz w:val="24"/>
          <w:szCs w:val="24"/>
          <w:highlight w:val="none"/>
        </w:rPr>
      </w:pPr>
      <w:r>
        <w:rPr>
          <w:rFonts w:hint="eastAsia" w:ascii="仿宋" w:hAnsi="仿宋" w:eastAsia="仿宋" w:cs="仿宋"/>
          <w:sz w:val="24"/>
          <w:szCs w:val="24"/>
          <w:highlight w:val="none"/>
        </w:rPr>
        <w:t>乙方应通过如下账户收取合同总价及其它款项，并通过该账户向甲方支付与合同有关的任何款项：</w:t>
      </w:r>
    </w:p>
    <w:p>
      <w:pPr>
        <w:tabs>
          <w:tab w:val="left" w:pos="709"/>
          <w:tab w:val="left" w:pos="1418"/>
        </w:tabs>
        <w:adjustRightInd w:val="0"/>
        <w:snapToGrid w:val="0"/>
        <w:spacing w:before="93" w:beforeLines="30" w:after="93" w:afterLines="30" w:line="360" w:lineRule="auto"/>
        <w:ind w:left="708" w:leftChars="337" w:right="951" w:rightChars="453"/>
        <w:rPr>
          <w:rFonts w:hint="default" w:ascii="仿宋" w:hAnsi="仿宋" w:eastAsia="仿宋" w:cs="仿宋"/>
          <w:sz w:val="24"/>
          <w:szCs w:val="24"/>
          <w:highlight w:val="none"/>
          <w:lang w:val="en-US" w:eastAsia="zh-CN"/>
        </w:rPr>
      </w:pPr>
      <w:bookmarkStart w:id="42" w:name="_Toc364839363"/>
      <w:bookmarkStart w:id="43" w:name="_Toc299912665"/>
      <w:bookmarkStart w:id="44" w:name="_Toc299915681"/>
      <w:r>
        <w:rPr>
          <w:rFonts w:hint="eastAsia" w:ascii="仿宋" w:hAnsi="仿宋" w:eastAsia="仿宋" w:cs="仿宋"/>
          <w:sz w:val="24"/>
          <w:szCs w:val="24"/>
          <w:highlight w:val="none"/>
        </w:rPr>
        <w:t>乙方名称：</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s>
        <w:adjustRightInd w:val="0"/>
        <w:snapToGrid w:val="0"/>
        <w:spacing w:before="93" w:beforeLines="30" w:after="93" w:afterLines="30" w:line="360" w:lineRule="auto"/>
        <w:ind w:left="708" w:leftChars="337" w:right="2075" w:rightChars="988"/>
        <w:rPr>
          <w:rFonts w:hint="eastAsia" w:ascii="仿宋" w:hAnsi="仿宋" w:eastAsia="仿宋" w:cs="仿宋"/>
          <w:sz w:val="24"/>
          <w:szCs w:val="24"/>
          <w:highlight w:val="none"/>
        </w:rPr>
      </w:pPr>
      <w:r>
        <w:rPr>
          <w:rFonts w:hint="eastAsia" w:ascii="仿宋" w:hAnsi="仿宋" w:eastAsia="仿宋" w:cs="仿宋"/>
          <w:sz w:val="24"/>
          <w:szCs w:val="24"/>
          <w:highlight w:val="none"/>
        </w:rPr>
        <w:t>账    号：</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s>
        <w:adjustRightInd w:val="0"/>
        <w:snapToGrid w:val="0"/>
        <w:spacing w:before="93" w:beforeLines="30" w:after="93" w:afterLines="30" w:line="360" w:lineRule="auto"/>
        <w:ind w:left="708" w:leftChars="337" w:right="2075" w:rightChars="988"/>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开户行名称：</w:t>
      </w:r>
      <w:r>
        <w:rPr>
          <w:rFonts w:hint="eastAsia" w:ascii="仿宋" w:hAnsi="仿宋" w:eastAsia="仿宋" w:cs="仿宋"/>
          <w:b/>
          <w:bCs/>
          <w:sz w:val="24"/>
          <w:szCs w:val="24"/>
          <w:highlight w:val="none"/>
          <w:u w:val="single"/>
          <w:lang w:val="en-US" w:eastAsia="zh-CN"/>
        </w:rPr>
        <w:t xml:space="preserve">                  </w:t>
      </w:r>
    </w:p>
    <w:p>
      <w:pPr>
        <w:tabs>
          <w:tab w:val="left" w:pos="709"/>
          <w:tab w:val="left" w:pos="1418"/>
          <w:tab w:val="left" w:pos="5680"/>
        </w:tabs>
        <w:adjustRightInd w:val="0"/>
        <w:snapToGrid w:val="0"/>
        <w:spacing w:before="93" w:beforeLines="30" w:after="93" w:afterLines="30" w:line="360" w:lineRule="auto"/>
        <w:ind w:left="708" w:leftChars="337" w:right="2205" w:rightChars="1050"/>
        <w:rPr>
          <w:rFonts w:hint="eastAsia" w:ascii="仿宋" w:hAnsi="仿宋" w:eastAsia="仿宋" w:cs="仿宋"/>
          <w:sz w:val="24"/>
          <w:szCs w:val="24"/>
          <w:highlight w:val="none"/>
        </w:rPr>
      </w:pPr>
      <w:r>
        <w:rPr>
          <w:rFonts w:hint="eastAsia" w:ascii="仿宋" w:hAnsi="仿宋" w:eastAsia="仿宋" w:cs="仿宋"/>
          <w:sz w:val="24"/>
          <w:szCs w:val="24"/>
          <w:highlight w:val="none"/>
        </w:rPr>
        <w:t>开户行地址：</w:t>
      </w:r>
      <w:r>
        <w:rPr>
          <w:rFonts w:hint="eastAsia" w:ascii="仿宋" w:hAnsi="仿宋" w:eastAsia="仿宋" w:cs="仿宋"/>
          <w:b/>
          <w:bCs/>
          <w:sz w:val="24"/>
          <w:szCs w:val="24"/>
          <w:highlight w:val="none"/>
          <w:u w:val="single"/>
          <w:lang w:val="en-US" w:eastAsia="zh-CN"/>
        </w:rPr>
        <w:t xml:space="preserve">                  </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45" w:name="_Toc9648"/>
      <w:r>
        <w:rPr>
          <w:rFonts w:hint="eastAsia" w:ascii="仿宋" w:hAnsi="仿宋" w:eastAsia="仿宋" w:cs="仿宋"/>
          <w:b/>
          <w:bCs/>
          <w:sz w:val="24"/>
          <w:szCs w:val="24"/>
          <w:highlight w:val="none"/>
        </w:rPr>
        <w:t>工作期限</w:t>
      </w:r>
      <w:bookmarkEnd w:id="42"/>
      <w:bookmarkEnd w:id="45"/>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工作期限</w:t>
      </w:r>
      <w:r>
        <w:rPr>
          <w:rFonts w:hint="eastAsia" w:ascii="仿宋" w:hAnsi="仿宋" w:eastAsia="仿宋" w:cs="仿宋"/>
          <w:sz w:val="24"/>
          <w:szCs w:val="24"/>
          <w:highlight w:val="none"/>
          <w:lang w:val="en-US" w:eastAsia="zh-CN"/>
        </w:rPr>
        <w:t>为：</w:t>
      </w:r>
      <w:r>
        <w:rPr>
          <w:rFonts w:hint="eastAsia" w:ascii="仿宋" w:hAnsi="仿宋" w:eastAsia="仿宋" w:cs="仿宋"/>
          <w:b/>
          <w:bCs/>
          <w:sz w:val="24"/>
          <w:szCs w:val="24"/>
          <w:highlight w:val="yellow"/>
          <w:u w:val="single"/>
          <w:lang w:eastAsia="zh-CN"/>
        </w:rPr>
        <w:t>合同签订后40</w:t>
      </w:r>
      <w:r>
        <w:rPr>
          <w:rFonts w:hint="eastAsia" w:ascii="仿宋" w:hAnsi="仿宋" w:eastAsia="仿宋" w:cs="仿宋"/>
          <w:b/>
          <w:bCs/>
          <w:sz w:val="24"/>
          <w:szCs w:val="24"/>
          <w:highlight w:val="yellow"/>
          <w:u w:val="single"/>
          <w:lang w:val="en-US" w:eastAsia="zh-CN"/>
        </w:rPr>
        <w:t>个</w:t>
      </w:r>
      <w:r>
        <w:rPr>
          <w:rFonts w:hint="eastAsia" w:ascii="仿宋" w:hAnsi="仿宋" w:eastAsia="仿宋" w:cs="仿宋"/>
          <w:b/>
          <w:bCs/>
          <w:sz w:val="24"/>
          <w:szCs w:val="24"/>
          <w:highlight w:val="yellow"/>
          <w:u w:val="single"/>
          <w:lang w:eastAsia="zh-CN"/>
        </w:rPr>
        <w:t>工作日内。</w:t>
      </w:r>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乙方应严格根据工作进度和工作期限，提</w:t>
      </w:r>
      <w:bookmarkStart w:id="272" w:name="_GoBack"/>
      <w:bookmarkEnd w:id="272"/>
      <w:r>
        <w:rPr>
          <w:rFonts w:hint="eastAsia" w:ascii="仿宋" w:hAnsi="仿宋" w:eastAsia="仿宋" w:cs="仿宋"/>
          <w:sz w:val="24"/>
          <w:szCs w:val="24"/>
          <w:highlight w:val="none"/>
        </w:rPr>
        <w:t>供合同项下的服务，完成合同项下的全部工作，履行合同约定的义务，向甲方提交工作成果。</w:t>
      </w:r>
    </w:p>
    <w:p>
      <w:pPr>
        <w:numPr>
          <w:ilvl w:val="0"/>
          <w:numId w:val="5"/>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乙方应提供高效、及时的服务，确保服务实际进度符合工作进度和工作期限的要求。</w:t>
      </w:r>
      <w:bookmarkStart w:id="46" w:name="_Toc367803099"/>
      <w:bookmarkEnd w:id="46"/>
      <w:bookmarkStart w:id="47" w:name="_Toc367799523"/>
      <w:bookmarkEnd w:id="47"/>
      <w:bookmarkStart w:id="48" w:name="_Toc367799336"/>
      <w:bookmarkEnd w:id="48"/>
      <w:bookmarkStart w:id="49" w:name="_Toc367800087"/>
      <w:bookmarkEnd w:id="49"/>
      <w:bookmarkStart w:id="50" w:name="_Toc367863946"/>
      <w:bookmarkEnd w:id="50"/>
      <w:bookmarkStart w:id="51" w:name="_Toc367805508"/>
      <w:bookmarkEnd w:id="51"/>
      <w:bookmarkStart w:id="52" w:name="_Toc367801406"/>
      <w:bookmarkEnd w:id="52"/>
      <w:bookmarkStart w:id="53" w:name="_Toc367803672"/>
      <w:bookmarkEnd w:id="53"/>
      <w:bookmarkStart w:id="54" w:name="_Toc367803288"/>
      <w:bookmarkEnd w:id="54"/>
      <w:bookmarkStart w:id="55" w:name="_Toc367798775"/>
      <w:bookmarkEnd w:id="55"/>
      <w:bookmarkStart w:id="56" w:name="_Toc367804968"/>
      <w:bookmarkEnd w:id="56"/>
      <w:bookmarkStart w:id="57" w:name="_Toc367800465"/>
      <w:bookmarkEnd w:id="57"/>
      <w:bookmarkStart w:id="58" w:name="_Toc367801026"/>
      <w:bookmarkEnd w:id="58"/>
      <w:bookmarkStart w:id="59" w:name="_Toc367798584"/>
      <w:bookmarkEnd w:id="59"/>
      <w:bookmarkStart w:id="60" w:name="_Toc367805148"/>
      <w:bookmarkEnd w:id="60"/>
      <w:bookmarkStart w:id="61" w:name="_Toc367864134"/>
      <w:bookmarkEnd w:id="61"/>
      <w:bookmarkStart w:id="62" w:name="_Toc367800839"/>
      <w:bookmarkEnd w:id="62"/>
      <w:bookmarkStart w:id="63" w:name="_Toc367798211"/>
      <w:bookmarkEnd w:id="63"/>
      <w:bookmarkStart w:id="64" w:name="_Toc367799899"/>
      <w:bookmarkEnd w:id="64"/>
      <w:bookmarkStart w:id="65" w:name="_Toc367805868"/>
      <w:bookmarkEnd w:id="65"/>
      <w:bookmarkStart w:id="66" w:name="_Toc367805688"/>
      <w:bookmarkEnd w:id="66"/>
      <w:bookmarkStart w:id="67" w:name="_Toc367801214"/>
      <w:bookmarkEnd w:id="67"/>
      <w:bookmarkStart w:id="68" w:name="_Toc367804605"/>
      <w:bookmarkEnd w:id="68"/>
      <w:bookmarkStart w:id="69" w:name="_Toc367798962"/>
      <w:bookmarkEnd w:id="69"/>
      <w:bookmarkStart w:id="70" w:name="_Toc367805329"/>
      <w:bookmarkEnd w:id="70"/>
      <w:bookmarkStart w:id="71" w:name="_Toc367804417"/>
      <w:bookmarkEnd w:id="71"/>
      <w:bookmarkStart w:id="72" w:name="_Toc367799149"/>
      <w:bookmarkEnd w:id="72"/>
      <w:bookmarkStart w:id="73" w:name="_Toc367804048"/>
      <w:bookmarkEnd w:id="73"/>
      <w:bookmarkStart w:id="74" w:name="_Toc367800652"/>
      <w:bookmarkEnd w:id="74"/>
      <w:bookmarkStart w:id="75" w:name="_Toc367801783"/>
      <w:bookmarkEnd w:id="75"/>
      <w:bookmarkStart w:id="76" w:name="_Toc367802532"/>
      <w:bookmarkEnd w:id="76"/>
      <w:bookmarkStart w:id="77" w:name="_Toc367803860"/>
      <w:bookmarkEnd w:id="77"/>
      <w:bookmarkStart w:id="78" w:name="_Toc367801970"/>
      <w:bookmarkEnd w:id="78"/>
      <w:bookmarkStart w:id="79" w:name="_Toc367804787"/>
      <w:bookmarkEnd w:id="79"/>
      <w:bookmarkStart w:id="80" w:name="_Toc367802157"/>
      <w:bookmarkEnd w:id="80"/>
      <w:bookmarkStart w:id="81" w:name="_Toc367802344"/>
      <w:bookmarkEnd w:id="81"/>
      <w:bookmarkStart w:id="82" w:name="_Toc367801596"/>
      <w:bookmarkEnd w:id="82"/>
      <w:bookmarkStart w:id="83" w:name="_Toc367802719"/>
      <w:bookmarkEnd w:id="83"/>
      <w:bookmarkStart w:id="84" w:name="_Toc367802910"/>
      <w:bookmarkEnd w:id="84"/>
      <w:bookmarkStart w:id="85" w:name="_Toc367799713"/>
      <w:bookmarkEnd w:id="85"/>
      <w:bookmarkStart w:id="86" w:name="_Toc367800278"/>
      <w:bookmarkEnd w:id="86"/>
      <w:bookmarkStart w:id="87" w:name="_Toc367804237"/>
      <w:bookmarkEnd w:id="87"/>
      <w:bookmarkStart w:id="88" w:name="_Toc367798397"/>
      <w:bookmarkEnd w:id="88"/>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89" w:name="_Toc299915683"/>
      <w:bookmarkStart w:id="90" w:name="_Toc19868"/>
      <w:bookmarkStart w:id="91" w:name="_Toc364839364"/>
      <w:r>
        <w:rPr>
          <w:rFonts w:hint="eastAsia" w:ascii="仿宋" w:hAnsi="仿宋" w:eastAsia="仿宋" w:cs="仿宋"/>
          <w:b/>
          <w:bCs/>
          <w:sz w:val="24"/>
          <w:szCs w:val="24"/>
          <w:highlight w:val="none"/>
        </w:rPr>
        <w:t>乙方人员</w:t>
      </w:r>
      <w:bookmarkEnd w:id="89"/>
      <w:bookmarkEnd w:id="90"/>
      <w:bookmarkEnd w:id="91"/>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一般要求：</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乙方应选聘、组织充足、适格、有经验的人员执行、完成本合同项下的工作。</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本合同履行过程中，乙方应对其员工的报酬、福利、社会保险、商业保险、食宿、交通负责，相关费用已包含于合同总价中。</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本合同履行过程中，乙方应建立并维系合法、适当的劳动关系。</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乙方应采取措施确保其工作人员在执行工作过程中严格遵守本合同和法律法规的规定。</w:t>
      </w:r>
    </w:p>
    <w:p>
      <w:pPr>
        <w:numPr>
          <w:ilvl w:val="0"/>
          <w:numId w:val="7"/>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甲方有权要求乙方更换其工作人员，乙方应严格执行甲方的要求。</w:t>
      </w:r>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乙方代表：</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开始提供本合同项下的服务（“开始日”）前，乙方应以书面方式任命一名有经验、具备相应能力和资质的人员担任乙方代表，全权代表乙方履行本合同。乙方任命乙方代表应获得甲方的事先书面批准；未经甲方事先书面批准，乙方不得更换乙方代表。</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乙方代表向甲方发出的任何与本合同有关的书面通知、请示、要求、批准和确认构成对乙方有约束力的文件。</w:t>
      </w:r>
    </w:p>
    <w:p>
      <w:pPr>
        <w:numPr>
          <w:ilvl w:val="1"/>
          <w:numId w:val="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甲方可要求乙方更换乙方代表，乙方应根据甲方的要求予以更换。</w:t>
      </w:r>
    </w:p>
    <w:p>
      <w:pPr>
        <w:numPr>
          <w:ilvl w:val="1"/>
          <w:numId w:val="6"/>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bookmarkStart w:id="92" w:name="_Toc299550435"/>
      <w:bookmarkStart w:id="93" w:name="_Toc299550327"/>
      <w:r>
        <w:rPr>
          <w:rFonts w:hint="eastAsia" w:ascii="仿宋" w:hAnsi="仿宋" w:eastAsia="仿宋" w:cs="仿宋"/>
          <w:sz w:val="24"/>
          <w:szCs w:val="24"/>
          <w:highlight w:val="none"/>
        </w:rPr>
        <w:t>乙方关键人员：</w:t>
      </w:r>
      <w:bookmarkEnd w:id="92"/>
      <w:bookmarkEnd w:id="93"/>
      <w:r>
        <w:rPr>
          <w:rFonts w:hint="eastAsia" w:ascii="仿宋" w:hAnsi="仿宋" w:eastAsia="仿宋" w:cs="仿宋"/>
          <w:sz w:val="24"/>
          <w:szCs w:val="24"/>
          <w:highlight w:val="none"/>
        </w:rPr>
        <w:t xml:space="preserve"> </w:t>
      </w:r>
    </w:p>
    <w:p>
      <w:pPr>
        <w:numPr>
          <w:ilvl w:val="2"/>
          <w:numId w:val="9"/>
        </w:numPr>
        <w:adjustRightInd w:val="0"/>
        <w:snapToGrid w:val="0"/>
        <w:spacing w:before="93" w:beforeLines="30" w:after="93" w:afterLines="30" w:line="360" w:lineRule="auto"/>
        <w:ind w:hanging="551"/>
        <w:rPr>
          <w:rFonts w:hint="eastAsia" w:ascii="仿宋" w:hAnsi="仿宋" w:eastAsia="仿宋" w:cs="仿宋"/>
          <w:sz w:val="24"/>
          <w:szCs w:val="24"/>
          <w:highlight w:val="none"/>
        </w:rPr>
      </w:pPr>
      <w:bookmarkStart w:id="94" w:name="_Toc299550436"/>
      <w:bookmarkStart w:id="95" w:name="_Toc299550328"/>
      <w:r>
        <w:rPr>
          <w:rFonts w:hint="eastAsia" w:ascii="仿宋" w:hAnsi="仿宋" w:eastAsia="仿宋" w:cs="仿宋"/>
          <w:sz w:val="24"/>
          <w:szCs w:val="24"/>
          <w:highlight w:val="none"/>
        </w:rPr>
        <w:t>乙方关键人员应具备其职责要求的资质和能力。</w:t>
      </w:r>
      <w:bookmarkEnd w:id="94"/>
      <w:bookmarkEnd w:id="95"/>
    </w:p>
    <w:p>
      <w:pPr>
        <w:numPr>
          <w:ilvl w:val="2"/>
          <w:numId w:val="9"/>
        </w:numPr>
        <w:tabs>
          <w:tab w:val="left" w:pos="1276"/>
        </w:tabs>
        <w:adjustRightInd w:val="0"/>
        <w:snapToGrid w:val="0"/>
        <w:spacing w:before="93" w:beforeLines="30" w:after="93" w:afterLines="30" w:line="360" w:lineRule="auto"/>
        <w:ind w:hanging="551"/>
        <w:rPr>
          <w:rFonts w:hint="eastAsia" w:ascii="仿宋" w:hAnsi="仿宋" w:eastAsia="仿宋" w:cs="仿宋"/>
          <w:sz w:val="24"/>
          <w:szCs w:val="24"/>
          <w:highlight w:val="none"/>
        </w:rPr>
      </w:pPr>
      <w:r>
        <w:rPr>
          <w:rFonts w:hint="eastAsia" w:ascii="仿宋" w:hAnsi="仿宋" w:eastAsia="仿宋" w:cs="仿宋"/>
          <w:sz w:val="24"/>
          <w:szCs w:val="24"/>
          <w:highlight w:val="none"/>
        </w:rPr>
        <w:t>乙方关键人员的变更应获得甲方的事先书面同意，任何乙方关键人员的变更不得对工作期限、工作实际进度、工作质量或工作的执行产生不利影响。被更换的乙方关键人员应与新人员工作一段时间，以确保工作顺利交接。</w:t>
      </w:r>
    </w:p>
    <w:p>
      <w:pPr>
        <w:numPr>
          <w:ilvl w:val="2"/>
          <w:numId w:val="9"/>
        </w:numPr>
        <w:tabs>
          <w:tab w:val="left" w:pos="1276"/>
        </w:tabs>
        <w:adjustRightInd w:val="0"/>
        <w:snapToGrid w:val="0"/>
        <w:spacing w:before="93" w:beforeLines="30" w:after="93" w:afterLines="30" w:line="360" w:lineRule="auto"/>
        <w:ind w:hanging="551"/>
        <w:rPr>
          <w:rFonts w:hint="eastAsia" w:ascii="仿宋" w:hAnsi="仿宋" w:eastAsia="仿宋" w:cs="仿宋"/>
          <w:sz w:val="24"/>
          <w:szCs w:val="24"/>
          <w:highlight w:val="none"/>
        </w:rPr>
      </w:pPr>
      <w:bookmarkStart w:id="96" w:name="_Toc299912668"/>
      <w:bookmarkStart w:id="97" w:name="_Toc299915684"/>
      <w:r>
        <w:rPr>
          <w:rFonts w:hint="eastAsia" w:ascii="仿宋" w:hAnsi="仿宋" w:eastAsia="仿宋" w:cs="仿宋"/>
          <w:sz w:val="24"/>
          <w:szCs w:val="24"/>
          <w:highlight w:val="none"/>
        </w:rPr>
        <w:t>甲方可要求更换乙方关键人员，乙方应根据甲方的要求予以更换。</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98" w:name="_Toc364839365"/>
      <w:bookmarkStart w:id="99" w:name="_Toc25408"/>
      <w:r>
        <w:rPr>
          <w:rFonts w:hint="eastAsia" w:ascii="仿宋" w:hAnsi="仿宋" w:eastAsia="仿宋" w:cs="仿宋"/>
          <w:b/>
          <w:sz w:val="24"/>
          <w:szCs w:val="24"/>
          <w:highlight w:val="none"/>
        </w:rPr>
        <w:t>甲方</w:t>
      </w:r>
      <w:r>
        <w:rPr>
          <w:rFonts w:hint="eastAsia" w:ascii="仿宋" w:hAnsi="仿宋" w:eastAsia="仿宋" w:cs="仿宋"/>
          <w:b/>
          <w:bCs/>
          <w:sz w:val="24"/>
          <w:szCs w:val="24"/>
          <w:highlight w:val="none"/>
        </w:rPr>
        <w:t>代表</w:t>
      </w:r>
      <w:bookmarkEnd w:id="96"/>
      <w:bookmarkEnd w:id="97"/>
      <w:bookmarkEnd w:id="98"/>
      <w:bookmarkEnd w:id="99"/>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开始日前，甲方应以书面方式指定一名甲方人员担任甲方代表，全权代表甲方履行本合同。书面通知应载明甲方代表的基本情况和授权范围。</w:t>
      </w:r>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甲方代表向乙方发出的任何与本合同有关的书面通知、指示、要求、批准和确认构成对甲方有约束力的文件。乙方向甲方代表发出的任何与本合同有关的书面通知、文件等视为向甲方发出。</w:t>
      </w:r>
    </w:p>
    <w:p>
      <w:pPr>
        <w:numPr>
          <w:ilvl w:val="0"/>
          <w:numId w:val="10"/>
        </w:numPr>
        <w:tabs>
          <w:tab w:val="left" w:pos="709"/>
          <w:tab w:val="clear" w:pos="562"/>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经书面通知乙方，甲方代表有权将其权限授予甲方其他人员，该等通知应注明授权的范围和期限。被授权的甲方人员无权再转授权给其他人员。</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00" w:name="_Toc11"/>
      <w:bookmarkStart w:id="101" w:name="_Toc299915685"/>
      <w:bookmarkStart w:id="102" w:name="_Toc364839366"/>
      <w:bookmarkStart w:id="103" w:name="_Toc276828339"/>
      <w:r>
        <w:rPr>
          <w:rFonts w:hint="eastAsia" w:ascii="仿宋" w:hAnsi="仿宋" w:eastAsia="仿宋" w:cs="仿宋"/>
          <w:b/>
          <w:sz w:val="24"/>
          <w:szCs w:val="24"/>
          <w:highlight w:val="none"/>
        </w:rPr>
        <w:t>工作</w:t>
      </w:r>
      <w:r>
        <w:rPr>
          <w:rFonts w:hint="eastAsia" w:ascii="仿宋" w:hAnsi="仿宋" w:eastAsia="仿宋" w:cs="仿宋"/>
          <w:b/>
          <w:bCs/>
          <w:sz w:val="24"/>
          <w:szCs w:val="24"/>
          <w:highlight w:val="none"/>
        </w:rPr>
        <w:t>设施</w:t>
      </w:r>
      <w:bookmarkEnd w:id="100"/>
      <w:bookmarkEnd w:id="101"/>
      <w:bookmarkEnd w:id="102"/>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乙方应及时提供完成服务所需的全部办公场所、设施、设备、材料、器具等（“工作设施”）。</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乙方保证，其提供的工作设施应处于良好的工作状态，符合本合同和法律法规的要求，不存在任何影响服务提供的缺陷，具备完成相关服务及其通常的用途。</w:t>
      </w:r>
    </w:p>
    <w:p>
      <w:pPr>
        <w:numPr>
          <w:ilvl w:val="1"/>
          <w:numId w:val="11"/>
        </w:numPr>
        <w:tabs>
          <w:tab w:val="left" w:pos="709"/>
          <w:tab w:val="left" w:pos="1080"/>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如甲方发现工作设施存在任何缺陷或不符合本合同的规定，有权要求乙方进行修理和更换，乙方不得因工作设施的修理或更换要求调整合同价款或延长工作期限。</w:t>
      </w:r>
    </w:p>
    <w:bookmarkEnd w:id="103"/>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04" w:name="_Toc16056"/>
      <w:bookmarkStart w:id="105" w:name="_Toc364839367"/>
      <w:bookmarkStart w:id="106" w:name="_Toc299915686"/>
      <w:r>
        <w:rPr>
          <w:rFonts w:hint="eastAsia" w:ascii="仿宋" w:hAnsi="仿宋" w:eastAsia="仿宋" w:cs="仿宋"/>
          <w:b/>
          <w:bCs/>
          <w:sz w:val="24"/>
          <w:szCs w:val="24"/>
          <w:highlight w:val="none"/>
        </w:rPr>
        <w:t>监督检查</w:t>
      </w:r>
      <w:bookmarkEnd w:id="104"/>
      <w:bookmarkEnd w:id="105"/>
      <w:bookmarkEnd w:id="106"/>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甲方或其聘任的第三方有权（包括进入乙方工作场地）对乙方工作进度、质量、安全等进行监督和检查。</w:t>
      </w:r>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应积极配合甲方或其聘任的第三方的监督检查，确保甲方及其聘任的第三方人员有权及时进入相关场地，并为该等人员提供足够的支持和便利。乙方应指派专人负责与甲方或其聘任的第三方联系，根据甲方要求，提供服务进度、计划、质量、存在的问题、预防及整改措施及其它服务信息。</w:t>
      </w:r>
    </w:p>
    <w:p>
      <w:pPr>
        <w:numPr>
          <w:ilvl w:val="1"/>
          <w:numId w:val="12"/>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在监督检查过程中，</w:t>
      </w:r>
      <w:r>
        <w:rPr>
          <w:rFonts w:hint="eastAsia" w:ascii="仿宋" w:hAnsi="仿宋" w:eastAsia="仿宋" w:cs="仿宋"/>
          <w:color w:val="000000"/>
          <w:sz w:val="24"/>
          <w:szCs w:val="24"/>
          <w:highlight w:val="none"/>
        </w:rPr>
        <w:t>如发现乙方的工作实际进度无法达到工作期限的要求不符，或乙方的工作存在任何缺陷、瑕疵、疏漏或不符合本合同的规定，乙方应按甲方要求提出改进和补救措施（包括但不限于增加人员、设备、倒班次数、服务时间等），乙方应承担因此产生的全部责任和费用，乙方无权就改进和补救措施要求调整工作期限或增加费用。如甲方认为乙方采取改进或补救措施后仍不能确保按时完成某项服务且将影响整体工作期限，甲方有权委托第三方完成相关服务，因此发生的费用由乙方承担，甲方有权直接从合同总价中扣除该等费用。</w:t>
      </w:r>
      <w:bookmarkStart w:id="107" w:name="_Toc276760527"/>
      <w:bookmarkStart w:id="108" w:name="_Toc276761482"/>
      <w:bookmarkStart w:id="109" w:name="_Toc276842701"/>
      <w:bookmarkStart w:id="110" w:name="_Toc276888372"/>
      <w:bookmarkStart w:id="111" w:name="_Toc276888305"/>
    </w:p>
    <w:bookmarkEnd w:id="107"/>
    <w:bookmarkEnd w:id="108"/>
    <w:bookmarkEnd w:id="109"/>
    <w:bookmarkEnd w:id="110"/>
    <w:bookmarkEnd w:id="111"/>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2" w:name="_Toc299915687"/>
      <w:bookmarkStart w:id="113" w:name="_Toc364839368"/>
      <w:bookmarkStart w:id="114" w:name="_Toc30966"/>
      <w:r>
        <w:rPr>
          <w:rFonts w:hint="eastAsia" w:ascii="仿宋" w:hAnsi="仿宋" w:eastAsia="仿宋" w:cs="仿宋"/>
          <w:b/>
          <w:bCs/>
          <w:sz w:val="24"/>
          <w:szCs w:val="24"/>
          <w:highlight w:val="none"/>
        </w:rPr>
        <w:t>工作成果及验收</w:t>
      </w:r>
      <w:bookmarkEnd w:id="112"/>
      <w:bookmarkEnd w:id="113"/>
      <w:bookmarkEnd w:id="114"/>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color w:val="000000"/>
          <w:sz w:val="24"/>
          <w:szCs w:val="24"/>
          <w:highlight w:val="none"/>
        </w:rPr>
        <w:t>乙方于工作期限结束前应提供符合本合同要求的工作成果，并对工作成果的准确性、完整性负责。</w:t>
      </w:r>
      <w:r>
        <w:rPr>
          <w:rFonts w:hint="eastAsia" w:ascii="仿宋" w:hAnsi="仿宋" w:eastAsia="仿宋" w:cs="仿宋"/>
          <w:sz w:val="24"/>
          <w:szCs w:val="24"/>
          <w:highlight w:val="none"/>
        </w:rPr>
        <w:t>双方应根据合同规定对乙方工作及工作成果进行验收，</w:t>
      </w:r>
      <w:r>
        <w:rPr>
          <w:rFonts w:hint="eastAsia" w:ascii="仿宋" w:hAnsi="仿宋" w:eastAsia="仿宋" w:cs="仿宋"/>
          <w:bCs/>
          <w:sz w:val="24"/>
          <w:szCs w:val="24"/>
          <w:highlight w:val="none"/>
        </w:rPr>
        <w:t>验收的时间、地点、方式、验收标准、条件及双方的责任和义务【</w:t>
      </w:r>
      <w:r>
        <w:rPr>
          <w:rFonts w:hint="eastAsia" w:ascii="仿宋" w:hAnsi="仿宋" w:eastAsia="仿宋" w:cs="仿宋"/>
          <w:b/>
          <w:bCs w:val="0"/>
          <w:sz w:val="24"/>
          <w:szCs w:val="24"/>
          <w:highlight w:val="none"/>
          <w:u w:val="single"/>
        </w:rPr>
        <w:t>详见本合同附件三</w:t>
      </w:r>
      <w:r>
        <w:rPr>
          <w:rFonts w:hint="eastAsia" w:ascii="仿宋" w:hAnsi="仿宋" w:eastAsia="仿宋" w:cs="仿宋"/>
          <w:bCs/>
          <w:sz w:val="24"/>
          <w:szCs w:val="24"/>
          <w:highlight w:val="none"/>
        </w:rPr>
        <w:t>】。</w:t>
      </w:r>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bCs/>
          <w:sz w:val="24"/>
          <w:szCs w:val="24"/>
          <w:highlight w:val="none"/>
        </w:rPr>
        <w:t>如验收过程发现工作存在</w:t>
      </w:r>
      <w:r>
        <w:rPr>
          <w:rFonts w:hint="eastAsia" w:ascii="仿宋" w:hAnsi="仿宋" w:eastAsia="仿宋" w:cs="仿宋"/>
          <w:sz w:val="24"/>
          <w:szCs w:val="24"/>
          <w:highlight w:val="none"/>
        </w:rPr>
        <w:t>任何缺陷、瑕疵、疏漏或不符合本合同的规定，乙方应根据甲方的要求，立即采取一切必要、合理的</w:t>
      </w:r>
      <w:r>
        <w:rPr>
          <w:rFonts w:hint="eastAsia" w:ascii="仿宋" w:hAnsi="仿宋" w:eastAsia="仿宋" w:cs="仿宋"/>
          <w:color w:val="000000"/>
          <w:sz w:val="24"/>
          <w:szCs w:val="24"/>
          <w:highlight w:val="none"/>
        </w:rPr>
        <w:t>补救</w:t>
      </w:r>
      <w:r>
        <w:rPr>
          <w:rFonts w:hint="eastAsia" w:ascii="仿宋" w:hAnsi="仿宋" w:eastAsia="仿宋" w:cs="仿宋"/>
          <w:sz w:val="24"/>
          <w:szCs w:val="24"/>
          <w:highlight w:val="none"/>
        </w:rPr>
        <w:t>措施排除该等缺陷、瑕疵和疏漏。乙方应承担因此发生的一切费用。</w:t>
      </w:r>
    </w:p>
    <w:p>
      <w:pPr>
        <w:numPr>
          <w:ilvl w:val="1"/>
          <w:numId w:val="13"/>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bCs/>
          <w:sz w:val="24"/>
          <w:szCs w:val="24"/>
          <w:highlight w:val="none"/>
        </w:rPr>
        <w:t>甲方验收乙方工作并不减少、免除乙方本合同项下的任何义务</w:t>
      </w:r>
      <w:r>
        <w:rPr>
          <w:rFonts w:hint="eastAsia" w:ascii="仿宋" w:hAnsi="仿宋" w:eastAsia="仿宋" w:cs="仿宋"/>
          <w:sz w:val="24"/>
          <w:szCs w:val="24"/>
          <w:highlight w:val="none"/>
        </w:rPr>
        <w:t>（包括乙方对工作达到合同要求应承担的责任）。</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5" w:name="_Toc299915688"/>
      <w:bookmarkStart w:id="116" w:name="_Toc364839369"/>
      <w:bookmarkStart w:id="117" w:name="_Toc1822"/>
      <w:r>
        <w:rPr>
          <w:rFonts w:hint="eastAsia" w:ascii="仿宋" w:hAnsi="仿宋" w:eastAsia="仿宋" w:cs="仿宋"/>
          <w:b/>
          <w:bCs/>
          <w:sz w:val="24"/>
          <w:szCs w:val="24"/>
          <w:highlight w:val="none"/>
        </w:rPr>
        <w:t>质量保证</w:t>
      </w:r>
      <w:bookmarkEnd w:id="115"/>
      <w:bookmarkEnd w:id="116"/>
      <w:bookmarkEnd w:id="117"/>
    </w:p>
    <w:p>
      <w:pPr>
        <w:numPr>
          <w:ilvl w:val="0"/>
          <w:numId w:val="14"/>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乙方承诺，其任何工作和交付的工作成果符合本合同、法律法规、行业规范、标准和良好的行业惯例的要求，不存在任何缺陷。</w:t>
      </w:r>
    </w:p>
    <w:p>
      <w:pPr>
        <w:numPr>
          <w:ilvl w:val="0"/>
          <w:numId w:val="14"/>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如果乙方完成的工作或提交的工作成果在质保期内出现任何属于本合同第</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.1款规定的质量保证范围内的问题，甲方应及时通知乙方，乙方应在收到该等通知后【二（2）】日内予以回复，并在甲方要求的合理时间内委派人员进行修复或重新实施相关工作（“整改”） ，直至消除该等缺陷。整改相关工作的实施方案应获得甲方认可。整改相关工作完成后，乙方应进行检验，并出具修复、检验报告。整改后的工作的质保期自修复或重新实施之日起重新计算。</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18" w:name="_Toc299915691"/>
      <w:bookmarkStart w:id="119" w:name="_Toc299912675"/>
      <w:bookmarkStart w:id="120" w:name="_Toc1772"/>
      <w:bookmarkStart w:id="121" w:name="_Toc364839370"/>
      <w:r>
        <w:rPr>
          <w:rFonts w:hint="eastAsia" w:ascii="仿宋" w:hAnsi="仿宋" w:eastAsia="仿宋" w:cs="仿宋"/>
          <w:b/>
          <w:sz w:val="24"/>
          <w:szCs w:val="24"/>
          <w:highlight w:val="none"/>
        </w:rPr>
        <w:t>工作</w:t>
      </w:r>
      <w:r>
        <w:rPr>
          <w:rFonts w:hint="eastAsia" w:ascii="仿宋" w:hAnsi="仿宋" w:eastAsia="仿宋" w:cs="仿宋"/>
          <w:b/>
          <w:bCs/>
          <w:sz w:val="24"/>
          <w:szCs w:val="24"/>
          <w:highlight w:val="none"/>
        </w:rPr>
        <w:t>变更</w:t>
      </w:r>
      <w:bookmarkEnd w:id="118"/>
      <w:bookmarkEnd w:id="119"/>
      <w:bookmarkEnd w:id="120"/>
      <w:bookmarkEnd w:id="121"/>
    </w:p>
    <w:p>
      <w:pPr>
        <w:numPr>
          <w:ilvl w:val="0"/>
          <w:numId w:val="15"/>
        </w:numPr>
        <w:tabs>
          <w:tab w:val="left" w:pos="709"/>
          <w:tab w:val="clear" w:pos="1260"/>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bCs/>
          <w:sz w:val="24"/>
          <w:szCs w:val="24"/>
          <w:highlight w:val="none"/>
        </w:rPr>
        <w:t>无论基于何种原因，甲方</w:t>
      </w:r>
      <w:r>
        <w:rPr>
          <w:rFonts w:hint="eastAsia" w:ascii="仿宋" w:hAnsi="仿宋" w:eastAsia="仿宋" w:cs="仿宋"/>
          <w:spacing w:val="-2"/>
          <w:sz w:val="24"/>
          <w:szCs w:val="24"/>
          <w:highlight w:val="none"/>
        </w:rPr>
        <w:t>有权随时向乙方发出工作变更通知，要求进行工作变更。</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收到变更通知后3日内，乙方应向甲方提交变更的实施方案以及变更的影响：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变更对工作的影响；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变更对工作期限的影响；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变更对合同价款的影响；</w:t>
      </w:r>
    </w:p>
    <w:p>
      <w:pPr>
        <w:numPr>
          <w:ilvl w:val="2"/>
          <w:numId w:val="16"/>
        </w:numPr>
        <w:tabs>
          <w:tab w:val="left" w:pos="1276"/>
          <w:tab w:val="clear" w:pos="280"/>
        </w:tabs>
        <w:adjustRightInd w:val="0"/>
        <w:snapToGrid w:val="0"/>
        <w:spacing w:before="93" w:beforeLines="30" w:after="93" w:afterLines="30" w:line="360" w:lineRule="auto"/>
        <w:ind w:left="1276" w:leftChars="338" w:hanging="566" w:hangingChars="236"/>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实施变更的要求和方案。</w:t>
      </w:r>
    </w:p>
    <w:p>
      <w:pPr>
        <w:tabs>
          <w:tab w:val="left" w:pos="709"/>
        </w:tabs>
        <w:adjustRightInd w:val="0"/>
        <w:snapToGrid w:val="0"/>
        <w:spacing w:before="93" w:beforeLines="30" w:after="93" w:afterLines="30" w:line="360" w:lineRule="auto"/>
        <w:ind w:left="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对于上述事项，乙方应提供适当的证明文件。</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color w:val="000000"/>
          <w:sz w:val="24"/>
          <w:szCs w:val="24"/>
          <w:highlight w:val="none"/>
        </w:rPr>
        <w:t>乙方提交变更影响并经甲方评估后，双方应就工作变更及其影响进行协商。如双方就相关事项达成一致，且甲方决定实施工作变更，双方将共同签署变更确认单或另行签署合同对本合同进行变更，乙方应立即执行。如双方未能就工作变更事项达成一致，甲方有权单方面发出工作变更指令。乙方收到工作变更指令后，应立即实施相关工作。</w:t>
      </w:r>
    </w:p>
    <w:p>
      <w:pPr>
        <w:numPr>
          <w:ilvl w:val="0"/>
          <w:numId w:val="15"/>
        </w:numPr>
        <w:tabs>
          <w:tab w:val="left" w:pos="709"/>
        </w:tabs>
        <w:adjustRightInd w:val="0"/>
        <w:snapToGrid w:val="0"/>
        <w:spacing w:before="93" w:beforeLines="30" w:after="93" w:afterLines="30" w:line="360" w:lineRule="auto"/>
        <w:ind w:left="709" w:hanging="709"/>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未经甲方同意，乙方不得进行任何工作变更。</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sz w:val="24"/>
          <w:szCs w:val="24"/>
          <w:highlight w:val="none"/>
        </w:rPr>
      </w:pPr>
      <w:bookmarkStart w:id="122" w:name="_Toc299915693"/>
      <w:bookmarkStart w:id="123" w:name="_Toc9697"/>
      <w:bookmarkStart w:id="124" w:name="_Toc364839371"/>
      <w:r>
        <w:rPr>
          <w:rFonts w:hint="eastAsia" w:ascii="仿宋" w:hAnsi="仿宋" w:eastAsia="仿宋" w:cs="仿宋"/>
          <w:b/>
          <w:sz w:val="24"/>
          <w:szCs w:val="24"/>
          <w:highlight w:val="none"/>
        </w:rPr>
        <w:t>工作暂停</w:t>
      </w:r>
      <w:bookmarkEnd w:id="122"/>
      <w:bookmarkEnd w:id="123"/>
      <w:bookmarkEnd w:id="124"/>
    </w:p>
    <w:p>
      <w:pPr>
        <w:numPr>
          <w:ilvl w:val="1"/>
          <w:numId w:val="17"/>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bCs/>
          <w:sz w:val="24"/>
          <w:szCs w:val="24"/>
          <w:highlight w:val="none"/>
        </w:rPr>
      </w:pPr>
      <w:r>
        <w:rPr>
          <w:rFonts w:hint="eastAsia" w:ascii="仿宋" w:hAnsi="仿宋" w:eastAsia="仿宋" w:cs="仿宋"/>
          <w:kern w:val="0"/>
          <w:sz w:val="24"/>
          <w:szCs w:val="24"/>
          <w:highlight w:val="none"/>
        </w:rPr>
        <w:t>乙方造成的暂停</w:t>
      </w:r>
      <w:r>
        <w:rPr>
          <w:rFonts w:hint="eastAsia" w:ascii="仿宋" w:hAnsi="仿宋" w:eastAsia="仿宋" w:cs="仿宋"/>
          <w:bCs/>
          <w:sz w:val="24"/>
          <w:szCs w:val="24"/>
          <w:highlight w:val="none"/>
        </w:rPr>
        <w:t>：</w:t>
      </w:r>
    </w:p>
    <w:p>
      <w:pPr>
        <w:tabs>
          <w:tab w:val="left" w:pos="709"/>
        </w:tabs>
        <w:adjustRightInd w:val="0"/>
        <w:snapToGrid w:val="0"/>
        <w:spacing w:before="93" w:beforeLines="30" w:after="93" w:afterLines="30" w:line="360" w:lineRule="auto"/>
        <w:ind w:left="708" w:leftChars="337"/>
        <w:rPr>
          <w:rFonts w:hint="eastAsia" w:ascii="仿宋" w:hAnsi="仿宋" w:eastAsia="仿宋" w:cs="仿宋"/>
          <w:bCs/>
          <w:sz w:val="24"/>
          <w:szCs w:val="24"/>
          <w:highlight w:val="none"/>
        </w:rPr>
      </w:pPr>
      <w:r>
        <w:rPr>
          <w:rFonts w:hint="eastAsia" w:ascii="仿宋" w:hAnsi="仿宋" w:eastAsia="仿宋" w:cs="仿宋"/>
          <w:bCs/>
          <w:sz w:val="24"/>
          <w:szCs w:val="24"/>
          <w:highlight w:val="none"/>
        </w:rPr>
        <w:t>如甲方认为乙方的工作存在重大缺陷或与本合同规定不符，甲方有权要求乙方暂停全部或部分工作，直至乙方采取措施消除该等缺陷。乙方消除相关缺陷并经甲方同意后，方可恢复工作。甲方对该等停工造成的损失不承担任何责任，乙方无权要求调整合同总价或工作期限。</w:t>
      </w:r>
    </w:p>
    <w:p>
      <w:pPr>
        <w:numPr>
          <w:ilvl w:val="1"/>
          <w:numId w:val="17"/>
        </w:numPr>
        <w:tabs>
          <w:tab w:val="left" w:pos="709"/>
          <w:tab w:val="clear" w:pos="5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kern w:val="0"/>
          <w:sz w:val="24"/>
          <w:szCs w:val="24"/>
          <w:highlight w:val="none"/>
        </w:rPr>
        <w:t>甲方造成的暂停</w:t>
      </w:r>
      <w:r>
        <w:rPr>
          <w:rFonts w:hint="eastAsia" w:ascii="仿宋" w:hAnsi="仿宋" w:eastAsia="仿宋" w:cs="仿宋"/>
          <w:sz w:val="24"/>
          <w:szCs w:val="24"/>
          <w:highlight w:val="none"/>
        </w:rPr>
        <w:t>：</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无论基于任何原因，甲方有权随时向乙方发出暂停通知，要求乙方暂停全部或部分工作。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乙方接到暂停通知后，应根据暂停通知规定的时间及范围暂停工作，</w:t>
      </w:r>
      <w:r>
        <w:rPr>
          <w:rFonts w:hint="eastAsia" w:ascii="仿宋" w:hAnsi="仿宋" w:eastAsia="仿宋" w:cs="仿宋"/>
          <w:sz w:val="24"/>
          <w:szCs w:val="24"/>
          <w:highlight w:val="none"/>
        </w:rPr>
        <w:t>妥善保护已完成的工作，</w:t>
      </w:r>
      <w:r>
        <w:rPr>
          <w:rFonts w:hint="eastAsia" w:ascii="仿宋" w:hAnsi="仿宋" w:eastAsia="仿宋" w:cs="仿宋"/>
          <w:kern w:val="0"/>
          <w:sz w:val="24"/>
          <w:szCs w:val="24"/>
          <w:highlight w:val="none"/>
        </w:rPr>
        <w:t>继续执行未暂停的工作。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乙方收到甲方复工通知后应立即恢复执行工作。</w:t>
      </w:r>
    </w:p>
    <w:p>
      <w:pPr>
        <w:numPr>
          <w:ilvl w:val="0"/>
          <w:numId w:val="18"/>
        </w:numPr>
        <w:tabs>
          <w:tab w:val="left" w:pos="1276"/>
          <w:tab w:val="clear" w:pos="420"/>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对于甲方要求的停工（因本合同第1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.1原因导致的暂停除外），乙方有权根据暂停工作期限，要求对工作期限进行调整，乙方应尽量减少停工对工作期限的影响。</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25" w:name="_Toc364839372"/>
      <w:bookmarkStart w:id="126" w:name="_Toc22099"/>
      <w:r>
        <w:rPr>
          <w:rFonts w:hint="eastAsia" w:ascii="仿宋" w:hAnsi="仿宋" w:eastAsia="仿宋" w:cs="仿宋"/>
          <w:b/>
          <w:bCs/>
          <w:sz w:val="24"/>
          <w:szCs w:val="24"/>
          <w:highlight w:val="none"/>
        </w:rPr>
        <w:t>权利保证</w:t>
      </w:r>
      <w:bookmarkEnd w:id="43"/>
      <w:bookmarkEnd w:id="44"/>
      <w:bookmarkEnd w:id="125"/>
      <w:bookmarkEnd w:id="126"/>
    </w:p>
    <w:bookmarkEnd w:id="26"/>
    <w:bookmarkEnd w:id="27"/>
    <w:bookmarkEnd w:id="28"/>
    <w:bookmarkEnd w:id="29"/>
    <w:bookmarkEnd w:id="30"/>
    <w:bookmarkEnd w:id="31"/>
    <w:bookmarkEnd w:id="32"/>
    <w:bookmarkEnd w:id="33"/>
    <w:bookmarkEnd w:id="34"/>
    <w:bookmarkEnd w:id="35"/>
    <w:bookmarkEnd w:id="36"/>
    <w:bookmarkEnd w:id="37"/>
    <w:bookmarkEnd w:id="38"/>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保证，其执行工作未侵犯任何第三方的权利，其执行工作、提供的工作成果未侵犯任何第三方的专利权、商标权或其它知识产权，工作成果的所有权及包含的全部专利、商标及其它知识产权均为乙方合法拥有或已获得第三方的有效授权。</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如乙方执行工作及提供的工作成果侵犯任何第三方的权利（包括知识产权），乙方应根据甲方的要求，在确保工作符合本合同的约定和要求的前提下，采取必要的措施获得相关的权利或对工作和工作成果进行必要的调整，确保其履行本合同和工作成果不侵犯任何第三方的权利（包括知识产权）。乙方根据本款采取的措施不影响甲方的任何其它权利或补救措施。如因使用乙方提供的服务而使甲方遭受任何第三方提出诉讼、索赔、指控等，乙方应负责与第三方交涉，并承担甲方因此产生的任何损失</w:t>
      </w:r>
      <w:r>
        <w:rPr>
          <w:rFonts w:hint="eastAsia" w:ascii="仿宋" w:hAnsi="仿宋" w:eastAsia="仿宋" w:cs="仿宋"/>
          <w:color w:val="000000"/>
          <w:sz w:val="24"/>
          <w:szCs w:val="24"/>
          <w:highlight w:val="none"/>
        </w:rPr>
        <w:t>。</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与工作和工作成果有关的所有资料、文件及其包含的知识产权，包括因履行本合同产生的所有新的知识产权均为甲方所有，甲方享有全部权益，工作完成时应全部移交甲方，未经甲方允许，乙方不得使用和转让。</w:t>
      </w:r>
    </w:p>
    <w:p>
      <w:pPr>
        <w:widowControl/>
        <w:numPr>
          <w:ilvl w:val="0"/>
          <w:numId w:val="19"/>
        </w:numPr>
        <w:tabs>
          <w:tab w:val="left" w:pos="709"/>
        </w:tabs>
        <w:adjustRightInd w:val="0"/>
        <w:snapToGrid w:val="0"/>
        <w:spacing w:before="93" w:beforeLines="30" w:after="93" w:afterLines="30" w:line="360" w:lineRule="auto"/>
        <w:ind w:left="709" w:hanging="70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乙方无权因本条的适用而延长工作期限或调整合同总价。</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27" w:name="_Toc299915689"/>
      <w:bookmarkStart w:id="128" w:name="_Toc9145"/>
      <w:bookmarkStart w:id="129" w:name="_Toc364839373"/>
      <w:r>
        <w:rPr>
          <w:rFonts w:hint="eastAsia" w:ascii="仿宋" w:hAnsi="仿宋" w:eastAsia="仿宋" w:cs="仿宋"/>
          <w:b/>
          <w:bCs/>
          <w:sz w:val="24"/>
          <w:szCs w:val="24"/>
          <w:highlight w:val="none"/>
        </w:rPr>
        <w:t>违约责任</w:t>
      </w:r>
      <w:bookmarkEnd w:id="127"/>
      <w:bookmarkEnd w:id="128"/>
      <w:bookmarkEnd w:id="129"/>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乙方发生下列任一违约行为时，应向甲方支付合同总价</w:t>
      </w:r>
      <w:r>
        <w:rPr>
          <w:rFonts w:hint="eastAsia" w:ascii="仿宋" w:hAnsi="仿宋" w:eastAsia="仿宋" w:cs="仿宋"/>
          <w:b/>
          <w:bCs w:val="0"/>
          <w:sz w:val="24"/>
          <w:szCs w:val="24"/>
          <w:highlight w:val="none"/>
          <w:u w:val="single"/>
        </w:rPr>
        <w:t>25</w:t>
      </w:r>
      <w:r>
        <w:rPr>
          <w:rFonts w:hint="eastAsia" w:ascii="仿宋" w:hAnsi="仿宋" w:eastAsia="仿宋" w:cs="仿宋"/>
          <w:b/>
          <w:bCs w:val="0"/>
          <w:sz w:val="24"/>
          <w:szCs w:val="24"/>
          <w:highlight w:val="none"/>
          <w:u w:val="none"/>
          <w:lang w:val="en-US" w:eastAsia="zh-CN"/>
        </w:rPr>
        <w:t xml:space="preserve"> </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的违约金，并赔偿甲方因此遭受的超出违约金数额的全部损失：</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乙方提供的服务、工作成果等不符合本合同的要求；</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拒绝对不符合本合同要求的服务或工作成果进行修复、更换或调整；</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拒绝更换不适格的工作人员；</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未经甲方许可，擅自更换其关键工作人员；</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未经甲方同意擅自进行分包；</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转包；</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不遵守甲方关于健康、安全和环保的规定；</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乙方或其雇员对甲方实施欺诈行为；</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乙方或其雇员的行为损害了甲方的利益或声誉；</w:t>
      </w:r>
    </w:p>
    <w:p>
      <w:pPr>
        <w:numPr>
          <w:ilvl w:val="2"/>
          <w:numId w:val="21"/>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乙方违反第1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.1条约定的权利保证。</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就乙方的上述违约行为，甲方除有权依据本合同第13.1款要求乙方承担违约责任外，有权向乙方出具书面通知，要求乙方进行更正或整改。如乙方收到该等通知后</w:t>
      </w:r>
      <w:r>
        <w:rPr>
          <w:rFonts w:hint="eastAsia" w:ascii="仿宋" w:hAnsi="仿宋" w:eastAsia="仿宋" w:cs="仿宋"/>
          <w:b/>
          <w:bCs/>
          <w:sz w:val="24"/>
          <w:szCs w:val="24"/>
          <w:highlight w:val="none"/>
          <w:u w:val="single"/>
        </w:rPr>
        <w:t>10</w:t>
      </w:r>
      <w:r>
        <w:rPr>
          <w:rFonts w:hint="eastAsia" w:ascii="仿宋" w:hAnsi="仿宋" w:eastAsia="仿宋" w:cs="仿宋"/>
          <w:sz w:val="24"/>
          <w:szCs w:val="24"/>
          <w:highlight w:val="none"/>
        </w:rPr>
        <w:t>个工作日内未按照甲方要求作出更正或进行整改的，甲方有权立即解除本合同，乙方应赔偿甲方因此而遭受的超出违约金数额的全部损失。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如乙方未能在合同规定的工作期限内完成全部工作，每延期一日，乙方应向甲方支付合同总价的</w:t>
      </w:r>
      <w:r>
        <w:rPr>
          <w:rFonts w:hint="eastAsia" w:ascii="仿宋" w:hAnsi="仿宋" w:eastAsia="仿宋" w:cs="仿宋"/>
          <w:b/>
          <w:bCs w:val="0"/>
          <w:sz w:val="24"/>
          <w:szCs w:val="24"/>
          <w:highlight w:val="none"/>
          <w:u w:val="single"/>
        </w:rPr>
        <w:t>0.1</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作为延期违约金。如延期超过</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日，除要求乙方支付违约金外，甲方有权解除本合同，并有权要求乙方赔偿甲方因此遭受的超出违约金数额的全部损失。</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乙方根据本合同的约定应承担违约金或赔偿责任的，甲方有权从合同总价余额中直接扣除。</w:t>
      </w:r>
    </w:p>
    <w:p>
      <w:pPr>
        <w:numPr>
          <w:ilvl w:val="1"/>
          <w:numId w:val="20"/>
        </w:numPr>
        <w:tabs>
          <w:tab w:val="left" w:pos="709"/>
          <w:tab w:val="clear" w:pos="84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如仅因甲方原因，甲方逾期向乙方付款，乙方应向甲方发出书面催款通知，甲方应在收到该等通知后</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日内付款，否则，即应自该等</w:t>
      </w:r>
      <w:r>
        <w:rPr>
          <w:rFonts w:hint="eastAsia" w:ascii="仿宋" w:hAnsi="仿宋" w:eastAsia="仿宋" w:cs="仿宋"/>
          <w:b/>
          <w:bCs w:val="0"/>
          <w:sz w:val="24"/>
          <w:szCs w:val="24"/>
          <w:highlight w:val="none"/>
          <w:u w:val="single"/>
        </w:rPr>
        <w:t>30</w:t>
      </w:r>
      <w:r>
        <w:rPr>
          <w:rFonts w:hint="eastAsia" w:ascii="仿宋" w:hAnsi="仿宋" w:eastAsia="仿宋" w:cs="仿宋"/>
          <w:sz w:val="24"/>
          <w:szCs w:val="24"/>
          <w:highlight w:val="none"/>
        </w:rPr>
        <w:t>日期间结束之日起，</w:t>
      </w:r>
      <w:r>
        <w:rPr>
          <w:rFonts w:hint="eastAsia" w:ascii="仿宋" w:hAnsi="仿宋" w:eastAsia="仿宋" w:cs="仿宋"/>
          <w:b/>
          <w:bCs/>
          <w:color w:val="000000"/>
          <w:sz w:val="24"/>
          <w:szCs w:val="24"/>
          <w:highlight w:val="yellow"/>
          <w:lang w:val="en-US" w:eastAsia="zh-CN" w:bidi="ar-SA"/>
        </w:rPr>
        <w:t>大型企业按【中国人民银行同期活期存款利率】/中小微企业按【合同订立时1年期贷款市场报价利率】</w:t>
      </w:r>
      <w:r>
        <w:rPr>
          <w:rFonts w:hint="eastAsia" w:ascii="仿宋" w:hAnsi="仿宋" w:eastAsia="仿宋" w:cs="仿宋"/>
          <w:sz w:val="24"/>
          <w:szCs w:val="24"/>
          <w:highlight w:val="none"/>
        </w:rPr>
        <w:t>计算并支付应付未付合同价款的利息，最高不超过相关应付未付合同价款的</w:t>
      </w:r>
      <w:r>
        <w:rPr>
          <w:rFonts w:hint="eastAsia" w:ascii="仿宋" w:hAnsi="仿宋" w:eastAsia="仿宋" w:cs="仿宋"/>
          <w:b/>
          <w:bCs w:val="0"/>
          <w:sz w:val="24"/>
          <w:szCs w:val="24"/>
          <w:highlight w:val="none"/>
          <w:u w:val="single"/>
          <w:lang w:val="en-US" w:eastAsia="zh-CN"/>
        </w:rPr>
        <w:t>10</w:t>
      </w:r>
      <w:r>
        <w:rPr>
          <w:rFonts w:hint="eastAsia" w:ascii="仿宋" w:hAnsi="仿宋" w:eastAsia="仿宋" w:cs="仿宋"/>
          <w:b/>
          <w:bCs w:val="0"/>
          <w:sz w:val="24"/>
          <w:szCs w:val="24"/>
          <w:highlight w:val="none"/>
          <w:u w:val="none"/>
          <w:lang w:val="en-US" w:eastAsia="zh-CN"/>
        </w:rPr>
        <w:t xml:space="preserve"> </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。双方同意，该等利息的支付是甲方就未能如期支付相关合同价款所需承担的全部责任。</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0" w:name="_Toc19273"/>
      <w:bookmarkStart w:id="131" w:name="_Toc299915694"/>
      <w:bookmarkStart w:id="132" w:name="_Toc364839374"/>
      <w:bookmarkStart w:id="133" w:name="_Toc299912679"/>
      <w:r>
        <w:rPr>
          <w:rFonts w:hint="eastAsia" w:ascii="仿宋" w:hAnsi="仿宋" w:eastAsia="仿宋" w:cs="仿宋"/>
          <w:b/>
          <w:sz w:val="24"/>
          <w:szCs w:val="24"/>
          <w:highlight w:val="none"/>
        </w:rPr>
        <w:t>合同</w:t>
      </w:r>
      <w:bookmarkStart w:id="134" w:name="OLE_LINK3"/>
      <w:r>
        <w:rPr>
          <w:rFonts w:hint="eastAsia" w:ascii="仿宋" w:hAnsi="仿宋" w:eastAsia="仿宋" w:cs="仿宋"/>
          <w:b/>
          <w:bCs/>
          <w:sz w:val="24"/>
          <w:szCs w:val="24"/>
          <w:highlight w:val="none"/>
        </w:rPr>
        <w:t>的解除和终</w:t>
      </w:r>
      <w:bookmarkEnd w:id="134"/>
      <w:r>
        <w:rPr>
          <w:rFonts w:hint="eastAsia" w:ascii="仿宋" w:hAnsi="仿宋" w:eastAsia="仿宋" w:cs="仿宋"/>
          <w:b/>
          <w:bCs/>
          <w:sz w:val="24"/>
          <w:szCs w:val="24"/>
          <w:highlight w:val="none"/>
        </w:rPr>
        <w:t>止</w:t>
      </w:r>
      <w:bookmarkEnd w:id="130"/>
      <w:bookmarkEnd w:id="131"/>
      <w:bookmarkEnd w:id="132"/>
      <w:bookmarkEnd w:id="133"/>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如发生以下任一情形，经书面通知乙方，甲方有权解除本合同：</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本合同明确规定甲方有权解除合同的情形；</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乙方破产、资不抵债、停业清理、解散、被兼并、被查封；</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乙方有其它严重违约行为，且未在甲方要求的合理期限内纠正；</w:t>
      </w:r>
    </w:p>
    <w:p>
      <w:pPr>
        <w:widowControl/>
        <w:numPr>
          <w:ilvl w:val="0"/>
          <w:numId w:val="2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不可抗力持续超过</w:t>
      </w:r>
      <w:r>
        <w:rPr>
          <w:rFonts w:hint="eastAsia" w:ascii="仿宋" w:hAnsi="仿宋" w:eastAsia="仿宋" w:cs="仿宋"/>
          <w:b/>
          <w:bCs/>
          <w:sz w:val="24"/>
          <w:szCs w:val="24"/>
          <w:highlight w:val="none"/>
          <w:u w:val="single"/>
        </w:rPr>
        <w:t>60</w:t>
      </w:r>
      <w:r>
        <w:rPr>
          <w:rFonts w:hint="eastAsia" w:ascii="仿宋" w:hAnsi="仿宋" w:eastAsia="仿宋" w:cs="仿宋"/>
          <w:sz w:val="24"/>
          <w:szCs w:val="24"/>
          <w:highlight w:val="none"/>
        </w:rPr>
        <w:t>日。</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如因乙方违约甲方解除本合同的，乙方应退回甲方已经支付的全部款项，并根据本合同约定支付违约金，并且甲方有权要求乙方赔偿其因此遭受的超出违约金数额的全部损失。甲方有权以适当的条件和方式购买与本合同项下同等服务，甲方购买同等服务的差额费用包含在甲方损失范围内。</w:t>
      </w:r>
    </w:p>
    <w:p>
      <w:pPr>
        <w:numPr>
          <w:ilvl w:val="0"/>
          <w:numId w:val="22"/>
        </w:numPr>
        <w:tabs>
          <w:tab w:val="left" w:pos="709"/>
          <w:tab w:val="clear" w:pos="1260"/>
        </w:tabs>
        <w:autoSpaceDE w:val="0"/>
        <w:autoSpaceDN w:val="0"/>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无论基于何种原因，经提前</w:t>
      </w:r>
      <w:r>
        <w:rPr>
          <w:rFonts w:hint="eastAsia" w:ascii="仿宋" w:hAnsi="仿宋" w:eastAsia="仿宋" w:cs="仿宋"/>
          <w:b/>
          <w:bCs/>
          <w:sz w:val="24"/>
          <w:szCs w:val="24"/>
          <w:highlight w:val="none"/>
          <w:u w:val="single"/>
        </w:rPr>
        <w:t>15</w:t>
      </w:r>
      <w:r>
        <w:rPr>
          <w:rFonts w:hint="eastAsia" w:ascii="仿宋" w:hAnsi="仿宋" w:eastAsia="仿宋" w:cs="仿宋"/>
          <w:sz w:val="24"/>
          <w:szCs w:val="24"/>
          <w:highlight w:val="none"/>
        </w:rPr>
        <w:t>日书面通知乙方，甲方有权随时终止本合同。乙方收到甲方终止合同的书面通知后，应立即停止实施与本合同有关的工作，并对已履行的部分进行结算。甲方收到乙方的结算要求后，应与乙方协商结算数额、因甲方终止合同需向乙方支付的补偿款等事项。甲方因终止合同向乙方支付的补偿款以乙方为履行合同已实际发生的直接、合理费用为限。如甲方已支付的合同价款不足以涵盖该等费用，经乙方提供证明文件后，甲方应向乙方支付差额部分。但是，如甲方已支付的合同价款超过该等费用，乙方应向甲方返还超额部分。甲方向乙方支付的该等补偿款系甲方根据本款规定终止合同时，乙方可获得的全部赔偿。任何时候乙方均无权要求甲方赔偿因合同终止而引起的预期利润的损失或损害。</w:t>
      </w:r>
    </w:p>
    <w:p>
      <w:pPr>
        <w:numPr>
          <w:ilvl w:val="0"/>
          <w:numId w:val="22"/>
        </w:numPr>
        <w:tabs>
          <w:tab w:val="left" w:pos="709"/>
        </w:tabs>
        <w:autoSpaceDE w:val="0"/>
        <w:autoSpaceDN w:val="0"/>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如本合同根据本条第1</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.2款终止，对于合同终止前乙方完成的工作成果，乙方应立即移交给甲方，甲方拥有相关工作成果的全部权益；如甲方已付合同价款超过乙方已完成工作的价值，乙方应向甲方返还差额部分。</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5" w:name="_Toc24963"/>
      <w:bookmarkStart w:id="136" w:name="_Toc364839375"/>
      <w:bookmarkStart w:id="137" w:name="_Toc299915690"/>
      <w:r>
        <w:rPr>
          <w:rFonts w:hint="eastAsia" w:ascii="仿宋" w:hAnsi="仿宋" w:eastAsia="仿宋" w:cs="仿宋"/>
          <w:b/>
          <w:bCs/>
          <w:sz w:val="24"/>
          <w:szCs w:val="24"/>
          <w:highlight w:val="none"/>
        </w:rPr>
        <w:t>健康、安全和环保</w:t>
      </w:r>
      <w:bookmarkEnd w:id="135"/>
      <w:bookmarkEnd w:id="136"/>
      <w:bookmarkEnd w:id="137"/>
    </w:p>
    <w:p>
      <w:pPr>
        <w:numPr>
          <w:ilvl w:val="0"/>
          <w:numId w:val="24"/>
        </w:numPr>
        <w:tabs>
          <w:tab w:val="left" w:pos="709"/>
          <w:tab w:val="clear" w:pos="0"/>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乙方在履行合同时，应遵守中国相关法律法规及甲方关于健康、安全及环保的规定：</w:t>
      </w:r>
    </w:p>
    <w:p>
      <w:pPr>
        <w:numPr>
          <w:ilvl w:val="0"/>
          <w:numId w:val="25"/>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乙方应为有机会出差或驻场的人员购买人身意外保险或其它相关项目的保险；</w:t>
      </w:r>
    </w:p>
    <w:p>
      <w:pPr>
        <w:numPr>
          <w:ilvl w:val="0"/>
          <w:numId w:val="25"/>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甲方有权根据需要修订其健康、安全及环保政策并将最新文件发给乙方以便遵照执行。</w:t>
      </w:r>
    </w:p>
    <w:p>
      <w:pPr>
        <w:numPr>
          <w:ilvl w:val="0"/>
          <w:numId w:val="24"/>
        </w:numPr>
        <w:tabs>
          <w:tab w:val="left" w:pos="709"/>
          <w:tab w:val="clear" w:pos="0"/>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sz w:val="24"/>
          <w:szCs w:val="24"/>
          <w:highlight w:val="none"/>
        </w:rPr>
        <w:t>乙方应保证其完成工作和工作成果符合国家要求的健康、安全及环保标准。因乙方未能按国家相关规定和甲方的要求，而在健康、安全、环保方面给甲方造成的任何损失由乙方全额承担。</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38" w:name="_Toc300147855"/>
      <w:bookmarkStart w:id="139" w:name="_Toc897"/>
      <w:bookmarkStart w:id="140" w:name="_Toc364839376"/>
      <w:r>
        <w:rPr>
          <w:rFonts w:hint="eastAsia" w:ascii="仿宋" w:hAnsi="仿宋" w:eastAsia="仿宋" w:cs="仿宋"/>
          <w:b/>
          <w:bCs/>
          <w:sz w:val="24"/>
          <w:szCs w:val="24"/>
          <w:highlight w:val="none"/>
        </w:rPr>
        <w:t>转让和分包</w:t>
      </w:r>
      <w:bookmarkEnd w:id="138"/>
      <w:bookmarkEnd w:id="139"/>
      <w:bookmarkEnd w:id="140"/>
    </w:p>
    <w:p>
      <w:pPr>
        <w:widowControl/>
        <w:numPr>
          <w:ilvl w:val="0"/>
          <w:numId w:val="26"/>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r>
        <w:rPr>
          <w:rFonts w:hint="eastAsia" w:ascii="仿宋" w:hAnsi="仿宋" w:eastAsia="仿宋" w:cs="仿宋"/>
          <w:sz w:val="24"/>
          <w:szCs w:val="24"/>
          <w:highlight w:val="none"/>
        </w:rPr>
        <w:t>未经甲方事先书面同意，乙方不得将其在本合同项下的任何权利和义务全部或部分转让给任何第三方，包括乙方的关联企业。甲方可以将其在本合同项下的权利和义务全部或部分转让给其关联企业，且无需事先征得乙方的同意，但应书面通知乙方。</w:t>
      </w:r>
    </w:p>
    <w:p>
      <w:pPr>
        <w:widowControl/>
        <w:numPr>
          <w:ilvl w:val="0"/>
          <w:numId w:val="26"/>
        </w:numPr>
        <w:tabs>
          <w:tab w:val="left" w:pos="709"/>
        </w:tabs>
        <w:adjustRightInd w:val="0"/>
        <w:snapToGrid w:val="0"/>
        <w:spacing w:before="93" w:beforeLines="30" w:after="93" w:afterLines="30" w:line="360" w:lineRule="auto"/>
        <w:ind w:left="709" w:hanging="709"/>
        <w:rPr>
          <w:rFonts w:hint="eastAsia" w:ascii="仿宋" w:hAnsi="仿宋" w:eastAsia="仿宋" w:cs="仿宋"/>
          <w:sz w:val="24"/>
          <w:szCs w:val="24"/>
          <w:highlight w:val="none"/>
        </w:rPr>
      </w:pPr>
      <w:bookmarkStart w:id="141" w:name="_DV_C867"/>
      <w:r>
        <w:rPr>
          <w:rFonts w:hint="eastAsia" w:ascii="仿宋" w:hAnsi="仿宋" w:eastAsia="仿宋" w:cs="仿宋"/>
          <w:sz w:val="24"/>
          <w:szCs w:val="24"/>
          <w:highlight w:val="none"/>
        </w:rPr>
        <w:t>未经甲方事先书面同意，乙方不得将其在本合同项下的任何义务分包给任何第三方，包括乙方的关联企业。乙方不得将本合同转包给任何第三方，包括其关联企业。</w:t>
      </w:r>
      <w:bookmarkEnd w:id="141"/>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42" w:name="_Toc3381"/>
      <w:bookmarkStart w:id="143" w:name="_Toc364839377"/>
      <w:bookmarkStart w:id="144" w:name="_Toc299912680"/>
      <w:bookmarkStart w:id="145" w:name="_Toc299915695"/>
      <w:r>
        <w:rPr>
          <w:rFonts w:hint="eastAsia" w:ascii="仿宋" w:hAnsi="仿宋" w:eastAsia="仿宋" w:cs="仿宋"/>
          <w:b/>
          <w:bCs/>
          <w:sz w:val="24"/>
          <w:szCs w:val="24"/>
          <w:highlight w:val="none"/>
        </w:rPr>
        <w:t>不可抗力</w:t>
      </w:r>
      <w:bookmarkEnd w:id="142"/>
      <w:bookmarkEnd w:id="143"/>
      <w:bookmarkEnd w:id="144"/>
      <w:bookmarkEnd w:id="145"/>
    </w:p>
    <w:p>
      <w:pPr>
        <w:widowControl/>
        <w:numPr>
          <w:ilvl w:val="0"/>
          <w:numId w:val="27"/>
        </w:numPr>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bookmarkStart w:id="146" w:name="_Toc299912681"/>
      <w:bookmarkStart w:id="147" w:name="_Toc299550771"/>
      <w:bookmarkStart w:id="148" w:name="_Toc299915696"/>
      <w:r>
        <w:rPr>
          <w:rFonts w:hint="eastAsia" w:ascii="仿宋" w:hAnsi="仿宋" w:eastAsia="仿宋" w:cs="仿宋"/>
          <w:kern w:val="0"/>
          <w:sz w:val="24"/>
          <w:szCs w:val="24"/>
          <w:highlight w:val="none"/>
        </w:rPr>
        <w:t>不可抗力系指阻止或妨碍一方履行其在本合同项下义务的事件或情况；受障碍影响的一方除了应证明该事件已经达到阻止或妨碍其履行合同项下义务的后果，还应证明。</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该障碍在订立合同时无法被合理预见；和</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该障碍超出其合理控制范围；同时</w:t>
      </w:r>
    </w:p>
    <w:p>
      <w:pPr>
        <w:numPr>
          <w:ilvl w:val="0"/>
          <w:numId w:val="28"/>
        </w:numPr>
        <w:tabs>
          <w:tab w:val="left" w:pos="1276"/>
        </w:tabs>
        <w:adjustRightInd w:val="0"/>
        <w:snapToGrid w:val="0"/>
        <w:spacing w:before="93" w:beforeLines="30" w:after="93" w:afterLines="30" w:line="360" w:lineRule="auto"/>
        <w:ind w:left="1276" w:hanging="567"/>
        <w:rPr>
          <w:rFonts w:hint="eastAsia" w:ascii="仿宋" w:hAnsi="仿宋" w:eastAsia="仿宋" w:cs="仿宋"/>
          <w:sz w:val="24"/>
          <w:szCs w:val="24"/>
          <w:highlight w:val="none"/>
        </w:rPr>
      </w:pPr>
      <w:r>
        <w:rPr>
          <w:rFonts w:hint="eastAsia" w:ascii="仿宋" w:hAnsi="仿宋" w:eastAsia="仿宋" w:cs="仿宋"/>
          <w:sz w:val="24"/>
          <w:szCs w:val="24"/>
          <w:highlight w:val="none"/>
        </w:rPr>
        <w:t>障碍的后果无法被受影响的一方合理避免或克服</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延续时间、合同设备受影响的范围、补救措施等，如不可抗力持续发生，遭受不可抗力的一方应及时更新该等信息。</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不可抗力发生后，遭受不可抗力一方应采取措施尽量避免和减少损失的扩大，该方没有采取有效措施导致损失扩大的，应对扩大的损失承担责任。</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如发生不可抗力，双方各自承担其人员和财产损失。一旦不可抗力停止或者影响消除，双方应立即履行其义务，合同的期限应该相应顺延。如果不可抗力的影响持续超过</w:t>
      </w:r>
      <w:r>
        <w:rPr>
          <w:rFonts w:hint="eastAsia" w:ascii="仿宋" w:hAnsi="仿宋" w:eastAsia="仿宋" w:cs="仿宋"/>
          <w:b/>
          <w:bCs/>
          <w:kern w:val="0"/>
          <w:sz w:val="24"/>
          <w:szCs w:val="24"/>
          <w:highlight w:val="none"/>
          <w:u w:val="single"/>
          <w:lang w:val="en-US" w:eastAsia="zh-CN"/>
        </w:rPr>
        <w:t>30</w:t>
      </w:r>
      <w:r>
        <w:rPr>
          <w:rFonts w:hint="eastAsia" w:ascii="仿宋" w:hAnsi="仿宋" w:eastAsia="仿宋" w:cs="仿宋"/>
          <w:kern w:val="0"/>
          <w:sz w:val="24"/>
          <w:szCs w:val="24"/>
          <w:highlight w:val="none"/>
        </w:rPr>
        <w:t>日，双方应该共同商议应对措施</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任何一方迟延履行合同后遭受不可抗力的，不得减少、免除该方在本合同项下的任何义务和责任。</w:t>
      </w:r>
    </w:p>
    <w:p>
      <w:pPr>
        <w:widowControl/>
        <w:numPr>
          <w:ilvl w:val="0"/>
          <w:numId w:val="27"/>
        </w:numPr>
        <w:tabs>
          <w:tab w:val="left" w:pos="709"/>
        </w:tabs>
        <w:adjustRightInd w:val="0"/>
        <w:snapToGrid w:val="0"/>
        <w:spacing w:before="93" w:beforeLines="30" w:after="93" w:afterLines="30" w:line="360" w:lineRule="auto"/>
        <w:ind w:left="709" w:hanging="709"/>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任何一方因不可抗力不能或迟延履行本合同，在不可抗力的所涉范围内不承担违约责任。不可抗力的发生不能造成任何一方支付额外款项、赔偿或其它救济方式，双方放弃对不可抗力事项进行索赔的权利</w:t>
      </w:r>
    </w:p>
    <w:bookmarkEnd w:id="146"/>
    <w:bookmarkEnd w:id="147"/>
    <w:bookmarkEnd w:id="148"/>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49" w:name="_Toc364839378"/>
      <w:bookmarkStart w:id="150" w:name="_Toc2050"/>
      <w:bookmarkStart w:id="151" w:name="_Toc298158360"/>
      <w:bookmarkStart w:id="152" w:name="_Toc364839379"/>
      <w:bookmarkStart w:id="153" w:name="_Toc300147858"/>
      <w:r>
        <w:rPr>
          <w:rFonts w:hint="eastAsia" w:ascii="仿宋" w:hAnsi="仿宋" w:eastAsia="仿宋" w:cs="仿宋"/>
          <w:b/>
          <w:bCs/>
          <w:sz w:val="24"/>
          <w:szCs w:val="24"/>
          <w:highlight w:val="none"/>
        </w:rPr>
        <w:t>保障</w:t>
      </w:r>
      <w:bookmarkEnd w:id="149"/>
      <w:bookmarkEnd w:id="150"/>
    </w:p>
    <w:p>
      <w:pPr>
        <w:keepNext w:val="0"/>
        <w:keepLines w:val="0"/>
        <w:pageBreakBefore w:val="0"/>
        <w:widowControl/>
        <w:numPr>
          <w:ilvl w:val="0"/>
          <w:numId w:val="29"/>
        </w:numPr>
        <w:kinsoku/>
        <w:wordWrap/>
        <w:overflowPunct/>
        <w:topLinePunct w:val="0"/>
        <w:autoSpaceDE/>
        <w:autoSpaceDN/>
        <w:bidi w:val="0"/>
        <w:adjustRightInd w:val="0"/>
        <w:snapToGrid w:val="0"/>
        <w:spacing w:before="93" w:beforeLines="30" w:after="93" w:afterLines="30" w:line="360" w:lineRule="auto"/>
        <w:ind w:left="709" w:leftChars="0" w:hanging="709" w:firstLineChars="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乙方、乙方代理或分包商（如有）因履行合同造成任何第三方财产损失、</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损坏、人身伤亡或疾病，乙方应承担全部责任，并应确保甲方免于所有相关的索赔、损失、损害、费用和责任，包括但不限于在甲方因此需向第三方支付任何赔偿时，乙方均应全额予以补偿。</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因履行本合同，乙方及其人员、乙方代理、分包商及其人员（如有）的任何财产（包括但不限于设备、装置、器材等，且无论该等财产属于自有、租用、租赁或以其它方式提供）发生毁损、灭失或其它损失，除非该等损失系因甲方故意或重大过失所致，乙方应自行承担全部损失，并应确保甲方免于所有相关的索赔、损失、损害、费用和责任。</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如因履行本合同而发生的或与履行本合同有关的乙方、乙方代理及分包商（如有）的人员发生人身伤亡或疾病，除非该等人身伤亡或疾病系因甲方故意或重大过失所致，乙方应对上述人员的人身伤亡或疾病负责，并确保甲方免于所有相关的索赔、损失、损害、费用和责任，包括但不限于甲方因此需要支付任何赔偿时，乙方均应全额予以补偿。</w:t>
      </w:r>
    </w:p>
    <w:p>
      <w:pPr>
        <w:widowControl/>
        <w:numPr>
          <w:ilvl w:val="0"/>
          <w:numId w:val="29"/>
        </w:numPr>
        <w:tabs>
          <w:tab w:val="left" w:pos="840"/>
        </w:tabs>
        <w:adjustRightInd w:val="0"/>
        <w:snapToGrid w:val="0"/>
        <w:spacing w:before="93" w:beforeLines="30" w:after="93" w:afterLines="30" w:line="360" w:lineRule="auto"/>
        <w:ind w:left="840" w:leftChars="0" w:hanging="840" w:firstLineChars="0"/>
        <w:rPr>
          <w:rFonts w:hint="eastAsia" w:ascii="仿宋" w:hAnsi="仿宋" w:eastAsia="仿宋" w:cs="仿宋"/>
          <w:b/>
          <w:bCs/>
          <w:sz w:val="24"/>
          <w:szCs w:val="24"/>
          <w:highlight w:val="none"/>
        </w:rPr>
      </w:pPr>
      <w:r>
        <w:rPr>
          <w:rFonts w:hint="eastAsia" w:ascii="仿宋" w:hAnsi="仿宋" w:eastAsia="仿宋" w:cs="仿宋"/>
          <w:kern w:val="0"/>
          <w:sz w:val="24"/>
          <w:szCs w:val="24"/>
          <w:highlight w:val="none"/>
        </w:rPr>
        <w:t>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4" w:name="_Toc23311"/>
      <w:r>
        <w:rPr>
          <w:rFonts w:hint="eastAsia" w:ascii="仿宋" w:hAnsi="仿宋" w:eastAsia="仿宋" w:cs="仿宋"/>
          <w:b/>
          <w:bCs/>
          <w:sz w:val="24"/>
          <w:szCs w:val="24"/>
          <w:highlight w:val="none"/>
        </w:rPr>
        <w:t>保密</w:t>
      </w:r>
      <w:bookmarkEnd w:id="151"/>
      <w:bookmarkEnd w:id="152"/>
      <w:bookmarkEnd w:id="153"/>
      <w:bookmarkEnd w:id="154"/>
    </w:p>
    <w:p>
      <w:pPr>
        <w:numPr>
          <w:ilvl w:val="0"/>
          <w:numId w:val="30"/>
        </w:numPr>
        <w:tabs>
          <w:tab w:val="left" w:pos="840"/>
        </w:tabs>
        <w:adjustRightInd w:val="0"/>
        <w:snapToGrid w:val="0"/>
        <w:spacing w:before="93" w:beforeLines="30" w:after="93" w:afterLines="30" w:line="360" w:lineRule="auto"/>
        <w:ind w:left="846" w:leftChars="0" w:hanging="846"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除非法律法规、政府机关另行强制要求，未经甲方事先书面同意，乙方不得将甲方保密信息披露给任何第三方（包括与合同无关的乙方员工和政府部门），亦不得将该等信息用于与本合同无关的用途。保密信息包括但不限于：本合同内容；甲方提供的与本合同有关的任何技术信息、图纸、样本、资料等；甲方提供的或乙方获得的与项目或甲方有关的任何技术和商务信息。</w:t>
      </w:r>
    </w:p>
    <w:p>
      <w:pPr>
        <w:numPr>
          <w:ilvl w:val="0"/>
          <w:numId w:val="30"/>
        </w:numPr>
        <w:tabs>
          <w:tab w:val="left" w:pos="840"/>
        </w:tabs>
        <w:adjustRightInd w:val="0"/>
        <w:snapToGrid w:val="0"/>
        <w:spacing w:before="93" w:beforeLines="30" w:after="93" w:afterLines="30" w:line="360" w:lineRule="auto"/>
        <w:ind w:left="846" w:leftChars="0" w:hanging="846"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一方违反保密义务时，另一方有权要求该方停止侵害、消除影响或采取其他合理的救济措施，该方还应赔偿因违约行为而给对方造成的全部损失。</w:t>
      </w:r>
    </w:p>
    <w:p>
      <w:pPr>
        <w:keepNext/>
        <w:keepLines/>
        <w:numPr>
          <w:ilvl w:val="0"/>
          <w:numId w:val="1"/>
        </w:numPr>
        <w:tabs>
          <w:tab w:val="left" w:pos="1080"/>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5" w:name="_Toc13817"/>
      <w:r>
        <w:rPr>
          <w:rFonts w:hint="eastAsia" w:ascii="仿宋" w:hAnsi="仿宋" w:eastAsia="仿宋" w:cs="仿宋"/>
          <w:b/>
          <w:sz w:val="24"/>
          <w:szCs w:val="24"/>
          <w:highlight w:val="none"/>
        </w:rPr>
        <w:t>审计、禁止商业贿赂和反腐败</w:t>
      </w:r>
      <w:bookmarkEnd w:id="155"/>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乙方应根据甲方要求，接受和配合甲方或甲方委托的会计师事务所进行的与本合同相关的审计，包括配合甲方或甲方委托的会计师事务所对分包商进行的与分包合同相关的审计。乙方应在分包合同中要求其分包商接受与本合同相同的审计要求，包括分包商应无条件接受和配合甲方或甲方委托的会计师事务所对分包商进行的与分包合同相关的审计</w:t>
      </w:r>
      <w:r>
        <w:rPr>
          <w:rFonts w:hint="eastAsia" w:ascii="仿宋" w:hAnsi="仿宋" w:eastAsia="仿宋" w:cs="仿宋"/>
          <w:sz w:val="24"/>
          <w:szCs w:val="24"/>
          <w:highlight w:val="none"/>
        </w:rPr>
        <w:t>。</w:t>
      </w:r>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乙方应保存与本合同相关的记录和账目，保存期限为本合同终止后</w:t>
      </w:r>
      <w:r>
        <w:rPr>
          <w:rFonts w:hint="eastAsia" w:ascii="仿宋" w:hAnsi="仿宋" w:eastAsia="仿宋" w:cs="仿宋"/>
          <w:iCs/>
          <w:kern w:val="0"/>
          <w:sz w:val="24"/>
          <w:szCs w:val="24"/>
          <w:highlight w:val="none"/>
        </w:rPr>
        <w:t>10年或遵从所在国相关规定。经提前通知，甲方或甲方委托的会计师事务所有权检查并复制该等记录和账目</w:t>
      </w:r>
      <w:r>
        <w:rPr>
          <w:rFonts w:hint="eastAsia" w:ascii="仿宋" w:hAnsi="仿宋" w:eastAsia="仿宋" w:cs="仿宋"/>
          <w:kern w:val="0"/>
          <w:sz w:val="24"/>
          <w:szCs w:val="24"/>
          <w:highlight w:val="none"/>
        </w:rPr>
        <w:t>。</w:t>
      </w:r>
    </w:p>
    <w:p>
      <w:pPr>
        <w:keepNext w:val="0"/>
        <w:keepLines w:val="0"/>
        <w:pageBreakBefore w:val="0"/>
        <w:widowControl w:val="0"/>
        <w:numPr>
          <w:ilvl w:val="0"/>
          <w:numId w:val="31"/>
        </w:numPr>
        <w:tabs>
          <w:tab w:val="left" w:pos="840"/>
        </w:tabs>
        <w:kinsoku/>
        <w:wordWrap/>
        <w:overflowPunct/>
        <w:topLinePunct w:val="0"/>
        <w:autoSpaceDE/>
        <w:autoSpaceDN/>
        <w:bidi w:val="0"/>
        <w:adjustRightInd w:val="0"/>
        <w:snapToGrid w:val="0"/>
        <w:spacing w:before="93" w:beforeLines="30" w:after="93" w:afterLines="30" w:line="360" w:lineRule="auto"/>
        <w:ind w:left="845" w:leftChars="0" w:hanging="845"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keepNext/>
        <w:keepLines/>
        <w:numPr>
          <w:ilvl w:val="0"/>
          <w:numId w:val="1"/>
        </w:numPr>
        <w:tabs>
          <w:tab w:val="left" w:pos="1080"/>
          <w:tab w:val="left" w:pos="1276"/>
          <w:tab w:val="clear" w:pos="720"/>
        </w:tabs>
        <w:adjustRightInd w:val="0"/>
        <w:snapToGrid w:val="0"/>
        <w:spacing w:before="93" w:beforeLines="30" w:after="93" w:afterLines="30" w:line="360" w:lineRule="auto"/>
        <w:jc w:val="left"/>
        <w:outlineLvl w:val="1"/>
        <w:rPr>
          <w:rFonts w:hint="eastAsia" w:ascii="仿宋" w:hAnsi="仿宋" w:eastAsia="仿宋" w:cs="仿宋"/>
          <w:b/>
          <w:bCs/>
          <w:sz w:val="24"/>
          <w:szCs w:val="24"/>
          <w:highlight w:val="none"/>
        </w:rPr>
      </w:pPr>
      <w:bookmarkStart w:id="156" w:name="_Toc297822760"/>
      <w:bookmarkStart w:id="157" w:name="_Toc364839381"/>
      <w:bookmarkStart w:id="158" w:name="_Toc3511"/>
      <w:bookmarkStart w:id="159" w:name="_Toc299915699"/>
      <w:r>
        <w:rPr>
          <w:rFonts w:hint="eastAsia" w:ascii="仿宋" w:hAnsi="仿宋" w:eastAsia="仿宋" w:cs="仿宋"/>
          <w:b/>
          <w:bCs/>
          <w:sz w:val="24"/>
          <w:szCs w:val="24"/>
          <w:highlight w:val="none"/>
        </w:rPr>
        <w:t>通知</w:t>
      </w:r>
      <w:bookmarkEnd w:id="156"/>
      <w:bookmarkEnd w:id="157"/>
      <w:bookmarkEnd w:id="158"/>
      <w:bookmarkEnd w:id="159"/>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通知应根据本合同约定以亲自递送、特快专递、传真等方式送达。通知在下列情况视为送达：</w:t>
      </w:r>
    </w:p>
    <w:p>
      <w:pPr>
        <w:widowControl/>
        <w:numPr>
          <w:ilvl w:val="1"/>
          <w:numId w:val="3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如采用亲自递送方式，于签收确认之时；</w:t>
      </w:r>
    </w:p>
    <w:p>
      <w:pPr>
        <w:widowControl/>
        <w:numPr>
          <w:ilvl w:val="1"/>
          <w:numId w:val="33"/>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如采用特快专递方式，于收件人签收之时；</w:t>
      </w:r>
    </w:p>
    <w:p>
      <w:pPr>
        <w:widowControl/>
        <w:numPr>
          <w:ilvl w:val="1"/>
          <w:numId w:val="33"/>
        </w:numPr>
        <w:autoSpaceDE w:val="0"/>
        <w:autoSpaceDN w:val="0"/>
        <w:adjustRightInd w:val="0"/>
        <w:snapToGrid w:val="0"/>
        <w:spacing w:before="93" w:beforeLines="30" w:after="93" w:afterLines="30" w:line="360" w:lineRule="auto"/>
        <w:ind w:left="1276" w:hanging="567"/>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如采用传真方式，于确认传输之时。</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除非一方另行明确要求，双方可通过互联网电子邮件进行通讯联系或传送文件。因不能合理控制的原因导致任何互联网电子邮件遗失、延误、被截取、破坏或修改的，通知发出方不承担因此造成的任何损失、损害、费用、伤害或不便。</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本合同送达地址适用范围包括就本合同发生争议时相关文件和法律文书的送达（包括争议进入仲裁、民事诉讼程序后的一审、二审、再审和执行程序）</w:t>
      </w:r>
      <w:r>
        <w:rPr>
          <w:rFonts w:hint="eastAsia" w:ascii="仿宋" w:hAnsi="仿宋" w:eastAsia="仿宋" w:cs="仿宋"/>
          <w:sz w:val="24"/>
          <w:szCs w:val="24"/>
          <w:highlight w:val="none"/>
          <w:lang w:eastAsia="zh-CN"/>
        </w:rPr>
        <w:t>。</w:t>
      </w:r>
    </w:p>
    <w:p>
      <w:pPr>
        <w:keepNext w:val="0"/>
        <w:keepLines w:val="0"/>
        <w:pageBreakBefore w:val="0"/>
        <w:widowControl/>
        <w:numPr>
          <w:ilvl w:val="0"/>
          <w:numId w:val="32"/>
        </w:numPr>
        <w:tabs>
          <w:tab w:val="left" w:pos="840"/>
        </w:tabs>
        <w:kinsoku/>
        <w:wordWrap/>
        <w:overflowPunct/>
        <w:topLinePunct w:val="0"/>
        <w:autoSpaceDE w:val="0"/>
        <w:autoSpaceDN w:val="0"/>
        <w:bidi w:val="0"/>
        <w:adjustRightInd w:val="0"/>
        <w:snapToGrid w:val="0"/>
        <w:spacing w:before="93" w:beforeLines="30" w:after="93" w:afterLines="30" w:line="360" w:lineRule="auto"/>
        <w:ind w:left="845" w:hanging="845"/>
        <w:jc w:val="left"/>
        <w:textAlignment w:val="bottom"/>
        <w:rPr>
          <w:rFonts w:hint="eastAsia" w:ascii="仿宋" w:hAnsi="仿宋" w:eastAsia="仿宋" w:cs="仿宋"/>
          <w:sz w:val="24"/>
          <w:szCs w:val="24"/>
          <w:highlight w:val="none"/>
        </w:rPr>
      </w:pPr>
      <w:r>
        <w:rPr>
          <w:rFonts w:hint="eastAsia" w:ascii="仿宋" w:hAnsi="仿宋" w:eastAsia="仿宋" w:cs="仿宋"/>
          <w:sz w:val="24"/>
          <w:szCs w:val="24"/>
          <w:highlight w:val="none"/>
        </w:rPr>
        <w:t>本合同的一方发给另一方的任何文件均应以书面形式作出，并通过【传真】、【专人递送】、【挂号信】、【特快专递方式】或【电子邮件】等方式送达。任何根据本合同发出的文件须以上述方式按下列联系方式发送：</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甲方： 中海油(天津)油田化工有限公司</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联系地址： 天津市滨海新区塘沽海缘西路242号塘沽海洋科技商务园西2-1号楼</w:t>
      </w:r>
    </w:p>
    <w:p>
      <w:pPr>
        <w:widowControl/>
        <w:snapToGrid w:val="0"/>
        <w:spacing w:before="93" w:beforeLines="30" w:after="93" w:afterLines="30" w:line="360" w:lineRule="auto"/>
        <w:ind w:left="829" w:leftChars="0" w:firstLine="9" w:firstLineChars="0"/>
        <w:jc w:val="left"/>
        <w:rPr>
          <w:rFonts w:hint="default"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电  话： 022-66907192</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电子邮件：shenhao3@cnooc.com.cn </w:t>
      </w:r>
    </w:p>
    <w:p>
      <w:pPr>
        <w:widowControl/>
        <w:snapToGrid w:val="0"/>
        <w:spacing w:before="93" w:beforeLines="30" w:after="93" w:afterLines="30" w:line="360" w:lineRule="auto"/>
        <w:ind w:left="829" w:leftChars="0" w:firstLine="9" w:firstLineChars="0"/>
        <w:jc w:val="left"/>
        <w:rPr>
          <w:rFonts w:hint="default"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联系人： 沈皓</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乙方：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地址：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电话：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yellow"/>
          <w:lang w:val="en-US" w:eastAsia="zh-CN"/>
        </w:rPr>
      </w:pPr>
      <w:r>
        <w:rPr>
          <w:rFonts w:hint="eastAsia" w:ascii="仿宋" w:hAnsi="仿宋" w:eastAsia="仿宋" w:cs="仿宋"/>
          <w:b/>
          <w:bCs/>
          <w:kern w:val="0"/>
          <w:sz w:val="24"/>
          <w:szCs w:val="24"/>
          <w:highlight w:val="yellow"/>
          <w:lang w:val="en-US" w:eastAsia="zh-CN"/>
        </w:rPr>
        <w:t xml:space="preserve">电子邮件： </w:t>
      </w:r>
    </w:p>
    <w:p>
      <w:pPr>
        <w:widowControl/>
        <w:snapToGrid w:val="0"/>
        <w:spacing w:before="93" w:beforeLines="30" w:after="93" w:afterLines="30" w:line="360" w:lineRule="auto"/>
        <w:ind w:left="829" w:leftChars="0" w:firstLine="9" w:firstLineChars="0"/>
        <w:jc w:val="left"/>
        <w:rPr>
          <w:rFonts w:hint="eastAsia" w:ascii="仿宋" w:hAnsi="仿宋" w:eastAsia="仿宋" w:cs="仿宋"/>
          <w:b/>
          <w:bCs/>
          <w:kern w:val="0"/>
          <w:sz w:val="24"/>
          <w:szCs w:val="24"/>
          <w:highlight w:val="none"/>
          <w:lang w:val="en-US" w:eastAsia="en-US"/>
        </w:rPr>
      </w:pPr>
      <w:r>
        <w:rPr>
          <w:rFonts w:hint="eastAsia" w:ascii="仿宋" w:hAnsi="仿宋" w:eastAsia="仿宋" w:cs="仿宋"/>
          <w:b/>
          <w:bCs/>
          <w:kern w:val="0"/>
          <w:sz w:val="24"/>
          <w:szCs w:val="24"/>
          <w:highlight w:val="yellow"/>
          <w:lang w:val="en-US" w:eastAsia="en-US"/>
        </w:rPr>
        <w:t>联系人：</w:t>
      </w:r>
      <w:r>
        <w:rPr>
          <w:rFonts w:hint="eastAsia" w:ascii="仿宋" w:hAnsi="仿宋" w:eastAsia="仿宋" w:cs="仿宋"/>
          <w:b/>
          <w:bCs/>
          <w:kern w:val="0"/>
          <w:sz w:val="24"/>
          <w:szCs w:val="24"/>
          <w:highlight w:val="none"/>
          <w:lang w:val="en-US" w:eastAsia="zh-CN"/>
        </w:rPr>
        <w:t xml:space="preserve"> </w:t>
      </w:r>
    </w:p>
    <w:p>
      <w:pPr>
        <w:keepNext/>
        <w:keepLines/>
        <w:numPr>
          <w:ilvl w:val="0"/>
          <w:numId w:val="1"/>
        </w:numPr>
        <w:tabs>
          <w:tab w:val="left" w:pos="1080"/>
          <w:tab w:val="left" w:pos="1276"/>
          <w:tab w:val="clear" w:pos="720"/>
        </w:tabs>
        <w:adjustRightInd w:val="0"/>
        <w:snapToGrid w:val="0"/>
        <w:spacing w:before="93" w:beforeLines="30" w:after="93" w:afterLines="30" w:line="360" w:lineRule="auto"/>
        <w:jc w:val="left"/>
        <w:outlineLvl w:val="1"/>
        <w:rPr>
          <w:rFonts w:hint="eastAsia" w:ascii="仿宋" w:hAnsi="仿宋" w:eastAsia="仿宋" w:cs="仿宋"/>
          <w:b/>
          <w:bCs/>
          <w:kern w:val="0"/>
          <w:sz w:val="24"/>
          <w:szCs w:val="24"/>
          <w:highlight w:val="none"/>
        </w:rPr>
      </w:pPr>
      <w:bookmarkStart w:id="160" w:name="_Toc364839382"/>
      <w:bookmarkStart w:id="161" w:name="_Toc299915700"/>
      <w:bookmarkStart w:id="162" w:name="_Toc24315"/>
      <w:r>
        <w:rPr>
          <w:rFonts w:hint="eastAsia" w:ascii="仿宋" w:hAnsi="仿宋" w:eastAsia="仿宋" w:cs="仿宋"/>
          <w:b/>
          <w:bCs/>
          <w:kern w:val="0"/>
          <w:sz w:val="24"/>
          <w:szCs w:val="24"/>
          <w:highlight w:val="none"/>
        </w:rPr>
        <w:t>法律适用和争议解决</w:t>
      </w:r>
      <w:bookmarkEnd w:id="160"/>
      <w:bookmarkEnd w:id="161"/>
      <w:bookmarkEnd w:id="162"/>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bookmarkStart w:id="163" w:name="_Toc291354277"/>
      <w:bookmarkStart w:id="164" w:name="_Toc291365399"/>
      <w:bookmarkStart w:id="165" w:name="_Toc291275281"/>
      <w:r>
        <w:rPr>
          <w:rFonts w:hint="eastAsia" w:ascii="仿宋" w:hAnsi="仿宋" w:eastAsia="仿宋" w:cs="仿宋"/>
          <w:sz w:val="24"/>
          <w:szCs w:val="24"/>
          <w:highlight w:val="none"/>
        </w:rPr>
        <w:t>本合同适用中华人民共和国（不含香港特别行政区、澳门特别行政区和台湾地区）法律。</w:t>
      </w:r>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因履行本合同发生的或与本合同有关的一切争议，双方首先应友好协商解决，如经协商60日内仍不能解决，双方同意选择以下第</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u w:val="single"/>
          <w:lang w:val="en-US" w:eastAsia="zh-CN"/>
        </w:rPr>
        <w:t>1</w:t>
      </w:r>
      <w:r>
        <w:rPr>
          <w:rFonts w:hint="eastAsia" w:ascii="仿宋" w:hAnsi="仿宋" w:eastAsia="仿宋" w:cs="仿宋"/>
          <w:b/>
          <w:bCs/>
          <w:sz w:val="24"/>
          <w:szCs w:val="24"/>
          <w:highlight w:val="none"/>
          <w:u w:val="single"/>
        </w:rPr>
        <w:t xml:space="preserve"> </w:t>
      </w:r>
      <w:r>
        <w:rPr>
          <w:rFonts w:hint="eastAsia" w:ascii="仿宋" w:hAnsi="仿宋" w:eastAsia="仿宋" w:cs="仿宋"/>
          <w:sz w:val="24"/>
          <w:szCs w:val="24"/>
          <w:highlight w:val="none"/>
        </w:rPr>
        <w:t>种方式予以解决：</w:t>
      </w:r>
    </w:p>
    <w:p>
      <w:pPr>
        <w:widowControl/>
        <w:numPr>
          <w:ilvl w:val="1"/>
          <w:numId w:val="35"/>
        </w:numPr>
        <w:adjustRightInd w:val="0"/>
        <w:snapToGrid w:val="0"/>
        <w:spacing w:before="93" w:beforeLines="30" w:after="93" w:afterLines="30" w:line="360" w:lineRule="auto"/>
        <w:ind w:left="1276" w:hanging="567"/>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向甲方所在地人民法院起诉。</w:t>
      </w:r>
    </w:p>
    <w:p>
      <w:pPr>
        <w:widowControl/>
        <w:numPr>
          <w:ilvl w:val="1"/>
          <w:numId w:val="35"/>
        </w:numPr>
        <w:adjustRightInd w:val="0"/>
        <w:snapToGrid w:val="0"/>
        <w:spacing w:before="93" w:beforeLines="30" w:after="93" w:afterLines="30" w:line="360" w:lineRule="auto"/>
        <w:ind w:left="1276" w:hanging="56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提交（□中国国际经济贸易仲裁委员会；□中国国际经济贸易仲裁委员会华南分会；□中国国际经济贸易仲裁委员会上海分会；□北京仲裁委员会；☑天津仲裁委员会）进行仲裁。仲裁地点在</w:t>
      </w:r>
      <w:r>
        <w:rPr>
          <w:rFonts w:hint="eastAsia" w:ascii="仿宋" w:hAnsi="仿宋" w:eastAsia="仿宋" w:cs="仿宋"/>
          <w:b/>
          <w:bCs/>
          <w:sz w:val="24"/>
          <w:szCs w:val="24"/>
          <w:highlight w:val="none"/>
          <w:u w:val="single"/>
        </w:rPr>
        <w:t>天津</w:t>
      </w:r>
      <w:r>
        <w:rPr>
          <w:rFonts w:hint="eastAsia" w:ascii="仿宋" w:hAnsi="仿宋" w:eastAsia="仿宋" w:cs="仿宋"/>
          <w:sz w:val="24"/>
          <w:szCs w:val="24"/>
          <w:highlight w:val="none"/>
        </w:rPr>
        <w:t>。仲裁应根据该仲裁委员会现行有效的仲裁规则进行。仲裁裁决是终局的，对双方均有约束力。除仲裁庭另有裁决外，仲裁费用由败诉方承担。</w:t>
      </w:r>
    </w:p>
    <w:p>
      <w:pPr>
        <w:keepNext w:val="0"/>
        <w:keepLines w:val="0"/>
        <w:pageBreakBefore w:val="0"/>
        <w:widowControl w:val="0"/>
        <w:numPr>
          <w:ilvl w:val="0"/>
          <w:numId w:val="34"/>
        </w:numPr>
        <w:tabs>
          <w:tab w:val="left" w:pos="720"/>
        </w:tabs>
        <w:kinsoku/>
        <w:wordWrap/>
        <w:overflowPunct/>
        <w:topLinePunct w:val="0"/>
        <w:autoSpaceDE/>
        <w:autoSpaceDN/>
        <w:bidi w:val="0"/>
        <w:adjustRightInd w:val="0"/>
        <w:snapToGrid w:val="0"/>
        <w:spacing w:before="93" w:beforeLines="30" w:after="93" w:afterLines="30" w:line="360" w:lineRule="auto"/>
        <w:ind w:left="726" w:leftChars="0" w:hanging="726" w:firstLineChars="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争议解决期间，除争议事项外，双方应继续履行本合同。</w:t>
      </w:r>
    </w:p>
    <w:p>
      <w:pPr>
        <w:keepNext w:val="0"/>
        <w:keepLines w:val="0"/>
        <w:pageBreakBefore w:val="0"/>
        <w:widowControl w:val="0"/>
        <w:numPr>
          <w:ilvl w:val="0"/>
          <w:numId w:val="1"/>
        </w:numPr>
        <w:tabs>
          <w:tab w:val="left" w:pos="1080"/>
          <w:tab w:val="clear" w:pos="720"/>
        </w:tabs>
        <w:kinsoku/>
        <w:wordWrap/>
        <w:overflowPunct/>
        <w:topLinePunct w:val="0"/>
        <w:autoSpaceDE/>
        <w:autoSpaceDN/>
        <w:bidi w:val="0"/>
        <w:adjustRightInd w:val="0"/>
        <w:snapToGrid w:val="0"/>
        <w:spacing w:before="93" w:beforeLines="30" w:after="93" w:afterLines="30" w:line="360" w:lineRule="auto"/>
        <w:jc w:val="left"/>
        <w:textAlignment w:val="auto"/>
        <w:outlineLvl w:val="1"/>
        <w:rPr>
          <w:rFonts w:hint="eastAsia" w:ascii="仿宋" w:hAnsi="仿宋" w:eastAsia="仿宋" w:cs="仿宋"/>
          <w:b/>
          <w:bCs/>
          <w:sz w:val="24"/>
          <w:szCs w:val="24"/>
          <w:highlight w:val="none"/>
        </w:rPr>
      </w:pPr>
      <w:bookmarkStart w:id="166" w:name="_Toc27624"/>
      <w:bookmarkStart w:id="167" w:name="_Toc364839383"/>
      <w:r>
        <w:rPr>
          <w:rFonts w:hint="eastAsia" w:ascii="仿宋" w:hAnsi="仿宋" w:eastAsia="仿宋" w:cs="仿宋"/>
          <w:b/>
          <w:bCs/>
          <w:sz w:val="24"/>
          <w:szCs w:val="24"/>
          <w:highlight w:val="none"/>
        </w:rPr>
        <w:t>其它</w:t>
      </w:r>
      <w:bookmarkEnd w:id="166"/>
      <w:bookmarkEnd w:id="167"/>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在本合同签订时如乙方属于《保障中小企业款项支付条例》（“条例”）规定的中小企业，本合同所约定的付款期限、方式、条件和违约责任等交易条件应遵守该条例的规定。如本合同约定的任何交易条件违反该条例，甲方应按照符合该条例规定的交易条件履行合同，并应按照条例的规定与乙方协商变更本合同的该等交易条件，以保障乙方享有条例规定的合法权益。</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本合同自甲乙双方法定代表人或授权代表签字并盖章之日起生效，自双方履行完本合同项下全部权利和义务后终止。</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本合同签署以前双方就本合同约定的服务的提供和接受及相关事宜达成的所有口头和/或书面的声明、文件、信件及双方其它形式的通信在本合同生效后自动失效。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未经另一方事先书面同意，任何一方不得以任何方式使用另一方的名称、商品商标、服务商标、企业标志、商号或品牌。</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如果本合同的任何条款或规定被裁定为无效、不合法或不可强制执行，该条款或规定应视为被删除，本合同其它条款不受影响，仍继续有效。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履行过程中，如乙方发生重组、合并、分立、重大股权或资产转让，应及时通知甲方。经甲方事先书面同意，乙方应安排具有相应资质的主体继续履行本合同，否则乙方不得执行前述重组、合并、分立或转让。乙方应根据甲方的要求，为继续履行本合同的主体安排履约担保。</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本合同解除或终止后，本合同项下关于知识产权、保密、保障、责任、适用法律、争议解决和其它具有持续性效力的条款继续有效。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本合同未尽事宜，应由双方协商确定，并签订补充协议，补充协议与本合同具有同等法律效力。</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本合同的任何变更、修改或增减，须经双方协商一致、法定代表人或授权代表签署书面文件或盖章后生效。</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本合同系双方协商、讨论的结果，合同内容非一方当事人单方拟定。本合同不属于格式合同，条款内容不属于格式条款。</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本合同正文、附件及其后的修改文件和补充文件均应采用中文书写。附件及其后的修改文件和补充文件作为本合同不可分割的组成部分，与本合同正文具有同等法律效力。</w:t>
      </w:r>
    </w:p>
    <w:p>
      <w:pPr>
        <w:keepNext w:val="0"/>
        <w:keepLines w:val="0"/>
        <w:pageBreakBefore w:val="0"/>
        <w:widowControl w:val="0"/>
        <w:numPr>
          <w:ilvl w:val="0"/>
          <w:numId w:val="36"/>
        </w:numPr>
        <w:tabs>
          <w:tab w:val="left" w:pos="720"/>
        </w:tabs>
        <w:kinsoku/>
        <w:wordWrap/>
        <w:overflowPunct/>
        <w:topLinePunct w:val="0"/>
        <w:autoSpaceDE/>
        <w:autoSpaceDN/>
        <w:bidi w:val="0"/>
        <w:adjustRightInd w:val="0"/>
        <w:snapToGrid w:val="0"/>
        <w:spacing w:before="93" w:beforeLines="30" w:after="93" w:afterLines="30" w:line="360" w:lineRule="auto"/>
        <w:ind w:left="737" w:leftChars="0" w:hanging="737"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本合同一式贰份，甲方持壹份，乙持壹份，具有同等效力。</w:t>
      </w:r>
    </w:p>
    <w:p>
      <w:pPr>
        <w:spacing w:line="360" w:lineRule="auto"/>
        <w:ind w:left="420"/>
        <w:jc w:val="center"/>
        <w:rPr>
          <w:rFonts w:hint="eastAsia" w:ascii="仿宋" w:hAnsi="仿宋" w:eastAsia="仿宋" w:cs="仿宋"/>
          <w:b/>
          <w:sz w:val="24"/>
          <w:highlight w:val="none"/>
        </w:rPr>
      </w:pPr>
      <w:r>
        <w:rPr>
          <w:rFonts w:hint="eastAsia" w:ascii="仿宋" w:hAnsi="仿宋" w:eastAsia="仿宋" w:cs="仿宋"/>
          <w:b/>
          <w:sz w:val="24"/>
          <w:highlight w:val="none"/>
        </w:rPr>
        <w:t>（以下无正文）</w:t>
      </w:r>
    </w:p>
    <w:p>
      <w:pPr>
        <w:rPr>
          <w:rFonts w:hint="eastAsia" w:ascii="仿宋" w:hAnsi="仿宋" w:eastAsia="仿宋" w:cs="仿宋"/>
          <w:b/>
          <w:sz w:val="24"/>
          <w:highlight w:val="none"/>
        </w:rPr>
      </w:pPr>
      <w:r>
        <w:rPr>
          <w:rFonts w:hint="eastAsia" w:ascii="仿宋" w:hAnsi="仿宋" w:eastAsia="仿宋" w:cs="仿宋"/>
          <w:b/>
          <w:sz w:val="24"/>
          <w:highlight w:val="none"/>
        </w:rPr>
        <w:br w:type="page"/>
      </w:r>
    </w:p>
    <w:p>
      <w:pPr>
        <w:tabs>
          <w:tab w:val="left" w:pos="850"/>
        </w:tabs>
        <w:autoSpaceDE w:val="0"/>
        <w:autoSpaceDN w:val="0"/>
        <w:spacing w:line="360" w:lineRule="auto"/>
        <w:jc w:val="center"/>
        <w:textAlignment w:val="bottom"/>
        <w:rPr>
          <w:rFonts w:hint="eastAsia" w:ascii="仿宋" w:hAnsi="仿宋" w:eastAsia="仿宋" w:cs="仿宋"/>
          <w:b/>
          <w:sz w:val="24"/>
          <w:highlight w:val="none"/>
        </w:rPr>
      </w:pPr>
      <w:r>
        <w:rPr>
          <w:rFonts w:hint="eastAsia" w:ascii="仿宋" w:hAnsi="仿宋" w:eastAsia="仿宋" w:cs="仿宋"/>
          <w:b/>
          <w:sz w:val="24"/>
          <w:highlight w:val="none"/>
        </w:rPr>
        <w:t>（本页无正文，为签章页）</w:t>
      </w:r>
    </w:p>
    <w:p>
      <w:pPr>
        <w:pStyle w:val="2"/>
        <w:rPr>
          <w:rFonts w:hint="eastAsia" w:ascii="仿宋" w:hAnsi="仿宋" w:eastAsia="仿宋" w:cs="仿宋"/>
          <w:b/>
          <w:sz w:val="24"/>
          <w:highlight w:val="none"/>
        </w:rPr>
      </w:pPr>
    </w:p>
    <w:p>
      <w:pPr>
        <w:rPr>
          <w:rFonts w:hint="eastAsia" w:ascii="仿宋" w:hAnsi="仿宋" w:eastAsia="仿宋" w:cs="仿宋"/>
          <w:b/>
          <w:sz w:val="24"/>
          <w:highlight w:val="none"/>
        </w:rPr>
      </w:pPr>
    </w:p>
    <w:p>
      <w:pPr>
        <w:pStyle w:val="2"/>
        <w:rPr>
          <w:rFonts w:hint="eastAsia" w:ascii="仿宋" w:hAnsi="仿宋" w:eastAsia="仿宋" w:cs="仿宋"/>
          <w:highlight w:val="none"/>
        </w:rPr>
      </w:pPr>
    </w:p>
    <w:p>
      <w:pPr>
        <w:tabs>
          <w:tab w:val="left" w:pos="850"/>
        </w:tabs>
        <w:autoSpaceDE w:val="0"/>
        <w:autoSpaceDN w:val="0"/>
        <w:spacing w:before="93" w:beforeLines="30" w:after="93" w:afterLines="30" w:line="360" w:lineRule="auto"/>
        <w:jc w:val="center"/>
        <w:textAlignment w:val="bottom"/>
        <w:rPr>
          <w:b/>
          <w:szCs w:val="21"/>
        </w:rPr>
      </w:pPr>
    </w:p>
    <w:p>
      <w:pPr>
        <w:tabs>
          <w:tab w:val="left" w:pos="850"/>
        </w:tabs>
        <w:autoSpaceDE w:val="0"/>
        <w:autoSpaceDN w:val="0"/>
        <w:spacing w:before="93" w:beforeLines="30" w:after="93" w:afterLines="30" w:line="360" w:lineRule="auto"/>
        <w:ind w:firstLine="600"/>
        <w:textAlignment w:val="bottom"/>
        <w:rPr>
          <w:szCs w:val="21"/>
        </w:rPr>
      </w:pPr>
    </w:p>
    <w:tbl>
      <w:tblPr>
        <w:tblStyle w:val="22"/>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b/>
                <w:szCs w:val="21"/>
              </w:rPr>
            </w:pPr>
            <w:r>
              <w:rPr>
                <w:rFonts w:hint="eastAsia" w:ascii="仿宋" w:hAnsi="仿宋" w:eastAsia="仿宋" w:cs="仿宋"/>
                <w:b/>
                <w:sz w:val="24"/>
                <w:highlight w:val="none"/>
              </w:rPr>
              <w:t>买方：中海油（天津）油田化工有限公司（盖章）</w:t>
            </w:r>
          </w:p>
        </w:tc>
        <w:tc>
          <w:tcPr>
            <w:tcW w:w="2397" w:type="pct"/>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0" w:beforeAutospacing="0" w:after="0" w:afterAutospacing="0" w:line="360" w:lineRule="auto"/>
              <w:ind w:left="0" w:right="0"/>
              <w:jc w:val="center"/>
              <w:textAlignment w:val="bottom"/>
              <w:rPr>
                <w:rFonts w:hint="eastAsia" w:ascii="仿宋" w:hAnsi="仿宋" w:eastAsia="仿宋" w:cs="仿宋"/>
                <w:b/>
                <w:sz w:val="24"/>
                <w:highlight w:val="none"/>
              </w:rPr>
            </w:pPr>
            <w:r>
              <w:rPr>
                <w:rFonts w:hint="eastAsia" w:ascii="仿宋" w:hAnsi="仿宋" w:eastAsia="仿宋" w:cs="仿宋"/>
                <w:b/>
                <w:sz w:val="24"/>
                <w:highlight w:val="none"/>
              </w:rPr>
              <w:t>卖方：xxxxxx（盖章）</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tc>
      </w:tr>
      <w:tr>
        <w:tblPrEx>
          <w:tblCellMar>
            <w:top w:w="0" w:type="dxa"/>
            <w:left w:w="108" w:type="dxa"/>
            <w:bottom w:w="0" w:type="dxa"/>
            <w:right w:w="108" w:type="dxa"/>
          </w:tblCellMar>
        </w:tblPrEx>
        <w:trPr>
          <w:trHeight w:val="1084" w:hRule="atLeast"/>
        </w:trPr>
        <w:tc>
          <w:tcPr>
            <w:tcW w:w="2603" w:type="pct"/>
            <w:vAlign w:val="center"/>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eastAsia" w:ascii="仿宋" w:hAnsi="仿宋" w:eastAsia="仿宋" w:cs="仿宋"/>
                <w:szCs w:val="21"/>
              </w:rPr>
            </w:pPr>
            <w:r>
              <w:rPr>
                <w:rFonts w:hint="eastAsia" w:ascii="仿宋" w:hAnsi="仿宋" w:eastAsia="仿宋" w:cs="仿宋"/>
                <w:szCs w:val="21"/>
              </w:rPr>
              <w:t>法定代表人或授权代表签字：</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r>
              <w:rPr>
                <w:rFonts w:hint="default"/>
                <w:szCs w:val="21"/>
                <w:u w:val="single"/>
              </w:rPr>
              <w:t xml:space="preserve">         </w:t>
            </w:r>
            <w:r>
              <w:rPr>
                <w:rFonts w:hint="eastAsia"/>
                <w:szCs w:val="21"/>
                <w:u w:val="single"/>
              </w:rPr>
              <w:t xml:space="preserve">                     </w:t>
            </w:r>
            <w:r>
              <w:rPr>
                <w:rFonts w:hint="default"/>
                <w:szCs w:val="21"/>
                <w:u w:val="single"/>
              </w:rPr>
              <w:t xml:space="preserve">    </w:t>
            </w:r>
          </w:p>
        </w:tc>
        <w:tc>
          <w:tcPr>
            <w:tcW w:w="2397" w:type="pct"/>
            <w:vAlign w:val="center"/>
          </w:tcPr>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eastAsia" w:ascii="仿宋" w:hAnsi="仿宋" w:eastAsia="仿宋" w:cs="仿宋"/>
                <w:szCs w:val="21"/>
              </w:rPr>
            </w:pPr>
            <w:r>
              <w:rPr>
                <w:rFonts w:hint="eastAsia" w:ascii="仿宋" w:hAnsi="仿宋" w:eastAsia="仿宋" w:cs="仿宋"/>
                <w:szCs w:val="21"/>
              </w:rPr>
              <w:t>法定代表人或授权代表签字：</w:t>
            </w: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p>
          <w:p>
            <w:pPr>
              <w:keepNext w:val="0"/>
              <w:keepLines w:val="0"/>
              <w:suppressLineNumbers w:val="0"/>
              <w:tabs>
                <w:tab w:val="left" w:pos="850"/>
              </w:tabs>
              <w:autoSpaceDE w:val="0"/>
              <w:autoSpaceDN w:val="0"/>
              <w:spacing w:before="93" w:beforeLines="30" w:beforeAutospacing="0" w:after="93" w:afterLines="30" w:afterAutospacing="0" w:line="360" w:lineRule="auto"/>
              <w:ind w:left="0" w:right="0"/>
              <w:textAlignment w:val="bottom"/>
              <w:rPr>
                <w:rFonts w:hint="default"/>
                <w:szCs w:val="21"/>
              </w:rPr>
            </w:pPr>
            <w:r>
              <w:rPr>
                <w:rFonts w:hint="default"/>
                <w:szCs w:val="21"/>
                <w:u w:val="single"/>
              </w:rPr>
              <w:t xml:space="preserve">            </w:t>
            </w:r>
            <w:r>
              <w:rPr>
                <w:rFonts w:hint="eastAsia"/>
                <w:szCs w:val="21"/>
                <w:u w:val="single"/>
              </w:rPr>
              <w:t xml:space="preserve">                 </w:t>
            </w:r>
            <w:r>
              <w:rPr>
                <w:rFonts w:hint="default"/>
                <w:szCs w:val="21"/>
                <w:u w:val="single"/>
              </w:rPr>
              <w:t xml:space="preserve">   </w:t>
            </w:r>
          </w:p>
        </w:tc>
      </w:tr>
    </w:tbl>
    <w:p>
      <w:pPr>
        <w:spacing w:line="360" w:lineRule="auto"/>
        <w:rPr>
          <w:rFonts w:hint="eastAsia" w:ascii="仿宋" w:hAnsi="仿宋" w:eastAsia="仿宋" w:cs="仿宋"/>
          <w:sz w:val="28"/>
          <w:szCs w:val="28"/>
          <w:highlight w:val="none"/>
        </w:rPr>
      </w:pPr>
    </w:p>
    <w:p>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highlight w:val="none"/>
        </w:rPr>
      </w:pPr>
      <w:bookmarkStart w:id="168" w:name="_Toc364839384"/>
      <w:bookmarkStart w:id="169" w:name="_Toc299915704"/>
      <w:bookmarkStart w:id="170" w:name="_Toc25701"/>
      <w:r>
        <w:rPr>
          <w:rFonts w:hint="eastAsia" w:ascii="仿宋" w:hAnsi="仿宋" w:eastAsia="仿宋" w:cs="仿宋"/>
          <w:b/>
          <w:bCs/>
          <w:sz w:val="24"/>
          <w:szCs w:val="24"/>
          <w:highlight w:val="none"/>
        </w:rPr>
        <w:t>附件一：</w:t>
      </w:r>
      <w:bookmarkEnd w:id="168"/>
      <w:bookmarkEnd w:id="169"/>
      <w:r>
        <w:rPr>
          <w:rFonts w:hint="eastAsia" w:ascii="仿宋" w:hAnsi="仿宋" w:eastAsia="仿宋" w:cs="仿宋"/>
          <w:b/>
          <w:bCs/>
          <w:sz w:val="24"/>
          <w:szCs w:val="24"/>
          <w:highlight w:val="none"/>
        </w:rPr>
        <w:t>技术规格书</w:t>
      </w:r>
      <w:bookmarkEnd w:id="170"/>
      <w:bookmarkStart w:id="171" w:name="_Toc299915706"/>
      <w:bookmarkStart w:id="172" w:name="_Toc364839386"/>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项目概述</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中海油（天津）油田化工有限公司南港建设项目拟定于天津南港工业区海港路泰汇道交口南侧空地进行建设，建设面积81029㎡。</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为实现采油化学药剂规模化生产，完善一期集输药剂生产能力及增大仓储能力，拟建设以聚合物、甲类水处理剂及增产措施添加剂为产品的油化学药剂生产和仓储项目。项目规划建设生产线总产能5.8万吨/年,包括：聚丙烯酰胺干粉生产线产能为2万吨/年；聚丙烯酰胺乳液生产线产能为0.5万吨/年、水性乳液生产线0.5万吨/年、多胺缩合生产线0.5万吨/年、缓蚀剂生产线1.5万吨/年（含1000吨/年增产措施作业专用添加剂）及酯化生产线0.8万吨/年。</w:t>
      </w:r>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服务范围或改造范围（要求具体描述施工内容及工作量）</w:t>
      </w:r>
    </w:p>
    <w:p>
      <w:pPr>
        <w:pStyle w:val="3"/>
        <w:spacing w:before="0" w:after="0" w:line="360" w:lineRule="auto"/>
        <w:ind w:firstLine="480" w:firstLineChars="200"/>
        <w:rPr>
          <w:rFonts w:hint="eastAsia" w:ascii="仿宋" w:hAnsi="仿宋" w:eastAsia="仿宋" w:cs="仿宋"/>
          <w:b w:val="0"/>
          <w:bCs w:val="0"/>
          <w:iCs/>
          <w:kern w:val="2"/>
          <w:sz w:val="24"/>
          <w:szCs w:val="24"/>
        </w:rPr>
      </w:pPr>
      <w:r>
        <w:rPr>
          <w:rFonts w:hint="eastAsia" w:ascii="仿宋" w:hAnsi="仿宋" w:eastAsia="仿宋" w:cs="仿宋"/>
          <w:b w:val="0"/>
          <w:bCs w:val="0"/>
          <w:iCs/>
          <w:kern w:val="2"/>
          <w:sz w:val="24"/>
          <w:szCs w:val="24"/>
        </w:rPr>
        <w:t>投标人须依据天津市地震局《关于公布2023年地震安全性评价从业单位有关信息的通知》（津震发【2023】22号）文件，按照《地震安全性评价管理条例》（2019年修正）以及《地震安全性评价管理办法（暂行）》（中震防发【2017】10号）等法规和文件规定，并结合本项目场地特点进行本次地震安全性评价工作的工作量布设，所布设工作量应满足相关政策法规的要求和设计阶段对地震安全性评价成果的要求。</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1、服务内容</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1.1投标人负责本次地震安全性评价工作所需的所有材料、机具、设备等；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1.2投标人负责本工程地震安全性评价工作并提供合格地震安全性评价报告。</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1.3本工程的施工临时用电、用水由投标人自行解决，并承担相关费用（含用电、用水费用）；</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1.4投标人自行解决施工人员食宿、交通等；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1.5投标人应按要求在施工中保证HSE投入。</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1.6成果要求：成果应符合国家及天津市有关技术规定，满足设计条件要求。</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2、工作量清单</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2.1质量标准</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本次地震安全性评价工作质量，按照《地震安全性评价管理办法（暂行）》（中震防发【2017】10号）以及国家标准《工程场地地震安全性评价技术规范》（GB17741-2005）、《中国地震动参数区划图》（GB18306－2015）、《建筑抗震设计规范》（GB50011－2010,2016版）等规范、标准的有关要求进行。质量标准达到“合格”标准。</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2.2技术要求</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2.2.1地震安全性评价工作包括但不限于以下内容：</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（一）区域地震活动性和地震构造研究</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区域地震构造研究的目的是寻找评价场地周围一定范围内构造活动与地震活动的相互关系，为工程场地地震安全性评价提供潜在震源区和地震构造区划分的基本依据。区域地震构造研究的范围为半径不小于工程场地外围150公里。</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1、区域地震活动性</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①编制地震目录：根据正式出版的地震目录和地震部门正式公布的地震报告，编制区域范围内所有历史上的地震和区域台网观测以来全部可定震中参数的地震事件。</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②编制震中分布图：包括历史地震震中分布图；近代地震震中分布图</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③研究地震活动时空分布特征：通过地震活动的空间分布特征和地震活动强弱随时间的起伏特点，评价未来时间段内地震活动的总体水平。</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④收集、分析历史地震对场地产生的影响烈度资料。</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⑤根据我单位对区域地壳形变的观测研究及区域地震的分析研究，补充本区域震源机制资料、并分析现代构造应力场。</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2、区域地震构造研究</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①根据已有资料，结合野外调查工作编制地震构造图。</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②查明对地震危险性概率分析结果有较大影响断层的最新活动时代、性质、运动特性；断层活动的分段特征，古地震和大震重复周期等。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③编制相关的区域大地构造单元划分图、新构造图、布格重力异常图、航磁异常图、地壳结构图。</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3、划分地震区、带</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根据地球物理场和地壳构造、地震活动性的区域差异；新构造运动和现代构造运动的差异等条件，划分地震区、带。</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4、地震条件综合分析</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根据以上工作综合分析提出该区发生强震的具体构造条件。</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（二）近场及场区的地震活动性和地震构造</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 xml:space="preserve"> 近场区为工程场地及其外围25公里的地区。</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1、近场地震活动性</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①破坏性地震分析。包括对破坏性地震重新确认其震中位置、强度，以及破坏性地震对场区的影响。</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②小震活动与地质构造关系分析。整理小震资料，编制震中分布图，分析小震与活动构造的关系等。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2、近场和场区的活动构造</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①查明近场有无活动断裂并对主要断裂进行详细的断层活动性鉴定。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②在近场采用浅层人工地震等手段探明断层位置和断层的最新活动时代。</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③收集地壳形变和考古资料，分析现代构造活动特点，并研究它们与地震活动的关系。</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（三）场地工程地震地质条件</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1、场地工程地质勘察</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①收集、分析和整理工程地质、地形地貌和地质资料，采用有效手段探明场地有无活动断裂通过；</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②查清场地可能对地震动有明显影响的地质单元，土层厚度及其组成物质，不同地层的岩性，构造特征等；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③工程地质勘探，查明场地土类型分布情况，获取地震反应计算及地震地质灾害判别需要的相关参数；</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④编制图件：场址位置示意图、钻孔柱状图、工程地质剖面图。</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2、场地动力性能的测定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①进行分层剪切波速测量；</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②进行动三轴试验。</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（四）确定地震动衰减关系</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根据强地震震动观测资料，参考本地区的地震烈度衰减关系，确定本地的地震动衰减关系。步骤如下：</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1、收集区域地震烈度资料；</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2、收集区域强震观测资料；</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3、选取合理的衰减关系并对其加以论证。</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（五）地震危险性评定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采用目前通用的概率性分析方法。</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1、潜在震源区划分</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根据最新版区划图，考虑本区地震活动特征及地震地质构造划分潜在震源区。</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2、地震活动性参数的确定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地震活动性参数包括：①地震带的震级上限；②地震带的b值；③地震带的地震年平均发生率；④潜在震源区的震级上限；⑤潜在震源区的地震年平均发生率和空间分布函数；⑥起算震级；⑦本底地震震级和年平均发生率等。具体确定按GB17741-2005规范中的有关规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3、地震危险性的概率计算</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按要求分别给出 50年和100年基准期不同超越概率（63％，10％，2％）相应的地震动参数值；给出相应超越概率水平的场地相关基岩的反应谱曲线，列出各周期点的反应谱值。</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（六）场地地震动参数确定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1、建立场地地震反应分析模型</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采用一维分析模型。</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2、模型参数的确定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由土动力性能测定的资料确定模型参数（层厚、容重、剪切模量比与剪应变的关系、阻尼比与剪应变的关系）。</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3、输入地震动参数的确定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①确定基岩反应谱。选取给定概率水平的基岩地震相关反应谱作为输入反应谱；</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 xml:space="preserve">②基岩地震动的合成。采用拟合基岩地震动幅值、频谱和持时的三角级数迭加法合成适合场地的基岩地震动时程；   </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③取上述基岩地震动时程幅值的50%作为输入地震动时程。</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4、场地地震反应与场地地震相关反应谱的计算</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根据场地地震反应分析得到的场地地震动时程，计算场地地震相关反应谱。</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5、场地地震动参数的确定</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①划分场地类别，提供场地设计反应谱及相关的参数值；</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②设计地震动参数应包括场地地面、基岩以及设计部门指定深度的地震动加速度峰值和相关反应谱（包括位移反应谱、速度反应谱和加速度反应谱）；</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③按以上规定的不同超越概率水平提供地面及指定深度的人造地震波时程；</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 xml:space="preserve">④土层地震反应分析。 </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（七）地震地质灾害评价</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地震地质灾害评价主要包括以下4个部分：</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1、饱和粉、砂土液化的评价；</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2、软土震陷判别；</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3、崩塌、滑塌、地裂缝和泥石流；</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4、地表断层。</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2.2.2提交成果</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各项工作完成后将向招标人提交的主要成果有：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1）通过专家组评审的工程场地地震安全性评价报告；</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2）投标人办理完成天津市重大工程抗震设防要求审定行政许可交至招标人。</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2.2.3 HSE要求</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按照招标人要求为施工人员统一工作服、工作鞋和安全帽，并为从事特种作业和机械设备操作施工人员等配备合格的劳动防护用品，如焊工手套、面罩、防护眼镜、耳塞、安全带等；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1)投标人应遵守招标人各项HSE管理制度，机械设备必须具有相应有效证书，操作人员必须持有与其岗位相适应的适任证书；</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2)特种设备要经过质量技术监督局检验合格，特种作业人员要持证上岗；</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3)招标人应配备足够应急物资，如：应急交通工具、急救箱、救生衣等；</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4)配备足够数量消防器材，并挂牌明确责任人，定期对消防器材进行维护；</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5)做好现场施工人员的冬季施工工作；</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6)在入场前一周应安排工人进行体检，并将体检材料报招标人HSE部备案，确保从事现场作业人员无工作禁忌类疾病；</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7)投标人应在进场前为施工作业人员办理意外伤害保险；对现场使用的机械设备办理财产保险，且投标人机械设备在现场发生被盗、受损等情况时，由投标人自行承担损失；</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8)投标人应做好现场的治安保卫工作，建立完善值班和保卫制度。</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3、服务地点：</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天津南港工业区。</w:t>
      </w:r>
    </w:p>
    <w:p>
      <w:pPr>
        <w:spacing w:line="360" w:lineRule="auto"/>
        <w:ind w:firstLine="482" w:firstLineChars="200"/>
        <w:rPr>
          <w:rFonts w:hint="eastAsia" w:ascii="仿宋" w:hAnsi="仿宋" w:eastAsia="仿宋" w:cs="仿宋"/>
          <w:b/>
          <w:bCs/>
          <w:iCs/>
          <w:sz w:val="24"/>
          <w:szCs w:val="24"/>
        </w:rPr>
      </w:pPr>
      <w:r>
        <w:rPr>
          <w:rFonts w:hint="eastAsia" w:ascii="仿宋" w:hAnsi="仿宋" w:eastAsia="仿宋" w:cs="仿宋"/>
          <w:b/>
          <w:bCs/>
          <w:iCs/>
          <w:sz w:val="24"/>
          <w:szCs w:val="24"/>
        </w:rPr>
        <w:t>4、服务期限</w:t>
      </w:r>
    </w:p>
    <w:p>
      <w:pPr>
        <w:spacing w:line="360" w:lineRule="auto"/>
        <w:ind w:firstLine="480" w:firstLineChars="200"/>
        <w:rPr>
          <w:rFonts w:hint="eastAsia" w:ascii="仿宋" w:hAnsi="仿宋" w:eastAsia="仿宋" w:cs="仿宋"/>
          <w:iCs/>
          <w:sz w:val="24"/>
          <w:szCs w:val="24"/>
        </w:rPr>
      </w:pPr>
      <w:r>
        <w:rPr>
          <w:rFonts w:hint="eastAsia" w:ascii="仿宋" w:hAnsi="仿宋" w:eastAsia="仿宋" w:cs="仿宋"/>
          <w:iCs/>
          <w:sz w:val="24"/>
          <w:szCs w:val="24"/>
        </w:rPr>
        <w:t>投标人在合同签订后40工作日内提交相应的通过专家组评审的地震安全性评价报告、以及办理完成天津市重大工程抗震设防要求审定行政许可决定书交至招标人。</w:t>
      </w:r>
    </w:p>
    <w:p>
      <w:pPr>
        <w:spacing w:line="360" w:lineRule="auto"/>
        <w:rPr>
          <w:rFonts w:hint="eastAsia" w:ascii="仿宋" w:hAnsi="仿宋" w:eastAsia="仿宋" w:cs="仿宋"/>
          <w:sz w:val="24"/>
          <w:szCs w:val="24"/>
        </w:rPr>
      </w:pPr>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执行标准/规范</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1、天津市地震局《关于公布2023年地震安全性评价从业单位有关信息的通知》（津震发【2023】22号）</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2、《地震安全性评价管理条例》（2019年修正）</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3、《地震安全性评价管理办法（暂行）》（中震防发【2017】10号）</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4、《天津市防震减灾条例》</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5、国家标准《工程场地地震安全性评价技术规范》（GB17741-2005）</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6、国家标准《中国地震动参数区划图》（GB18306－2015）</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7、国家标准《建筑抗震设计规范》（GB50011－2010,2016版）</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8、《活动断层探测》（GB/T36072）</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9、《岩土工程勘察规范》（GB50021－2001）(2009年版)；</w:t>
      </w:r>
    </w:p>
    <w:p>
      <w:pPr>
        <w:pStyle w:val="2"/>
        <w:spacing w:line="360" w:lineRule="auto"/>
        <w:ind w:left="0"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10、《岩土工程技术规范》（DB29－2000）；</w:t>
      </w:r>
    </w:p>
    <w:p>
      <w:pPr>
        <w:pStyle w:val="2"/>
        <w:spacing w:line="360" w:lineRule="auto"/>
        <w:ind w:left="0" w:firstLine="480" w:firstLineChars="200"/>
        <w:rPr>
          <w:rFonts w:hint="eastAsia" w:ascii="仿宋" w:hAnsi="仿宋" w:eastAsia="仿宋" w:cs="仿宋"/>
          <w:sz w:val="24"/>
          <w:szCs w:val="24"/>
          <w:lang w:eastAsia="zh-CN"/>
        </w:rPr>
      </w:pPr>
      <w:r>
        <w:rPr>
          <w:rFonts w:hint="eastAsia" w:ascii="仿宋" w:hAnsi="仿宋" w:eastAsia="仿宋" w:cs="仿宋"/>
          <w:iCs/>
          <w:kern w:val="2"/>
          <w:sz w:val="24"/>
          <w:szCs w:val="24"/>
          <w:lang w:eastAsia="zh-CN"/>
        </w:rPr>
        <w:t>11、《软土地区岩土工程勘察规程》（JGJ83-2011）。</w:t>
      </w:r>
    </w:p>
    <w:p>
      <w:pPr>
        <w:spacing w:line="360" w:lineRule="auto"/>
        <w:rPr>
          <w:rFonts w:hint="eastAsia" w:ascii="仿宋" w:hAnsi="仿宋" w:eastAsia="仿宋" w:cs="仿宋"/>
          <w:sz w:val="24"/>
          <w:szCs w:val="24"/>
        </w:rPr>
      </w:pPr>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项目进度及完工时间要求</w:t>
      </w:r>
    </w:p>
    <w:p>
      <w:pPr>
        <w:pStyle w:val="3"/>
        <w:spacing w:before="0" w:after="0"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自双方合同签署生效之日起</w:t>
      </w:r>
      <w:r>
        <w:rPr>
          <w:rFonts w:hint="eastAsia" w:ascii="仿宋" w:hAnsi="仿宋" w:eastAsia="仿宋" w:cs="仿宋"/>
          <w:sz w:val="24"/>
          <w:szCs w:val="24"/>
        </w:rPr>
        <w:t>40工作日</w:t>
      </w:r>
      <w:r>
        <w:rPr>
          <w:rFonts w:hint="eastAsia" w:ascii="仿宋" w:hAnsi="仿宋" w:eastAsia="仿宋" w:cs="仿宋"/>
          <w:b w:val="0"/>
          <w:bCs w:val="0"/>
          <w:sz w:val="24"/>
          <w:szCs w:val="24"/>
        </w:rPr>
        <w:t>内完成项目成果提交，包括</w:t>
      </w:r>
      <w:r>
        <w:rPr>
          <w:rFonts w:hint="eastAsia" w:ascii="仿宋" w:hAnsi="仿宋" w:eastAsia="仿宋" w:cs="仿宋"/>
          <w:iCs/>
          <w:sz w:val="24"/>
          <w:szCs w:val="24"/>
        </w:rPr>
        <w:t>通过专家组评审的地震安全性评价报告</w:t>
      </w:r>
      <w:r>
        <w:rPr>
          <w:rFonts w:hint="eastAsia" w:ascii="仿宋" w:hAnsi="仿宋" w:eastAsia="仿宋" w:cs="仿宋"/>
          <w:b w:val="0"/>
          <w:bCs w:val="0"/>
          <w:iCs/>
          <w:sz w:val="24"/>
          <w:szCs w:val="24"/>
        </w:rPr>
        <w:t>、以及</w:t>
      </w:r>
      <w:r>
        <w:rPr>
          <w:rFonts w:hint="eastAsia" w:ascii="仿宋" w:hAnsi="仿宋" w:eastAsia="仿宋" w:cs="仿宋"/>
          <w:iCs/>
          <w:sz w:val="24"/>
          <w:szCs w:val="24"/>
        </w:rPr>
        <w:t>办理完成天津市重大工程抗震设防要求审定行政许可决定书</w:t>
      </w:r>
      <w:r>
        <w:rPr>
          <w:rFonts w:hint="eastAsia" w:ascii="仿宋" w:hAnsi="仿宋" w:eastAsia="仿宋" w:cs="仿宋"/>
          <w:b w:val="0"/>
          <w:bCs w:val="0"/>
          <w:iCs/>
          <w:sz w:val="24"/>
          <w:szCs w:val="24"/>
        </w:rPr>
        <w:t>交至招标人</w:t>
      </w:r>
      <w:r>
        <w:rPr>
          <w:rFonts w:hint="eastAsia" w:ascii="仿宋" w:hAnsi="仿宋" w:eastAsia="仿宋" w:cs="仿宋"/>
          <w:b w:val="0"/>
          <w:bCs w:val="0"/>
          <w:sz w:val="24"/>
          <w:szCs w:val="24"/>
        </w:rPr>
        <w:t>。</w:t>
      </w:r>
    </w:p>
    <w:p>
      <w:pPr>
        <w:spacing w:line="360" w:lineRule="auto"/>
        <w:rPr>
          <w:rFonts w:hint="eastAsia" w:ascii="仿宋" w:hAnsi="仿宋" w:eastAsia="仿宋" w:cs="仿宋"/>
          <w:sz w:val="24"/>
          <w:szCs w:val="24"/>
        </w:rPr>
      </w:pPr>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最终提交的成果</w:t>
      </w:r>
    </w:p>
    <w:p>
      <w:pPr>
        <w:spacing w:line="360" w:lineRule="auto"/>
        <w:ind w:firstLine="480" w:firstLineChars="200"/>
        <w:outlineLvl w:val="1"/>
        <w:rPr>
          <w:rFonts w:hint="eastAsia" w:ascii="仿宋" w:hAnsi="仿宋" w:eastAsia="仿宋" w:cs="仿宋"/>
          <w:iCs/>
          <w:sz w:val="24"/>
          <w:szCs w:val="24"/>
        </w:rPr>
      </w:pPr>
      <w:r>
        <w:rPr>
          <w:rFonts w:hint="eastAsia" w:ascii="仿宋" w:hAnsi="仿宋" w:eastAsia="仿宋" w:cs="仿宋"/>
          <w:iCs/>
          <w:sz w:val="24"/>
          <w:szCs w:val="24"/>
        </w:rPr>
        <w:t>投标方需按招标方要求，最终提供不少于6套成果文件（可编辑电子版及不可编辑电子版1套包括CAD版图件，纸质盖章版报告及图件不少于6份）。</w:t>
      </w:r>
    </w:p>
    <w:p>
      <w:pPr>
        <w:pStyle w:val="2"/>
        <w:spacing w:line="360" w:lineRule="auto"/>
        <w:rPr>
          <w:rFonts w:hint="eastAsia" w:ascii="仿宋" w:hAnsi="仿宋" w:eastAsia="仿宋" w:cs="仿宋"/>
          <w:sz w:val="24"/>
          <w:szCs w:val="24"/>
          <w:lang w:eastAsia="zh-CN"/>
        </w:rPr>
      </w:pPr>
    </w:p>
    <w:p>
      <w:pPr>
        <w:pStyle w:val="3"/>
        <w:numPr>
          <w:ilvl w:val="0"/>
          <w:numId w:val="37"/>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验收标准</w:t>
      </w:r>
    </w:p>
    <w:p>
      <w:pPr>
        <w:pStyle w:val="2"/>
        <w:spacing w:line="360" w:lineRule="auto"/>
        <w:ind w:left="0" w:right="115" w:rightChars="55" w:firstLine="480" w:firstLineChars="200"/>
        <w:rPr>
          <w:rFonts w:hint="eastAsia" w:ascii="仿宋" w:hAnsi="仿宋" w:eastAsia="仿宋" w:cs="仿宋"/>
          <w:iCs/>
          <w:kern w:val="2"/>
          <w:sz w:val="24"/>
          <w:szCs w:val="24"/>
          <w:lang w:eastAsia="zh-CN"/>
        </w:rPr>
      </w:pPr>
      <w:r>
        <w:rPr>
          <w:rFonts w:hint="eastAsia" w:ascii="仿宋" w:hAnsi="仿宋" w:eastAsia="仿宋" w:cs="仿宋"/>
          <w:iCs/>
          <w:kern w:val="2"/>
          <w:sz w:val="24"/>
          <w:szCs w:val="24"/>
          <w:lang w:eastAsia="zh-CN"/>
        </w:rPr>
        <w:t>本次服务采用一次性验收：投标方提供满足招标方要求的相应工作成果，如投标方提交的工作成果不符合招标方要求，招标方有权拒绝接受。</w:t>
      </w:r>
    </w:p>
    <w:p>
      <w:pPr>
        <w:spacing w:line="360" w:lineRule="auto"/>
        <w:rPr>
          <w:rFonts w:hint="eastAsia" w:ascii="仿宋" w:hAnsi="仿宋" w:eastAsia="仿宋" w:cs="仿宋"/>
          <w:sz w:val="24"/>
          <w:highlight w:val="none"/>
          <w:lang w:val="en-US" w:eastAsia="zh-CN"/>
        </w:rPr>
      </w:pPr>
    </w:p>
    <w:p>
      <w:pPr>
        <w:pStyle w:val="3"/>
        <w:numPr>
          <w:ilvl w:val="0"/>
          <w:numId w:val="37"/>
        </w:numPr>
        <w:spacing w:before="0" w:after="0" w:line="360" w:lineRule="auto"/>
        <w:rPr>
          <w:rFonts w:hint="eastAsia" w:ascii="仿宋" w:hAnsi="仿宋" w:eastAsia="仿宋" w:cs="Tahoma"/>
          <w:sz w:val="24"/>
          <w:szCs w:val="24"/>
        </w:rPr>
      </w:pPr>
      <w:r>
        <w:rPr>
          <w:rFonts w:hint="eastAsia" w:ascii="仿宋" w:hAnsi="仿宋" w:eastAsia="仿宋" w:cs="Tahoma"/>
          <w:sz w:val="24"/>
          <w:szCs w:val="24"/>
        </w:rPr>
        <w:t>报价</w:t>
      </w:r>
      <w:r>
        <w:rPr>
          <w:rFonts w:ascii="仿宋" w:hAnsi="仿宋" w:eastAsia="仿宋" w:cs="Tahoma"/>
          <w:sz w:val="24"/>
          <w:szCs w:val="24"/>
        </w:rPr>
        <w:t>文件</w:t>
      </w:r>
      <w:r>
        <w:rPr>
          <w:rFonts w:hint="eastAsia" w:ascii="仿宋" w:hAnsi="仿宋" w:eastAsia="仿宋" w:cs="Tahoma"/>
          <w:sz w:val="24"/>
          <w:szCs w:val="24"/>
        </w:rPr>
        <w:t>需要</w:t>
      </w:r>
      <w:r>
        <w:rPr>
          <w:rFonts w:ascii="仿宋" w:hAnsi="仿宋" w:eastAsia="仿宋" w:cs="Tahoma"/>
          <w:sz w:val="24"/>
          <w:szCs w:val="24"/>
        </w:rPr>
        <w:t>提交</w:t>
      </w:r>
      <w:r>
        <w:rPr>
          <w:rFonts w:hint="eastAsia" w:ascii="仿宋" w:hAnsi="仿宋" w:eastAsia="仿宋" w:cs="Tahoma"/>
          <w:sz w:val="24"/>
          <w:szCs w:val="24"/>
        </w:rPr>
        <w:t>的</w:t>
      </w:r>
      <w:r>
        <w:rPr>
          <w:rFonts w:ascii="仿宋" w:hAnsi="仿宋" w:eastAsia="仿宋" w:cs="Tahoma"/>
          <w:sz w:val="24"/>
          <w:szCs w:val="24"/>
        </w:rPr>
        <w:t>技术方案要求</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技术方案要求</w:t>
      </w:r>
      <w:r>
        <w:rPr>
          <w:rFonts w:hint="eastAsia" w:ascii="仿宋" w:hAnsi="仿宋" w:eastAsia="仿宋" w:cs="Tahoma"/>
          <w:sz w:val="24"/>
          <w:szCs w:val="24"/>
        </w:rPr>
        <w:t>需提供以下几方面的具体安排和措施：</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1</w:t>
      </w:r>
      <w:r>
        <w:rPr>
          <w:rFonts w:hint="eastAsia" w:ascii="仿宋" w:hAnsi="仿宋" w:eastAsia="仿宋" w:cs="Tahoma"/>
          <w:sz w:val="24"/>
          <w:szCs w:val="24"/>
        </w:rPr>
        <w:t>、项目组织管理，包括机构设置和主要人员安排；</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2</w:t>
      </w:r>
      <w:r>
        <w:rPr>
          <w:rFonts w:hint="eastAsia" w:ascii="仿宋" w:hAnsi="仿宋" w:eastAsia="仿宋" w:cs="Tahoma"/>
          <w:sz w:val="24"/>
          <w:szCs w:val="24"/>
        </w:rPr>
        <w:t>、明确编制方案与整体工作思路；</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3</w:t>
      </w:r>
      <w:r>
        <w:rPr>
          <w:rFonts w:hint="eastAsia" w:ascii="仿宋" w:hAnsi="仿宋" w:eastAsia="仿宋" w:cs="Tahoma"/>
          <w:sz w:val="24"/>
          <w:szCs w:val="24"/>
        </w:rPr>
        <w:t>、具体费用明细表。</w:t>
      </w:r>
    </w:p>
    <w:p>
      <w:pPr>
        <w:pStyle w:val="2"/>
        <w:spacing w:line="360" w:lineRule="auto"/>
        <w:rPr>
          <w:rFonts w:hint="eastAsia"/>
          <w:sz w:val="24"/>
          <w:szCs w:val="24"/>
          <w:lang w:eastAsia="zh-CN"/>
        </w:rPr>
      </w:pPr>
    </w:p>
    <w:p>
      <w:pPr>
        <w:pStyle w:val="3"/>
        <w:numPr>
          <w:ilvl w:val="0"/>
          <w:numId w:val="37"/>
        </w:numPr>
        <w:spacing w:before="0" w:after="0" w:line="360" w:lineRule="auto"/>
        <w:rPr>
          <w:rFonts w:ascii="仿宋" w:hAnsi="仿宋" w:eastAsia="仿宋" w:cs="Tahoma"/>
          <w:sz w:val="24"/>
          <w:szCs w:val="24"/>
        </w:rPr>
      </w:pPr>
      <w:r>
        <w:rPr>
          <w:rFonts w:hint="eastAsia" w:ascii="仿宋" w:hAnsi="仿宋" w:eastAsia="仿宋" w:cs="Tahoma"/>
          <w:sz w:val="24"/>
          <w:szCs w:val="24"/>
        </w:rPr>
        <w:t>资质</w:t>
      </w:r>
      <w:r>
        <w:rPr>
          <w:rFonts w:ascii="仿宋" w:hAnsi="仿宋" w:eastAsia="仿宋" w:cs="Tahoma"/>
          <w:sz w:val="24"/>
          <w:szCs w:val="24"/>
        </w:rPr>
        <w:t>要求</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应答人须是中华人民共和国境内具有独立承担民事责任能力的法人，或具备国家认可经营资格的其他组织。</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1）应答人为企业的，应具有合法有效的企业法人营业执照、税务登记证及组织机构代码证或证照合一的营业执照；</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2）应答人为分公司的，应具有合法有效的营业执照、税务登记证及组织机构代码证或证照合一的营业执照和母公司合法授权书。总公司与分支机构只可一家参与投标，同时参与投标视为投标无效。</w:t>
      </w:r>
    </w:p>
    <w:p>
      <w:pPr>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3）应答人为事业单位的，应答人应经全国各级事业单位登记管理机关核准登记或者备案，具有合法有效的事业单位法人证书。</w:t>
      </w:r>
    </w:p>
    <w:p>
      <w:pPr>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sym w:font="Wingdings" w:char="F0AB"/>
      </w:r>
      <w:r>
        <w:rPr>
          <w:rFonts w:hint="eastAsia" w:ascii="仿宋" w:hAnsi="仿宋" w:eastAsia="仿宋" w:cs="Tahoma"/>
          <w:sz w:val="24"/>
          <w:szCs w:val="24"/>
        </w:rPr>
        <w:t>4）应答人应为天津市地震局公布的</w:t>
      </w:r>
      <w:r>
        <w:rPr>
          <w:rFonts w:hint="eastAsia" w:ascii="仿宋" w:hAnsi="仿宋" w:eastAsia="仿宋" w:cs="Tahoma"/>
          <w:b/>
          <w:bCs/>
          <w:sz w:val="24"/>
          <w:szCs w:val="24"/>
        </w:rPr>
        <w:t>《2023年通过从业条件核查的地震安全性评价从业单位名单》（津震发【2023】22号）</w:t>
      </w:r>
      <w:r>
        <w:rPr>
          <w:rFonts w:hint="eastAsia" w:ascii="仿宋" w:hAnsi="仿宋" w:eastAsia="仿宋" w:cs="Tahoma"/>
          <w:sz w:val="24"/>
          <w:szCs w:val="24"/>
        </w:rPr>
        <w:t>中的从业单位</w:t>
      </w:r>
      <w:r>
        <w:rPr>
          <w:rFonts w:hint="eastAsia" w:ascii="仿宋" w:hAnsi="仿宋" w:eastAsia="仿宋"/>
          <w:sz w:val="24"/>
          <w:szCs w:val="24"/>
        </w:rPr>
        <w:t>。</w:t>
      </w:r>
      <w:r>
        <w:rPr>
          <w:rFonts w:hint="eastAsia" w:ascii="仿宋" w:hAnsi="仿宋" w:eastAsia="仿宋" w:cs="Tahoma"/>
          <w:sz w:val="24"/>
          <w:szCs w:val="24"/>
        </w:rPr>
        <w:t>（查询方式：登录天津市地震局官网</w:t>
      </w:r>
      <w:r>
        <w:rPr>
          <w:rFonts w:ascii="仿宋" w:hAnsi="仿宋" w:eastAsia="仿宋" w:cs="Tahoma"/>
          <w:sz w:val="24"/>
          <w:szCs w:val="24"/>
        </w:rPr>
        <w:fldChar w:fldCharType="begin"/>
      </w:r>
      <w:r>
        <w:rPr>
          <w:rFonts w:ascii="仿宋" w:hAnsi="仿宋" w:eastAsia="仿宋" w:cs="Tahoma"/>
          <w:sz w:val="24"/>
          <w:szCs w:val="24"/>
        </w:rPr>
        <w:instrText xml:space="preserve">HYPERLINK "https://tjdzj.gov.cn/"</w:instrText>
      </w:r>
      <w:r>
        <w:rPr>
          <w:rFonts w:ascii="仿宋" w:hAnsi="仿宋" w:eastAsia="仿宋" w:cs="Tahoma"/>
          <w:sz w:val="24"/>
          <w:szCs w:val="24"/>
        </w:rPr>
        <w:fldChar w:fldCharType="separate"/>
      </w:r>
      <w:r>
        <w:rPr>
          <w:rStyle w:val="30"/>
          <w:rFonts w:ascii="仿宋" w:hAnsi="仿宋" w:eastAsia="仿宋" w:cs="Tahoma"/>
          <w:sz w:val="24"/>
          <w:szCs w:val="24"/>
        </w:rPr>
        <w:t>https://tjdzj.gov.cn/</w:t>
      </w:r>
      <w:r>
        <w:rPr>
          <w:rFonts w:ascii="仿宋" w:hAnsi="仿宋" w:eastAsia="仿宋" w:cs="Tahoma"/>
          <w:sz w:val="24"/>
          <w:szCs w:val="24"/>
        </w:rPr>
        <w:fldChar w:fldCharType="end"/>
      </w:r>
      <w:r>
        <w:rPr>
          <w:rFonts w:hint="eastAsia" w:ascii="仿宋" w:hAnsi="仿宋" w:eastAsia="仿宋" w:cs="Tahoma"/>
          <w:sz w:val="24"/>
          <w:szCs w:val="24"/>
        </w:rPr>
        <w:t>，于政务公开-政府信息公开中查询。）</w:t>
      </w:r>
    </w:p>
    <w:p>
      <w:pPr>
        <w:pStyle w:val="2"/>
        <w:spacing w:line="360" w:lineRule="auto"/>
        <w:rPr>
          <w:rFonts w:hint="eastAsia"/>
          <w:sz w:val="24"/>
          <w:szCs w:val="24"/>
          <w:lang w:eastAsia="zh-CN"/>
        </w:rPr>
      </w:pPr>
    </w:p>
    <w:p>
      <w:pPr>
        <w:pStyle w:val="3"/>
        <w:numPr>
          <w:ilvl w:val="0"/>
          <w:numId w:val="37"/>
        </w:numPr>
        <w:spacing w:before="0" w:after="0" w:line="360" w:lineRule="auto"/>
        <w:rPr>
          <w:rFonts w:ascii="仿宋" w:hAnsi="仿宋" w:eastAsia="仿宋" w:cs="Tahoma"/>
          <w:sz w:val="24"/>
          <w:szCs w:val="24"/>
        </w:rPr>
      </w:pPr>
      <w:r>
        <w:rPr>
          <w:rFonts w:hint="eastAsia" w:ascii="仿宋" w:hAnsi="仿宋" w:eastAsia="仿宋" w:cs="Tahoma"/>
          <w:sz w:val="24"/>
          <w:szCs w:val="24"/>
        </w:rPr>
        <w:t>业绩要求</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1）应答人在2021年1月1日</w:t>
      </w:r>
      <w:r>
        <w:rPr>
          <w:rFonts w:ascii="仿宋" w:hAnsi="仿宋" w:eastAsia="仿宋" w:cs="Tahoma"/>
          <w:sz w:val="24"/>
          <w:szCs w:val="24"/>
        </w:rPr>
        <w:t>至投标截止日（以合同签署时间为准）</w:t>
      </w:r>
      <w:r>
        <w:rPr>
          <w:rFonts w:hint="eastAsia" w:ascii="仿宋" w:hAnsi="仿宋" w:eastAsia="仿宋" w:cs="Tahoma"/>
          <w:sz w:val="24"/>
          <w:szCs w:val="24"/>
        </w:rPr>
        <w:t>至少具有1项已完成地震安全性评价的服务业绩，并提供相应业绩证明文件。</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2）提供的业绩证明文件包括：具有法律效力的合同首页、签字盖章页以及对应的结算发票。</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服务商需满足：</w:t>
      </w:r>
    </w:p>
    <w:p>
      <w:pPr>
        <w:spacing w:line="360" w:lineRule="auto"/>
        <w:ind w:firstLine="480" w:firstLineChars="200"/>
        <w:rPr>
          <w:rFonts w:ascii="仿宋" w:hAnsi="仿宋" w:eastAsia="仿宋" w:cs="Tahoma"/>
          <w:sz w:val="24"/>
          <w:szCs w:val="24"/>
        </w:rPr>
      </w:pPr>
      <w:r>
        <w:rPr>
          <w:rFonts w:hint="eastAsia" w:ascii="仿宋" w:hAnsi="仿宋" w:eastAsia="仿宋" w:cs="Tahoma"/>
          <w:sz w:val="24"/>
          <w:szCs w:val="24"/>
        </w:rPr>
        <w:t>不得将中国海油作为唯一服务客户，承诺中国海油非其唯一服务客户并提供支持性材料（海油外业绩）。</w:t>
      </w:r>
    </w:p>
    <w:p>
      <w:pPr>
        <w:pStyle w:val="2"/>
        <w:spacing w:line="360" w:lineRule="auto"/>
        <w:rPr>
          <w:rFonts w:hint="eastAsia"/>
          <w:sz w:val="24"/>
          <w:szCs w:val="24"/>
          <w:lang w:eastAsia="zh-CN"/>
        </w:rPr>
      </w:pPr>
    </w:p>
    <w:p>
      <w:pPr>
        <w:pStyle w:val="3"/>
        <w:numPr>
          <w:ilvl w:val="0"/>
          <w:numId w:val="37"/>
        </w:numPr>
        <w:spacing w:before="0" w:after="0" w:line="360" w:lineRule="auto"/>
        <w:rPr>
          <w:rFonts w:ascii="仿宋" w:hAnsi="仿宋" w:eastAsia="仿宋" w:cs="Tahoma"/>
          <w:sz w:val="24"/>
          <w:szCs w:val="24"/>
        </w:rPr>
      </w:pPr>
      <w:r>
        <w:rPr>
          <w:rFonts w:hint="eastAsia" w:ascii="仿宋" w:hAnsi="仿宋" w:eastAsia="仿宋" w:cs="Tahoma"/>
          <w:sz w:val="24"/>
          <w:szCs w:val="24"/>
        </w:rPr>
        <w:t>服务地点</w:t>
      </w:r>
    </w:p>
    <w:p>
      <w:pPr>
        <w:spacing w:line="360" w:lineRule="auto"/>
        <w:ind w:firstLine="480" w:firstLineChars="200"/>
        <w:rPr>
          <w:rFonts w:ascii="仿宋" w:hAnsi="仿宋" w:eastAsia="仿宋" w:cs="Tahoma"/>
          <w:iCs/>
          <w:sz w:val="24"/>
          <w:szCs w:val="24"/>
        </w:rPr>
      </w:pPr>
      <w:r>
        <w:rPr>
          <w:rFonts w:hint="eastAsia" w:ascii="仿宋" w:hAnsi="仿宋" w:eastAsia="仿宋" w:cs="Tahoma"/>
          <w:iCs/>
          <w:sz w:val="24"/>
          <w:szCs w:val="24"/>
        </w:rPr>
        <w:t>天津市滨海新区南港工业区。</w:t>
      </w:r>
    </w:p>
    <w:p>
      <w:pPr>
        <w:pStyle w:val="2"/>
        <w:spacing w:line="360" w:lineRule="auto"/>
        <w:rPr>
          <w:rFonts w:hint="eastAsia"/>
          <w:sz w:val="24"/>
          <w:szCs w:val="24"/>
          <w:lang w:eastAsia="zh-CN"/>
        </w:rPr>
      </w:pPr>
    </w:p>
    <w:p>
      <w:pPr>
        <w:pStyle w:val="3"/>
        <w:numPr>
          <w:ilvl w:val="0"/>
          <w:numId w:val="38"/>
        </w:numPr>
        <w:spacing w:before="0" w:after="0" w:line="360" w:lineRule="auto"/>
        <w:rPr>
          <w:rFonts w:hint="eastAsia" w:ascii="仿宋" w:hAnsi="仿宋" w:eastAsia="仿宋" w:cs="Tahoma"/>
          <w:sz w:val="24"/>
          <w:szCs w:val="24"/>
        </w:rPr>
      </w:pPr>
      <w:r>
        <w:rPr>
          <w:rFonts w:hint="eastAsia" w:ascii="仿宋" w:hAnsi="仿宋" w:eastAsia="仿宋" w:cs="Tahoma"/>
          <w:sz w:val="24"/>
          <w:szCs w:val="24"/>
        </w:rPr>
        <w:t>其他</w:t>
      </w:r>
    </w:p>
    <w:p>
      <w:pPr>
        <w:spacing w:line="360" w:lineRule="auto"/>
        <w:ind w:firstLine="480" w:firstLineChars="200"/>
        <w:rPr>
          <w:rFonts w:ascii="仿宋" w:hAnsi="仿宋" w:eastAsia="仿宋" w:cs="Tahoma"/>
          <w:sz w:val="24"/>
          <w:szCs w:val="24"/>
        </w:rPr>
      </w:pPr>
      <w:r>
        <w:rPr>
          <w:rFonts w:ascii="仿宋" w:hAnsi="仿宋" w:eastAsia="仿宋" w:cs="Tahoma"/>
          <w:sz w:val="24"/>
          <w:szCs w:val="24"/>
        </w:rPr>
        <w:t>1</w:t>
      </w:r>
      <w:r>
        <w:rPr>
          <w:rFonts w:hint="eastAsia" w:ascii="仿宋" w:hAnsi="仿宋" w:eastAsia="仿宋" w:cs="Tahoma"/>
          <w:sz w:val="24"/>
          <w:szCs w:val="24"/>
        </w:rPr>
        <w:t>、付款方式：银行电汇</w:t>
      </w:r>
    </w:p>
    <w:p>
      <w:pPr>
        <w:spacing w:line="360" w:lineRule="auto"/>
        <w:ind w:firstLine="480" w:firstLineChars="200"/>
        <w:rPr>
          <w:rFonts w:hint="eastAsia" w:ascii="仿宋" w:hAnsi="仿宋" w:eastAsia="仿宋" w:cs="Tahoma"/>
          <w:sz w:val="24"/>
          <w:szCs w:val="24"/>
        </w:rPr>
      </w:pPr>
      <w:r>
        <w:rPr>
          <w:rFonts w:hint="eastAsia" w:ascii="仿宋" w:hAnsi="仿宋" w:eastAsia="仿宋" w:cs="Tahoma"/>
          <w:sz w:val="24"/>
          <w:szCs w:val="24"/>
        </w:rPr>
        <w:t>2、付款进度：</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1）预付款支付：无</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2）进度款支付：无</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3）完工款支付：应答人完成本合同项下的中海油（天津）油田化工有限公司油田化工南港建设项目地震安全性评价服务合同全部工作，并出具完工报告后，应答人向招标人开具符合国家规定的增值税专用发票（税率：6%）。招标人收到应答人提供的增值税专用发票、完工报告及经招标人审核合格的相关文件后45日内，招标人应向应答人支付按审核确认完成合同总价的100%。</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4）应答人应根据合同规定的付款条件和进度，提前向招标人开具符合中国法律法规要求的发票并提供相关支持文件。如应答人提供的服务属于增值税应税范围，应答人应为招标人开具增值税专用发票。发票应注明合同编号且抬头应为：中海油（天津）油田化工有限公司。如应答人未开具上述发票并提供相关支持文件，招标人有权拒付相关合同价款。如果招标人对应答人出具的该等发票和提供的相关支持文件无异议，经招标人确认无误后，招标人将在45日内向应答人付款。如果招标人对应答人提交的该等发票和相关支持文件全部或部分有异议，应及时通知应答人，应答人应根据招标人要求修改并重新开具发票，该等情况下，付款期限从招标人收到该等重新开具的发票和相关支持文件之日起重新计算。</w:t>
      </w:r>
    </w:p>
    <w:p>
      <w:pPr>
        <w:pStyle w:val="2"/>
        <w:spacing w:line="360" w:lineRule="auto"/>
        <w:rPr>
          <w:rFonts w:hint="eastAsia" w:ascii="仿宋" w:hAnsi="仿宋" w:eastAsia="仿宋" w:cs="Tahoma"/>
          <w:iCs/>
          <w:sz w:val="24"/>
          <w:szCs w:val="24"/>
          <w:lang w:eastAsia="zh-CN"/>
        </w:rPr>
      </w:pPr>
      <w:r>
        <w:rPr>
          <w:rFonts w:hint="eastAsia" w:ascii="仿宋" w:hAnsi="仿宋" w:eastAsia="仿宋" w:cs="Tahoma"/>
          <w:iCs/>
          <w:sz w:val="24"/>
          <w:szCs w:val="24"/>
          <w:lang w:eastAsia="zh-CN"/>
        </w:rPr>
        <w:t>3、招标人开票信息</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公司名称：中海油（天津）油田化工有限公司</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纳税人识别号：91120116MA06D8ND82</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地址：天津开发区南港工业区泰汇道6号</w:t>
      </w:r>
    </w:p>
    <w:p>
      <w:pPr>
        <w:spacing w:line="360" w:lineRule="auto"/>
        <w:ind w:firstLine="480" w:firstLineChars="200"/>
        <w:rPr>
          <w:rFonts w:hint="eastAsia" w:ascii="仿宋" w:hAnsi="仿宋" w:eastAsia="仿宋" w:cs="Tahoma"/>
          <w:iCs/>
          <w:sz w:val="24"/>
          <w:szCs w:val="24"/>
        </w:rPr>
      </w:pPr>
      <w:r>
        <w:rPr>
          <w:rFonts w:hint="eastAsia" w:ascii="仿宋" w:hAnsi="仿宋" w:eastAsia="仿宋" w:cs="Tahoma"/>
          <w:iCs/>
          <w:sz w:val="24"/>
          <w:szCs w:val="24"/>
        </w:rPr>
        <w:t>开户行及账号：中国工商银行北京国家文化与金融合作示范区金街支行9558830200999019730</w:t>
      </w:r>
    </w:p>
    <w:p>
      <w:pPr>
        <w:pStyle w:val="2"/>
        <w:spacing w:line="360" w:lineRule="auto"/>
        <w:rPr>
          <w:rFonts w:ascii="仿宋" w:hAnsi="仿宋" w:eastAsia="仿宋" w:cs="Tahoma"/>
          <w:iCs/>
          <w:sz w:val="24"/>
          <w:szCs w:val="24"/>
          <w:lang w:eastAsia="zh-CN"/>
        </w:rPr>
      </w:pPr>
      <w:r>
        <w:rPr>
          <w:rFonts w:hint="eastAsia" w:ascii="仿宋" w:hAnsi="仿宋" w:eastAsia="仿宋" w:cs="Tahoma"/>
          <w:iCs/>
          <w:sz w:val="24"/>
          <w:szCs w:val="24"/>
          <w:lang w:eastAsia="zh-CN"/>
        </w:rPr>
        <w:t>4、质保期：本项目不涉及。</w:t>
      </w: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p>
    <w:p>
      <w:pPr>
        <w:pStyle w:val="20"/>
        <w:rPr>
          <w:rFonts w:hint="eastAsia" w:ascii="仿宋" w:hAnsi="仿宋" w:eastAsia="仿宋" w:cs="仿宋"/>
          <w:sz w:val="24"/>
          <w:highlight w:val="none"/>
          <w:lang w:val="en-US" w:eastAsia="zh-CN"/>
        </w:rPr>
      </w:pPr>
    </w:p>
    <w:p>
      <w:pPr>
        <w:keepNext/>
        <w:keepLines/>
        <w:tabs>
          <w:tab w:val="left" w:pos="142"/>
          <w:tab w:val="left" w:pos="720"/>
          <w:tab w:val="left" w:pos="1080"/>
        </w:tabs>
        <w:spacing w:before="360" w:after="360" w:line="360" w:lineRule="auto"/>
        <w:jc w:val="left"/>
        <w:outlineLvl w:val="1"/>
        <w:rPr>
          <w:rFonts w:hint="eastAsia" w:ascii="仿宋" w:hAnsi="仿宋" w:eastAsia="仿宋" w:cs="仿宋"/>
          <w:b/>
          <w:bCs/>
          <w:sz w:val="24"/>
          <w:szCs w:val="24"/>
          <w:highlight w:val="none"/>
        </w:rPr>
      </w:pPr>
      <w:bookmarkStart w:id="173" w:name="_Toc8942"/>
      <w:r>
        <w:rPr>
          <w:rFonts w:hint="eastAsia" w:ascii="仿宋" w:hAnsi="仿宋" w:eastAsia="仿宋" w:cs="仿宋"/>
          <w:b/>
          <w:bCs/>
          <w:sz w:val="24"/>
          <w:szCs w:val="24"/>
          <w:highlight w:val="none"/>
        </w:rPr>
        <w:t>附件二：价格表</w:t>
      </w:r>
      <w:bookmarkEnd w:id="171"/>
      <w:bookmarkEnd w:id="172"/>
      <w:bookmarkEnd w:id="173"/>
    </w:p>
    <w:tbl>
      <w:tblPr>
        <w:tblStyle w:val="2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3160"/>
        <w:gridCol w:w="709"/>
        <w:gridCol w:w="708"/>
        <w:gridCol w:w="993"/>
        <w:gridCol w:w="851"/>
        <w:gridCol w:w="99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序号</w:t>
            </w:r>
          </w:p>
        </w:tc>
        <w:tc>
          <w:tcPr>
            <w:tcW w:w="3160" w:type="dxa"/>
            <w:shd w:val="clear" w:color="auto" w:fill="auto"/>
            <w:vAlign w:val="center"/>
          </w:tcPr>
          <w:p>
            <w:pPr>
              <w:keepNext w:val="0"/>
              <w:keepLines w:val="0"/>
              <w:suppressLineNumbers w:val="0"/>
              <w:spacing w:before="0" w:beforeAutospacing="0" w:after="0" w:afterAutospacing="0"/>
              <w:ind w:left="0" w:right="0"/>
              <w:rPr>
                <w:rFonts w:hint="eastAsia" w:ascii="仿宋" w:hAnsi="仿宋" w:eastAsia="仿宋" w:cs="仿宋"/>
                <w:kern w:val="2"/>
                <w:sz w:val="24"/>
                <w:szCs w:val="24"/>
                <w:lang w:val="en-US" w:eastAsia="zh-CN" w:bidi="ar-SA"/>
              </w:rPr>
            </w:pPr>
          </w:p>
          <w:p>
            <w:pPr>
              <w:keepNext w:val="0"/>
              <w:keepLines w:val="0"/>
              <w:suppressLineNumbers w:val="0"/>
              <w:spacing w:before="0" w:beforeAutospacing="0" w:after="0" w:afterAutospacing="0"/>
              <w:ind w:left="0" w:right="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服务名称</w:t>
            </w:r>
          </w:p>
          <w:p>
            <w:pPr>
              <w:keepNext w:val="0"/>
              <w:keepLines w:val="0"/>
              <w:suppressLineNumbers w:val="0"/>
              <w:spacing w:before="0" w:beforeAutospacing="0" w:after="0" w:afterAutospacing="0"/>
              <w:ind w:left="0" w:right="0"/>
              <w:rPr>
                <w:rFonts w:hint="eastAsia" w:ascii="仿宋" w:hAnsi="仿宋" w:eastAsia="仿宋" w:cs="仿宋"/>
                <w:kern w:val="2"/>
                <w:sz w:val="24"/>
                <w:szCs w:val="24"/>
                <w:lang w:val="en-US" w:eastAsia="zh-CN" w:bidi="ar-SA"/>
              </w:rPr>
            </w:pPr>
          </w:p>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p>
        </w:tc>
        <w:tc>
          <w:tcPr>
            <w:tcW w:w="709"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c>
          <w:tcPr>
            <w:tcW w:w="708"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税率</w:t>
            </w:r>
          </w:p>
        </w:tc>
        <w:tc>
          <w:tcPr>
            <w:tcW w:w="993"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不含税单价</w:t>
            </w:r>
          </w:p>
        </w:tc>
        <w:tc>
          <w:tcPr>
            <w:tcW w:w="851"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含税单价</w:t>
            </w:r>
          </w:p>
        </w:tc>
        <w:tc>
          <w:tcPr>
            <w:tcW w:w="992"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不含税小计</w:t>
            </w:r>
          </w:p>
        </w:tc>
        <w:tc>
          <w:tcPr>
            <w:tcW w:w="709"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3160"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南港建设项目地震安全性评价</w:t>
            </w:r>
          </w:p>
        </w:tc>
        <w:tc>
          <w:tcPr>
            <w:tcW w:w="709" w:type="dxa"/>
            <w:shd w:val="clear" w:color="auto" w:fill="auto"/>
            <w:vAlign w:val="center"/>
          </w:tcPr>
          <w:p>
            <w:pPr>
              <w:pStyle w:val="38"/>
              <w:keepNext w:val="0"/>
              <w:keepLines w:val="0"/>
              <w:suppressLineNumbers w:val="0"/>
              <w:spacing w:before="0" w:beforeAutospacing="0" w:after="0" w:afterAutospacing="0" w:line="360" w:lineRule="auto"/>
              <w:ind w:left="0" w:right="0" w:firstLine="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708"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default" w:ascii="仿宋" w:hAnsi="仿宋" w:eastAsia="仿宋" w:cs="仿宋"/>
                <w:kern w:val="2"/>
                <w:sz w:val="24"/>
                <w:szCs w:val="24"/>
                <w:lang w:val="en-US" w:eastAsia="zh-CN" w:bidi="ar-SA"/>
              </w:rPr>
            </w:pPr>
          </w:p>
        </w:tc>
        <w:tc>
          <w:tcPr>
            <w:tcW w:w="993"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c>
          <w:tcPr>
            <w:tcW w:w="851"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c>
          <w:tcPr>
            <w:tcW w:w="992"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c>
          <w:tcPr>
            <w:tcW w:w="709"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6" w:type="dxa"/>
            <w:gridSpan w:val="6"/>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992"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c>
          <w:tcPr>
            <w:tcW w:w="709" w:type="dxa"/>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8"/>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含税总价（大写人民币）：圆整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gridSpan w:val="8"/>
            <w:shd w:val="clear" w:color="auto" w:fill="auto"/>
          </w:tcPr>
          <w:p>
            <w:pPr>
              <w:pStyle w:val="38"/>
              <w:keepNext w:val="0"/>
              <w:keepLines w:val="0"/>
              <w:suppressLineNumbers w:val="0"/>
              <w:spacing w:before="0" w:beforeAutospacing="0" w:after="0" w:afterAutospacing="0" w:line="360" w:lineRule="auto"/>
              <w:ind w:left="0" w:right="0" w:firstLine="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不含税总价（大写人民币）：圆整</w:t>
            </w:r>
          </w:p>
        </w:tc>
      </w:tr>
    </w:tbl>
    <w:p>
      <w:pPr>
        <w:pStyle w:val="20"/>
        <w:rPr>
          <w:rFonts w:hint="eastAsia"/>
        </w:rPr>
      </w:pPr>
    </w:p>
    <w:p>
      <w:pPr>
        <w:spacing w:line="360" w:lineRule="auto"/>
        <w:jc w:val="righ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单位：</w:t>
      </w:r>
      <w:r>
        <w:rPr>
          <w:rFonts w:hint="eastAsia" w:ascii="仿宋" w:hAnsi="仿宋" w:eastAsia="仿宋" w:cs="仿宋"/>
          <w:b/>
          <w:color w:val="000000"/>
          <w:sz w:val="24"/>
          <w:highlight w:val="none"/>
          <w:lang w:val="en-US" w:eastAsia="zh-CN"/>
        </w:rPr>
        <w:t>人民币</w:t>
      </w:r>
      <w:r>
        <w:rPr>
          <w:rFonts w:hint="eastAsia" w:ascii="仿宋" w:hAnsi="仿宋" w:eastAsia="仿宋" w:cs="仿宋"/>
          <w:b/>
          <w:color w:val="000000"/>
          <w:sz w:val="24"/>
          <w:highlight w:val="none"/>
        </w:rPr>
        <w:t>元</w:t>
      </w:r>
    </w:p>
    <w:p>
      <w:pPr>
        <w:pStyle w:val="20"/>
        <w:ind w:left="0" w:leftChars="0" w:firstLine="0" w:firstLineChars="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详见招标文件之分项报价明细表。</w:t>
      </w:r>
    </w:p>
    <w:p>
      <w:pPr>
        <w:pStyle w:val="20"/>
        <w:ind w:left="0" w:leftChars="0" w:firstLine="0" w:firstLineChars="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注：</w:t>
      </w:r>
    </w:p>
    <w:p>
      <w:pPr>
        <w:numPr>
          <w:ilvl w:val="0"/>
          <w:numId w:val="39"/>
        </w:num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本合同为总价合同。</w:t>
      </w:r>
    </w:p>
    <w:p>
      <w:pPr>
        <w:numPr>
          <w:ilvl w:val="0"/>
          <w:numId w:val="39"/>
        </w:numPr>
        <w:spacing w:line="360" w:lineRule="auto"/>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合同总价（包含但不限于）：包含但不限于人工费、材料费及材料市场差价、设备使用费、企业管理费、风险费、保险费、服务费、手续费、证件办理费、交通、差旅、动复员、现场清理、治安、消防、环保、安全保护、文明施工增加费、雨季施工、利润、税金、法定的捐赠/摊派/其它应付款项、合同中规定的其它义务/风险/责任有关的费用及一切与履行本合同有关的于此处未列明的其它所有费用。合同总价在合同有效期和其必要的延长期内是固定的，不因通货膨胀、利/汇率变化而作任何调整。乙方不得以任何理由来要求对合同价格进行调整。</w:t>
      </w:r>
    </w:p>
    <w:p>
      <w:pP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br w:type="page"/>
      </w:r>
    </w:p>
    <w:p>
      <w:pPr>
        <w:keepNext/>
        <w:keepLines/>
        <w:tabs>
          <w:tab w:val="left" w:pos="142"/>
          <w:tab w:val="left" w:pos="720"/>
          <w:tab w:val="left" w:pos="1080"/>
        </w:tabs>
        <w:spacing w:before="360" w:after="360" w:line="360" w:lineRule="auto"/>
        <w:ind w:left="142" w:hanging="142"/>
        <w:jc w:val="left"/>
        <w:outlineLvl w:val="1"/>
        <w:rPr>
          <w:rFonts w:hint="eastAsia" w:ascii="仿宋" w:hAnsi="仿宋" w:eastAsia="仿宋" w:cs="仿宋"/>
          <w:b/>
          <w:bCs/>
          <w:sz w:val="24"/>
          <w:szCs w:val="24"/>
          <w:highlight w:val="none"/>
        </w:rPr>
      </w:pPr>
      <w:bookmarkStart w:id="174" w:name="_Toc367798766"/>
      <w:bookmarkStart w:id="175" w:name="_Toc367800460"/>
      <w:bookmarkStart w:id="176" w:name="_Toc367803470"/>
      <w:bookmarkStart w:id="177" w:name="_Toc367802339"/>
      <w:bookmarkStart w:id="178" w:name="_Toc367802152"/>
      <w:bookmarkStart w:id="179" w:name="_Toc367802901"/>
      <w:bookmarkStart w:id="180" w:name="_Toc367801396"/>
      <w:bookmarkStart w:id="181" w:name="_Toc29024"/>
      <w:bookmarkStart w:id="182" w:name="_Toc16087"/>
      <w:r>
        <w:rPr>
          <w:rFonts w:hint="eastAsia" w:ascii="仿宋" w:hAnsi="仿宋" w:eastAsia="仿宋" w:cs="仿宋"/>
          <w:b/>
          <w:bCs/>
          <w:sz w:val="24"/>
          <w:szCs w:val="24"/>
          <w:highlight w:val="none"/>
        </w:rPr>
        <w:t>附件三：</w:t>
      </w:r>
      <w:bookmarkEnd w:id="174"/>
      <w:bookmarkEnd w:id="175"/>
      <w:bookmarkEnd w:id="176"/>
      <w:bookmarkEnd w:id="177"/>
      <w:bookmarkEnd w:id="178"/>
      <w:bookmarkEnd w:id="179"/>
      <w:bookmarkEnd w:id="180"/>
      <w:r>
        <w:rPr>
          <w:rFonts w:hint="eastAsia" w:ascii="仿宋" w:hAnsi="仿宋" w:eastAsia="仿宋" w:cs="仿宋"/>
          <w:b/>
          <w:bCs/>
          <w:sz w:val="24"/>
          <w:szCs w:val="24"/>
          <w:highlight w:val="none"/>
        </w:rPr>
        <w:t>验收报告</w:t>
      </w:r>
      <w:bookmarkEnd w:id="181"/>
      <w:r>
        <w:rPr>
          <w:rFonts w:hint="eastAsia" w:ascii="仿宋" w:hAnsi="仿宋" w:eastAsia="仿宋" w:cs="仿宋"/>
          <w:b/>
          <w:bCs/>
          <w:sz w:val="24"/>
          <w:szCs w:val="24"/>
          <w:highlight w:val="none"/>
        </w:rPr>
        <w:t>书</w:t>
      </w:r>
      <w:bookmarkEnd w:id="182"/>
      <w:bookmarkStart w:id="183" w:name="_Toc511665738"/>
      <w:bookmarkStart w:id="184" w:name="_Toc510947222"/>
      <w:bookmarkStart w:id="185" w:name="_Toc512353004"/>
    </w:p>
    <w:p>
      <w:pPr>
        <w:pStyle w:val="20"/>
        <w:rPr>
          <w:rFonts w:hint="eastAsia"/>
        </w:rPr>
      </w:pPr>
      <w:r>
        <w:rPr>
          <w:rFonts w:hint="eastAsia" w:ascii="黑体" w:hAnsi="黑体" w:eastAsia="黑体" w:cs="黑体"/>
          <w:b/>
          <w:bCs/>
          <w:sz w:val="36"/>
          <w:szCs w:val="36"/>
        </w:rPr>
        <w:t>服务和工程类采购合同验收</w:t>
      </w:r>
      <w:r>
        <w:rPr>
          <w:rFonts w:hint="eastAsia" w:ascii="黑体" w:hAnsi="黑体" w:eastAsia="黑体" w:cs="黑体"/>
          <w:b/>
          <w:bCs/>
          <w:sz w:val="36"/>
          <w:szCs w:val="36"/>
          <w:lang w:val="en-US" w:eastAsia="zh-CN"/>
        </w:rPr>
        <w:t>报告</w:t>
      </w:r>
    </w:p>
    <w:bookmarkEnd w:id="163"/>
    <w:bookmarkEnd w:id="164"/>
    <w:bookmarkEnd w:id="165"/>
    <w:bookmarkEnd w:id="183"/>
    <w:bookmarkEnd w:id="184"/>
    <w:bookmarkEnd w:id="185"/>
    <w:p>
      <w:pPr>
        <w:rPr>
          <w:rFonts w:hint="eastAsia" w:ascii="仿宋" w:hAnsi="仿宋" w:eastAsia="仿宋" w:cs="仿宋"/>
          <w:kern w:val="2"/>
          <w:sz w:val="24"/>
          <w:szCs w:val="20"/>
          <w:highlight w:val="none"/>
          <w:lang w:val="en-US" w:eastAsia="zh-CN" w:bidi="ar-SA"/>
        </w:rPr>
      </w:pPr>
      <w:r>
        <w:rPr>
          <w:rFonts w:hint="eastAsia" w:ascii="仿宋" w:hAnsi="仿宋" w:eastAsia="仿宋" w:cs="仿宋"/>
          <w:kern w:val="2"/>
          <w:sz w:val="24"/>
          <w:szCs w:val="20"/>
          <w:highlight w:val="none"/>
          <w:lang w:val="en-US" w:eastAsia="zh-CN" w:bidi="ar-SA"/>
        </w:rPr>
        <w:object>
          <v:shape id="_x0000_i1026" o:spt="75" type="#_x0000_t75" style="height:502.7pt;width:415.15pt;" o:ole="t" filled="f" o:preferrelative="t" stroked="f" coordsize="21600,21600">
            <v:path/>
            <v:fill on="f" focussize="0,0"/>
            <v:stroke on="f"/>
            <v:imagedata r:id="rId9" o:title=""/>
            <o:lock v:ext="edit" aspectratio="f"/>
            <w10:wrap type="none"/>
            <w10:anchorlock/>
          </v:shape>
          <o:OLEObject Type="Embed" ProgID="Word.Document.8" ShapeID="_x0000_i1026" DrawAspect="Content" ObjectID="_1468075726" r:id="rId8">
            <o:LockedField>false</o:LockedField>
          </o:OLEObject>
        </w:object>
      </w:r>
    </w:p>
    <w:p>
      <w:pPr>
        <w:pStyle w:val="20"/>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pStyle w:val="20"/>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pStyle w:val="20"/>
        <w:rPr>
          <w:rFonts w:hint="eastAsia" w:ascii="仿宋" w:hAnsi="仿宋" w:eastAsia="仿宋" w:cs="仿宋"/>
          <w:kern w:val="2"/>
          <w:sz w:val="24"/>
          <w:szCs w:val="20"/>
          <w:highlight w:val="none"/>
          <w:lang w:val="en-US" w:eastAsia="zh-CN" w:bidi="ar-SA"/>
        </w:rPr>
      </w:pPr>
    </w:p>
    <w:p>
      <w:pPr>
        <w:rPr>
          <w:rFonts w:hint="eastAsia" w:ascii="仿宋" w:hAnsi="仿宋" w:eastAsia="仿宋" w:cs="仿宋"/>
          <w:kern w:val="2"/>
          <w:sz w:val="24"/>
          <w:szCs w:val="20"/>
          <w:highlight w:val="none"/>
          <w:lang w:val="en-US" w:eastAsia="zh-CN" w:bidi="ar-SA"/>
        </w:rPr>
      </w:pPr>
    </w:p>
    <w:p>
      <w:pPr>
        <w:keepNext/>
        <w:keepLines/>
        <w:tabs>
          <w:tab w:val="left" w:pos="142"/>
          <w:tab w:val="left" w:pos="720"/>
          <w:tab w:val="left" w:pos="1080"/>
        </w:tabs>
        <w:spacing w:before="360" w:after="360" w:line="360" w:lineRule="auto"/>
        <w:jc w:val="left"/>
        <w:outlineLvl w:val="1"/>
        <w:rPr>
          <w:rFonts w:hint="eastAsia" w:ascii="仿宋" w:hAnsi="仿宋" w:eastAsia="仿宋" w:cs="仿宋"/>
          <w:b/>
          <w:bCs/>
          <w:sz w:val="24"/>
          <w:szCs w:val="24"/>
          <w:highlight w:val="none"/>
        </w:rPr>
      </w:pPr>
      <w:bookmarkStart w:id="186" w:name="_Toc25486"/>
      <w:r>
        <w:rPr>
          <w:rFonts w:hint="eastAsia" w:ascii="仿宋" w:hAnsi="仿宋" w:eastAsia="仿宋" w:cs="仿宋"/>
          <w:b/>
          <w:bCs/>
          <w:sz w:val="24"/>
          <w:szCs w:val="24"/>
          <w:highlight w:val="none"/>
        </w:rPr>
        <w:t>附件四：廉洁备忘录</w:t>
      </w:r>
      <w:bookmarkEnd w:id="18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为进一步加强廉政建设，规范甲乙双方的各项活动，防止发生各种谋取不正当利益的违法违规行为，从源头上预防治理腐败，根据国家有关的法律法规规定，特制定本廉洁条款。</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第一条 甲乙双方的权利和义务</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（一）在双方的业务交往中，共同遵守相关的法律法规。</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（二）加强本单位廉政建设和对员工的廉洁从业教育，不断提高员工的廉洁自律意识。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（三）加强对本单位员工的监督与检查，并自觉接受对方廉政监督。当发现对方在彼此的业务交往中存在可能或有违法违规行为时，应及时给予提醒制止，并通报对方，进行调查、处理。</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第二条 甲方的责任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（一）不准向乙方索要或接受回扣、礼金、有价证券、贵重物品和好处费、感谢费等；不准在乙方报销任何由甲方或个人支付的费用。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（二）不准参加乙方安排的宴请和健身、娱乐等活动；不得接受乙方提供的通讯工具、交通工具和高档办公用品等。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（三）不准要求、暗示和接受乙方为个人装修住房、婚丧嫁娶、配偶子女的工作安排以及出国（境）旅游等提供方便。</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（四）配偶、子女不得从事与乙方承包本工程有关的设备材料供应、工程分包、劳务等经济活动。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（五）不得以任何理由向乙方推荐分包单位或要求乙方购买项目合同规定外的材料、设备和服务等。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（六）其它不廉洁行为。</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第三条 乙方的责任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（一）不准以任何理由向甲方工作人员（含家属、子女，下同）行贿或馈赠礼物、礼金、有价证券、贵重物品及象征性低价物品。</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（二）不准以任何名义为甲方工作人员报销应由对方或个人支付的费用。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（三）不准以任何理由安排甲方工作人员参加宴请及健身、娱乐和旅游等活动。</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（四）不准为甲方单位和工作人员购置或提供通讯工具、交通工具和高档办公用品和装修住房等。</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（五）其它不廉洁行为。</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第四条 违约责任</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（一）甲方发现乙方有违反本条款或者采用不正当的手段贿赂甲方工作人员，甲方应向乙方领导举报，并取消乙方供应商资格，由此给甲方造成的损失均由乙方承担。</w:t>
      </w: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（二）乙方如发现甲方工作人员有违反上述条款，应当向甲方领导举报，甲方不得找任何借口对乙方进行报复或刁难、延误工作。</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4"/>
          <w:highlight w:val="none"/>
        </w:rPr>
      </w:pPr>
      <w:bookmarkStart w:id="187" w:name="_Toc22153"/>
      <w:r>
        <w:rPr>
          <w:rFonts w:hint="eastAsia" w:ascii="仿宋" w:hAnsi="仿宋" w:eastAsia="仿宋" w:cs="仿宋"/>
          <w:b/>
          <w:bCs/>
          <w:sz w:val="24"/>
          <w:szCs w:val="24"/>
          <w:highlight w:val="none"/>
        </w:rPr>
        <w:t>附件</w:t>
      </w:r>
      <w:bookmarkEnd w:id="187"/>
      <w:bookmarkStart w:id="188" w:name="_Toc15078"/>
      <w:r>
        <w:rPr>
          <w:rFonts w:hint="eastAsia" w:ascii="仿宋" w:hAnsi="仿宋" w:eastAsia="仿宋" w:cs="仿宋"/>
          <w:b/>
          <w:bCs/>
          <w:sz w:val="24"/>
          <w:szCs w:val="24"/>
          <w:highlight w:val="none"/>
          <w:lang w:val="en-US" w:eastAsia="zh-CN"/>
        </w:rPr>
        <w:t>五：健康安</w:t>
      </w:r>
      <w:bookmarkStart w:id="189" w:name="_Toc408152227"/>
      <w:bookmarkStart w:id="190" w:name="_Toc498168499"/>
      <w:bookmarkStart w:id="191" w:name="_Toc508693363"/>
      <w:bookmarkStart w:id="192" w:name="_Toc499024152"/>
      <w:r>
        <w:rPr>
          <w:rFonts w:hint="eastAsia" w:ascii="仿宋" w:hAnsi="仿宋" w:eastAsia="仿宋" w:cs="仿宋"/>
          <w:b/>
          <w:bCs/>
          <w:sz w:val="24"/>
          <w:szCs w:val="24"/>
          <w:highlight w:val="none"/>
          <w:lang w:val="en-US" w:eastAsia="zh-CN"/>
        </w:rPr>
        <w:t>全环保条款</w:t>
      </w:r>
      <w:bookmarkEnd w:id="188"/>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193" w:name="_Toc11654757"/>
      <w:r>
        <w:rPr>
          <w:rFonts w:hint="eastAsia" w:ascii="仿宋" w:hAnsi="仿宋" w:eastAsia="仿宋" w:cs="仿宋"/>
          <w:b/>
          <w:sz w:val="24"/>
          <w:highlight w:val="none"/>
        </w:rPr>
        <w:t>1  概述</w:t>
      </w:r>
      <w:bookmarkEnd w:id="189"/>
      <w:bookmarkEnd w:id="193"/>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4" w:name="_Toc408152228"/>
      <w:bookmarkStart w:id="195" w:name="_Toc11654758"/>
      <w:r>
        <w:rPr>
          <w:rFonts w:hint="eastAsia" w:ascii="仿宋" w:hAnsi="仿宋" w:eastAsia="仿宋" w:cs="仿宋"/>
          <w:sz w:val="24"/>
          <w:highlight w:val="none"/>
        </w:rPr>
        <w:t>1.1 适用范围</w:t>
      </w:r>
      <w:bookmarkEnd w:id="194"/>
      <w:bookmarkEnd w:id="195"/>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本合同附件适用于承揽与设施设备购销无关的运输服务、仓储服务、物业服务，或者在合同有效期内可能多次实施的具有期间作业性质的生产支持服务类乙方。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6" w:name="_Toc408152229"/>
      <w:bookmarkStart w:id="197" w:name="_Toc11654759"/>
      <w:r>
        <w:rPr>
          <w:rFonts w:hint="eastAsia" w:ascii="仿宋" w:hAnsi="仿宋" w:eastAsia="仿宋" w:cs="仿宋"/>
          <w:sz w:val="24"/>
          <w:highlight w:val="none"/>
        </w:rPr>
        <w:t>1.2 基本定义</w:t>
      </w:r>
      <w:bookmarkEnd w:id="196"/>
      <w:bookmarkEnd w:id="197"/>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1.2.1用语“甲方”在未特殊指明的情况下是指甲方及所属的甲方使用单位。包括受雇于甲方，在甲方客户及乙方管辖区域内进行生产支持服务时的属地管理单位。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1.2.2 用语“乙方”是指向甲方提供生产支持服务的乙方及其分乙方、代理商等。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1.2.3用语“有关的法律法规和标准”是指：由那些对承包合同的执行、对乙方的活动有行政、司法管辖权和负责安全、职业健康与环境保护的政府部门或机构，已经通过和可能随时制定、通过、颁布或实施的法律、法规、条例、命令、规章、规则、标准和要求，以及与承包合同确定的工程服务或作业有关的HSE控制措施、甲方和乙方的HSE管理制度和已被广为接受的工作惯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1.2.4用语“资产”是指：甲方或乙方所拥有、提供或租用、租赁的资产，包括但不限于按照承包合同中约定的，用于乙方作业的场地，厂区、厂房、工作室和生产设施、生活设施等。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1.2.5用语“作业场所”是指：在甲方或乙方资产界内的，除生活区或办公室以外的所有区域。</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1.2.6用语“生产支持服务”是指：乙方依据与甲方订立的承包或技术服务合同向甲方提供且作业活动、作业程序、作业范围和最终成果受甲方监督管理的运输、仓储、物业，或者在合同有效期内可能多次实施的吊装、维保服务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1.2.7用语“HSE”指“健康安全环保”。</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198" w:name="_Toc408152230"/>
      <w:bookmarkStart w:id="199" w:name="_Toc11654760"/>
      <w:r>
        <w:rPr>
          <w:rFonts w:hint="eastAsia" w:ascii="仿宋" w:hAnsi="仿宋" w:eastAsia="仿宋" w:cs="仿宋"/>
          <w:sz w:val="24"/>
          <w:highlight w:val="none"/>
        </w:rPr>
        <w:t>1.3 甲方HSE理念与政策</w:t>
      </w:r>
      <w:bookmarkEnd w:id="198"/>
      <w:bookmarkEnd w:id="199"/>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1.3.1甲方HSE理念：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HSE管理是公司发展的基本保障和要求，是公司生产经营活动重要组成部分。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管理HSE事务，不仅从经济上考虑，同时将其作为一种社会责任。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HSE管理的最终责任应落实在项目运行的全过程中，各级管理者应致力于将HSE管理融入每项作业和每个岗位中。</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HSE管理不是短期行为，需要持续改进不断提高，确信：“没有最好，只有更好”；确信：可以通过系统管理逐步改善HSE绩效。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设定目标，努力实践，坚信只有通过“执行”中的努力才能实现既定目标。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员工是公司最宝贵的财富之一，以人为本，关爱员工，追求对人无害的目标。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作业中尽量使用清洁无害的材料和能源，保护环境和资源。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努力追求优异的HSE业绩，不仅满足遵守法规，还应在致力于提高行业水平方面发挥积极作用。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1.3.2 甲方HSE政策：</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遵守公司作业所在国的法律、法规，执行行业规范和标准。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完善健康、安全和环境管理体系，推行“持续改进计划”。</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向所有员工宣传公司的健康安全环保政策，提供培训，以提高员工的安全环保意识和素质，使其在各自岗位上切实履行职责。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为员工提供安全卫生的工作场所，提供安全可靠的设施设备，提供符合国家标准的劳动保护用品。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对接触职业病危害岗位作业的员工开展职业病体检，建立和规范职业病监护档案。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定期对公司生产作业和设施运行的安全状况进行检查和报告。</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定期组织应急演习，不断完善应急计划，最大限度地减少人员伤亡及环境污染事故。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从设计、建造到生产作业的各个阶段，实行危害因素辨识评价、环境因素识别评价、节能评估审查，制定和落实控制措施。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向乙方提供健康、安全和环保信息，督促他们建立规范的安全环保管理体系，执行行业规范、标准，对员工进行持续教育与培训。</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与政府机构、社会团体及公众建立良好关系，就健康、安全和环保问题进行密切合作，为创造美好的生态环境做贡献。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鼓励员工参与健康、安全、环保和节能活动，鼓励科学技术研究，合理采用健康、安全、环保和节能的科技产品。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维护工作场所工业卫生，为员工的健康及安全创造良好工作环境。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0" w:name="_Toc408152231"/>
      <w:bookmarkStart w:id="201" w:name="_Toc11654761"/>
      <w:r>
        <w:rPr>
          <w:rFonts w:hint="eastAsia" w:ascii="仿宋" w:hAnsi="仿宋" w:eastAsia="仿宋" w:cs="仿宋"/>
          <w:sz w:val="24"/>
          <w:highlight w:val="none"/>
        </w:rPr>
        <w:t>1.4 甲方HSE责任</w:t>
      </w:r>
      <w:bookmarkEnd w:id="200"/>
      <w:bookmarkEnd w:id="201"/>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1.4.1 甲方应严格遵守有关的法律法规和标准，依法设置安全生产管理机构或者配备专职安全生产管理人员，对生产支持服务过程实施管理和监督。发现乙方违反法律法规和标准的行为，有权制止，并追究违约责任。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1.4.2 甲方应保证外包项目具备法律、法规、规章和标准规定的安全生产条件。保证与外包项目有关的生产系统和安全设施正常运行，为乙方提供安全生产所必要的生产支持服务条件。除不可抗力外，甲方未向乙方提供安全生产所必要的生产支持服务条件，由此给乙方造成有关生产进度、经济等方面损失的，由甲方承担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1.4.3 乙方的项目部承担生产支持服务的，甲方除审查乙方的安全生产资质外，还应当审查项目部的安全生产管理机构、规章制度和操作规程、工程技术人员、主要设备设施、安全教育培训和负责人、安全生产管理人员、特种作业人员持证上岗等情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1.4.4甲方应严格遵守工程设计，不得擅自压缩合同约定的外包项目工期，不违章指挥或者强令乙方及其从业人员冒险作业。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1.4.5 甲方是外包项目安全投入的责任主体，应当按照国家有关规定和合同约定及时、足额向乙方提供保障生产支持服务安全所需的资金，明确安全投入项目和金额，并监督乙方落实到位。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1.4.6甲方应当向乙方进行外包项目的技术交底，告知乙方生产支持服务过程中可能存在的主要危险有害因素，以及在紧急情况下应当采取的应急措施。并按照合同约定向乙方提供与外包项目安全生产相关的勘察、设计、风险评价、检测检验和应急救援等资料，并保证资料的真实性、完整性和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1.4.7外包项目实行总发包的，甲方应当督促乙方统一组织编制外包项目事故应急预案；实行分项发包的，甲方应当将乙方编制的外包项目现场应急处置方案纳入甲方应急预案体系，并定期组织演练。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1.4.8甲方在接到外包项目事故报告后，应当立即启动相关事故应急预案，或者采取有效措施，组织抢救，防止事故扩大，并依照《生产安全事故报告和调查处理条例》的规定，立即如实地向事故发生地县级以上人民政府安全生产监督管理部门和负有安全生产监督管理职责的有关部门报告，将事故数据纳入甲方的统计范围，并根据事故调查报告及其批复承担相应的事故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1.4.9 甲方应严格遵守甲乙双方签订的本附件要求。</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2" w:name="_Toc408152232"/>
      <w:bookmarkStart w:id="203" w:name="_Toc11654762"/>
      <w:r>
        <w:rPr>
          <w:rFonts w:hint="eastAsia" w:ascii="仿宋" w:hAnsi="仿宋" w:eastAsia="仿宋" w:cs="仿宋"/>
          <w:sz w:val="24"/>
          <w:highlight w:val="none"/>
        </w:rPr>
        <w:t>1.5 乙方HSE责任</w:t>
      </w:r>
      <w:bookmarkEnd w:id="202"/>
      <w:bookmarkEnd w:id="203"/>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 乙方应采取与甲方HSE政策一致的方式来执行所有的工作计划。乙方应在所有作业中将有效的HSE管理作为其作业管理的有机整体。乙方必须将所有生产支持服务人员的安全和健康作为最基本的考虑内容，必须通过执行可靠的技术、程序和步骤来避免对环境的不利影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1.5.2外包项目实行总承包的，乙方应对作业现场的安全生产负总责。乙方的分包商或代理商按照分包合同的约定对乙方负责。乙方和其分包商或代理商对分包项目的安全生产承担连带责任。乙方依法将外包工程分包给其他单位的，其外包工程主体部分应当由总承包单位自行完成。禁止乙方转包其承揽的外包项目。禁止乙方分包商或代理商将其承揽的外包项目再次分包。禁止乙方以转让、出租、出借资质证书等方式允许他人以本单位的名义承揽项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1.5.3 以项目部承担生产支持服务的，乙方及其项目部应当根据承揽项目的规模和特点，依法健全安全生产责任体系，完善安全生产管理基本制度，设置安全生产管理机构，按照生产支持服务人员与现场安全监督20：1的比例，配备专职现场HSE管理人员。对具有重大健康安全环境影响的作业，乙方应派具有安全技术知识和专业知识的人员在现场实施全过程监督管理。</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1.5.4乙方应保证提供给甲方的安全生产许可证、安全资质证书、从业人员信息等相关资料真实可靠，并对因上述资料不真实可靠造成的后果负法律责任。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1.5.5乙方应严格遵守有关的法律法规和标准，并理解和接受甲方HSE政策</w:t>
      </w:r>
      <w:bookmarkStart w:id="204" w:name="_Toc498168457"/>
      <w:bookmarkStart w:id="205" w:name="_Toc499024131"/>
      <w:r>
        <w:rPr>
          <w:rFonts w:hint="eastAsia" w:ascii="仿宋" w:hAnsi="仿宋" w:eastAsia="仿宋" w:cs="仿宋"/>
          <w:sz w:val="24"/>
          <w:highlight w:val="none"/>
        </w:rPr>
        <w:t>。甲方的所有最新HSE管理制度和要求（只要不与相关法律、法规冲突），经书面通知乙方后成为本合同附件的条款，乙方有义务遵守和执行。</w:t>
      </w:r>
      <w:bookmarkEnd w:id="204"/>
      <w:bookmarkEnd w:id="205"/>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1.5.6 乙方应为其所有生产支持服务人员办理工伤保险或人员意外伤害保险等与HSE相关险种，由于其员工未能投保而带来的一切损失由乙方全权负责。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1.5.7 乙方应当依照有关法律法规和标准的规定以及承包合同和本附件的约定，及时将甲方投入的安全资金落实到位，不得挪作他用。乙方为执行并满足本附件要求所发生的各项安全生产费用均应包含在承包合同的总价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1.5.8若同一作业场所有两个以上（含两个）乙方时，乙方应与其签订HSE管理协议,明确各自职责，落实健康安全环保责任。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1.5.9 乙方应严格遵守工程设计，按施工方案组织生产支持服务，依照有关规定制定生产支持服务项目HSE控制方案，加强现场作业安全管理，定期排查并及时治理事故隐患，落实各项规章制度和安全操作规程，并接受甲方的监督管理。同时，乙方有权拒绝甲方违章指挥和强令冒险作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1.5.10乙方应当按照甲方的统一要求，保证在甲方资产界内及时维护、保养生产支持服务的设备设施。同时，乙方有义务对其资产界内为甲方提供服务的设备、设施状况进行定期检查，做好相关的维护工作，保证其处于随时可用的状态。甲方代表有权在认为有必要时，直接或间接进行监督检查。乙方及其租用的主要生产支持服务设施，如起重吊装作业设备等特种设备，必须按照有关规定办理登记注册手续和进行定期检验，其安全责任由乙方负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1.5.11 乙方应当接受甲方组织的安全生产培训与指导，加强对本单位从业人员的安全生产教育和培训，保证从业人员掌握必需的安全生产知识和操作技能。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1.5.12乙方应当定期排查并及时治理生产支持服务期间内的事故隐患，建立台账，做好相关记录。对于不能立即治理的事故隐患，乙方应当采取必要的防范措施，并尽快解决，避免发生安全生产事故。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1.5.13 外包项目实行总承包的，乙方应当统一组织编制外包项目应急预案，报甲方备案。乙方及其分包商或代理商应当按照国家有关规定和应急预案的要求，分别建立应急救援组织或者指定应急救援人员，配备救援设备设施和器材，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1.5.14 外包项目实行分项承包的，乙方应当根据项目的特点、范围以及作业现场容易发生事故的部位和环节，编制现场应急处置方案，报甲方备案，并定期组织演练。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1.5.15 外包项目发生事故后，事故现场有关人员应当立即向乙方的现场负责人报告。乙方现场负责人接到事故报告后，应当立即如实地向甲方报告，并启动相应的应急预案，采取有效措施，组织抢救，防止事故扩大。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1.5.16乙方在甲方或乙方资产界内为甲方提供各项生产支持服务时，如果甲方认为乙方的工作程序或工作环境对人身、财产或环境构成了威胁，违反了有关的法律法规和标准、违反了甲方HSE政策或制度时，乙方应接受甲方随时停止乙方工作的指令，并积极组织进行整改或将其有关员工从作业场所撤换掉。乙方或乙方的人员违反本附件相关HSE要求的任何行为均视为对承包合同的违约，严重违反的行为自然构成提前终止承包合同的理由和依据。</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1.5.17乙方有责任和义务保护甲方，避免甲方由于乙方或乙方的员工直接或间接未能贯彻、执行、遵循和遵守有关法律法规和标准、违反甲方对乙方的HSE相关要求的原因受到任何损失、伤害、索赔或债务。在任何时候，乙方的这种责任都不应被认为可以改变、修正、减少或者重新界定乙方按承包合同应尽的其他应补偿、免除、保险或担保等义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1.5.18 乙方应严格遵守甲乙双方签订的本附件要求。</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06" w:name="_Toc408152233"/>
      <w:bookmarkStart w:id="207" w:name="_Toc11654763"/>
      <w:r>
        <w:rPr>
          <w:rFonts w:hint="eastAsia" w:ascii="仿宋" w:hAnsi="仿宋" w:eastAsia="仿宋" w:cs="仿宋"/>
          <w:sz w:val="24"/>
          <w:highlight w:val="none"/>
        </w:rPr>
        <w:t>1.6 HSE管理界面</w:t>
      </w:r>
      <w:bookmarkEnd w:id="206"/>
      <w:bookmarkEnd w:id="207"/>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1.6.1 在甲方资产界内进行的各项生产支持服务，甲方全权负责该区域内的HSE管理，但乙方应为自身的HSE管理行为负全部责任，乙方自身的管理行为和作业行为必须遵照执行甲方的HSE管理体系文件、其它有关HSE的管理规定、程序和要求，以及项目的HSE实施方案或风险控制措施。乙方有义务配合甲方的HSE管理。如果乙方的体系文件、程序文件、工作惯例优于甲方的要求，可以在取得甲方同意的情况下执行。</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1.6.2在乙方资产界内进行或由乙方使用乙方资产在非甲乙方资产界内组织进行的为甲方提供的各项作业服务，乙方的管理行为和作业行为可以遵照执行自身的HSE管理体系文件及其它有关HSE的管理规定、程序和要求，乙方应对其管理行为和作业行为负全部责任，但必须接受甲方的监督和检查。乙方有义务将其自身的HSE管理体系文件和其它有关HSE的管理规定、程序和要求提交给甲方，以便于甲方审查、监督和检查。乙方自身的HSE管理体系文件和其它有关HSE的管理规定、程序和要求应符合甲方HSE管理体系文件和其它有关HSE的管理规定、程序和要求的基本原则，甲方保留对乙方的HSE管理体系文件和其它有关HSE的管理规定、程序和要求进行评估的权力，并有权就不符合部分提出修改意见，乙方有义务参照甲方意见进行相应的修改。甲方关于HSE管理的本意，应得到善意的理解和执行。</w:t>
      </w:r>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08" w:name="_Toc11654764"/>
      <w:bookmarkStart w:id="209" w:name="_Toc408152234"/>
      <w:r>
        <w:rPr>
          <w:rFonts w:hint="eastAsia" w:ascii="仿宋" w:hAnsi="仿宋" w:eastAsia="仿宋" w:cs="仿宋"/>
          <w:b/>
          <w:sz w:val="24"/>
          <w:highlight w:val="none"/>
        </w:rPr>
        <w:t>2  HSE具体要求</w:t>
      </w:r>
      <w:bookmarkEnd w:id="208"/>
      <w:bookmarkEnd w:id="209"/>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0" w:name="_Toc11654765"/>
      <w:bookmarkStart w:id="211" w:name="_Toc508693362"/>
      <w:bookmarkStart w:id="212" w:name="_Toc408152235"/>
      <w:r>
        <w:rPr>
          <w:rFonts w:hint="eastAsia" w:ascii="仿宋" w:hAnsi="仿宋" w:eastAsia="仿宋" w:cs="仿宋"/>
          <w:sz w:val="24"/>
          <w:highlight w:val="none"/>
        </w:rPr>
        <w:t>2.1 相互沟通</w:t>
      </w:r>
      <w:bookmarkEnd w:id="210"/>
      <w:bookmarkEnd w:id="211"/>
      <w:bookmarkEnd w:id="21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 甲方致力于为所有员工提供一个安全健康的工作环境，并且认为：为了实现这一目标，加强乙方管理层与甲方管理层之间的沟通是十分必要的。</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2.1.2双方在对乙方的作业涉及健康安全环保的内容上发生争议或误解时，建议以如下步骤解决：</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甲方现场HSE管理人员（代表）如果对乙方的工作不满意，应通过正常的管理渠道反映，由双方上一层管理者一起跟踪处理该事项。甲方人员不能向乙方施加不应有的压力，迫使乙方做其根据专业技术判断不能做的任何事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如果乙方感到有直接或间接的压力迫使其做根据其专业技术判断不能做的事情时，乙方有权利拒绝去做，并及时向乙方上一层管理者报告，由双方上一层管理者共同商议处理该事项。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2.1.3为保障实现本章节的真实目的，双方沿用在本合同中规定的争议协调的步骤、上一层管理者、联络渠道和方式。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如果本附件要求的任一条款与国家主管部门有关的法律、法规和规定有冲突，应认为这一条款将自动修改，其他未受影响的条款仍然适用。乙方在出现冲突的情况下，也有义务提醒甲方。本附件中关于健康安全环保（HSE）管理的本意应当得到善意的理解和遵守。</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3" w:name="_Toc408152236"/>
      <w:bookmarkStart w:id="214" w:name="_Toc11654766"/>
      <w:r>
        <w:rPr>
          <w:rFonts w:hint="eastAsia" w:ascii="仿宋" w:hAnsi="仿宋" w:eastAsia="仿宋" w:cs="仿宋"/>
          <w:sz w:val="24"/>
          <w:highlight w:val="none"/>
        </w:rPr>
        <w:t>2.2风险分析</w:t>
      </w:r>
      <w:bookmarkEnd w:id="213"/>
      <w:bookmarkEnd w:id="21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2.2.1项目开始前，乙方应委派人员与甲方相关人员进行沟通，了解项目的具体信息。包括但不仅限于：</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项目存在的主要危险及采取的措施；</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确认HSE管理人员职责；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确认各项HSE工作的目标；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澄清双方在程序、规定等方面存在不一致的地方、消除双方管理规定存在相互矛盾的地方；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双方在事故应急过程中相互协调的方式方法，并明确需要使用的第三方应急资源；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项目实施前的培训计划及实施方案；</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确认事故汇报和调查的程序。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2.2.2 乙方应结合作业场所实际对项目实施的各个主要阶段进行危险因素识别和评价，编制生产支持服务项目的HSE控制方案，并在信息沟通结束后的3个工作日内报甲方批准备案。乙方的HSE管理标准不得低于经甲方批准的HSE实施方案。在生产支持服务过程中，乙方变更本项目相关的HSE标准、管理程序和HSE控制方案等应与甲方现场HSE管理人员（代表）协商，甲方有权拒绝接受明显不符合甲方HSE政策的此类变更。</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2.2.3对于拖航、多功能支持平台或租用船舶的改造和大修、平台或陆地井队关键设备的维修、清/洗罐、清/洗舱、停产检修、高压气井等非常规钻井、大面积停水停电、关键通讯设备的检修、特殊大件运输等重大风险作业，以用动火、动土、高处、断路、电气、硫化氢、临时用电、限制空间、起重吊装、盲板抽堵、管线容器吹扫、放射性物质处理、危险化学品处理等特殊作业，双方应严格执行安全和技术交底程序。</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5" w:name="_Toc408152237"/>
      <w:bookmarkStart w:id="216" w:name="_Toc11654767"/>
      <w:r>
        <w:rPr>
          <w:rFonts w:hint="eastAsia" w:ascii="仿宋" w:hAnsi="仿宋" w:eastAsia="仿宋" w:cs="仿宋"/>
          <w:sz w:val="24"/>
          <w:highlight w:val="none"/>
        </w:rPr>
        <w:t>2.3 员工资质管理及培训</w:t>
      </w:r>
      <w:bookmarkEnd w:id="215"/>
      <w:bookmarkEnd w:id="21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2.3.1 乙方应对所有生产支持服务人员进行HSE教育培训，保证生产支持服务人员掌握必需的安全生产知识、操作技能和应急逃生知识，并确保其理解和掌握与项目相关的主要危险因素、应采取的HSE措施，以及甲方的HSE管理制度和要求，并在工作中严格执行。</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2.3.2项目实施前，乙方应将所有生产支持服务人员的名单和身份证复印件，以及有效的特种作业人员资质证书和复印件提供给甲方，并确保作业过程中不出现人员顶替或实际作业人员与提供名单不符的情况。项目实施过程中生产支持服务人员发生变换的，乙方应当书面告知甲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2.3.3乙方应雇佣那些身心健康、称职的员工完成工作，接触职业危害因素或特种作业（如电工、焊工）的员工应提供证明其不存在职业禁忌的职业健康检查报告。员工出现下列情形之一者，不能被认为是身心健康的、称职的人员：严重睡眠不足疲乏无力的，患传染病的、严重心脏病的，依赖药物的、酗酒的、赌博和吸毒的人员。</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2.3.4甲方有权对乙方的培训情况进行监督，对其培训记录进行检查。在甲方认为乙方的HSE管理人员或其它岗位人员工作不力或不能胜任所承担的工作时，有权要求乙方予以更换。如由于乙方的HSE管理人员人力不足或不能胜任，而导致甲方增加HSE管理人力，则甲方因此而发生的额外费用由乙方承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2.3.5乙方有义务参加甲方组织的HSE培训，培训包括HSE管理培训及其它甲方根据项目实施情况组织的专项培训，乙方参加培训人员包括项目主要管理人员、HSE监督、施工负责人及根据甲方要求需要参加的其他人员。</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7" w:name="_Toc11654768"/>
      <w:bookmarkStart w:id="218" w:name="_Toc408152238"/>
      <w:r>
        <w:rPr>
          <w:rFonts w:hint="eastAsia" w:ascii="仿宋" w:hAnsi="仿宋" w:eastAsia="仿宋" w:cs="仿宋"/>
          <w:sz w:val="24"/>
          <w:highlight w:val="none"/>
        </w:rPr>
        <w:t>2.4作业机具</w:t>
      </w:r>
      <w:bookmarkEnd w:id="217"/>
      <w:bookmarkEnd w:id="21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2.4.1 乙方应为其生产支持服务人员提供合适的和性能完好的机具或设备，并确保所有按承包合同和附件提供的设施、设备、机器、器械、工具和装备等符合有关的HSE标准，同时保持作业场所清洁、有序。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2.4.2 项目开始前，乙方应将项目实施中使用的所有机具或设备清单报送甲方，并协同甲方共同对作业使用的机具或设备进行性能检查，确保状态完好。项目实施过程中机具或设备发生变换的，乙方应当书面告知甲方。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19" w:name="_Toc408152239"/>
      <w:bookmarkStart w:id="220" w:name="_Toc11654769"/>
      <w:r>
        <w:rPr>
          <w:rFonts w:hint="eastAsia" w:ascii="仿宋" w:hAnsi="仿宋" w:eastAsia="仿宋" w:cs="仿宋"/>
          <w:sz w:val="24"/>
          <w:highlight w:val="none"/>
        </w:rPr>
        <w:t>2.5 个人防护装备</w:t>
      </w:r>
      <w:bookmarkEnd w:id="219"/>
      <w:bookmarkEnd w:id="22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根据有关的法律、法规和规定、有关的HSE标准，乙方应为其生产支持服务人员提供合格有效的劳动保护用品，包括特殊和专用防护用品，并有责任确保其员工严格遵守个人防护装备穿戴制度和规定，在甲方和乙方资产界内都应根据规定穿戴好适应作业场所环境的个人防护装备。</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1" w:name="_Toc11654770"/>
      <w:bookmarkStart w:id="222" w:name="_Toc408152240"/>
      <w:r>
        <w:rPr>
          <w:rFonts w:hint="eastAsia" w:ascii="仿宋" w:hAnsi="仿宋" w:eastAsia="仿宋" w:cs="仿宋"/>
          <w:sz w:val="24"/>
          <w:highlight w:val="none"/>
        </w:rPr>
        <w:t>2.6 出入管理</w:t>
      </w:r>
      <w:bookmarkEnd w:id="221"/>
      <w:bookmarkEnd w:id="22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2.6.1 对于具备期间作业性质的生产支持服务，乙方应在每次作业前事先将要进入甲方资产界内的生产支持服务人员基本情况通知甲方现场HSE管理人员（代表），包括临时和长期停留人员。所有生产支持服务人员在进入甲方资产界内后应先向有关管理人员报到，并服从甲方的治安保卫登记管理。进入海上设施的生产支持服务人员还应领取T卡并放入指定的T卡箱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2.6.2 进入甲方资产界的乙方生产支持服务人员，须遵守甲方的出入管理规定，禁止携带含酒精饮料、易燃易爆有毒有害物品（项目实施需要并经批准的除外）、钓鱼用具进入作业现场。照相机、摄像机等必须经过批准才可带入现场，在使用时应有现场有关人员监护，以防发生意外。收音机和录音机、非防爆移动通讯工具（包括通常使用的手机）未经许可不得带入作业场所。</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2.6.3 乙方生产支持服务人员进入甲方资产界内后，只能在指定区域内活动，行为举止应得体，并禁止到许可范围之外活动。</w:t>
      </w:r>
      <w:bookmarkStart w:id="223" w:name="_Toc499024144"/>
      <w:bookmarkStart w:id="224" w:name="_Toc498168483"/>
      <w:r>
        <w:rPr>
          <w:rFonts w:hint="eastAsia" w:ascii="仿宋" w:hAnsi="仿宋" w:eastAsia="仿宋" w:cs="仿宋"/>
          <w:sz w:val="24"/>
          <w:highlight w:val="none"/>
        </w:rPr>
        <w:t>未经甲方书面授权，乙方生产支持服务人员不得操作任何设备也不能关闭或打开任何阀门、开关和电路，承包合同另有规定除外。</w:t>
      </w:r>
    </w:p>
    <w:bookmarkEnd w:id="223"/>
    <w:bookmarkEnd w:id="224"/>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5" w:name="_Toc11654771"/>
      <w:bookmarkStart w:id="226" w:name="_Toc408152241"/>
      <w:r>
        <w:rPr>
          <w:rFonts w:hint="eastAsia" w:ascii="仿宋" w:hAnsi="仿宋" w:eastAsia="仿宋" w:cs="仿宋"/>
          <w:sz w:val="24"/>
          <w:highlight w:val="none"/>
        </w:rPr>
        <w:t>2.7 受控物质</w:t>
      </w:r>
      <w:bookmarkEnd w:id="225"/>
      <w:bookmarkEnd w:id="22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受控物质是指麻醉药品、含酒精物质、各类火器、武器、弹药、火药和炮竹、化学药品和任何不可滥用的物质以及未授权的、非法的、明令禁止或严格控制使用的药品、有关法律、法规规定的处方药品、限制药品和其它能以同样方式影响使用者的辅助药品，包括对许可的、合法的、批准的或受控的物质的误用，还包括那些未按规定或推荐方法使用有可能导致员工在使用后的工作行为与安全工作行为不一致的处方药品和非处方药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2.7.1在甲方资产范围内，严禁使用、制造、分配、拥有、分发、推销、提供、销售、购买、运输、隐匿、转移、存储和交易上述受控物质及其附属用具。但合法的处方药与非处方药可以被允许使用，只要该药是原包装、有使用期限、有处方或医生的服用建议。生产支持服务人员有义务从医生或推荐渠道了解有关该药副作用的所有信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2.7.2如果生产支持服务人员服用的药物的副作用对其履行工作职责可能有不利影响，生产支持服务人员在开始服用之前应通知有关主管人员。乙方有责任观察其生产支持服务人员药物服用情况并且运用合理的判断来确定是否允许该员工继续工作。无论甲方对该种药物的使用是否已有明确规定，乙方都应告知甲方现场HSE管理人员（代表）员工服用该种药物的情况。当服药期间药物副作用可能对安全生产有不利影响时，甲方将禁止用药的生产支持服务人员上岗或进入甲方资产界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2.7.3甲方保留对进入和已在甲方资产界内的生产支持服务人员及其物品、机动车进行受控物质检查的权力。甲方可以在事先不通知的情况下并且在它认为合适的时间和场所进行这样的检查。生产支持服务人员对于这种检查是否予以合作完全基于员工本人自愿。然而，如果生产支持服务人员对检查不合作时，甲方有权并可能会禁止该员工上岗或逗留在甲方资产界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2.7.4当甲方发现或有理由怀疑生产支持服务人员违反了受控物质管制政策时，会立即停止该员工在甲方资产界内工作。如甲方认为必要，将会禁止该员工今后在甲方资产界内工作并向有关司法机关报告。</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7" w:name="_Toc408152242"/>
      <w:bookmarkStart w:id="228" w:name="_Toc11654772"/>
      <w:r>
        <w:rPr>
          <w:rFonts w:hint="eastAsia" w:ascii="仿宋" w:hAnsi="仿宋" w:eastAsia="仿宋" w:cs="仿宋"/>
          <w:sz w:val="24"/>
          <w:highlight w:val="none"/>
        </w:rPr>
        <w:t>2.8HSE会议</w:t>
      </w:r>
      <w:bookmarkEnd w:id="227"/>
      <w:bookmarkEnd w:id="22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2.8.1对于不具备期间作业性质的生产支持服务，乙方应每月自行组织实施2次班组安全会议，并保存相应记录。在每天作业开始前应组织召开班前会，对上一班的工作进行总结，并将当班作业中的危害及控制措施向生产支持服务人员进行传达，直至其完全了解。会议应形成会议记录，并留存、备查。在甲方认为有必要时，甲方有权参加上述乙方HSE会议，乙方有义务向甲方提供上述会议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2.8.2 对于具备期间作业性质的生产支持服务，生产支持服务人员超过5人及以上时，乙方应定期（重大风险作业或出现重大事故/险情情况下）召开所有员工参加的现场安全会议，了解本单位的作业需求并传达甲方的HSE要求，及时协调和解决在生产支持服务过程中出现的健康安全环保问题。生产支持服务人员超过3人及以上时，乙方应在每天作业开始前组织召开班前会，对前一天的工作进行总结，并将当天作业中的危害及控制措施向生产支持服务人员进行传达，直至其完全了解。会议应形成会议记录，并留存、备查。甲方有权在认为有必要时参加上述乙方HSE会议，乙方有义务向甲方提供上述会议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2.8.2乙方有义务参加甲方召集的各类专题HSE会议。专题HSE会议包括各主要施工阶段的HSE开工/总结会议，并汇报近期的HSE状况。另外，专题HSE会议也包括甲方代表根据项目运作过程中的实际HSE管理需求而临时召集的会议。</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29" w:name="_Toc408152243"/>
      <w:bookmarkStart w:id="230" w:name="_Toc11654773"/>
      <w:r>
        <w:rPr>
          <w:rFonts w:hint="eastAsia" w:ascii="仿宋" w:hAnsi="仿宋" w:eastAsia="仿宋" w:cs="仿宋"/>
          <w:sz w:val="24"/>
          <w:highlight w:val="none"/>
        </w:rPr>
        <w:t>2.9 工作许可</w:t>
      </w:r>
      <w:bookmarkEnd w:id="229"/>
      <w:bookmarkEnd w:id="23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2.9.1 乙方在自身资产界内为甲方提供生产支持服务，乙方应按照自身的HSE管理体系建立相应的工作许可证制度，对实行工作许可证制度的作业和活动以及实施程序做出明确规定，并经甲方现场HSE管理人员（代表）认可。乙方有义务按照甲方现场HSE管理人员（代表）提出的合理建议对自身的工作许可证制度加以完善。凡属于工作许可证制度管理的各项作业和活动，在未取得有效的许可证之前，任何人都不能开始这项作业或活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2.9.2 乙方在甲方资产界内为甲方提供生产支持服务，必须遵守甲方的工作许可证制度的相关程序和规定。对未能遵守者，甲方将根据甲方的相关处罚规定对乙方的相应人员进行处罚。若甲方资产界内无相应的工作许可证制度，则乙方应按照自身的HSE管理体系建立相应的工作许可证制度，对实行工作许可证制度的作业和活动以及实施程序做出明确规定，并经甲方现场HSE管理人员（代表）认可。</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1" w:name="_Toc408152244"/>
      <w:bookmarkStart w:id="232" w:name="_Toc11654774"/>
      <w:r>
        <w:rPr>
          <w:rFonts w:hint="eastAsia" w:ascii="仿宋" w:hAnsi="仿宋" w:eastAsia="仿宋" w:cs="仿宋"/>
          <w:sz w:val="24"/>
          <w:highlight w:val="none"/>
        </w:rPr>
        <w:t>2.10HSE检查</w:t>
      </w:r>
      <w:bookmarkEnd w:id="231"/>
      <w:bookmarkEnd w:id="23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2.10.1 甲方的现场HSE管理人员（代表）有权对乙方的工作计划、设施和设备状况、作业情况进行HSE方面的监督检查。乙方有责任向甲方指派的现场HSE管理人员报告作业和活动情况、设施和设备安全环保检查情况、事故隐患及采取的相应措施情况，甲方指派的现场HSE管理人员（代表）有权进行核实。当乙方或乙方的员工的作业程序、方法、步骤、措施、作业环境违反了有关法律、法规和规定或甲方最低安全环保要求，对人身、财产和环境构成了威胁，甲方指派的现场HSE管理人员（代表）有权要求乙方立即中止作业，进行整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2.10.2在甲方和乙方资产界内，甲方对乙方的HSE检查包括但不限于如下检查形式：日常检查、专项检查、综合检查。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日常检查为在任何工作时间（包括节假日及八小时外的加班时间）内对与项目有关的各项工作的例行检查。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专项检查为根据工程的实际进展和各阶段作业的监控重点实施的检查，包括但不限于：高空作业专项检查、动火作业专项检查、起重设备专项检查、气瓶专项检查、生产支持服务人员上岗资格专项检查、油漆作业期间安全措施专项检查、安全护栏及生产支持服务架子专项检查、生产支持服务现场环境卫生及污染控制专项检查、生产支持服务人员健康状况及劳保用品使用情况专项检查、安全逃生通道安全性专项检查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综合检查为根据工程的实际情况实施的HSE管理控制点覆盖面比较全面的检查，原则上每项生产支持服务期间内不得少于一次。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2.10.3 甲方对乙方的检查可以在通知或不通知的情况下并且在甲方认为合适的时间和场所进行。乙方必须给予积极的配合并有义务在检查过程中提供项目HSE状况处于受控状态的各种证明文件，所用设备、设施及器具处于安全状态的各种证明文件，所有人员（作业服务管理及作业服务人员、服务于本项目的其他相关方人员）的合格有效的上岗资质证明文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2.10.4 对HSE检查的结果，甲方可以采取备忘录、会议纪要、整改通知单及停工令等多种形式形成检查文件，乙方必须对检查中发现的不符合项目进行整改，并且必须将整改情况（包括需整改问题、整改措施、整改记录、自检记录及自检结论）在3个工作日或其它要求期限内报甲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2.10.5 乙方自身也应根据既定的HSE检查程序定期进行内部HSE检查，检查应保留相关记录。甲方有权进行现场查阅，乙方有义务向甲方提供上述记录。</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2.10.6在春节、国庆节等重大节假日前，乙方应进行节假日前专项检查，对隐患和潜在的风险进行识别、排查，采取有效的控制措施，并将检查结果提交给甲方；乙方有义务接受甲方安排的节假日前专项检查。</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3" w:name="_Toc408152245"/>
      <w:bookmarkStart w:id="234" w:name="_Toc11654775"/>
      <w:r>
        <w:rPr>
          <w:rFonts w:hint="eastAsia" w:ascii="仿宋" w:hAnsi="仿宋" w:eastAsia="仿宋" w:cs="仿宋"/>
          <w:sz w:val="24"/>
          <w:highlight w:val="none"/>
        </w:rPr>
        <w:t>2.11分包商HSE管理</w:t>
      </w:r>
      <w:bookmarkEnd w:id="233"/>
      <w:bookmarkEnd w:id="23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2.11.1 乙方必须建立分包商的HSE管理要求，在分包作业前，应对分包商或代理商的安全生产资质，以及安全生产管理机构、规章制度和操作规程、工程技术人员、主要设备设施、安全教育培训和负责人、安全生产管理人员、特种作业人员持证上岗等情况等进行审查认定，并将审核资料，以及拟分包的项目、进场时间及地点等提交给甲方。甲方有对分包商的HSE资格进行审查的权利和HSE资格否决权，未经审核同意不得进行分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2.11.2 乙方必须在分包合同中明确对分包商或代理商的HSE要求，该要求不能低于甲方HSE管理体系中的相关要求。乙方对分包商或代理商出现的HSE事故承担连带责任，即使是经过甲方批准的分包合同，也不能免除乙方的HSE管理责任。</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2.11.3乙方应对其管理范围内的分包商和代理商进行HSE绩效考核，并将总体考核记录提交给甲方。</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35" w:name="_Toc498168463"/>
      <w:bookmarkStart w:id="236" w:name="_Toc499024134"/>
      <w:bookmarkStart w:id="237" w:name="_Toc508693360"/>
      <w:bookmarkStart w:id="238" w:name="_Toc408152246"/>
      <w:bookmarkStart w:id="239" w:name="_Toc11654776"/>
      <w:bookmarkStart w:id="240" w:name="_Toc499024149"/>
      <w:bookmarkStart w:id="241" w:name="_Toc498168493"/>
      <w:r>
        <w:rPr>
          <w:rFonts w:hint="eastAsia" w:ascii="仿宋" w:hAnsi="仿宋" w:eastAsia="仿宋" w:cs="仿宋"/>
          <w:sz w:val="24"/>
          <w:highlight w:val="none"/>
        </w:rPr>
        <w:t>2.12 事故/事件报告</w:t>
      </w:r>
      <w:bookmarkEnd w:id="235"/>
      <w:bookmarkEnd w:id="236"/>
      <w:bookmarkEnd w:id="237"/>
      <w:r>
        <w:rPr>
          <w:rFonts w:hint="eastAsia" w:ascii="仿宋" w:hAnsi="仿宋" w:eastAsia="仿宋" w:cs="仿宋"/>
          <w:sz w:val="24"/>
          <w:highlight w:val="none"/>
        </w:rPr>
        <w:t>与处理</w:t>
      </w:r>
      <w:bookmarkEnd w:id="238"/>
      <w:bookmarkEnd w:id="239"/>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本附件中所指的事故/事件包括但不限于：火灾、爆炸（不论规模，损失程度大小）；脚手架坍塌、起吊作业事故；人员伤害、职业病、人员失踪、食物中毒或严重的流行性传染病；生产设施工艺管线的破损、断裂，有毒有害气体、物质泄露；放射性物质遗失、泄漏或失控；自然灾害（地震、台风、冰灾等）影响；引起媒体、公众、社会强烈关注的其它事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2.12.1 乙方应按甲方明确的事故/事件报告程序进行事故/事件的报告。乙方自己建立的事故/事件报告程序，须与甲方的相一致并经甲方认可。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2.12.2对于上述事故/事件，不论其规模、损失程度大小，不论发生在甲方资产界内还是乙方自身资产界内，只要与本项目相关，乙方除立即口头报告甲方现场HSE管理人员（代表）外，必须在其发生后24小时内按照甲方HSE管理体系要求书面通报给甲方现场HSE管理人员（代表）。</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2" w:name="_Toc499024135"/>
      <w:bookmarkStart w:id="243" w:name="_Toc498168465"/>
      <w:r>
        <w:rPr>
          <w:rFonts w:hint="eastAsia" w:ascii="仿宋" w:hAnsi="仿宋" w:eastAsia="仿宋" w:cs="仿宋"/>
          <w:sz w:val="24"/>
          <w:highlight w:val="none"/>
        </w:rPr>
        <w:t>2.12.3 不论在甲方资产界内还是乙方资产界内发生的与本项目相关的事故/事件，甲方都有权对事故/事件进行调查。乙方和乙方的员工应采取积极合作的态度配合甲方的调查并让甲方了解事故/事件的真实情况。</w:t>
      </w:r>
      <w:bookmarkEnd w:id="242"/>
      <w:bookmarkEnd w:id="243"/>
      <w:bookmarkStart w:id="244" w:name="_Toc508693361"/>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2.12.4 事故发生后，乙方有责任采取必要的安全措施防止事态扩大，并在必要时保护事故现场以方便事故调查。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2.12.5 事故发生后，乙方有责任进行工伤申报、保险索赔，以及受伤人员的治疗康复、工作安置及家属安抚等善后处理工作。甲方除配合并有权督促乙方完成事故的善后处理工作外，可结合自身财务状况给予道义上的帮助。</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2.12.6 如果因乙方控制不力，造成HSE事故或隐患，甲方有权增加己方或聘请第三方人员，进行事故或隐患的调查、分析，甲方因此而增加的额外费用由乙方承担。</w:t>
      </w:r>
    </w:p>
    <w:bookmarkEnd w:id="240"/>
    <w:bookmarkEnd w:id="241"/>
    <w:bookmarkEnd w:id="244"/>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5" w:name="_Toc11654777"/>
      <w:bookmarkStart w:id="246" w:name="_Toc408152247"/>
      <w:r>
        <w:rPr>
          <w:rFonts w:hint="eastAsia" w:ascii="仿宋" w:hAnsi="仿宋" w:eastAsia="仿宋" w:cs="仿宋"/>
          <w:sz w:val="24"/>
          <w:highlight w:val="none"/>
        </w:rPr>
        <w:t>2.13应急与急救</w:t>
      </w:r>
      <w:bookmarkEnd w:id="245"/>
      <w:bookmarkEnd w:id="24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2.13.1乙方应根据作业场所特点在项目实施的不同阶段建立并保持相应的应急计划和程序，其应急计划和程序的编制应符合甲方工作现场应急计划的基本要求。在甲方资产界内，乙方的应急管理应纳入甲方的应急管理体系之内，乙方有义务对甲方的应急工作提供全部支持。在乙方资产界内，乙方的应急管理应接受甲方代表的监督、检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2.13.2在不同阶段开始前，乙方必须为生产支持服务人员阐述自身应急管理的主要内容，并确保被理解和掌握。</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2.13.3 乙方应在项目开始前以及随后的作业过程中按照不同阶段定期组织或参加应急演习，验证应急计划和程序的可行性，锻炼员工应急反应能力。乙方应定期检查应急设备（原则上每项生产支持服务或生产服务期内不得少于两次），确认其始终保持完好状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2.13.4 乙方有义务参加甲方或其授权协作单位组织的安全应急演习。所有安全应急演习的组织和实施必须符合甲方应急计划有关应急演习的基本原则。</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2.13.5在乙方资产界内工作进行期间，乙方应负责建立并保持一个急救计划，该计划包括但不限于：确保在每一工作现场至少有一名受过培训的急救人员；配备与工作环境相适应、必要的医疗急救药品、器材和急救设施；需急救的伤病员应送往的外科中心或医院；协助进行伤病员紧急运送工作的单位和人员。</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2.13.6 在乙方资产界内工作进行期间，乙方应负责安排和提供所有应急医疗救护、急救设施及其后的医疗救治工作。员工的医疗保险、医疗保健、医护处理、运送等以及与其相关事项所发生的全部费用，由根据事故调查后确定的责任方承担。</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47" w:name="_Toc408152248"/>
      <w:bookmarkStart w:id="248" w:name="_Toc11654778"/>
      <w:r>
        <w:rPr>
          <w:rFonts w:hint="eastAsia" w:ascii="仿宋" w:hAnsi="仿宋" w:eastAsia="仿宋" w:cs="仿宋"/>
          <w:sz w:val="24"/>
          <w:highlight w:val="none"/>
        </w:rPr>
        <w:t>2.14 HSE审核</w:t>
      </w:r>
      <w:bookmarkEnd w:id="247"/>
      <w:bookmarkEnd w:id="24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2.14.1 甲方将根据项目进展情况组织开展项目HSE现场审核，审核组成员至少包括双方主要的HSE管理人员，甲方认为必要时将聘请第三方人员参加，审核内容包括但不限于：</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乙方的HSE管理承诺；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乙方HSE管理计划的执行情况与有效性；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生产支持服务机具及项目已完成部分的安全情况；</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阶段HSE统计分析；</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风险和隐患管理的有效性；</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适用本项目的关键HSE程序；</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HSE沟通；</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其它甲方认为必要的HSE事项。</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2.14.2 乙方有义务参加和支持项目HSE审核，并有责任根据审核结果对其HSE管理计划进行修改完善，对审核中发现的不符合项进行整改。</w:t>
      </w:r>
    </w:p>
    <w:bookmarkEnd w:id="190"/>
    <w:bookmarkEnd w:id="191"/>
    <w:bookmarkEnd w:id="192"/>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49" w:name="_Toc408152249"/>
      <w:bookmarkStart w:id="250" w:name="_Toc11654779"/>
      <w:r>
        <w:rPr>
          <w:rFonts w:hint="eastAsia" w:ascii="仿宋" w:hAnsi="仿宋" w:eastAsia="仿宋" w:cs="仿宋"/>
          <w:b/>
          <w:sz w:val="24"/>
          <w:highlight w:val="none"/>
        </w:rPr>
        <w:t>3  违约责任</w:t>
      </w:r>
      <w:bookmarkEnd w:id="249"/>
      <w:bookmarkEnd w:id="25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按照“谁作业、谁负责”，“管生产，管安全”原则，乙方有义务严格遵照本附件的相关条款进行相应的作业和管理，并应对违反本附件规定，或由于自身原因（即乙方负事故或事件的全部/主要责任）引起的HSE事件或事故负责，除支付相关的赔偿外，应接支付如下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1" w:name="_Toc11654780"/>
      <w:bookmarkStart w:id="252" w:name="_Toc408152250"/>
      <w:r>
        <w:rPr>
          <w:rFonts w:hint="eastAsia" w:ascii="仿宋" w:hAnsi="仿宋" w:eastAsia="仿宋" w:cs="仿宋"/>
          <w:sz w:val="24"/>
          <w:highlight w:val="none"/>
        </w:rPr>
        <w:t>3.1 人员伤害事件</w:t>
      </w:r>
      <w:bookmarkEnd w:id="251"/>
      <w:bookmarkEnd w:id="25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1）因乙方自身原因发生一般伤害事故（指造成1人及1人以上轻度伤害，包括对甲方或第三方的人员的伤害，伤害引起的损失工时不超过五个工作日），扣除合同款1000-3000元。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2）因乙方自身原因发生中等伤害事故（指造成1人及1人以上中度伤害，包括对甲方或第三方的人员的伤害，伤害引起的损失工时超过30个工作日），扣除合同款3000-5000元。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3）因抢救伤员和调查处理等发生的直接费用，由责任方承担。</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3" w:name="_Toc408152251"/>
      <w:bookmarkStart w:id="254" w:name="_Toc11654781"/>
      <w:r>
        <w:rPr>
          <w:rFonts w:hint="eastAsia" w:ascii="仿宋" w:hAnsi="仿宋" w:eastAsia="仿宋" w:cs="仿宋"/>
          <w:sz w:val="24"/>
          <w:highlight w:val="none"/>
        </w:rPr>
        <w:t>3.2 环境污染事件</w:t>
      </w:r>
      <w:bookmarkEnd w:id="253"/>
      <w:bookmarkEnd w:id="25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1）出现环境污染事件造成现场、海洋、陆地污染，扣除合同款1000-3000元；如因之造成甲方被国家或地方执法部门罚款，应负责赔付全部罚款。</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因乙方自身原因发生重大隐患、险情、伤害或损失事故或上等级的环境污染事件以及有较严重社会影响的其它事件，在上述违约金的基础上再追加一倍的违约金。给甲方或第三方造成各种形式的损失、伤害或影响，除由乙方全部负责（包括恢复原状）外，在上述违约金的基础上追加三倍的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5" w:name="_Toc408152252"/>
      <w:bookmarkStart w:id="256" w:name="_Toc11654782"/>
      <w:r>
        <w:rPr>
          <w:rFonts w:hint="eastAsia" w:ascii="仿宋" w:hAnsi="仿宋" w:eastAsia="仿宋" w:cs="仿宋"/>
          <w:sz w:val="24"/>
          <w:highlight w:val="none"/>
        </w:rPr>
        <w:t>3.3 设备事件</w:t>
      </w:r>
      <w:bookmarkEnd w:id="255"/>
      <w:bookmarkEnd w:id="25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造成甲方设备、器具停运、损伤、丢失等情况，并未对正常生产造成较大影响或未造成较大经济损失，乙方除负责恢复设备原状和/或赔偿甲方损失外，扣除合同款1000-3000元。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7" w:name="_Toc11654783"/>
      <w:bookmarkStart w:id="258" w:name="_Toc408152253"/>
      <w:r>
        <w:rPr>
          <w:rFonts w:hint="eastAsia" w:ascii="仿宋" w:hAnsi="仿宋" w:eastAsia="仿宋" w:cs="仿宋"/>
          <w:sz w:val="24"/>
          <w:highlight w:val="none"/>
        </w:rPr>
        <w:t>3.4 质量事件</w:t>
      </w:r>
      <w:bookmarkEnd w:id="257"/>
      <w:bookmarkEnd w:id="25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因施工、作业或服务质量未达到合同要求，但尚未对甲方安全生产构成威胁，且能迅速弥补、整改，扣除合同款1000-3000元。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59" w:name="_Toc408152254"/>
      <w:bookmarkStart w:id="260" w:name="_Toc11654784"/>
      <w:r>
        <w:rPr>
          <w:rFonts w:hint="eastAsia" w:ascii="仿宋" w:hAnsi="仿宋" w:eastAsia="仿宋" w:cs="仿宋"/>
          <w:sz w:val="24"/>
          <w:highlight w:val="none"/>
        </w:rPr>
        <w:t>3.5 火灾隐患、险情</w:t>
      </w:r>
      <w:bookmarkEnd w:id="259"/>
      <w:bookmarkEnd w:id="260"/>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存在火灾隐患，经整改隐患依然存在，扣除合同款1000-3000元；拒绝整改的，甲方将采取勒令其停工现场整顿等必要的措施。</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1" w:name="_Toc11654785"/>
      <w:bookmarkStart w:id="262" w:name="_Toc408152255"/>
      <w:r>
        <w:rPr>
          <w:rFonts w:hint="eastAsia" w:ascii="仿宋" w:hAnsi="仿宋" w:eastAsia="仿宋" w:cs="仿宋"/>
          <w:sz w:val="24"/>
          <w:highlight w:val="none"/>
        </w:rPr>
        <w:t>3.6 违章违纪事件和不符合行为</w:t>
      </w:r>
      <w:bookmarkEnd w:id="261"/>
      <w:bookmarkEnd w:id="262"/>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1）未造成任何损失的违章违纪事件或不符合行为出现一次将提出警告。同一当事人第二次，扣除合同款1000元。同一当事人第三次，当事人不允许再承担本项目工程的任何工作，扣除合同款3000元。</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2）乙方的HSE管理工作如不能满足本附件要求，并且未按照甲方要求进行整改，或者不能在合理的时间及时回复甲方的书面要求，每发生一次，甲方均可根据不符合情况扣除合同款500-3000元。</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3" w:name="_Toc11654786"/>
      <w:bookmarkStart w:id="264" w:name="_Toc408152256"/>
      <w:r>
        <w:rPr>
          <w:rFonts w:hint="eastAsia" w:ascii="仿宋" w:hAnsi="仿宋" w:eastAsia="仿宋" w:cs="仿宋"/>
          <w:sz w:val="24"/>
          <w:highlight w:val="none"/>
        </w:rPr>
        <w:t>3.7 隐瞒不报行为</w:t>
      </w:r>
      <w:bookmarkEnd w:id="263"/>
      <w:bookmarkEnd w:id="264"/>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乙方发生上述事件或事故隐瞒不报者，一经发现，在上述违约金的基础上追加一倍的违约金。</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5" w:name="_Toc408152257"/>
      <w:bookmarkStart w:id="266" w:name="_Toc11654787"/>
      <w:r>
        <w:rPr>
          <w:rFonts w:hint="eastAsia" w:ascii="仿宋" w:hAnsi="仿宋" w:eastAsia="仿宋" w:cs="仿宋"/>
          <w:sz w:val="24"/>
          <w:highlight w:val="none"/>
        </w:rPr>
        <w:t>3.8文明安全行为中的过失行为</w:t>
      </w:r>
      <w:bookmarkEnd w:id="265"/>
      <w:bookmarkEnd w:id="266"/>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3.8.1甲方应对乙方的轻度过失行为人进行批评教育。轻度过失行为主要包括以下行为：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1）上班时间不穿劳保服；</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2）上班时不穿工鞋进入作业区；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3）工作时间不专心工作、聊天或办私事；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4）防爆区佩戴手机等非防爆设备；</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5）下班后继续在作业区逗留，并打扰其他正常上班员工；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6）作业时高声喧哗，发出怪叫或吹口哨；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7）随地吐痰，乱扔纸屑饮水瓶等杂物；</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8）不遵守出入保安条例；</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9）违反常规，随地大小便。</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3.8.2对乙方的较重过失行为，扣除合同款200-1000元。限期改正并要求行为人填写过失单。较重过失行为主要包括以下行为：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1）工作时间睡觉；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2）擅离工作岗位，经常迟到；</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3）对合作人员不礼貌，谩骂吵架；</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4）主动参与或变相赌博活动；</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5）未经许可私入库房等物资存储区；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6）搬弄是非，诽谤他人，影响团结和集体声誉；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7）未立即上缴别人遗留物品或拣到的物品；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8）不经相关领导允许带亲戚朋友到作业区或者在宿舍逗留；</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9）工作时间擅离工作岗位，做其他与工作不相关的事情；</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10）未经批准不回宿舍休息；</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11）伪造文件或记录等。</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3.8.3对乙方的严重过失行为，扣除合同款1000-3000元。限期改正并要求行为人填写过失单.情节严重者，行为人不得在</w:t>
      </w:r>
      <w:r>
        <w:rPr>
          <w:rFonts w:hint="eastAsia" w:ascii="仿宋" w:hAnsi="仿宋" w:eastAsia="仿宋" w:cs="仿宋"/>
          <w:sz w:val="24"/>
          <w:highlight w:val="none"/>
          <w:lang w:eastAsia="zh-CN"/>
        </w:rPr>
        <w:t>甲方</w:t>
      </w:r>
      <w:r>
        <w:rPr>
          <w:rFonts w:hint="eastAsia" w:ascii="仿宋" w:hAnsi="仿宋" w:eastAsia="仿宋" w:cs="仿宋"/>
          <w:sz w:val="24"/>
          <w:highlight w:val="none"/>
        </w:rPr>
        <w:t>的项目继续工作。严重过失行为主要包括以下行为：</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1）工作时间醉酒；</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2）贪污、盗窃、受贿、行贿；</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3）故意损坏公物或工友用品；</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4）打架斗殴；</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5）违反工作规章制度，批评后仍不改正；</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6）无故旷工；</w:t>
      </w:r>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7）违反国家法律法规等。</w:t>
      </w:r>
    </w:p>
    <w:p>
      <w:pPr>
        <w:overflowPunct w:val="0"/>
        <w:autoSpaceDE w:val="0"/>
        <w:autoSpaceDN w:val="0"/>
        <w:adjustRightInd w:val="0"/>
        <w:spacing w:line="360" w:lineRule="auto"/>
        <w:ind w:firstLine="420"/>
        <w:rPr>
          <w:rFonts w:hint="eastAsia" w:ascii="仿宋" w:hAnsi="仿宋" w:eastAsia="仿宋" w:cs="仿宋"/>
          <w:sz w:val="24"/>
          <w:highlight w:val="none"/>
        </w:rPr>
      </w:pPr>
      <w:bookmarkStart w:id="267" w:name="_Toc11654788"/>
      <w:bookmarkStart w:id="268" w:name="_Toc408152258"/>
      <w:r>
        <w:rPr>
          <w:rFonts w:hint="eastAsia" w:ascii="仿宋" w:hAnsi="仿宋" w:eastAsia="仿宋" w:cs="仿宋"/>
          <w:sz w:val="24"/>
          <w:highlight w:val="none"/>
        </w:rPr>
        <w:t>3.9 甲方原因引起的事件对乙方的补偿</w:t>
      </w:r>
      <w:bookmarkEnd w:id="267"/>
      <w:bookmarkEnd w:id="268"/>
    </w:p>
    <w:p>
      <w:pPr>
        <w:overflowPunct w:val="0"/>
        <w:autoSpaceDE w:val="0"/>
        <w:autoSpaceDN w:val="0"/>
        <w:adjustRightInd w:val="0"/>
        <w:spacing w:line="360" w:lineRule="auto"/>
        <w:ind w:firstLine="420"/>
        <w:rPr>
          <w:rFonts w:hint="eastAsia" w:ascii="仿宋" w:hAnsi="仿宋" w:eastAsia="仿宋" w:cs="仿宋"/>
          <w:sz w:val="24"/>
          <w:highlight w:val="none"/>
        </w:rPr>
      </w:pPr>
      <w:r>
        <w:rPr>
          <w:rFonts w:hint="eastAsia" w:ascii="仿宋" w:hAnsi="仿宋" w:eastAsia="仿宋" w:cs="仿宋"/>
          <w:sz w:val="24"/>
          <w:highlight w:val="none"/>
        </w:rPr>
        <w:t>因甲方原因（甲方负事故或事件的全部/主要责任）引起的事件或事故，甲方将按甲方相关规定对相关责任人进行处理，并酌情赔偿因事件给乙方或第三方所造成的损失。</w:t>
      </w:r>
    </w:p>
    <w:p>
      <w:pPr>
        <w:overflowPunct w:val="0"/>
        <w:autoSpaceDE w:val="0"/>
        <w:autoSpaceDN w:val="0"/>
        <w:adjustRightInd w:val="0"/>
        <w:spacing w:line="360" w:lineRule="auto"/>
        <w:ind w:firstLine="420"/>
        <w:rPr>
          <w:rFonts w:hint="eastAsia" w:ascii="仿宋" w:hAnsi="仿宋" w:eastAsia="仿宋" w:cs="仿宋"/>
          <w:b/>
          <w:sz w:val="24"/>
          <w:highlight w:val="none"/>
        </w:rPr>
      </w:pPr>
      <w:bookmarkStart w:id="269" w:name="_Toc408152260"/>
      <w:bookmarkStart w:id="270" w:name="_Toc11654789"/>
      <w:r>
        <w:rPr>
          <w:rFonts w:hint="eastAsia" w:ascii="仿宋" w:hAnsi="仿宋" w:eastAsia="仿宋" w:cs="仿宋"/>
          <w:b/>
          <w:sz w:val="24"/>
          <w:highlight w:val="none"/>
        </w:rPr>
        <w:t>4  条款最终解释权</w:t>
      </w:r>
      <w:bookmarkEnd w:id="269"/>
      <w:bookmarkEnd w:id="270"/>
    </w:p>
    <w:p>
      <w:pPr>
        <w:keepNext/>
        <w:keepLines/>
        <w:tabs>
          <w:tab w:val="left" w:pos="142"/>
          <w:tab w:val="left" w:pos="720"/>
          <w:tab w:val="left" w:pos="1080"/>
        </w:tabs>
        <w:spacing w:line="360" w:lineRule="auto"/>
        <w:ind w:left="0" w:firstLine="0"/>
        <w:jc w:val="left"/>
        <w:outlineLvl w:val="1"/>
        <w:rPr>
          <w:rFonts w:hint="eastAsia" w:ascii="仿宋" w:hAnsi="仿宋" w:eastAsia="仿宋" w:cs="仿宋"/>
          <w:sz w:val="24"/>
          <w:highlight w:val="none"/>
        </w:rPr>
      </w:pPr>
      <w:bookmarkStart w:id="271" w:name="_Toc29650"/>
      <w:r>
        <w:rPr>
          <w:rFonts w:hint="eastAsia" w:ascii="仿宋" w:hAnsi="仿宋" w:eastAsia="仿宋" w:cs="仿宋"/>
          <w:sz w:val="24"/>
          <w:highlight w:val="none"/>
        </w:rPr>
        <w:t>本附件条款最终解释权归甲方所有。</w:t>
      </w:r>
      <w:bookmarkEnd w:id="271"/>
    </w:p>
    <w:p>
      <w:pPr>
        <w:rPr>
          <w:rFonts w:hint="eastAsia" w:ascii="仿宋" w:hAnsi="仿宋" w:eastAsia="仿宋" w:cs="仿宋"/>
          <w:sz w:val="24"/>
          <w:szCs w:val="24"/>
          <w:highlight w:val="none"/>
        </w:rPr>
      </w:pPr>
    </w:p>
    <w:sectPr>
      <w:headerReference r:id="rId3" w:type="default"/>
      <w:footerReference r:id="rId4" w:type="default"/>
      <w:pgSz w:w="11906" w:h="16838"/>
      <w:pgMar w:top="1440" w:right="1800" w:bottom="1440" w:left="1800" w:header="1134"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CJK DemiLight">
    <w:altName w:val="宋体"/>
    <w:panose1 w:val="00000000000000000000"/>
    <w:charset w:val="86"/>
    <w:family w:val="swiss"/>
    <w:pitch w:val="default"/>
    <w:sig w:usb0="00000000" w:usb1="00000000" w:usb2="00000016" w:usb3="00000000" w:csb0="002E0107"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51EE44"/>
    <w:multiLevelType w:val="multilevel"/>
    <w:tmpl w:val="8F51EE44"/>
    <w:lvl w:ilvl="0" w:tentative="0">
      <w:start w:val="1"/>
      <w:numFmt w:val="decimal"/>
      <w:lvlText w:val="20.%1"/>
      <w:lvlJc w:val="left"/>
      <w:pPr>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B7D4522"/>
    <w:multiLevelType w:val="multilevel"/>
    <w:tmpl w:val="AB7D4522"/>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
    <w:nsid w:val="B5586A90"/>
    <w:multiLevelType w:val="multilevel"/>
    <w:tmpl w:val="B5586A90"/>
    <w:lvl w:ilvl="0" w:tentative="0">
      <w:start w:val="1"/>
      <w:numFmt w:val="decimal"/>
      <w:lvlText w:val="19.%1"/>
      <w:lvlJc w:val="left"/>
      <w:pPr>
        <w:ind w:left="1126" w:hanging="420"/>
      </w:pPr>
      <w:rPr>
        <w:rFonts w:hint="default" w:ascii="仿宋" w:hAnsi="仿宋" w:eastAsia="仿宋" w:cs="仿宋"/>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
    <w:nsid w:val="D1EE8F08"/>
    <w:multiLevelType w:val="multilevel"/>
    <w:tmpl w:val="D1EE8F08"/>
    <w:lvl w:ilvl="0" w:tentative="0">
      <w:start w:val="1"/>
      <w:numFmt w:val="decimal"/>
      <w:lvlText w:val="(%1)"/>
      <w:lvlJc w:val="left"/>
      <w:pPr>
        <w:ind w:left="420" w:hanging="420"/>
      </w:pPr>
      <w:rPr>
        <w:rFonts w:hint="default" w:ascii="仿宋" w:hAnsi="仿宋" w:eastAsia="仿宋" w:cs="仿宋"/>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EC370F7F"/>
    <w:multiLevelType w:val="singleLevel"/>
    <w:tmpl w:val="EC370F7F"/>
    <w:lvl w:ilvl="0" w:tentative="0">
      <w:start w:val="1"/>
      <w:numFmt w:val="decimal"/>
      <w:suff w:val="nothing"/>
      <w:lvlText w:val="%1、"/>
      <w:lvlJc w:val="left"/>
    </w:lvl>
  </w:abstractNum>
  <w:abstractNum w:abstractNumId="5">
    <w:nsid w:val="FB295E5E"/>
    <w:multiLevelType w:val="multilevel"/>
    <w:tmpl w:val="FB295E5E"/>
    <w:lvl w:ilvl="0" w:tentative="0">
      <w:start w:val="1"/>
      <w:numFmt w:val="decimal"/>
      <w:lvlText w:val="22.%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CB3DC2"/>
    <w:multiLevelType w:val="multilevel"/>
    <w:tmpl w:val="0ECB3DC2"/>
    <w:lvl w:ilvl="0" w:tentative="0">
      <w:start w:val="1"/>
      <w:numFmt w:val="decimal"/>
      <w:lvlText w:val="12.%1"/>
      <w:lvlJc w:val="left"/>
      <w:pPr>
        <w:ind w:left="418" w:hanging="420"/>
      </w:pPr>
      <w:rPr>
        <w:rFonts w:hint="default" w:ascii="仿宋" w:hAnsi="仿宋" w:eastAsia="仿宋" w:cs="仿宋"/>
        <w:b w:val="0"/>
        <w:i w:val="0"/>
        <w:color w:val="auto"/>
        <w:sz w:val="21"/>
        <w:szCs w:val="21"/>
        <w:lang w:eastAsia="zh-CN"/>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0EDB1D4E"/>
    <w:multiLevelType w:val="multilevel"/>
    <w:tmpl w:val="0EDB1D4E"/>
    <w:lvl w:ilvl="0" w:tentative="0">
      <w:start w:val="1"/>
      <w:numFmt w:val="decimal"/>
      <w:lvlText w:val="(%1)"/>
      <w:lvlJc w:val="left"/>
      <w:pPr>
        <w:tabs>
          <w:tab w:val="left" w:pos="420"/>
        </w:tabs>
        <w:ind w:left="420" w:hanging="420"/>
      </w:pPr>
      <w:rPr>
        <w:rFonts w:hint="default" w:ascii="Times New Roman" w:hAnsi="Times New Roman" w:cs="Times New Roman"/>
      </w:rPr>
    </w:lvl>
    <w:lvl w:ilvl="1" w:tentative="0">
      <w:start w:val="1"/>
      <w:numFmt w:val="decimal"/>
      <w:lvlText w:val="13.%2"/>
      <w:lvlJc w:val="left"/>
      <w:pPr>
        <w:tabs>
          <w:tab w:val="left" w:pos="840"/>
        </w:tabs>
        <w:ind w:left="840" w:hanging="420"/>
      </w:pPr>
      <w:rPr>
        <w:rFonts w:hint="default" w:ascii="仿宋" w:hAnsi="仿宋" w:eastAsia="仿宋" w:cs="仿宋"/>
        <w:b w:val="0"/>
        <w:i w:val="0"/>
        <w:color w:val="auto"/>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119287E"/>
    <w:multiLevelType w:val="multilevel"/>
    <w:tmpl w:val="1119287E"/>
    <w:lvl w:ilvl="0" w:tentative="0">
      <w:start w:val="1"/>
      <w:numFmt w:val="decimal"/>
      <w:lvlText w:val="10.%1"/>
      <w:lvlJc w:val="left"/>
      <w:pPr>
        <w:tabs>
          <w:tab w:val="left" w:pos="1260"/>
        </w:tabs>
        <w:ind w:left="1260" w:hanging="420"/>
      </w:pPr>
      <w:rPr>
        <w:rFonts w:hint="default" w:ascii="仿宋" w:hAnsi="仿宋" w:eastAsia="仿宋" w:cs="仿宋"/>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1DC4E30"/>
    <w:multiLevelType w:val="multilevel"/>
    <w:tmpl w:val="11DC4E30"/>
    <w:lvl w:ilvl="0" w:tentative="0">
      <w:start w:val="5"/>
      <w:numFmt w:val="decimal"/>
      <w:lvlText w:val="%1"/>
      <w:lvlJc w:val="left"/>
      <w:pPr>
        <w:tabs>
          <w:tab w:val="left" w:pos="540"/>
        </w:tabs>
        <w:ind w:left="540" w:hanging="540"/>
      </w:pPr>
      <w:rPr>
        <w:rFonts w:hint="default"/>
        <w:color w:val="auto"/>
      </w:rPr>
    </w:lvl>
    <w:lvl w:ilvl="1" w:tentative="0">
      <w:start w:val="1"/>
      <w:numFmt w:val="decimal"/>
      <w:lvlText w:val="6.%2"/>
      <w:lvlJc w:val="left"/>
      <w:pPr>
        <w:tabs>
          <w:tab w:val="left" w:pos="540"/>
        </w:tabs>
        <w:ind w:left="540" w:hanging="540"/>
      </w:pPr>
      <w:rPr>
        <w:rFonts w:hint="default" w:ascii="仿宋" w:hAnsi="仿宋" w:eastAsia="仿宋" w:cs="仿宋"/>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0">
    <w:nsid w:val="14606C9A"/>
    <w:multiLevelType w:val="multilevel"/>
    <w:tmpl w:val="14606C9A"/>
    <w:lvl w:ilvl="0" w:tentative="0">
      <w:start w:val="1"/>
      <w:numFmt w:val="decimal"/>
      <w:lvlText w:val="9.%1"/>
      <w:lvlJc w:val="left"/>
      <w:pPr>
        <w:ind w:left="420" w:hanging="420"/>
      </w:pPr>
      <w:rPr>
        <w:rFonts w:hint="default" w:ascii="仿宋" w:hAnsi="仿宋" w:eastAsia="仿宋" w:cs="仿宋"/>
        <w:b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60F63DD"/>
    <w:multiLevelType w:val="multilevel"/>
    <w:tmpl w:val="160F63DD"/>
    <w:lvl w:ilvl="0" w:tentative="0">
      <w:start w:val="1"/>
      <w:numFmt w:val="decimal"/>
      <w:lvlText w:val="16.%1"/>
      <w:lvlJc w:val="left"/>
      <w:pPr>
        <w:tabs>
          <w:tab w:val="left" w:pos="840"/>
        </w:tabs>
        <w:ind w:left="840" w:hanging="420"/>
      </w:pPr>
      <w:rPr>
        <w:rFonts w:hint="eastAsia"/>
      </w:rPr>
    </w:lvl>
    <w:lvl w:ilvl="1" w:tentative="0">
      <w:start w:val="1"/>
      <w:numFmt w:val="decimal"/>
      <w:lvlText w:val="17.%2"/>
      <w:lvlJc w:val="left"/>
      <w:pPr>
        <w:tabs>
          <w:tab w:val="left" w:pos="840"/>
        </w:tabs>
        <w:ind w:left="840" w:hanging="420"/>
      </w:pPr>
      <w:rPr>
        <w:rFonts w:hint="default" w:ascii="Times New Roman" w:hAnsi="Times New Roman" w:cs="Times New Roman"/>
      </w:rPr>
    </w:lvl>
    <w:lvl w:ilvl="2" w:tentative="0">
      <w:start w:val="1"/>
      <w:numFmt w:val="decimal"/>
      <w:lvlText w:val="(%3)"/>
      <w:lvlJc w:val="left"/>
      <w:pPr>
        <w:tabs>
          <w:tab w:val="left" w:pos="280"/>
        </w:tabs>
        <w:ind w:left="1965" w:hanging="1125"/>
      </w:pPr>
      <w:rPr>
        <w:rFonts w:hint="default" w:ascii="仿宋" w:hAnsi="仿宋" w:eastAsia="仿宋" w:cs="仿宋"/>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B0668AC"/>
    <w:multiLevelType w:val="multilevel"/>
    <w:tmpl w:val="1B0668AC"/>
    <w:lvl w:ilvl="0" w:tentative="0">
      <w:start w:val="1"/>
      <w:numFmt w:val="decimal"/>
      <w:lvlText w:val="(%1)"/>
      <w:lvlJc w:val="left"/>
      <w:pPr>
        <w:tabs>
          <w:tab w:val="left" w:pos="420"/>
        </w:tabs>
        <w:ind w:left="420" w:hanging="420"/>
      </w:pPr>
      <w:rPr>
        <w:rFonts w:hint="default" w:ascii="仿宋" w:hAnsi="仿宋" w:eastAsia="仿宋" w:cs="仿宋"/>
        <w:sz w:val="24"/>
        <w:szCs w:val="24"/>
      </w:rPr>
    </w:lvl>
    <w:lvl w:ilvl="1" w:tentative="0">
      <w:start w:val="1"/>
      <w:numFmt w:val="decimal"/>
      <w:lvlText w:val="12.%2"/>
      <w:lvlJc w:val="left"/>
      <w:pPr>
        <w:tabs>
          <w:tab w:val="left" w:pos="840"/>
        </w:tabs>
        <w:ind w:left="840" w:hanging="420"/>
      </w:pPr>
      <w:rPr>
        <w:rFonts w:hint="eastAsia"/>
        <w:b w:val="0"/>
        <w:color w:val="auto"/>
        <w:sz w:val="24"/>
        <w:szCs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09C26D6"/>
    <w:multiLevelType w:val="multilevel"/>
    <w:tmpl w:val="209C26D6"/>
    <w:lvl w:ilvl="0" w:tentative="0">
      <w:start w:val="8"/>
      <w:numFmt w:val="decimal"/>
      <w:lvlText w:val="%1"/>
      <w:lvlJc w:val="left"/>
      <w:pPr>
        <w:tabs>
          <w:tab w:val="left" w:pos="540"/>
        </w:tabs>
        <w:ind w:left="540" w:hanging="540"/>
      </w:pPr>
      <w:rPr>
        <w:rFonts w:hint="default"/>
        <w:color w:val="auto"/>
      </w:rPr>
    </w:lvl>
    <w:lvl w:ilvl="1" w:tentative="0">
      <w:start w:val="1"/>
      <w:numFmt w:val="decimal"/>
      <w:lvlText w:val="11.%2"/>
      <w:lvlJc w:val="left"/>
      <w:pPr>
        <w:tabs>
          <w:tab w:val="left" w:pos="540"/>
        </w:tabs>
        <w:ind w:left="540" w:hanging="540"/>
      </w:pPr>
      <w:rPr>
        <w:rFonts w:hint="default" w:ascii="仿宋" w:hAnsi="仿宋" w:eastAsia="仿宋" w:cs="仿宋"/>
        <w:b w:val="0"/>
        <w:i w:val="0"/>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4">
    <w:nsid w:val="250D29F4"/>
    <w:multiLevelType w:val="multilevel"/>
    <w:tmpl w:val="250D29F4"/>
    <w:lvl w:ilvl="0" w:tentative="0">
      <w:start w:val="1"/>
      <w:numFmt w:val="decimal"/>
      <w:lvlText w:val="8.%1"/>
      <w:lvlJc w:val="left"/>
      <w:pPr>
        <w:ind w:left="420" w:hanging="420"/>
      </w:pPr>
      <w:rPr>
        <w:rFonts w:hint="eastAsia"/>
      </w:rPr>
    </w:lvl>
    <w:lvl w:ilvl="1" w:tentative="0">
      <w:start w:val="1"/>
      <w:numFmt w:val="decimal"/>
      <w:lvlText w:val="8.%2"/>
      <w:lvlJc w:val="left"/>
      <w:pPr>
        <w:ind w:left="840" w:hanging="420"/>
      </w:pPr>
      <w:rPr>
        <w:rFonts w:hint="default" w:ascii="仿宋" w:hAnsi="仿宋" w:eastAsia="仿宋" w:cs="仿宋"/>
        <w:sz w:val="21"/>
        <w:szCs w:val="21"/>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7947062"/>
    <w:multiLevelType w:val="multilevel"/>
    <w:tmpl w:val="27947062"/>
    <w:lvl w:ilvl="0" w:tentative="0">
      <w:start w:val="1"/>
      <w:numFmt w:val="decimal"/>
      <w:lvlText w:val="18.%1"/>
      <w:lvlJc w:val="left"/>
      <w:pPr>
        <w:ind w:left="840" w:hanging="420"/>
      </w:pPr>
      <w:rPr>
        <w:rFonts w:hint="default" w:ascii="宋体" w:hAnsi="宋体" w:eastAsia="宋体" w:cs="宋体"/>
        <w:b w:val="0"/>
        <w:bCs w:val="0"/>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2A0B7632"/>
    <w:multiLevelType w:val="multilevel"/>
    <w:tmpl w:val="2A0B7632"/>
    <w:lvl w:ilvl="0" w:tentative="0">
      <w:start w:val="1"/>
      <w:numFmt w:val="decimal"/>
      <w:lvlText w:val="20.%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DF54DF2"/>
    <w:multiLevelType w:val="multilevel"/>
    <w:tmpl w:val="2DF54DF2"/>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decimal"/>
      <w:lvlText w:val="(%3)"/>
      <w:lvlJc w:val="left"/>
      <w:pPr>
        <w:ind w:left="1969" w:hanging="420"/>
      </w:pPr>
      <w:rPr>
        <w:rFonts w:hint="default" w:ascii="仿宋" w:hAnsi="仿宋" w:eastAsia="仿宋" w:cs="仿宋"/>
      </w:r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18">
    <w:nsid w:val="305728CA"/>
    <w:multiLevelType w:val="multilevel"/>
    <w:tmpl w:val="305728CA"/>
    <w:lvl w:ilvl="0" w:tentative="0">
      <w:start w:val="4"/>
      <w:numFmt w:val="decimal"/>
      <w:lvlText w:val="%1"/>
      <w:lvlJc w:val="left"/>
      <w:pPr>
        <w:tabs>
          <w:tab w:val="left" w:pos="540"/>
        </w:tabs>
        <w:ind w:left="540" w:hanging="540"/>
      </w:pPr>
      <w:rPr>
        <w:rFonts w:hint="default"/>
        <w:color w:val="auto"/>
      </w:rPr>
    </w:lvl>
    <w:lvl w:ilvl="1" w:tentative="0">
      <w:start w:val="1"/>
      <w:numFmt w:val="decimal"/>
      <w:lvlText w:val="4.%2"/>
      <w:lvlJc w:val="left"/>
      <w:pPr>
        <w:tabs>
          <w:tab w:val="left" w:pos="540"/>
        </w:tabs>
        <w:ind w:left="540" w:hanging="540"/>
      </w:pPr>
      <w:rPr>
        <w:rFonts w:hint="default" w:ascii="仿宋" w:hAnsi="仿宋" w:eastAsia="仿宋" w:cs="仿宋"/>
        <w:b w:val="0"/>
        <w:color w:val="000000"/>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19">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default" w:ascii="仿宋" w:hAnsi="仿宋" w:eastAsia="仿宋" w:cs="仿宋"/>
        <w:b w:val="0"/>
        <w:sz w:val="21"/>
        <w:szCs w:val="21"/>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default" w:ascii="仿宋" w:hAnsi="仿宋" w:eastAsia="仿宋" w:cs="仿宋"/>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1">
    <w:nsid w:val="3B2C3E48"/>
    <w:multiLevelType w:val="multilevel"/>
    <w:tmpl w:val="3B2C3E48"/>
    <w:lvl w:ilvl="0" w:tentative="0">
      <w:start w:val="1"/>
      <w:numFmt w:val="chineseCountingThousand"/>
      <w:pStyle w:val="58"/>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lang w:val="en-US"/>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B6E3992"/>
    <w:multiLevelType w:val="multilevel"/>
    <w:tmpl w:val="3B6E3992"/>
    <w:lvl w:ilvl="0" w:tentative="0">
      <w:start w:val="1"/>
      <w:numFmt w:val="decimal"/>
      <w:lvlText w:val="17.%1"/>
      <w:lvlJc w:val="left"/>
      <w:pPr>
        <w:ind w:left="840" w:hanging="420"/>
      </w:pPr>
      <w:rPr>
        <w:rFonts w:hint="default" w:ascii="仿宋" w:hAnsi="仿宋" w:eastAsia="仿宋" w:cs="仿宋"/>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3F5726EE"/>
    <w:multiLevelType w:val="multilevel"/>
    <w:tmpl w:val="3F5726EE"/>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ascii="仿宋" w:hAnsi="仿宋" w:eastAsia="仿宋" w:cs="仿宋"/>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60754E"/>
    <w:multiLevelType w:val="multilevel"/>
    <w:tmpl w:val="4060754E"/>
    <w:lvl w:ilvl="0" w:tentative="0">
      <w:start w:val="1"/>
      <w:numFmt w:val="decimal"/>
      <w:lvlText w:val="14.%1"/>
      <w:lvlJc w:val="left"/>
      <w:pPr>
        <w:tabs>
          <w:tab w:val="left" w:pos="1260"/>
        </w:tabs>
        <w:ind w:left="1260" w:hanging="420"/>
      </w:pPr>
      <w:rPr>
        <w:rFonts w:hint="default" w:ascii="仿宋" w:hAnsi="仿宋" w:eastAsia="仿宋" w:cs="仿宋"/>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475F5AFA"/>
    <w:multiLevelType w:val="multilevel"/>
    <w:tmpl w:val="475F5AFA"/>
    <w:lvl w:ilvl="0" w:tentative="0">
      <w:start w:val="1"/>
      <w:numFmt w:val="decimal"/>
      <w:lvlText w:val="(%1)"/>
      <w:lvlJc w:val="left"/>
      <w:pPr>
        <w:ind w:left="420" w:hanging="42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490B6D34"/>
    <w:multiLevelType w:val="multilevel"/>
    <w:tmpl w:val="490B6D34"/>
    <w:lvl w:ilvl="0" w:tentative="0">
      <w:start w:val="1"/>
      <w:numFmt w:val="decimal"/>
      <w:lvlText w:val="16.%1"/>
      <w:lvlJc w:val="left"/>
      <w:pPr>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124085E"/>
    <w:multiLevelType w:val="multilevel"/>
    <w:tmpl w:val="5124085E"/>
    <w:lvl w:ilvl="0" w:tentative="0">
      <w:start w:val="1"/>
      <w:numFmt w:val="decimal"/>
      <w:lvlText w:val="(%1)"/>
      <w:lvlJc w:val="left"/>
      <w:pPr>
        <w:ind w:left="420" w:hanging="420"/>
      </w:pPr>
      <w:rPr>
        <w:rFonts w:hint="default"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56DE59D5"/>
    <w:multiLevelType w:val="multilevel"/>
    <w:tmpl w:val="56DE59D5"/>
    <w:lvl w:ilvl="0" w:tentative="0">
      <w:start w:val="1"/>
      <w:numFmt w:val="decimal"/>
      <w:lvlText w:val="(%1)"/>
      <w:lvlJc w:val="left"/>
      <w:pPr>
        <w:ind w:left="420" w:hanging="420"/>
      </w:pPr>
      <w:rPr>
        <w:rFonts w:hint="default" w:ascii="仿宋" w:hAnsi="仿宋" w:eastAsia="仿宋" w:cs="仿宋"/>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57B20D51"/>
    <w:multiLevelType w:val="multilevel"/>
    <w:tmpl w:val="57B20D51"/>
    <w:lvl w:ilvl="0" w:tentative="0">
      <w:start w:val="6"/>
      <w:numFmt w:val="decimal"/>
      <w:lvlText w:val="%1"/>
      <w:lvlJc w:val="left"/>
      <w:pPr>
        <w:tabs>
          <w:tab w:val="left" w:pos="540"/>
        </w:tabs>
        <w:ind w:left="540" w:hanging="540"/>
      </w:pPr>
      <w:rPr>
        <w:rFonts w:hint="default"/>
        <w:color w:val="auto"/>
      </w:rPr>
    </w:lvl>
    <w:lvl w:ilvl="1" w:tentative="0">
      <w:start w:val="1"/>
      <w:numFmt w:val="decimal"/>
      <w:lvlText w:val="7.%2"/>
      <w:lvlJc w:val="left"/>
      <w:pPr>
        <w:tabs>
          <w:tab w:val="left" w:pos="540"/>
        </w:tabs>
        <w:ind w:left="540" w:hanging="540"/>
      </w:pPr>
      <w:rPr>
        <w:rFonts w:hint="default" w:ascii="仿宋" w:hAnsi="仿宋" w:eastAsia="仿宋" w:cs="仿宋"/>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0">
    <w:nsid w:val="57EE6CF0"/>
    <w:multiLevelType w:val="singleLevel"/>
    <w:tmpl w:val="57EE6CF0"/>
    <w:lvl w:ilvl="0" w:tentative="0">
      <w:start w:val="11"/>
      <w:numFmt w:val="chineseCounting"/>
      <w:suff w:val="nothing"/>
      <w:lvlText w:val="%1、"/>
      <w:lvlJc w:val="left"/>
      <w:rPr>
        <w:rFonts w:hint="eastAsia"/>
      </w:rPr>
    </w:lvl>
  </w:abstractNum>
  <w:abstractNum w:abstractNumId="31">
    <w:nsid w:val="612E6536"/>
    <w:multiLevelType w:val="multilevel"/>
    <w:tmpl w:val="612E6536"/>
    <w:lvl w:ilvl="0" w:tentative="0">
      <w:start w:val="1"/>
      <w:numFmt w:val="decimal"/>
      <w:lvlText w:val="15.%1"/>
      <w:lvlJc w:val="left"/>
      <w:pPr>
        <w:tabs>
          <w:tab w:val="left" w:pos="0"/>
        </w:tabs>
        <w:ind w:left="420" w:hanging="420"/>
      </w:pPr>
      <w:rPr>
        <w:rFonts w:hint="default" w:ascii="仿宋" w:hAnsi="仿宋" w:eastAsia="仿宋" w:cs="仿宋"/>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6238D8"/>
    <w:multiLevelType w:val="multilevel"/>
    <w:tmpl w:val="6C6238D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09CBCA4"/>
    <w:multiLevelType w:val="singleLevel"/>
    <w:tmpl w:val="709CBCA4"/>
    <w:lvl w:ilvl="0" w:tentative="0">
      <w:start w:val="1"/>
      <w:numFmt w:val="decimal"/>
      <w:suff w:val="nothing"/>
      <w:lvlText w:val="（%1）"/>
      <w:lvlJc w:val="left"/>
    </w:lvl>
  </w:abstractNum>
  <w:abstractNum w:abstractNumId="34">
    <w:nsid w:val="754C3763"/>
    <w:multiLevelType w:val="multilevel"/>
    <w:tmpl w:val="754C3763"/>
    <w:lvl w:ilvl="0" w:tentative="0">
      <w:start w:val="1"/>
      <w:numFmt w:val="decimal"/>
      <w:lvlText w:val="5.%1"/>
      <w:lvlJc w:val="left"/>
      <w:pPr>
        <w:tabs>
          <w:tab w:val="left" w:pos="562"/>
        </w:tabs>
        <w:ind w:left="562" w:hanging="420"/>
      </w:pPr>
      <w:rPr>
        <w:rFonts w:hint="default" w:ascii="仿宋" w:hAnsi="仿宋" w:eastAsia="仿宋" w:cs="仿宋"/>
        <w:b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ascii="仿宋" w:hAnsi="仿宋" w:eastAsia="仿宋" w:cs="仿宋"/>
        <w:b w:val="0"/>
        <w:bCs w:val="0"/>
        <w:color w:val="auto"/>
        <w:sz w:val="21"/>
        <w:szCs w:val="21"/>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6">
    <w:nsid w:val="78AB0270"/>
    <w:multiLevelType w:val="multilevel"/>
    <w:tmpl w:val="78AB0270"/>
    <w:lvl w:ilvl="0" w:tentative="0">
      <w:start w:val="1"/>
      <w:numFmt w:val="decimal"/>
      <w:lvlText w:val="(%1)"/>
      <w:lvlJc w:val="left"/>
      <w:pPr>
        <w:ind w:left="420" w:hanging="420"/>
      </w:pPr>
      <w:rPr>
        <w:rFonts w:hint="default" w:ascii="Times New Roman" w:hAnsi="Times New Roman" w:eastAsia="宋体" w:cs="Times New Roman"/>
      </w:rPr>
    </w:lvl>
    <w:lvl w:ilvl="1" w:tentative="0">
      <w:start w:val="1"/>
      <w:numFmt w:val="decimal"/>
      <w:lvlText w:val="(%2)"/>
      <w:lvlJc w:val="left"/>
      <w:pPr>
        <w:ind w:left="840" w:hanging="420"/>
      </w:pPr>
      <w:rPr>
        <w:rFonts w:hint="default" w:ascii="仿宋" w:hAnsi="仿宋" w:eastAsia="仿宋" w:cs="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7981242F"/>
    <w:multiLevelType w:val="multilevel"/>
    <w:tmpl w:val="7981242F"/>
    <w:lvl w:ilvl="0" w:tentative="0">
      <w:start w:val="1"/>
      <w:numFmt w:val="decimal"/>
      <w:lvlText w:val="3.%1"/>
      <w:lvlJc w:val="left"/>
      <w:pPr>
        <w:ind w:left="1140" w:hanging="420"/>
      </w:pPr>
      <w:rPr>
        <w:rFonts w:hint="default" w:ascii="仿宋" w:hAnsi="仿宋" w:eastAsia="仿宋" w:cs="仿宋"/>
        <w:b w:val="0"/>
        <w:i w:val="0"/>
        <w:color w:val="auto"/>
        <w:sz w:val="21"/>
        <w:szCs w:val="21"/>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8">
    <w:nsid w:val="7D1F1811"/>
    <w:multiLevelType w:val="multilevel"/>
    <w:tmpl w:val="7D1F1811"/>
    <w:lvl w:ilvl="0" w:tentative="0">
      <w:start w:val="1"/>
      <w:numFmt w:val="decimal"/>
      <w:lvlText w:val="23.%1"/>
      <w:lvlJc w:val="left"/>
      <w:pPr>
        <w:tabs>
          <w:tab w:val="left" w:pos="0"/>
        </w:tabs>
        <w:ind w:left="420" w:hanging="420"/>
      </w:pPr>
      <w:rPr>
        <w:rFonts w:hint="default" w:ascii="宋体" w:hAnsi="宋体" w:eastAsia="宋体" w:cs="宋体"/>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1"/>
  </w:num>
  <w:num w:numId="2">
    <w:abstractNumId w:val="35"/>
  </w:num>
  <w:num w:numId="3">
    <w:abstractNumId w:val="19"/>
  </w:num>
  <w:num w:numId="4">
    <w:abstractNumId w:val="33"/>
  </w:num>
  <w:num w:numId="5">
    <w:abstractNumId w:val="37"/>
  </w:num>
  <w:num w:numId="6">
    <w:abstractNumId w:val="18"/>
  </w:num>
  <w:num w:numId="7">
    <w:abstractNumId w:val="27"/>
  </w:num>
  <w:num w:numId="8">
    <w:abstractNumId w:val="36"/>
  </w:num>
  <w:num w:numId="9">
    <w:abstractNumId w:val="23"/>
  </w:num>
  <w:num w:numId="10">
    <w:abstractNumId w:val="34"/>
  </w:num>
  <w:num w:numId="11">
    <w:abstractNumId w:val="9"/>
  </w:num>
  <w:num w:numId="12">
    <w:abstractNumId w:val="29"/>
  </w:num>
  <w:num w:numId="13">
    <w:abstractNumId w:val="14"/>
  </w:num>
  <w:num w:numId="14">
    <w:abstractNumId w:val="10"/>
  </w:num>
  <w:num w:numId="15">
    <w:abstractNumId w:val="8"/>
  </w:num>
  <w:num w:numId="16">
    <w:abstractNumId w:val="11"/>
  </w:num>
  <w:num w:numId="17">
    <w:abstractNumId w:val="13"/>
  </w:num>
  <w:num w:numId="18">
    <w:abstractNumId w:val="12"/>
  </w:num>
  <w:num w:numId="19">
    <w:abstractNumId w:val="6"/>
  </w:num>
  <w:num w:numId="20">
    <w:abstractNumId w:val="7"/>
  </w:num>
  <w:num w:numId="21">
    <w:abstractNumId w:val="17"/>
  </w:num>
  <w:num w:numId="22">
    <w:abstractNumId w:val="24"/>
  </w:num>
  <w:num w:numId="23">
    <w:abstractNumId w:val="25"/>
  </w:num>
  <w:num w:numId="24">
    <w:abstractNumId w:val="31"/>
  </w:num>
  <w:num w:numId="25">
    <w:abstractNumId w:val="28"/>
  </w:num>
  <w:num w:numId="26">
    <w:abstractNumId w:val="26"/>
  </w:num>
  <w:num w:numId="27">
    <w:abstractNumId w:val="22"/>
  </w:num>
  <w:num w:numId="28">
    <w:abstractNumId w:val="3"/>
  </w:num>
  <w:num w:numId="29">
    <w:abstractNumId w:val="15"/>
  </w:num>
  <w:num w:numId="30">
    <w:abstractNumId w:val="2"/>
  </w:num>
  <w:num w:numId="31">
    <w:abstractNumId w:val="16"/>
  </w:num>
  <w:num w:numId="32">
    <w:abstractNumId w:val="0"/>
  </w:num>
  <w:num w:numId="33">
    <w:abstractNumId w:val="20"/>
  </w:num>
  <w:num w:numId="34">
    <w:abstractNumId w:val="5"/>
  </w:num>
  <w:num w:numId="35">
    <w:abstractNumId w:val="1"/>
  </w:num>
  <w:num w:numId="36">
    <w:abstractNumId w:val="38"/>
  </w:num>
  <w:num w:numId="37">
    <w:abstractNumId w:val="32"/>
  </w:num>
  <w:num w:numId="38">
    <w:abstractNumId w:val="3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672C"/>
    <w:rsid w:val="00187256"/>
    <w:rsid w:val="001A73DF"/>
    <w:rsid w:val="001B0353"/>
    <w:rsid w:val="001B2B24"/>
    <w:rsid w:val="001D1070"/>
    <w:rsid w:val="001D3F51"/>
    <w:rsid w:val="001E3AE4"/>
    <w:rsid w:val="001E4ADB"/>
    <w:rsid w:val="002153A5"/>
    <w:rsid w:val="00225A93"/>
    <w:rsid w:val="00291FD3"/>
    <w:rsid w:val="002D2F52"/>
    <w:rsid w:val="00353A51"/>
    <w:rsid w:val="003645C3"/>
    <w:rsid w:val="0036478D"/>
    <w:rsid w:val="00397854"/>
    <w:rsid w:val="003D0290"/>
    <w:rsid w:val="003D3312"/>
    <w:rsid w:val="003E288B"/>
    <w:rsid w:val="003E4139"/>
    <w:rsid w:val="00403946"/>
    <w:rsid w:val="004157FC"/>
    <w:rsid w:val="004163F1"/>
    <w:rsid w:val="00424390"/>
    <w:rsid w:val="00450F51"/>
    <w:rsid w:val="00475A66"/>
    <w:rsid w:val="00477194"/>
    <w:rsid w:val="004859AF"/>
    <w:rsid w:val="004A66B6"/>
    <w:rsid w:val="004A77F2"/>
    <w:rsid w:val="004B60BC"/>
    <w:rsid w:val="004E3E2C"/>
    <w:rsid w:val="0051288E"/>
    <w:rsid w:val="00513A7E"/>
    <w:rsid w:val="00520CE4"/>
    <w:rsid w:val="00545D63"/>
    <w:rsid w:val="0056144E"/>
    <w:rsid w:val="0058462C"/>
    <w:rsid w:val="00584D2E"/>
    <w:rsid w:val="00595133"/>
    <w:rsid w:val="005E03E2"/>
    <w:rsid w:val="006534FA"/>
    <w:rsid w:val="00665C6E"/>
    <w:rsid w:val="006C2C6C"/>
    <w:rsid w:val="006E0EDE"/>
    <w:rsid w:val="006F618D"/>
    <w:rsid w:val="007476AB"/>
    <w:rsid w:val="00783C45"/>
    <w:rsid w:val="007A2364"/>
    <w:rsid w:val="007B52C4"/>
    <w:rsid w:val="007B6404"/>
    <w:rsid w:val="008379ED"/>
    <w:rsid w:val="0085693A"/>
    <w:rsid w:val="008A6326"/>
    <w:rsid w:val="0091771A"/>
    <w:rsid w:val="00936C9E"/>
    <w:rsid w:val="00940CFE"/>
    <w:rsid w:val="009B0C32"/>
    <w:rsid w:val="009B4EA0"/>
    <w:rsid w:val="009C2191"/>
    <w:rsid w:val="009E0253"/>
    <w:rsid w:val="009F0FA9"/>
    <w:rsid w:val="00A140D2"/>
    <w:rsid w:val="00A17E44"/>
    <w:rsid w:val="00A217AE"/>
    <w:rsid w:val="00A2290E"/>
    <w:rsid w:val="00A26202"/>
    <w:rsid w:val="00A306CE"/>
    <w:rsid w:val="00A4114C"/>
    <w:rsid w:val="00A94AE5"/>
    <w:rsid w:val="00AA483E"/>
    <w:rsid w:val="00AF6BBC"/>
    <w:rsid w:val="00B2206F"/>
    <w:rsid w:val="00B4682F"/>
    <w:rsid w:val="00B621FF"/>
    <w:rsid w:val="00B65809"/>
    <w:rsid w:val="00B840C9"/>
    <w:rsid w:val="00BB5A4A"/>
    <w:rsid w:val="00C21648"/>
    <w:rsid w:val="00C70724"/>
    <w:rsid w:val="00CB6556"/>
    <w:rsid w:val="00CD58F7"/>
    <w:rsid w:val="00CE75F6"/>
    <w:rsid w:val="00D2171E"/>
    <w:rsid w:val="00D2579F"/>
    <w:rsid w:val="00D545E0"/>
    <w:rsid w:val="00D56F82"/>
    <w:rsid w:val="00D721A9"/>
    <w:rsid w:val="00D866AC"/>
    <w:rsid w:val="00D940E3"/>
    <w:rsid w:val="00DB0291"/>
    <w:rsid w:val="00E011E8"/>
    <w:rsid w:val="00E15A0A"/>
    <w:rsid w:val="00E16229"/>
    <w:rsid w:val="00E302A3"/>
    <w:rsid w:val="00E328B1"/>
    <w:rsid w:val="00E40E1C"/>
    <w:rsid w:val="00E42666"/>
    <w:rsid w:val="00E8558C"/>
    <w:rsid w:val="00EB30DE"/>
    <w:rsid w:val="00EE638D"/>
    <w:rsid w:val="00F24C99"/>
    <w:rsid w:val="00F30FF5"/>
    <w:rsid w:val="00F332BC"/>
    <w:rsid w:val="00F45266"/>
    <w:rsid w:val="00F51B54"/>
    <w:rsid w:val="00FB7F69"/>
    <w:rsid w:val="00FF071E"/>
    <w:rsid w:val="02077293"/>
    <w:rsid w:val="02D438CA"/>
    <w:rsid w:val="02D91DBA"/>
    <w:rsid w:val="03237688"/>
    <w:rsid w:val="03533BA1"/>
    <w:rsid w:val="03EC1498"/>
    <w:rsid w:val="04336DF1"/>
    <w:rsid w:val="045A2C74"/>
    <w:rsid w:val="04974309"/>
    <w:rsid w:val="05CB4004"/>
    <w:rsid w:val="05D03D42"/>
    <w:rsid w:val="07D13EF8"/>
    <w:rsid w:val="080B77F5"/>
    <w:rsid w:val="081A339A"/>
    <w:rsid w:val="0895350D"/>
    <w:rsid w:val="089A61DF"/>
    <w:rsid w:val="09464C44"/>
    <w:rsid w:val="09646104"/>
    <w:rsid w:val="09971F52"/>
    <w:rsid w:val="0C590C8A"/>
    <w:rsid w:val="0CDD1F43"/>
    <w:rsid w:val="0CE60497"/>
    <w:rsid w:val="0D2A3F0D"/>
    <w:rsid w:val="0DFE2F0C"/>
    <w:rsid w:val="0E54581B"/>
    <w:rsid w:val="0EB85565"/>
    <w:rsid w:val="0EF4325F"/>
    <w:rsid w:val="0F214B2E"/>
    <w:rsid w:val="0F4C09F7"/>
    <w:rsid w:val="0F8400C0"/>
    <w:rsid w:val="10716DE1"/>
    <w:rsid w:val="10B52BAC"/>
    <w:rsid w:val="117B4AEC"/>
    <w:rsid w:val="12057B1E"/>
    <w:rsid w:val="125D67D4"/>
    <w:rsid w:val="12A44D36"/>
    <w:rsid w:val="12D573EB"/>
    <w:rsid w:val="13A557B0"/>
    <w:rsid w:val="13EB4340"/>
    <w:rsid w:val="15036541"/>
    <w:rsid w:val="16E1033F"/>
    <w:rsid w:val="17233FBA"/>
    <w:rsid w:val="172C4062"/>
    <w:rsid w:val="17D11723"/>
    <w:rsid w:val="17E90251"/>
    <w:rsid w:val="17FA7064"/>
    <w:rsid w:val="183937CC"/>
    <w:rsid w:val="1839700F"/>
    <w:rsid w:val="197C4BA6"/>
    <w:rsid w:val="19AC6C7E"/>
    <w:rsid w:val="1B986CD1"/>
    <w:rsid w:val="1B9F1BAF"/>
    <w:rsid w:val="1BBB5A17"/>
    <w:rsid w:val="1DD763E7"/>
    <w:rsid w:val="1DDC4C59"/>
    <w:rsid w:val="1EA42D0B"/>
    <w:rsid w:val="1FC941CE"/>
    <w:rsid w:val="1FF1600F"/>
    <w:rsid w:val="2054695D"/>
    <w:rsid w:val="206602E6"/>
    <w:rsid w:val="217870AB"/>
    <w:rsid w:val="21831B09"/>
    <w:rsid w:val="22AF2185"/>
    <w:rsid w:val="239911F4"/>
    <w:rsid w:val="23DA3D81"/>
    <w:rsid w:val="24F80F9C"/>
    <w:rsid w:val="25001211"/>
    <w:rsid w:val="250E2FC7"/>
    <w:rsid w:val="26BE5DFA"/>
    <w:rsid w:val="275A0A75"/>
    <w:rsid w:val="27F402D9"/>
    <w:rsid w:val="28147474"/>
    <w:rsid w:val="286F2EA8"/>
    <w:rsid w:val="28880FC1"/>
    <w:rsid w:val="28FE6A5C"/>
    <w:rsid w:val="291F7EF9"/>
    <w:rsid w:val="2B7020A7"/>
    <w:rsid w:val="2C164A61"/>
    <w:rsid w:val="2C3F4017"/>
    <w:rsid w:val="2CC74096"/>
    <w:rsid w:val="2CD163E1"/>
    <w:rsid w:val="2D1C7CF4"/>
    <w:rsid w:val="2D7E7C14"/>
    <w:rsid w:val="2DD86096"/>
    <w:rsid w:val="2E0970D6"/>
    <w:rsid w:val="2E142328"/>
    <w:rsid w:val="2E5960AA"/>
    <w:rsid w:val="2EAB3E2D"/>
    <w:rsid w:val="2FC20BF6"/>
    <w:rsid w:val="2FF11B58"/>
    <w:rsid w:val="30D71199"/>
    <w:rsid w:val="310020E1"/>
    <w:rsid w:val="31676878"/>
    <w:rsid w:val="31B70CCF"/>
    <w:rsid w:val="32614A34"/>
    <w:rsid w:val="327F4BB3"/>
    <w:rsid w:val="329C22DE"/>
    <w:rsid w:val="32DA4BAF"/>
    <w:rsid w:val="33A11437"/>
    <w:rsid w:val="35273990"/>
    <w:rsid w:val="352C4290"/>
    <w:rsid w:val="363A6264"/>
    <w:rsid w:val="36A838BA"/>
    <w:rsid w:val="36C447E9"/>
    <w:rsid w:val="37591243"/>
    <w:rsid w:val="376110AC"/>
    <w:rsid w:val="37C47C31"/>
    <w:rsid w:val="37D27766"/>
    <w:rsid w:val="388C01EC"/>
    <w:rsid w:val="39342726"/>
    <w:rsid w:val="39D118FE"/>
    <w:rsid w:val="3B206D54"/>
    <w:rsid w:val="3BD35011"/>
    <w:rsid w:val="3CFE7670"/>
    <w:rsid w:val="3D3E0353"/>
    <w:rsid w:val="3D76443E"/>
    <w:rsid w:val="3DB1118E"/>
    <w:rsid w:val="3DCA40F3"/>
    <w:rsid w:val="3E5108CC"/>
    <w:rsid w:val="3F4A7D0D"/>
    <w:rsid w:val="3FD14CB4"/>
    <w:rsid w:val="40A1352F"/>
    <w:rsid w:val="40B26D4A"/>
    <w:rsid w:val="41DC4DC1"/>
    <w:rsid w:val="424D3DB8"/>
    <w:rsid w:val="428C52FB"/>
    <w:rsid w:val="42C1160A"/>
    <w:rsid w:val="4389705D"/>
    <w:rsid w:val="44073EF5"/>
    <w:rsid w:val="44496C45"/>
    <w:rsid w:val="44DB6815"/>
    <w:rsid w:val="44F14D97"/>
    <w:rsid w:val="452E5EA8"/>
    <w:rsid w:val="45F25FE3"/>
    <w:rsid w:val="46591426"/>
    <w:rsid w:val="47162738"/>
    <w:rsid w:val="4743487A"/>
    <w:rsid w:val="47F732B6"/>
    <w:rsid w:val="480F7446"/>
    <w:rsid w:val="48C9568C"/>
    <w:rsid w:val="48E74486"/>
    <w:rsid w:val="493F1D6D"/>
    <w:rsid w:val="49BD7D62"/>
    <w:rsid w:val="49D83994"/>
    <w:rsid w:val="4A1E5CC2"/>
    <w:rsid w:val="4AB67892"/>
    <w:rsid w:val="4B58004C"/>
    <w:rsid w:val="4B7713F2"/>
    <w:rsid w:val="4C19674E"/>
    <w:rsid w:val="4DE83642"/>
    <w:rsid w:val="4EE151F5"/>
    <w:rsid w:val="4EFE61F0"/>
    <w:rsid w:val="4FA94C3E"/>
    <w:rsid w:val="4FCE4886"/>
    <w:rsid w:val="4FDE6D6E"/>
    <w:rsid w:val="500C7739"/>
    <w:rsid w:val="50EF1C2A"/>
    <w:rsid w:val="517B7315"/>
    <w:rsid w:val="51FC31C9"/>
    <w:rsid w:val="52FC4E62"/>
    <w:rsid w:val="53496C6E"/>
    <w:rsid w:val="5364285D"/>
    <w:rsid w:val="542D5C51"/>
    <w:rsid w:val="544E5F04"/>
    <w:rsid w:val="5454323A"/>
    <w:rsid w:val="546A26B2"/>
    <w:rsid w:val="559D6190"/>
    <w:rsid w:val="5639275F"/>
    <w:rsid w:val="583D707B"/>
    <w:rsid w:val="58A848B7"/>
    <w:rsid w:val="599763B6"/>
    <w:rsid w:val="59986D72"/>
    <w:rsid w:val="59CB71DE"/>
    <w:rsid w:val="5A450E20"/>
    <w:rsid w:val="5AD961D1"/>
    <w:rsid w:val="5B857C95"/>
    <w:rsid w:val="5B9B9458"/>
    <w:rsid w:val="5BD06C58"/>
    <w:rsid w:val="5C075EE7"/>
    <w:rsid w:val="5C133709"/>
    <w:rsid w:val="5D39330D"/>
    <w:rsid w:val="5E0F2DA7"/>
    <w:rsid w:val="5E883D06"/>
    <w:rsid w:val="61FA59EB"/>
    <w:rsid w:val="62622F5E"/>
    <w:rsid w:val="62893431"/>
    <w:rsid w:val="628E2606"/>
    <w:rsid w:val="62C636B5"/>
    <w:rsid w:val="63187CDA"/>
    <w:rsid w:val="646A004E"/>
    <w:rsid w:val="646E5DD0"/>
    <w:rsid w:val="64B140D9"/>
    <w:rsid w:val="64CF167B"/>
    <w:rsid w:val="64D55B42"/>
    <w:rsid w:val="651A633D"/>
    <w:rsid w:val="65494330"/>
    <w:rsid w:val="65772102"/>
    <w:rsid w:val="657D778E"/>
    <w:rsid w:val="657E2223"/>
    <w:rsid w:val="65A74DD4"/>
    <w:rsid w:val="663356BD"/>
    <w:rsid w:val="667306C5"/>
    <w:rsid w:val="667818A0"/>
    <w:rsid w:val="66B644B4"/>
    <w:rsid w:val="67D63C21"/>
    <w:rsid w:val="683F70A9"/>
    <w:rsid w:val="68625C35"/>
    <w:rsid w:val="688D349C"/>
    <w:rsid w:val="68E35521"/>
    <w:rsid w:val="69DC228A"/>
    <w:rsid w:val="6B0F696D"/>
    <w:rsid w:val="6C8D08A5"/>
    <w:rsid w:val="6DA21187"/>
    <w:rsid w:val="6DA77CA1"/>
    <w:rsid w:val="6DAD16B7"/>
    <w:rsid w:val="6DE11E25"/>
    <w:rsid w:val="700233CF"/>
    <w:rsid w:val="701944D3"/>
    <w:rsid w:val="708B4A48"/>
    <w:rsid w:val="708C7120"/>
    <w:rsid w:val="70AE07B0"/>
    <w:rsid w:val="713A2D4E"/>
    <w:rsid w:val="72083B25"/>
    <w:rsid w:val="727F71F6"/>
    <w:rsid w:val="7292577B"/>
    <w:rsid w:val="72D55D25"/>
    <w:rsid w:val="73050544"/>
    <w:rsid w:val="73EE44CE"/>
    <w:rsid w:val="73F71F21"/>
    <w:rsid w:val="756969CC"/>
    <w:rsid w:val="76AE5D9B"/>
    <w:rsid w:val="76C54B1A"/>
    <w:rsid w:val="77B91474"/>
    <w:rsid w:val="77D11D86"/>
    <w:rsid w:val="78AC5EC7"/>
    <w:rsid w:val="79587453"/>
    <w:rsid w:val="7A1924CC"/>
    <w:rsid w:val="7A6E4FCD"/>
    <w:rsid w:val="7AB5544E"/>
    <w:rsid w:val="7B5A50EF"/>
    <w:rsid w:val="7B6847D1"/>
    <w:rsid w:val="7C5C5986"/>
    <w:rsid w:val="7C7F0230"/>
    <w:rsid w:val="7DD35681"/>
    <w:rsid w:val="7E0C4593"/>
    <w:rsid w:val="7E823F2E"/>
    <w:rsid w:val="7E924BBB"/>
    <w:rsid w:val="7F3A24A8"/>
    <w:rsid w:val="7FED1F28"/>
    <w:rsid w:val="7FF27DF8"/>
    <w:rsid w:val="B1F724D3"/>
    <w:rsid w:val="D5F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1"/>
    <w:pPr>
      <w:widowControl w:val="0"/>
      <w:spacing w:line="479" w:lineRule="exact"/>
      <w:outlineLvl w:val="1"/>
    </w:pPr>
    <w:rPr>
      <w:rFonts w:ascii="Microsoft YaHei UI" w:hAnsi="Microsoft YaHei UI" w:eastAsia="Microsoft YaHei UI" w:cstheme="minorBidi"/>
      <w:spacing w:val="2"/>
      <w:sz w:val="32"/>
      <w:szCs w:val="32"/>
      <w:lang w:val="en-US" w:eastAsia="zh-CN" w:bidi="ar-SA"/>
    </w:rPr>
  </w:style>
  <w:style w:type="paragraph" w:styleId="5">
    <w:name w:val="heading 3"/>
    <w:basedOn w:val="1"/>
    <w:next w:val="1"/>
    <w:unhideWhenUsed/>
    <w:qFormat/>
    <w:uiPriority w:val="9"/>
    <w:pPr>
      <w:keepNext/>
      <w:keepLines/>
      <w:widowControl w:val="0"/>
      <w:spacing w:before="100" w:after="100"/>
      <w:outlineLvl w:val="2"/>
    </w:pPr>
    <w:rPr>
      <w:rFonts w:ascii="华文中宋" w:hAnsi="华文中宋" w:eastAsiaTheme="minorEastAsia" w:cstheme="minorBidi"/>
      <w:b/>
      <w:bCs/>
      <w:sz w:val="28"/>
      <w:szCs w:val="32"/>
      <w:lang w:val="en-US" w:eastAsia="en-US" w:bidi="ar-SA"/>
    </w:rPr>
  </w:style>
  <w:style w:type="paragraph" w:styleId="6">
    <w:name w:val="heading 4"/>
    <w:basedOn w:val="1"/>
    <w:next w:val="1"/>
    <w:qFormat/>
    <w:uiPriority w:val="9"/>
    <w:pPr>
      <w:widowControl w:val="0"/>
      <w:ind w:firstLine="680"/>
      <w:outlineLvl w:val="3"/>
    </w:pPr>
    <w:rPr>
      <w:rFonts w:ascii="宋体" w:hAnsiTheme="minorHAnsi" w:eastAsiaTheme="minorEastAsia" w:cstheme="minorBidi"/>
      <w:sz w:val="28"/>
      <w:lang w:val="en-US" w:eastAsia="en-US" w:bidi="ar-SA"/>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45"/>
    <w:qFormat/>
    <w:uiPriority w:val="1"/>
    <w:pPr>
      <w:spacing w:before="36"/>
      <w:ind w:left="780"/>
      <w:jc w:val="left"/>
    </w:pPr>
    <w:rPr>
      <w:rFonts w:ascii="宋体" w:hAnsi="宋体" w:eastAsia="宋体"/>
      <w:kern w:val="0"/>
      <w:szCs w:val="21"/>
      <w:lang w:eastAsia="en-US"/>
    </w:rPr>
  </w:style>
  <w:style w:type="paragraph" w:styleId="7">
    <w:name w:val="Normal Indent"/>
    <w:basedOn w:val="1"/>
    <w:unhideWhenUsed/>
    <w:qFormat/>
    <w:uiPriority w:val="0"/>
    <w:pPr>
      <w:widowControl w:val="0"/>
      <w:ind w:firstLine="420" w:firstLineChars="200"/>
    </w:pPr>
    <w:rPr>
      <w:rFonts w:ascii="Times New Roman" w:hAnsi="Times New Roman" w:eastAsia="宋体" w:cs="Times New Roman"/>
      <w:sz w:val="22"/>
      <w:szCs w:val="22"/>
      <w:lang w:val="en-US" w:eastAsia="en-US" w:bidi="ar-SA"/>
    </w:rPr>
  </w:style>
  <w:style w:type="paragraph" w:styleId="8">
    <w:name w:val="annotation text"/>
    <w:basedOn w:val="1"/>
    <w:link w:val="59"/>
    <w:unhideWhenUsed/>
    <w:qFormat/>
    <w:uiPriority w:val="99"/>
    <w:pPr>
      <w:jc w:val="left"/>
    </w:pPr>
  </w:style>
  <w:style w:type="paragraph" w:styleId="9">
    <w:name w:val="Body Text Indent"/>
    <w:qFormat/>
    <w:uiPriority w:val="0"/>
    <w:pPr>
      <w:widowControl w:val="0"/>
      <w:spacing w:line="500" w:lineRule="exact"/>
      <w:ind w:firstLine="420"/>
    </w:pPr>
    <w:rPr>
      <w:rFonts w:ascii="楷体_GB2312" w:eastAsia="楷体_GB2312" w:hAnsiTheme="minorHAnsi" w:cstheme="minorBidi"/>
      <w:spacing w:val="8"/>
      <w:sz w:val="24"/>
      <w:szCs w:val="22"/>
      <w:lang w:val="en-US" w:eastAsia="en-US" w:bidi="ar-SA"/>
    </w:rPr>
  </w:style>
  <w:style w:type="paragraph" w:styleId="10">
    <w:name w:val="Block Text"/>
    <w:qFormat/>
    <w:uiPriority w:val="99"/>
    <w:pPr>
      <w:widowControl w:val="0"/>
      <w:spacing w:after="120"/>
      <w:ind w:left="1440" w:leftChars="700" w:right="1440" w:rightChars="700"/>
    </w:pPr>
    <w:rPr>
      <w:rFonts w:asciiTheme="minorHAnsi" w:hAnsiTheme="minorHAnsi" w:eastAsiaTheme="minorEastAsia" w:cstheme="minorBidi"/>
      <w:sz w:val="22"/>
      <w:szCs w:val="22"/>
      <w:lang w:val="en-US" w:eastAsia="en-US" w:bidi="ar-SA"/>
    </w:rPr>
  </w:style>
  <w:style w:type="paragraph" w:styleId="11">
    <w:name w:val="toc 3"/>
    <w:basedOn w:val="1"/>
    <w:next w:val="1"/>
    <w:unhideWhenUsed/>
    <w:qFormat/>
    <w:uiPriority w:val="39"/>
    <w:pPr>
      <w:widowControl/>
      <w:spacing w:after="100" w:line="259" w:lineRule="auto"/>
      <w:ind w:left="440"/>
    </w:pPr>
    <w:rPr>
      <w:rFonts w:cs="Times New Roman" w:asciiTheme="minorHAnsi" w:hAnsiTheme="minorHAnsi" w:eastAsiaTheme="minorEastAsia"/>
      <w:sz w:val="22"/>
      <w:szCs w:val="22"/>
      <w:lang w:val="en-US" w:eastAsia="zh-CN" w:bidi="ar-SA"/>
    </w:rPr>
  </w:style>
  <w:style w:type="paragraph" w:styleId="12">
    <w:name w:val="Balloon Text"/>
    <w:basedOn w:val="1"/>
    <w:link w:val="41"/>
    <w:semiHidden/>
    <w:unhideWhenUsed/>
    <w:qFormat/>
    <w:uiPriority w:val="99"/>
    <w:rPr>
      <w:sz w:val="18"/>
      <w:szCs w:val="18"/>
    </w:rPr>
  </w:style>
  <w:style w:type="paragraph" w:styleId="13">
    <w:name w:val="footer"/>
    <w:basedOn w:val="1"/>
    <w:link w:val="40"/>
    <w:unhideWhenUsed/>
    <w:qFormat/>
    <w:uiPriority w:val="99"/>
    <w:pPr>
      <w:tabs>
        <w:tab w:val="center" w:pos="4153"/>
        <w:tab w:val="right" w:pos="8306"/>
      </w:tabs>
      <w:snapToGrid w:val="0"/>
      <w:jc w:val="left"/>
    </w:pPr>
    <w:rPr>
      <w:sz w:val="18"/>
      <w:szCs w:val="18"/>
    </w:rPr>
  </w:style>
  <w:style w:type="paragraph" w:styleId="14">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spacing w:after="100" w:line="259" w:lineRule="auto"/>
    </w:pPr>
    <w:rPr>
      <w:rFonts w:cs="Times New Roman" w:asciiTheme="minorHAnsi" w:hAnsiTheme="minorHAnsi" w:eastAsiaTheme="minorEastAsia"/>
      <w:sz w:val="22"/>
      <w:szCs w:val="22"/>
      <w:lang w:val="en-US" w:eastAsia="zh-CN" w:bidi="ar-SA"/>
    </w:rPr>
  </w:style>
  <w:style w:type="paragraph" w:styleId="16">
    <w:name w:val="toc 2"/>
    <w:basedOn w:val="1"/>
    <w:next w:val="1"/>
    <w:semiHidden/>
    <w:unhideWhenUsed/>
    <w:qFormat/>
    <w:uiPriority w:val="39"/>
    <w:pPr>
      <w:ind w:left="420" w:leftChars="200"/>
    </w:pPr>
  </w:style>
  <w:style w:type="paragraph" w:styleId="17">
    <w:name w:val="Body Text 2"/>
    <w:basedOn w:val="1"/>
    <w:qFormat/>
    <w:uiPriority w:val="0"/>
    <w:pPr>
      <w:spacing w:after="120" w:line="480" w:lineRule="auto"/>
    </w:pPr>
    <w:rPr>
      <w:rFonts w:ascii="Calibri" w:hAnsi="Calibri"/>
      <w:szCs w:val="22"/>
    </w:rPr>
  </w:style>
  <w:style w:type="paragraph" w:styleId="18">
    <w:name w:val="Normal (Web)"/>
    <w:basedOn w:val="1"/>
    <w:semiHidden/>
    <w:unhideWhenUsed/>
    <w:qFormat/>
    <w:uiPriority w:val="99"/>
    <w:rPr>
      <w:sz w:val="24"/>
    </w:rPr>
  </w:style>
  <w:style w:type="paragraph" w:styleId="19">
    <w:name w:val="Title"/>
    <w:basedOn w:val="1"/>
    <w:qFormat/>
    <w:uiPriority w:val="0"/>
    <w:pPr>
      <w:spacing w:before="240" w:after="60"/>
      <w:jc w:val="center"/>
      <w:outlineLvl w:val="0"/>
    </w:pPr>
    <w:rPr>
      <w:rFonts w:ascii="Arial" w:hAnsi="Arial" w:eastAsia="楷体_GB2312"/>
      <w:b/>
      <w:bCs/>
      <w:sz w:val="32"/>
      <w:szCs w:val="32"/>
    </w:rPr>
  </w:style>
  <w:style w:type="paragraph" w:styleId="20">
    <w:name w:val="Body Text First Indent"/>
    <w:basedOn w:val="2"/>
    <w:next w:val="1"/>
    <w:qFormat/>
    <w:uiPriority w:val="0"/>
    <w:pPr>
      <w:widowControl w:val="0"/>
      <w:ind w:firstLine="420" w:firstLineChars="100"/>
      <w:jc w:val="both"/>
    </w:pPr>
    <w:rPr>
      <w:rFonts w:ascii="Microsoft YaHei UI" w:hAnsi="Microsoft YaHei UI" w:eastAsia="Microsoft YaHei UI" w:cstheme="minorBidi"/>
      <w:sz w:val="21"/>
      <w:szCs w:val="21"/>
      <w:lang w:val="en-US" w:eastAsia="en-US" w:bidi="ar-SA"/>
    </w:rPr>
  </w:style>
  <w:style w:type="paragraph" w:styleId="21">
    <w:name w:val="Body Text First Indent 2"/>
    <w:qFormat/>
    <w:uiPriority w:val="99"/>
    <w:pPr>
      <w:widowControl w:val="0"/>
      <w:spacing w:line="500" w:lineRule="exact"/>
      <w:ind w:firstLine="200" w:firstLineChars="200"/>
    </w:pPr>
    <w:rPr>
      <w:rFonts w:ascii="楷体_GB2312" w:eastAsia="楷体_GB2312" w:hAnsiTheme="minorHAnsi" w:cstheme="minorBidi"/>
      <w:spacing w:val="8"/>
      <w:sz w:val="24"/>
      <w:szCs w:val="22"/>
      <w:lang w:val="en-US" w:eastAsia="en-US" w:bidi="ar-SA"/>
    </w:rPr>
  </w:style>
  <w:style w:type="table" w:styleId="23">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Emphasis"/>
    <w:basedOn w:val="24"/>
    <w:qFormat/>
    <w:uiPriority w:val="20"/>
    <w:rPr>
      <w:i/>
    </w:rPr>
  </w:style>
  <w:style w:type="character" w:styleId="27">
    <w:name w:val="HTML Definition"/>
    <w:basedOn w:val="24"/>
    <w:semiHidden/>
    <w:unhideWhenUsed/>
    <w:qFormat/>
    <w:uiPriority w:val="99"/>
    <w:rPr>
      <w:i/>
    </w:rPr>
  </w:style>
  <w:style w:type="character" w:styleId="28">
    <w:name w:val="HTML Acronym"/>
    <w:basedOn w:val="24"/>
    <w:semiHidden/>
    <w:unhideWhenUsed/>
    <w:qFormat/>
    <w:uiPriority w:val="99"/>
  </w:style>
  <w:style w:type="character" w:styleId="29">
    <w:name w:val="HTML Variable"/>
    <w:basedOn w:val="24"/>
    <w:semiHidden/>
    <w:unhideWhenUsed/>
    <w:qFormat/>
    <w:uiPriority w:val="99"/>
    <w:rPr>
      <w:i/>
    </w:rPr>
  </w:style>
  <w:style w:type="character" w:styleId="30">
    <w:name w:val="Hyperlink"/>
    <w:basedOn w:val="24"/>
    <w:unhideWhenUsed/>
    <w:qFormat/>
    <w:uiPriority w:val="99"/>
    <w:rPr>
      <w:color w:val="0000FF" w:themeColor="hyperlink"/>
      <w:u w:val="single"/>
      <w14:textFill>
        <w14:solidFill>
          <w14:schemeClr w14:val="hlink"/>
        </w14:solidFill>
      </w14:textFill>
    </w:rPr>
  </w:style>
  <w:style w:type="character" w:styleId="31">
    <w:name w:val="HTML Code"/>
    <w:basedOn w:val="24"/>
    <w:semiHidden/>
    <w:unhideWhenUsed/>
    <w:qFormat/>
    <w:uiPriority w:val="99"/>
    <w:rPr>
      <w:rFonts w:ascii="微软雅黑" w:hAnsi="微软雅黑" w:eastAsia="微软雅黑" w:cs="微软雅黑"/>
      <w:sz w:val="18"/>
      <w:szCs w:val="18"/>
    </w:rPr>
  </w:style>
  <w:style w:type="character" w:styleId="32">
    <w:name w:val="annotation reference"/>
    <w:basedOn w:val="24"/>
    <w:semiHidden/>
    <w:unhideWhenUsed/>
    <w:qFormat/>
    <w:uiPriority w:val="99"/>
    <w:rPr>
      <w:sz w:val="21"/>
      <w:szCs w:val="21"/>
    </w:rPr>
  </w:style>
  <w:style w:type="character" w:styleId="33">
    <w:name w:val="HTML Cite"/>
    <w:basedOn w:val="24"/>
    <w:semiHidden/>
    <w:unhideWhenUsed/>
    <w:qFormat/>
    <w:uiPriority w:val="99"/>
    <w:rPr>
      <w:i/>
    </w:rPr>
  </w:style>
  <w:style w:type="paragraph" w:customStyle="1" w:styleId="34">
    <w:name w:val="默认段落字体 Para Char"/>
    <w:basedOn w:val="35"/>
    <w:next w:val="1"/>
    <w:qFormat/>
    <w:uiPriority w:val="0"/>
    <w:pPr>
      <w:spacing w:before="80" w:after="80" w:line="360" w:lineRule="auto"/>
    </w:pPr>
    <w:rPr>
      <w:rFonts w:ascii="Times New Roman" w:hAnsi="Times New Roman" w:eastAsia="宋体" w:cs="Times New Roman"/>
      <w:sz w:val="24"/>
      <w:szCs w:val="20"/>
    </w:rPr>
  </w:style>
  <w:style w:type="paragraph" w:customStyle="1" w:styleId="35">
    <w:name w:val="Normal_0"/>
    <w:next w:val="3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36">
    <w:name w:val="Normal_1"/>
    <w:next w:val="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_1"/>
    <w:next w:val="34"/>
    <w:qFormat/>
    <w:uiPriority w:val="0"/>
    <w:pPr>
      <w:widowControl w:val="0"/>
      <w:jc w:val="both"/>
    </w:pPr>
    <w:rPr>
      <w:rFonts w:ascii="Calibri" w:hAnsi="Calibri" w:eastAsia="宋体" w:cs="Times New Roman"/>
      <w:kern w:val="2"/>
      <w:sz w:val="21"/>
      <w:szCs w:val="22"/>
      <w:lang w:val="en-US" w:eastAsia="zh-CN" w:bidi="ar-SA"/>
    </w:rPr>
  </w:style>
  <w:style w:type="paragraph" w:styleId="38">
    <w:name w:val="List Paragraph"/>
    <w:basedOn w:val="1"/>
    <w:qFormat/>
    <w:uiPriority w:val="34"/>
    <w:pPr>
      <w:widowControl/>
      <w:ind w:firstLine="420"/>
    </w:pPr>
    <w:rPr>
      <w:rFonts w:ascii="Calibri" w:hAnsi="Calibri" w:eastAsia="宋体" w:cs="Calibri"/>
      <w:kern w:val="0"/>
      <w:szCs w:val="21"/>
    </w:rPr>
  </w:style>
  <w:style w:type="character" w:customStyle="1" w:styleId="39">
    <w:name w:val="页眉 字符"/>
    <w:basedOn w:val="24"/>
    <w:link w:val="14"/>
    <w:qFormat/>
    <w:uiPriority w:val="0"/>
    <w:rPr>
      <w:sz w:val="18"/>
      <w:szCs w:val="18"/>
    </w:rPr>
  </w:style>
  <w:style w:type="character" w:customStyle="1" w:styleId="40">
    <w:name w:val="页脚 字符"/>
    <w:basedOn w:val="24"/>
    <w:link w:val="13"/>
    <w:qFormat/>
    <w:uiPriority w:val="99"/>
    <w:rPr>
      <w:sz w:val="18"/>
      <w:szCs w:val="18"/>
    </w:rPr>
  </w:style>
  <w:style w:type="character" w:customStyle="1" w:styleId="41">
    <w:name w:val="批注框文本 字符"/>
    <w:basedOn w:val="24"/>
    <w:link w:val="12"/>
    <w:semiHidden/>
    <w:qFormat/>
    <w:uiPriority w:val="99"/>
    <w:rPr>
      <w:sz w:val="18"/>
      <w:szCs w:val="18"/>
    </w:rPr>
  </w:style>
  <w:style w:type="character" w:customStyle="1" w:styleId="42">
    <w:name w:val="批注文字 字符"/>
    <w:basedOn w:val="24"/>
    <w:link w:val="8"/>
    <w:qFormat/>
    <w:uiPriority w:val="99"/>
  </w:style>
  <w:style w:type="paragraph" w:customStyle="1" w:styleId="43">
    <w:name w:val="Table Paragraph"/>
    <w:basedOn w:val="1"/>
    <w:qFormat/>
    <w:uiPriority w:val="0"/>
    <w:pPr>
      <w:jc w:val="left"/>
    </w:pPr>
    <w:rPr>
      <w:kern w:val="0"/>
      <w:sz w:val="22"/>
      <w:lang w:eastAsia="en-US"/>
    </w:rPr>
  </w:style>
  <w:style w:type="paragraph" w:customStyle="1" w:styleId="44">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5">
    <w:name w:val="正文文本 字符"/>
    <w:basedOn w:val="24"/>
    <w:link w:val="2"/>
    <w:qFormat/>
    <w:uiPriority w:val="1"/>
    <w:rPr>
      <w:rFonts w:ascii="宋体" w:hAnsi="宋体" w:cstheme="minorBidi"/>
      <w:sz w:val="21"/>
      <w:szCs w:val="21"/>
      <w:lang w:eastAsia="en-US"/>
    </w:rPr>
  </w:style>
  <w:style w:type="character" w:customStyle="1" w:styleId="46">
    <w:name w:val="font41"/>
    <w:basedOn w:val="24"/>
    <w:qFormat/>
    <w:uiPriority w:val="0"/>
    <w:rPr>
      <w:rFonts w:hint="eastAsia" w:ascii="宋体" w:hAnsi="宋体" w:eastAsia="宋体" w:cs="宋体"/>
      <w:color w:val="000000"/>
      <w:sz w:val="21"/>
      <w:szCs w:val="21"/>
      <w:u w:val="none"/>
    </w:rPr>
  </w:style>
  <w:style w:type="character" w:customStyle="1" w:styleId="47">
    <w:name w:val="font31"/>
    <w:basedOn w:val="24"/>
    <w:qFormat/>
    <w:uiPriority w:val="0"/>
    <w:rPr>
      <w:rFonts w:hint="default" w:ascii="Times New Roman" w:hAnsi="Times New Roman" w:cs="Times New Roman"/>
      <w:color w:val="000000"/>
      <w:sz w:val="21"/>
      <w:szCs w:val="21"/>
      <w:u w:val="none"/>
    </w:rPr>
  </w:style>
  <w:style w:type="character" w:customStyle="1" w:styleId="48">
    <w:name w:val="l-btn-text"/>
    <w:basedOn w:val="24"/>
    <w:qFormat/>
    <w:uiPriority w:val="0"/>
  </w:style>
  <w:style w:type="character" w:customStyle="1" w:styleId="49">
    <w:name w:val="l-btn-left"/>
    <w:basedOn w:val="24"/>
    <w:qFormat/>
    <w:uiPriority w:val="0"/>
  </w:style>
  <w:style w:type="character" w:customStyle="1" w:styleId="50">
    <w:name w:val="l-btn-left1"/>
    <w:basedOn w:val="24"/>
    <w:qFormat/>
    <w:uiPriority w:val="0"/>
  </w:style>
  <w:style w:type="character" w:customStyle="1" w:styleId="51">
    <w:name w:val="l-btn-left2"/>
    <w:basedOn w:val="24"/>
    <w:qFormat/>
    <w:uiPriority w:val="0"/>
  </w:style>
  <w:style w:type="character" w:customStyle="1" w:styleId="52">
    <w:name w:val="l-btn-empty"/>
    <w:basedOn w:val="24"/>
    <w:qFormat/>
    <w:uiPriority w:val="0"/>
  </w:style>
  <w:style w:type="character" w:customStyle="1" w:styleId="53">
    <w:name w:val="checkbox"/>
    <w:basedOn w:val="24"/>
    <w:qFormat/>
    <w:uiPriority w:val="0"/>
  </w:style>
  <w:style w:type="character" w:customStyle="1" w:styleId="54">
    <w:name w:val="l-btn-left3"/>
    <w:basedOn w:val="24"/>
    <w:qFormat/>
    <w:uiPriority w:val="0"/>
  </w:style>
  <w:style w:type="character" w:customStyle="1" w:styleId="55">
    <w:name w:val="checkbox2"/>
    <w:basedOn w:val="24"/>
    <w:qFormat/>
    <w:uiPriority w:val="0"/>
  </w:style>
  <w:style w:type="paragraph" w:customStyle="1" w:styleId="56">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57">
    <w:name w:val="缺省文本"/>
    <w:qFormat/>
    <w:uiPriority w:val="0"/>
    <w:pPr>
      <w:widowControl w:val="0"/>
      <w:autoSpaceDE w:val="0"/>
      <w:autoSpaceDN w:val="0"/>
      <w:adjustRightInd w:val="0"/>
    </w:pPr>
    <w:rPr>
      <w:rFonts w:ascii="Times New Roman" w:hAnsi="Times New Roman" w:eastAsiaTheme="minorEastAsia" w:cstheme="minorBidi"/>
      <w:sz w:val="24"/>
      <w:szCs w:val="24"/>
      <w:lang w:val="en-US" w:eastAsia="en-US" w:bidi="ar-SA"/>
    </w:rPr>
  </w:style>
  <w:style w:type="paragraph" w:customStyle="1" w:styleId="58">
    <w:name w:val="标题2A"/>
    <w:basedOn w:val="4"/>
    <w:qFormat/>
    <w:uiPriority w:val="0"/>
    <w:pPr>
      <w:numPr>
        <w:ilvl w:val="0"/>
        <w:numId w:val="1"/>
      </w:numPr>
      <w:tabs>
        <w:tab w:val="left" w:pos="1080"/>
      </w:tabs>
      <w:spacing w:before="360" w:after="360" w:line="578" w:lineRule="auto"/>
      <w:jc w:val="center"/>
    </w:pPr>
    <w:rPr>
      <w:rFonts w:eastAsia="宋体"/>
      <w:sz w:val="24"/>
    </w:rPr>
  </w:style>
  <w:style w:type="character" w:customStyle="1" w:styleId="59">
    <w:name w:val="批注文字 Char"/>
    <w:link w:val="8"/>
    <w:qFormat/>
    <w:uiPriority w:val="0"/>
  </w:style>
  <w:style w:type="paragraph" w:customStyle="1" w:styleId="60">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61">
    <w:name w:val="WPSOffice手动目录 1"/>
    <w:qFormat/>
    <w:uiPriority w:val="0"/>
    <w:rPr>
      <w:rFonts w:ascii="Calibri" w:hAnsi="Calibri" w:eastAsia="宋体" w:cs="Times New Roman"/>
      <w:lang w:val="en-US" w:eastAsia="zh-CN" w:bidi="ar-SA"/>
    </w:rPr>
  </w:style>
  <w:style w:type="paragraph" w:customStyle="1" w:styleId="62">
    <w:name w:val="前言、引言标题"/>
    <w:next w:val="1"/>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3">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4">
    <w:name w:val="font01"/>
    <w:basedOn w:val="24"/>
    <w:qFormat/>
    <w:uiPriority w:val="0"/>
    <w:rPr>
      <w:rFonts w:hint="default" w:ascii="Times New Roman" w:hAnsi="Times New Roman" w:cs="Times New Roman"/>
      <w:color w:val="000000"/>
      <w:sz w:val="21"/>
      <w:szCs w:val="21"/>
      <w:u w:val="none"/>
    </w:rPr>
  </w:style>
  <w:style w:type="paragraph" w:customStyle="1" w:styleId="65">
    <w:name w:val="纯文本1"/>
    <w:basedOn w:val="1"/>
    <w:qFormat/>
    <w:uiPriority w:val="0"/>
    <w:pPr>
      <w:widowControl w:val="0"/>
    </w:pPr>
    <w:rPr>
      <w:rFonts w:hAnsi="Courier New" w:cs="Courier New"/>
      <w:sz w:val="22"/>
      <w:szCs w:val="21"/>
      <w:lang w:eastAsia="en-US"/>
    </w:rPr>
  </w:style>
  <w:style w:type="character" w:customStyle="1" w:styleId="66">
    <w:name w:val="DeltaView Insertion"/>
    <w:qFormat/>
    <w:uiPriority w:val="0"/>
    <w:rPr>
      <w:color w:val="0000FF"/>
      <w:spacing w:val="0"/>
      <w:u w:val="double"/>
    </w:rPr>
  </w:style>
  <w:style w:type="character" w:customStyle="1" w:styleId="67">
    <w:name w:val="fontstyle01"/>
    <w:basedOn w:val="24"/>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6035</Words>
  <Characters>34406</Characters>
  <Lines>1</Lines>
  <Paragraphs>1</Paragraphs>
  <TotalTime>1</TotalTime>
  <ScaleCrop>false</ScaleCrop>
  <LinksUpToDate>false</LinksUpToDate>
  <CharactersWithSpaces>40361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2021-12-03T19:14:00Z</dcterms:created>
  <dc:creator>李津</dc:creator>
  <cp:lastModifiedBy>尚晶</cp:lastModifiedBy>
  <cp:lastPrinted>2020-12-03T22:05:00Z</cp:lastPrinted>
  <dcterms:modified xsi:type="dcterms:W3CDTF">2024-06-26T06:30:19Z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E1C4C560457F457DA2E7DABA63F53699</vt:lpwstr>
  </property>
</Properties>
</file>