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sz w:val="44"/>
          <w:szCs w:val="44"/>
          <w:lang w:val="zh-CN" w:eastAsia="zh-CN"/>
        </w:rPr>
      </w:pPr>
    </w:p>
    <w:p>
      <w:pPr>
        <w:spacing w:line="360" w:lineRule="auto"/>
        <w:jc w:val="center"/>
        <w:rPr>
          <w:rFonts w:ascii="宋体" w:hAnsi="宋体"/>
          <w:b/>
          <w:bCs/>
          <w:sz w:val="44"/>
          <w:szCs w:val="44"/>
          <w:lang w:val="zh-CN" w:eastAsia="zh-CN"/>
        </w:rPr>
      </w:pPr>
    </w:p>
    <w:p>
      <w:pPr>
        <w:spacing w:line="360" w:lineRule="auto"/>
        <w:jc w:val="center"/>
        <w:rPr>
          <w:rFonts w:ascii="宋体" w:hAnsi="宋体"/>
          <w:b/>
          <w:bCs/>
          <w:sz w:val="44"/>
          <w:szCs w:val="44"/>
          <w:lang w:val="zh-CN" w:eastAsia="zh-CN"/>
        </w:rPr>
      </w:pPr>
      <w:r>
        <w:rPr>
          <w:lang w:eastAsia="zh-CN"/>
        </w:rPr>
        <w:drawing>
          <wp:inline distT="0" distB="0" distL="114300" distR="114300">
            <wp:extent cx="3298825" cy="107696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rcRect r="173"/>
                    <a:stretch>
                      <a:fillRect/>
                    </a:stretch>
                  </pic:blipFill>
                  <pic:spPr>
                    <a:xfrm>
                      <a:off x="0" y="0"/>
                      <a:ext cx="3298825" cy="1076960"/>
                    </a:xfrm>
                    <a:prstGeom prst="rect">
                      <a:avLst/>
                    </a:prstGeom>
                    <a:noFill/>
                    <a:ln w="9525">
                      <a:noFill/>
                    </a:ln>
                  </pic:spPr>
                </pic:pic>
              </a:graphicData>
            </a:graphic>
          </wp:inline>
        </w:drawing>
      </w:r>
    </w:p>
    <w:p>
      <w:pPr>
        <w:spacing w:line="360" w:lineRule="auto"/>
        <w:jc w:val="center"/>
        <w:rPr>
          <w:rFonts w:ascii="宋体" w:hAnsi="宋体"/>
          <w:b/>
          <w:bCs/>
          <w:sz w:val="44"/>
          <w:szCs w:val="44"/>
          <w:lang w:val="zh-CN" w:eastAsia="zh-CN"/>
        </w:rPr>
      </w:pPr>
    </w:p>
    <w:p>
      <w:pPr>
        <w:spacing w:line="360" w:lineRule="auto"/>
        <w:jc w:val="center"/>
        <w:rPr>
          <w:rFonts w:ascii="宋体" w:hAnsi="宋体"/>
          <w:b/>
          <w:bCs/>
          <w:sz w:val="44"/>
          <w:szCs w:val="44"/>
          <w:lang w:val="zh-CN" w:eastAsia="zh-CN"/>
        </w:rPr>
      </w:pPr>
    </w:p>
    <w:p>
      <w:pPr>
        <w:spacing w:line="360" w:lineRule="auto"/>
        <w:jc w:val="center"/>
        <w:rPr>
          <w:rFonts w:ascii="黑体" w:hAnsi="黑体" w:eastAsia="黑体"/>
          <w:bCs/>
          <w:sz w:val="48"/>
          <w:szCs w:val="48"/>
          <w:lang w:val="zh-CN" w:eastAsia="zh-CN"/>
        </w:rPr>
      </w:pPr>
    </w:p>
    <w:p>
      <w:pPr>
        <w:spacing w:line="360" w:lineRule="auto"/>
        <w:jc w:val="center"/>
        <w:rPr>
          <w:rFonts w:ascii="黑体" w:hAnsi="黑体" w:eastAsia="黑体"/>
          <w:bCs/>
          <w:sz w:val="48"/>
          <w:szCs w:val="48"/>
          <w:lang w:val="zh-CN" w:eastAsia="zh-CN"/>
        </w:rPr>
      </w:pPr>
      <w:r>
        <w:rPr>
          <w:rFonts w:hint="eastAsia" w:ascii="黑体" w:hAnsi="黑体" w:eastAsia="黑体"/>
          <w:bCs/>
          <w:sz w:val="48"/>
          <w:szCs w:val="48"/>
          <w:lang w:val="zh-CN" w:eastAsia="zh-CN"/>
        </w:rPr>
        <w:t>采  购  文  件</w:t>
      </w:r>
    </w:p>
    <w:p>
      <w:pPr>
        <w:spacing w:line="360" w:lineRule="auto"/>
        <w:jc w:val="center"/>
        <w:rPr>
          <w:rFonts w:ascii="黑体" w:hAnsi="黑体" w:eastAsia="黑体"/>
          <w:bCs/>
          <w:sz w:val="48"/>
          <w:szCs w:val="48"/>
          <w:lang w:val="zh-CN" w:eastAsia="zh-CN"/>
        </w:rPr>
      </w:pPr>
    </w:p>
    <w:p>
      <w:pPr>
        <w:spacing w:line="360" w:lineRule="auto"/>
        <w:jc w:val="center"/>
        <w:rPr>
          <w:rFonts w:ascii="黑体" w:hAnsi="黑体" w:eastAsia="黑体"/>
          <w:bCs/>
          <w:sz w:val="48"/>
          <w:szCs w:val="48"/>
          <w:lang w:val="zh-CN" w:eastAsia="zh-CN"/>
        </w:rPr>
      </w:pPr>
    </w:p>
    <w:p>
      <w:pPr>
        <w:spacing w:line="360" w:lineRule="auto"/>
        <w:ind w:left="1626" w:hanging="1626" w:hangingChars="450"/>
        <w:rPr>
          <w:rFonts w:ascii="宋体" w:hAnsi="宋体"/>
          <w:b/>
          <w:bCs/>
          <w:sz w:val="36"/>
          <w:szCs w:val="36"/>
          <w:lang w:eastAsia="zh-CN"/>
        </w:rPr>
      </w:pPr>
      <w:r>
        <w:rPr>
          <w:rFonts w:hint="eastAsia" w:ascii="宋体" w:hAnsi="宋体"/>
          <w:b/>
          <w:bCs/>
          <w:sz w:val="36"/>
          <w:szCs w:val="36"/>
          <w:lang w:val="zh-CN" w:eastAsia="zh-CN"/>
        </w:rPr>
        <w:t>项目名称：国产虚拟化软件采购</w:t>
      </w:r>
    </w:p>
    <w:p>
      <w:pPr>
        <w:spacing w:line="360" w:lineRule="auto"/>
        <w:ind w:left="1626" w:hanging="1626" w:hangingChars="450"/>
        <w:rPr>
          <w:rFonts w:hint="eastAsia" w:ascii="宋体" w:hAnsi="宋体"/>
          <w:b/>
          <w:bCs/>
          <w:sz w:val="36"/>
          <w:szCs w:val="36"/>
          <w:lang w:val="zh-CN" w:eastAsia="zh-CN"/>
        </w:rPr>
      </w:pPr>
      <w:r>
        <w:rPr>
          <w:rFonts w:hint="eastAsia" w:ascii="宋体" w:hAnsi="宋体"/>
          <w:b/>
          <w:bCs/>
          <w:sz w:val="36"/>
          <w:szCs w:val="36"/>
          <w:lang w:val="zh-CN" w:eastAsia="zh-CN"/>
        </w:rPr>
        <w:t>标段（包）编号：</w:t>
      </w:r>
      <w:r>
        <w:rPr>
          <w:rFonts w:hint="eastAsia" w:ascii="宋体" w:hAnsi="宋体"/>
          <w:b/>
          <w:bCs/>
          <w:sz w:val="36"/>
          <w:szCs w:val="36"/>
          <w:lang w:val="en-US" w:eastAsia="zh-CN"/>
        </w:rPr>
        <w:t>ZHXT-2024-058-XJ-KX</w:t>
      </w:r>
    </w:p>
    <w:p>
      <w:pPr>
        <w:spacing w:line="360" w:lineRule="auto"/>
        <w:rPr>
          <w:rFonts w:ascii="宋体" w:hAnsi="宋体"/>
          <w:b/>
          <w:bCs/>
          <w:sz w:val="36"/>
          <w:szCs w:val="36"/>
          <w:lang w:val="zh-CN" w:eastAsia="zh-CN"/>
        </w:rPr>
      </w:pPr>
    </w:p>
    <w:p>
      <w:pPr>
        <w:spacing w:line="360" w:lineRule="auto"/>
        <w:jc w:val="center"/>
        <w:rPr>
          <w:rFonts w:ascii="宋体" w:hAnsi="宋体"/>
          <w:lang w:eastAsia="zh-CN"/>
        </w:rPr>
      </w:pPr>
    </w:p>
    <w:p>
      <w:pPr>
        <w:spacing w:line="360" w:lineRule="auto"/>
        <w:jc w:val="center"/>
        <w:rPr>
          <w:rFonts w:ascii="宋体" w:hAnsi="宋体"/>
          <w:lang w:eastAsia="zh-CN"/>
        </w:rPr>
      </w:pPr>
    </w:p>
    <w:p>
      <w:pPr>
        <w:jc w:val="center"/>
        <w:rPr>
          <w:rFonts w:ascii="宋体" w:hAnsi="宋体"/>
          <w:b/>
          <w:sz w:val="32"/>
          <w:szCs w:val="32"/>
          <w:lang w:eastAsia="zh-CN"/>
        </w:rPr>
      </w:pPr>
    </w:p>
    <w:p>
      <w:pPr>
        <w:jc w:val="center"/>
        <w:rPr>
          <w:rFonts w:ascii="宋体" w:hAnsi="宋体"/>
          <w:b/>
          <w:sz w:val="32"/>
          <w:szCs w:val="32"/>
          <w:lang w:eastAsia="zh-CN"/>
        </w:rPr>
      </w:pPr>
    </w:p>
    <w:p>
      <w:pPr>
        <w:jc w:val="center"/>
        <w:rPr>
          <w:rFonts w:ascii="宋体" w:hAnsi="宋体"/>
          <w:b/>
          <w:sz w:val="32"/>
          <w:szCs w:val="32"/>
          <w:lang w:eastAsia="zh-CN"/>
        </w:rPr>
      </w:pPr>
    </w:p>
    <w:p>
      <w:pPr>
        <w:jc w:val="center"/>
        <w:rPr>
          <w:rFonts w:ascii="宋体" w:hAnsi="宋体"/>
          <w:b/>
          <w:sz w:val="32"/>
          <w:szCs w:val="32"/>
          <w:lang w:eastAsia="zh-CN"/>
        </w:rPr>
      </w:pPr>
    </w:p>
    <w:p>
      <w:pPr>
        <w:jc w:val="center"/>
        <w:rPr>
          <w:rFonts w:ascii="宋体" w:hAnsi="宋体"/>
          <w:b/>
          <w:sz w:val="32"/>
          <w:szCs w:val="32"/>
          <w:lang w:eastAsia="zh-CN"/>
        </w:rPr>
      </w:pPr>
    </w:p>
    <w:p>
      <w:pPr>
        <w:spacing w:line="360" w:lineRule="auto"/>
        <w:jc w:val="center"/>
        <w:rPr>
          <w:rFonts w:ascii="宋体" w:hAnsi="宋体"/>
          <w:b/>
          <w:sz w:val="32"/>
          <w:szCs w:val="32"/>
          <w:lang w:eastAsia="zh-CN"/>
        </w:rPr>
      </w:pPr>
      <w:r>
        <w:rPr>
          <w:rFonts w:hint="eastAsia" w:ascii="宋体" w:hAnsi="宋体"/>
          <w:b/>
          <w:sz w:val="32"/>
          <w:szCs w:val="32"/>
          <w:lang w:eastAsia="zh-CN"/>
        </w:rPr>
        <w:t>20</w:t>
      </w:r>
      <w:r>
        <w:rPr>
          <w:rFonts w:ascii="宋体" w:hAnsi="宋体"/>
          <w:b/>
          <w:sz w:val="32"/>
          <w:szCs w:val="32"/>
          <w:lang w:eastAsia="zh-CN"/>
        </w:rPr>
        <w:t>2</w:t>
      </w:r>
      <w:r>
        <w:rPr>
          <w:rFonts w:hint="eastAsia" w:ascii="宋体" w:hAnsi="宋体"/>
          <w:b/>
          <w:sz w:val="32"/>
          <w:szCs w:val="32"/>
          <w:lang w:val="en-US" w:eastAsia="zh-CN"/>
        </w:rPr>
        <w:t>4</w:t>
      </w:r>
      <w:r>
        <w:rPr>
          <w:rFonts w:hint="eastAsia" w:ascii="宋体" w:hAnsi="宋体"/>
          <w:b/>
          <w:sz w:val="32"/>
          <w:szCs w:val="32"/>
          <w:lang w:eastAsia="zh-CN"/>
        </w:rPr>
        <w:t>年</w:t>
      </w:r>
      <w:r>
        <w:rPr>
          <w:rFonts w:hint="eastAsia" w:ascii="宋体" w:hAnsi="宋体"/>
          <w:b/>
          <w:sz w:val="32"/>
          <w:szCs w:val="32"/>
          <w:lang w:val="en-US" w:eastAsia="zh-CN"/>
        </w:rPr>
        <w:t>8</w:t>
      </w:r>
      <w:r>
        <w:rPr>
          <w:rFonts w:hint="eastAsia" w:ascii="宋体" w:hAnsi="宋体"/>
          <w:b/>
          <w:sz w:val="32"/>
          <w:szCs w:val="32"/>
          <w:lang w:eastAsia="zh-CN"/>
        </w:rPr>
        <w:t>月</w:t>
      </w:r>
    </w:p>
    <w:p>
      <w:pPr>
        <w:pStyle w:val="41"/>
        <w:numPr>
          <w:ilvl w:val="0"/>
          <w:numId w:val="1"/>
        </w:numPr>
        <w:spacing w:before="120" w:line="400" w:lineRule="atLeast"/>
        <w:ind w:left="1021" w:firstLineChars="0"/>
        <w:jc w:val="center"/>
        <w:outlineLvl w:val="0"/>
        <w:rPr>
          <w:rStyle w:val="40"/>
          <w:rFonts w:hint="eastAsia"/>
          <w:sz w:val="36"/>
          <w:szCs w:val="36"/>
          <w:lang w:eastAsia="zh-CN"/>
        </w:rPr>
        <w:sectPr>
          <w:footerReference r:id="rId3" w:type="default"/>
          <w:pgSz w:w="11906" w:h="16838"/>
          <w:pgMar w:top="1440" w:right="1800" w:bottom="1440" w:left="1800" w:header="851" w:footer="992" w:gutter="0"/>
          <w:cols w:space="425" w:num="1"/>
          <w:docGrid w:type="lines" w:linePitch="312" w:charSpace="0"/>
        </w:sectPr>
      </w:pPr>
    </w:p>
    <w:p>
      <w:pPr>
        <w:pStyle w:val="41"/>
        <w:numPr>
          <w:ilvl w:val="0"/>
          <w:numId w:val="1"/>
        </w:numPr>
        <w:spacing w:before="120" w:line="400" w:lineRule="atLeast"/>
        <w:ind w:left="1021" w:firstLineChars="0"/>
        <w:jc w:val="center"/>
        <w:outlineLvl w:val="0"/>
        <w:rPr>
          <w:rStyle w:val="40"/>
          <w:rFonts w:hint="eastAsia"/>
          <w:sz w:val="36"/>
          <w:szCs w:val="36"/>
          <w:lang w:eastAsia="zh-CN"/>
        </w:rPr>
      </w:pPr>
      <w:r>
        <w:rPr>
          <w:rStyle w:val="40"/>
          <w:rFonts w:hint="eastAsia"/>
          <w:sz w:val="36"/>
          <w:szCs w:val="36"/>
          <w:lang w:eastAsia="zh-CN"/>
        </w:rPr>
        <w:t>邀请函</w:t>
      </w:r>
    </w:p>
    <w:p>
      <w:pPr>
        <w:spacing w:line="360" w:lineRule="auto"/>
        <w:ind w:firstLine="480" w:firstLineChars="200"/>
        <w:rPr>
          <w:sz w:val="24"/>
          <w:szCs w:val="24"/>
          <w:lang w:eastAsia="zh-CN"/>
        </w:rPr>
      </w:pPr>
      <w:bookmarkStart w:id="0" w:name="OLE_LINK2"/>
      <w:bookmarkStart w:id="1" w:name="OLE_LINK1"/>
      <w:r>
        <w:rPr>
          <w:rFonts w:hint="eastAsia"/>
          <w:sz w:val="24"/>
          <w:szCs w:val="24"/>
          <w:u w:val="single"/>
          <w:lang w:eastAsia="zh-CN"/>
        </w:rPr>
        <w:t>中海信托股份有限公司</w:t>
      </w:r>
      <w:r>
        <w:rPr>
          <w:rFonts w:hint="eastAsia"/>
          <w:sz w:val="24"/>
          <w:szCs w:val="24"/>
          <w:lang w:eastAsia="zh-CN"/>
        </w:rPr>
        <w:t>将进行</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国产虚拟化软件采购</w:t>
      </w:r>
      <w:r>
        <w:rPr>
          <w:rFonts w:hint="eastAsia"/>
          <w:sz w:val="24"/>
          <w:szCs w:val="24"/>
          <w:u w:val="single"/>
          <w:lang w:val="en-US" w:eastAsia="zh-CN"/>
        </w:rPr>
        <w:t xml:space="preserve"> </w:t>
      </w:r>
      <w:r>
        <w:rPr>
          <w:rFonts w:hint="eastAsia"/>
          <w:sz w:val="24"/>
          <w:szCs w:val="24"/>
          <w:lang w:eastAsia="zh-CN"/>
        </w:rPr>
        <w:t>采购，现邀请贵方参与询价。</w:t>
      </w:r>
    </w:p>
    <w:p>
      <w:pPr>
        <w:spacing w:line="360" w:lineRule="auto"/>
        <w:ind w:firstLine="480" w:firstLineChars="200"/>
        <w:rPr>
          <w:rFonts w:hint="default"/>
          <w:bCs/>
          <w:sz w:val="24"/>
          <w:szCs w:val="24"/>
          <w:lang w:val="en-US" w:eastAsia="zh-CN"/>
        </w:rPr>
      </w:pPr>
      <w:r>
        <w:rPr>
          <w:rFonts w:hint="eastAsia"/>
          <w:bCs/>
          <w:sz w:val="24"/>
          <w:szCs w:val="24"/>
          <w:lang w:eastAsia="zh-CN"/>
        </w:rPr>
        <w:t>（一）项目名称：</w:t>
      </w:r>
      <w:r>
        <w:rPr>
          <w:rFonts w:hint="eastAsia"/>
          <w:sz w:val="24"/>
          <w:szCs w:val="24"/>
          <w:u w:val="single"/>
          <w:lang w:val="en-US" w:eastAsia="zh-CN"/>
        </w:rPr>
        <w:t xml:space="preserve"> </w:t>
      </w:r>
      <w:r>
        <w:rPr>
          <w:rFonts w:hint="eastAsia"/>
          <w:sz w:val="24"/>
          <w:szCs w:val="24"/>
          <w:u w:val="single"/>
          <w:lang w:eastAsia="zh-CN"/>
        </w:rPr>
        <w:t>国产虚拟化软件采购</w:t>
      </w:r>
      <w:r>
        <w:rPr>
          <w:rFonts w:hint="eastAsia"/>
          <w:sz w:val="24"/>
          <w:szCs w:val="24"/>
          <w:u w:val="single"/>
          <w:lang w:val="en-US" w:eastAsia="zh-CN"/>
        </w:rPr>
        <w:t xml:space="preserve"> </w:t>
      </w:r>
    </w:p>
    <w:p>
      <w:pPr>
        <w:spacing w:line="360" w:lineRule="auto"/>
        <w:ind w:firstLine="480" w:firstLineChars="200"/>
        <w:rPr>
          <w:rFonts w:hint="default"/>
          <w:sz w:val="24"/>
          <w:szCs w:val="24"/>
          <w:u w:val="single"/>
          <w:lang w:val="en-US" w:eastAsia="zh-CN"/>
        </w:rPr>
      </w:pPr>
      <w:r>
        <w:rPr>
          <w:rFonts w:hint="eastAsia"/>
          <w:bCs/>
          <w:sz w:val="24"/>
          <w:szCs w:val="24"/>
          <w:lang w:eastAsia="zh-CN"/>
        </w:rPr>
        <w:t>（二）项目概况：</w:t>
      </w:r>
      <w:r>
        <w:rPr>
          <w:rFonts w:hint="eastAsia"/>
          <w:sz w:val="24"/>
          <w:szCs w:val="24"/>
          <w:u w:val="single"/>
          <w:lang w:val="en-US" w:eastAsia="zh-CN"/>
        </w:rPr>
        <w:t xml:space="preserve"> </w:t>
      </w:r>
      <w:r>
        <w:rPr>
          <w:rFonts w:hint="default"/>
          <w:sz w:val="24"/>
          <w:szCs w:val="24"/>
          <w:u w:val="single"/>
          <w:lang w:val="en-US" w:eastAsia="zh-CN"/>
        </w:rPr>
        <w:t>根据集团2023年底的信息系统国产化改造的要求，公司在2027年前需要完成部分业务系统的国产化改造工作。今年需要搭建国产化基础架构平台环境，本次需要采办</w:t>
      </w:r>
      <w:r>
        <w:rPr>
          <w:rFonts w:hint="default"/>
          <w:sz w:val="24"/>
          <w:szCs w:val="24"/>
          <w:highlight w:val="yellow"/>
          <w:u w:val="single"/>
          <w:lang w:val="en-US" w:eastAsia="zh-CN"/>
        </w:rPr>
        <w:t>3套 SMTX OS 超融合软件的授权</w:t>
      </w:r>
      <w:r>
        <w:rPr>
          <w:rFonts w:hint="default"/>
          <w:sz w:val="24"/>
          <w:szCs w:val="24"/>
          <w:u w:val="single"/>
          <w:lang w:val="en-US" w:eastAsia="zh-CN"/>
        </w:rPr>
        <w:t>。</w:t>
      </w:r>
      <w:r>
        <w:rPr>
          <w:rFonts w:hint="eastAsia"/>
          <w:sz w:val="24"/>
          <w:szCs w:val="24"/>
          <w:u w:val="single"/>
          <w:lang w:val="en-US" w:eastAsia="zh-CN"/>
        </w:rPr>
        <w:t xml:space="preserve"> </w:t>
      </w:r>
    </w:p>
    <w:p>
      <w:pPr>
        <w:spacing w:line="360" w:lineRule="auto"/>
        <w:ind w:firstLine="480" w:firstLineChars="200"/>
        <w:rPr>
          <w:sz w:val="24"/>
          <w:szCs w:val="24"/>
          <w:lang w:eastAsia="zh-CN"/>
        </w:rPr>
      </w:pPr>
      <w:r>
        <w:rPr>
          <w:rFonts w:hint="eastAsia"/>
          <w:sz w:val="24"/>
          <w:szCs w:val="24"/>
          <w:lang w:eastAsia="zh-CN"/>
        </w:rPr>
        <w:t>（三）服务期：</w:t>
      </w:r>
      <w:r>
        <w:rPr>
          <w:rFonts w:hint="eastAsia"/>
          <w:sz w:val="24"/>
          <w:szCs w:val="24"/>
          <w:u w:val="single"/>
          <w:lang w:val="en-US" w:eastAsia="zh-CN"/>
        </w:rPr>
        <w:t xml:space="preserve"> 根据采购方要求时间供货，并提供3年质保。</w:t>
      </w:r>
    </w:p>
    <w:p>
      <w:pPr>
        <w:spacing w:line="360" w:lineRule="auto"/>
        <w:ind w:firstLine="480" w:firstLineChars="200"/>
        <w:rPr>
          <w:rFonts w:hint="default"/>
          <w:sz w:val="24"/>
          <w:szCs w:val="24"/>
          <w:u w:val="single"/>
          <w:lang w:val="en-US" w:eastAsia="zh-CN"/>
        </w:rPr>
      </w:pPr>
      <w:r>
        <w:rPr>
          <w:rFonts w:hint="eastAsia"/>
          <w:sz w:val="24"/>
          <w:szCs w:val="24"/>
          <w:lang w:eastAsia="zh-CN"/>
        </w:rPr>
        <w:t>（四）需求数量：</w:t>
      </w:r>
      <w:r>
        <w:rPr>
          <w:rFonts w:hint="eastAsia"/>
          <w:sz w:val="24"/>
          <w:szCs w:val="24"/>
          <w:u w:val="single"/>
          <w:lang w:val="en-US" w:eastAsia="zh-CN"/>
        </w:rPr>
        <w:t xml:space="preserve"> 3 套  </w:t>
      </w:r>
    </w:p>
    <w:p>
      <w:pPr>
        <w:spacing w:line="360" w:lineRule="auto"/>
        <w:ind w:firstLine="480" w:firstLineChars="200"/>
        <w:rPr>
          <w:sz w:val="24"/>
          <w:szCs w:val="24"/>
          <w:u w:val="single"/>
          <w:lang w:eastAsia="zh-CN"/>
        </w:rPr>
      </w:pPr>
      <w:r>
        <w:rPr>
          <w:rFonts w:hint="eastAsia"/>
          <w:sz w:val="24"/>
          <w:szCs w:val="24"/>
          <w:lang w:eastAsia="zh-CN"/>
        </w:rPr>
        <w:t>（五）项目服务所在地：</w:t>
      </w:r>
      <w:r>
        <w:rPr>
          <w:rFonts w:hint="eastAsia"/>
          <w:sz w:val="24"/>
          <w:szCs w:val="24"/>
          <w:u w:val="single"/>
          <w:lang w:eastAsia="zh-CN"/>
        </w:rPr>
        <w:t>上海，</w:t>
      </w:r>
      <w:r>
        <w:rPr>
          <w:rFonts w:hint="eastAsia"/>
          <w:sz w:val="24"/>
          <w:szCs w:val="24"/>
          <w:u w:val="single"/>
          <w:lang w:val="en-US" w:eastAsia="zh-CN"/>
        </w:rPr>
        <w:t>黄浦</w:t>
      </w:r>
      <w:r>
        <w:rPr>
          <w:rFonts w:hint="eastAsia"/>
          <w:sz w:val="24"/>
          <w:szCs w:val="24"/>
          <w:u w:val="single"/>
          <w:lang w:eastAsia="zh-CN"/>
        </w:rPr>
        <w:t>。</w:t>
      </w:r>
    </w:p>
    <w:p>
      <w:pPr>
        <w:spacing w:line="360" w:lineRule="auto"/>
        <w:ind w:firstLine="480" w:firstLineChars="200"/>
        <w:rPr>
          <w:sz w:val="24"/>
          <w:szCs w:val="24"/>
          <w:lang w:eastAsia="zh-CN"/>
        </w:rPr>
      </w:pPr>
      <w:r>
        <w:rPr>
          <w:rFonts w:hint="eastAsia"/>
          <w:sz w:val="24"/>
          <w:szCs w:val="24"/>
          <w:lang w:eastAsia="zh-CN"/>
        </w:rPr>
        <w:t>（六）采购文件包括：邀请函、应答文件格式要求、项目商务和技术要求（需求说明）、</w:t>
      </w:r>
      <w:r>
        <w:rPr>
          <w:rFonts w:hint="eastAsia"/>
          <w:bCs/>
          <w:sz w:val="24"/>
          <w:szCs w:val="24"/>
          <w:lang w:eastAsia="zh-CN"/>
        </w:rPr>
        <w:t>合同条款（中国海油标准合同文本）。</w:t>
      </w:r>
    </w:p>
    <w:p>
      <w:pPr>
        <w:spacing w:line="360" w:lineRule="auto"/>
        <w:ind w:firstLine="480" w:firstLineChars="200"/>
        <w:rPr>
          <w:sz w:val="24"/>
          <w:szCs w:val="24"/>
          <w:lang w:eastAsia="zh-CN"/>
        </w:rPr>
      </w:pPr>
      <w:r>
        <w:rPr>
          <w:rFonts w:hint="eastAsia"/>
          <w:sz w:val="24"/>
          <w:szCs w:val="24"/>
          <w:lang w:eastAsia="zh-CN"/>
        </w:rPr>
        <w:t>（七）应答文件：按采购文件的格式和要求进行编制，</w:t>
      </w:r>
      <w:r>
        <w:rPr>
          <w:rFonts w:hint="eastAsia"/>
          <w:bCs/>
          <w:sz w:val="24"/>
          <w:szCs w:val="24"/>
          <w:lang w:eastAsia="zh-CN"/>
        </w:rPr>
        <w:t>如有异议应提前沟通或提出，</w:t>
      </w:r>
      <w:r>
        <w:rPr>
          <w:rFonts w:hint="eastAsia"/>
          <w:sz w:val="24"/>
          <w:szCs w:val="24"/>
          <w:lang w:eastAsia="zh-CN"/>
        </w:rPr>
        <w:t>并在规定的截止时间前递交给联系人。详见应答格式要求。</w:t>
      </w:r>
    </w:p>
    <w:p>
      <w:pPr>
        <w:spacing w:line="360" w:lineRule="auto"/>
        <w:ind w:firstLine="480" w:firstLineChars="200"/>
        <w:rPr>
          <w:sz w:val="24"/>
          <w:szCs w:val="24"/>
          <w:lang w:eastAsia="zh-CN"/>
        </w:rPr>
      </w:pPr>
      <w:r>
        <w:rPr>
          <w:rFonts w:hint="eastAsia"/>
          <w:sz w:val="24"/>
          <w:szCs w:val="24"/>
          <w:lang w:eastAsia="zh-CN"/>
        </w:rPr>
        <w:t>（八）应答文件递交截止时间：详见采办系统</w:t>
      </w:r>
    </w:p>
    <w:p>
      <w:pPr>
        <w:spacing w:line="360" w:lineRule="auto"/>
        <w:ind w:firstLine="480" w:firstLineChars="200"/>
        <w:rPr>
          <w:sz w:val="24"/>
          <w:szCs w:val="24"/>
          <w:lang w:eastAsia="zh-CN"/>
        </w:rPr>
      </w:pPr>
      <w:r>
        <w:rPr>
          <w:rFonts w:hint="eastAsia"/>
          <w:sz w:val="24"/>
          <w:szCs w:val="24"/>
          <w:lang w:eastAsia="zh-CN"/>
        </w:rPr>
        <w:t>（九）采购文件领取截至时间：详见采办系统</w:t>
      </w:r>
    </w:p>
    <w:p>
      <w:pPr>
        <w:spacing w:line="360" w:lineRule="auto"/>
        <w:ind w:firstLine="480" w:firstLineChars="200"/>
        <w:rPr>
          <w:sz w:val="24"/>
          <w:szCs w:val="24"/>
          <w:lang w:eastAsia="zh-CN"/>
        </w:rPr>
      </w:pPr>
      <w:r>
        <w:rPr>
          <w:rFonts w:hint="eastAsia"/>
          <w:sz w:val="24"/>
          <w:szCs w:val="24"/>
          <w:lang w:eastAsia="zh-CN"/>
        </w:rPr>
        <w:t>（十）评审方法：</w:t>
      </w:r>
    </w:p>
    <w:p>
      <w:pPr>
        <w:spacing w:line="360" w:lineRule="auto"/>
        <w:ind w:firstLine="480" w:firstLineChars="200"/>
        <w:rPr>
          <w:sz w:val="24"/>
          <w:szCs w:val="24"/>
          <w:lang w:eastAsia="zh-CN"/>
        </w:rPr>
      </w:pPr>
      <w:r>
        <w:rPr>
          <w:rFonts w:hint="eastAsia"/>
          <w:sz w:val="24"/>
          <w:szCs w:val="24"/>
          <w:lang w:eastAsia="zh-CN"/>
        </w:rPr>
        <w:t>1、经评审的最低价。</w:t>
      </w:r>
    </w:p>
    <w:p>
      <w:pPr>
        <w:spacing w:line="360" w:lineRule="auto"/>
        <w:ind w:firstLine="480" w:firstLineChars="200"/>
        <w:rPr>
          <w:sz w:val="24"/>
          <w:szCs w:val="24"/>
          <w:lang w:eastAsia="zh-CN"/>
        </w:rPr>
      </w:pPr>
      <w:r>
        <w:rPr>
          <w:rFonts w:hint="eastAsia"/>
          <w:sz w:val="24"/>
          <w:szCs w:val="24"/>
          <w:lang w:eastAsia="zh-CN"/>
        </w:rPr>
        <w:t>2、本次采购的缺漏项不得超出采购报价(不含增值税)的10%，否则将导致废标。</w:t>
      </w:r>
    </w:p>
    <w:p>
      <w:pPr>
        <w:spacing w:line="360" w:lineRule="auto"/>
        <w:ind w:firstLine="480" w:firstLineChars="200"/>
        <w:rPr>
          <w:sz w:val="24"/>
          <w:szCs w:val="24"/>
          <w:lang w:eastAsia="zh-CN"/>
        </w:rPr>
      </w:pPr>
      <w:r>
        <w:rPr>
          <w:rFonts w:hint="eastAsia"/>
          <w:sz w:val="24"/>
          <w:szCs w:val="24"/>
          <w:lang w:eastAsia="zh-CN"/>
        </w:rPr>
        <w:t>3、税费偏离调整：附加税税率为12%，税费偏离调整=投标价格（不含增值税）×（所有合格报价中税率最高值－所报增值税率）×附加税税率</w:t>
      </w:r>
    </w:p>
    <w:p>
      <w:pPr>
        <w:spacing w:line="360" w:lineRule="auto"/>
        <w:ind w:firstLine="480" w:firstLineChars="200"/>
        <w:rPr>
          <w:sz w:val="24"/>
          <w:szCs w:val="24"/>
          <w:lang w:eastAsia="zh-CN"/>
        </w:rPr>
      </w:pPr>
      <w:r>
        <w:rPr>
          <w:rFonts w:hint="eastAsia"/>
          <w:sz w:val="24"/>
          <w:szCs w:val="24"/>
          <w:lang w:eastAsia="zh-CN"/>
        </w:rPr>
        <w:t>4、评标价=不含增值税投标价+评标价格调整</w:t>
      </w:r>
    </w:p>
    <w:p>
      <w:pPr>
        <w:spacing w:line="360" w:lineRule="auto"/>
        <w:ind w:firstLine="480" w:firstLineChars="200"/>
        <w:rPr>
          <w:sz w:val="24"/>
          <w:szCs w:val="24"/>
          <w:lang w:eastAsia="zh-CN"/>
        </w:rPr>
      </w:pPr>
    </w:p>
    <w:bookmarkEnd w:id="0"/>
    <w:bookmarkEnd w:id="1"/>
    <w:p>
      <w:pPr>
        <w:overflowPunct/>
        <w:autoSpaceDE/>
        <w:autoSpaceDN/>
        <w:adjustRightInd/>
        <w:spacing w:line="360" w:lineRule="auto"/>
        <w:ind w:firstLine="720" w:firstLineChars="200"/>
        <w:textAlignment w:val="auto"/>
        <w:rPr>
          <w:rStyle w:val="40"/>
          <w:sz w:val="36"/>
          <w:szCs w:val="36"/>
          <w:lang w:eastAsia="zh-CN"/>
        </w:rPr>
      </w:pPr>
      <w:r>
        <w:rPr>
          <w:rStyle w:val="40"/>
          <w:sz w:val="36"/>
          <w:szCs w:val="36"/>
          <w:lang w:eastAsia="zh-CN"/>
        </w:rPr>
        <w:br w:type="page"/>
      </w:r>
    </w:p>
    <w:p>
      <w:pPr>
        <w:pStyle w:val="41"/>
        <w:numPr>
          <w:ilvl w:val="0"/>
          <w:numId w:val="1"/>
        </w:numPr>
        <w:spacing w:line="360" w:lineRule="auto"/>
        <w:ind w:left="0" w:firstLine="723"/>
        <w:jc w:val="center"/>
        <w:outlineLvl w:val="0"/>
        <w:rPr>
          <w:rStyle w:val="40"/>
          <w:sz w:val="36"/>
          <w:szCs w:val="36"/>
          <w:lang w:eastAsia="zh-CN"/>
        </w:rPr>
      </w:pPr>
      <w:r>
        <w:rPr>
          <w:rStyle w:val="40"/>
          <w:rFonts w:hint="eastAsia"/>
          <w:sz w:val="36"/>
          <w:szCs w:val="36"/>
          <w:lang w:val="en-US" w:eastAsia="zh-CN"/>
        </w:rPr>
        <w:t>报价须知</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人民币报价需要提供适用税率及对应的不含增值税净价、单项含税价、含税及不</w:t>
      </w:r>
      <w:r>
        <w:rPr>
          <w:rFonts w:ascii="宋体" w:hAnsi="宋体" w:eastAsia="宋体" w:cs="Times New Roman"/>
          <w:sz w:val="24"/>
        </w:rPr>
        <w:t>含</w:t>
      </w:r>
      <w:r>
        <w:rPr>
          <w:rFonts w:hint="eastAsia" w:ascii="宋体" w:hAnsi="宋体" w:eastAsia="宋体" w:cs="Times New Roman"/>
          <w:sz w:val="24"/>
        </w:rPr>
        <w:t>税价总和。如有多种税率，需逐一列出税率及对应的含税价。外币报价运杂费及税费不单列，包含在各项价格中。</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报价单需要加盖和响应人报价单位</w:t>
      </w:r>
      <w:r>
        <w:rPr>
          <w:rFonts w:ascii="宋体" w:hAnsi="宋体" w:eastAsia="宋体" w:cs="Times New Roman"/>
          <w:sz w:val="24"/>
        </w:rPr>
        <w:t>/</w:t>
      </w:r>
      <w:r>
        <w:rPr>
          <w:rFonts w:hint="eastAsia" w:ascii="宋体" w:hAnsi="宋体" w:eastAsia="宋体" w:cs="Times New Roman"/>
          <w:sz w:val="24"/>
        </w:rPr>
        <w:t>公司一致的用章，并经</w:t>
      </w:r>
      <w:r>
        <w:rPr>
          <w:rFonts w:hint="eastAsia" w:ascii="宋体" w:hAnsi="宋体" w:eastAsia="宋体" w:cs="Times New Roman"/>
          <w:sz w:val="24"/>
          <w:szCs w:val="24"/>
        </w:rPr>
        <w:t>法定代表人/负责人(以下统称“法定代表人”）或被授权委托人</w:t>
      </w:r>
      <w:r>
        <w:rPr>
          <w:rFonts w:hint="eastAsia" w:ascii="宋体" w:hAnsi="宋体" w:eastAsia="宋体" w:cs="Times New Roman"/>
          <w:sz w:val="24"/>
        </w:rPr>
        <w:t>签名。</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b/>
          <w:sz w:val="24"/>
        </w:rPr>
        <w:t>报价须在系统中逐项录入价格，并在系统中挂接报价文件（格式见附件</w:t>
      </w:r>
      <w:r>
        <w:rPr>
          <w:rFonts w:hint="eastAsia" w:ascii="宋体" w:hAnsi="宋体" w:cs="Times New Roman"/>
          <w:b/>
          <w:sz w:val="24"/>
          <w:lang w:val="en-US" w:eastAsia="zh-CN"/>
        </w:rPr>
        <w:t>C</w:t>
      </w:r>
      <w:r>
        <w:rPr>
          <w:rFonts w:hint="eastAsia" w:ascii="宋体" w:hAnsi="宋体" w:eastAsia="宋体" w:cs="Times New Roman"/>
          <w:b/>
          <w:sz w:val="24"/>
        </w:rPr>
        <w:t>，提供PDF签章扫描版）。</w:t>
      </w:r>
      <w:r>
        <w:rPr>
          <w:rFonts w:hint="eastAsia" w:ascii="宋体" w:hAnsi="宋体" w:eastAsia="宋体" w:cs="Times New Roman"/>
          <w:sz w:val="24"/>
        </w:rPr>
        <w:t>两者价格应一致，如有差异，以挂接的报价文件为准。总价与单价有差异的，以单价为准，</w:t>
      </w:r>
      <w:r>
        <w:rPr>
          <w:rFonts w:hint="eastAsia" w:ascii="宋体" w:hAnsi="宋体" w:eastAsia="宋体" w:cs="Times New Roman"/>
          <w:b/>
          <w:sz w:val="24"/>
        </w:rPr>
        <w:t>价格精确到小数点后2位</w:t>
      </w:r>
      <w:r>
        <w:rPr>
          <w:rFonts w:hint="eastAsia" w:ascii="宋体" w:hAnsi="宋体" w:eastAsia="宋体" w:cs="Times New Roman"/>
          <w:sz w:val="24"/>
        </w:rPr>
        <w:t>。</w:t>
      </w:r>
    </w:p>
    <w:p>
      <w:pPr>
        <w:pStyle w:val="41"/>
        <w:numPr>
          <w:ilvl w:val="0"/>
          <w:numId w:val="2"/>
        </w:numPr>
        <w:spacing w:line="360" w:lineRule="auto"/>
        <w:ind w:left="0" w:firstLine="420" w:firstLineChars="0"/>
        <w:rPr>
          <w:rFonts w:ascii="宋体" w:hAnsi="宋体" w:eastAsia="宋体" w:cs="Times New Roman"/>
          <w:color w:val="FF0000"/>
          <w:sz w:val="24"/>
        </w:rPr>
      </w:pPr>
      <w:r>
        <w:rPr>
          <w:rFonts w:hint="eastAsia" w:ascii="宋体" w:hAnsi="宋体" w:eastAsia="宋体" w:cs="Times New Roman"/>
          <w:sz w:val="24"/>
        </w:rPr>
        <w:t>响应人</w:t>
      </w:r>
      <w:r>
        <w:rPr>
          <w:rFonts w:ascii="宋体" w:hAnsi="宋体" w:eastAsia="宋体" w:cs="Times New Roman"/>
          <w:sz w:val="24"/>
        </w:rPr>
        <w:t>需</w:t>
      </w:r>
      <w:r>
        <w:rPr>
          <w:rFonts w:hint="eastAsia" w:ascii="宋体" w:hAnsi="宋体" w:eastAsia="宋体" w:cs="Times New Roman"/>
          <w:sz w:val="24"/>
        </w:rPr>
        <w:t>认真阅读相关附件和询价要求，包括付款方式、交货地点、币种要求、交货期、货物描述等商务和技术要求；如果报价与询价要求不一致（包括技术部分和商务部分），需明确标出，注明原因。若询价产品确实已停产，如有替代或升级产品，请在报价时提供替代或升级产品的详细技术资料，并注明替代或升级产品能否替代原产品使用；</w:t>
      </w:r>
      <w:r>
        <w:rPr>
          <w:rFonts w:hint="eastAsia" w:ascii="宋体" w:hAnsi="宋体" w:eastAsia="宋体" w:cs="Times New Roman"/>
          <w:b/>
          <w:color w:val="000000" w:themeColor="text1"/>
          <w:sz w:val="24"/>
          <w14:textFill>
            <w14:solidFill>
              <w14:schemeClr w14:val="tx1"/>
            </w14:solidFill>
          </w14:textFill>
        </w:rPr>
        <w:t>任何差异都需要以书面形式明确提出，否则视为默认同意询价人的要求。</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中项目排列顺序需和询价一致，不能改变。需按询价人询价内容及对应项号逐项报价，不能修改询价人询价描述，不得增加或删减项号。有替代报价产品的，请在相应行后备注列标明，并对替代内容进行说明（包括询价过程有澄清的）。</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报价单必须提供货物品牌或者厂家。</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响应人应该清楚询价人有权选择响应人报价项目的全部或部分货物成交。</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报价单各项需要明确单价、数量、单位、总价。</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报价有效期至少为报价截止日后90天。</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拒绝报价：凡不接受询价人询价条件的，应在报价中明确说明；但响应人以不同条件报价或报价不符合要求的，都有可能导致响应人报价不被询价人接受。</w:t>
      </w:r>
      <w:r>
        <w:rPr>
          <w:rFonts w:hint="eastAsia" w:ascii="宋体" w:hAnsi="宋体" w:eastAsia="宋体" w:cs="Times New Roman"/>
          <w:b/>
          <w:sz w:val="24"/>
        </w:rPr>
        <w:t>不满足关键条件的报价无效（★标注事项属于关键条件）</w:t>
      </w:r>
      <w:r>
        <w:rPr>
          <w:rFonts w:hint="eastAsia" w:ascii="宋体" w:hAnsi="宋体" w:eastAsia="宋体" w:cs="Times New Roman"/>
          <w:sz w:val="24"/>
        </w:rPr>
        <w:t>。</w:t>
      </w:r>
    </w:p>
    <w:p>
      <w:pPr>
        <w:pStyle w:val="41"/>
        <w:numPr>
          <w:ilvl w:val="0"/>
          <w:numId w:val="2"/>
        </w:numPr>
        <w:tabs>
          <w:tab w:val="left" w:pos="851"/>
        </w:tabs>
        <w:spacing w:line="360" w:lineRule="auto"/>
        <w:ind w:firstLineChars="0"/>
        <w:rPr>
          <w:rFonts w:ascii="宋体" w:hAnsi="宋体" w:eastAsia="宋体" w:cs="Times New Roman"/>
          <w:sz w:val="24"/>
        </w:rPr>
      </w:pPr>
      <w:r>
        <w:rPr>
          <w:rFonts w:ascii="宋体" w:hAnsi="宋体" w:eastAsia="宋体" w:cs="Times New Roman"/>
          <w:sz w:val="24"/>
        </w:rPr>
        <w:t>如响应人需要延期报价的，请提前向询价人做出书面说明。</w:t>
      </w:r>
    </w:p>
    <w:p>
      <w:pPr>
        <w:pStyle w:val="41"/>
        <w:numPr>
          <w:ilvl w:val="0"/>
          <w:numId w:val="2"/>
        </w:numPr>
        <w:spacing w:line="360" w:lineRule="auto"/>
        <w:ind w:left="0" w:firstLine="420" w:firstLineChars="0"/>
        <w:rPr>
          <w:rFonts w:ascii="宋体" w:hAnsi="宋体" w:eastAsia="宋体" w:cs="Times New Roman"/>
          <w:sz w:val="24"/>
        </w:rPr>
      </w:pPr>
      <w:r>
        <w:rPr>
          <w:rFonts w:ascii="宋体" w:hAnsi="宋体" w:eastAsia="宋体" w:cs="Times New Roman"/>
          <w:sz w:val="24"/>
        </w:rPr>
        <w:t>未注明之条款</w:t>
      </w:r>
      <w:r>
        <w:rPr>
          <w:rFonts w:hint="eastAsia" w:ascii="宋体" w:hAnsi="宋体" w:eastAsia="宋体" w:cs="Times New Roman"/>
          <w:sz w:val="24"/>
        </w:rPr>
        <w:t>，</w:t>
      </w:r>
      <w:r>
        <w:rPr>
          <w:rFonts w:ascii="宋体" w:hAnsi="宋体" w:eastAsia="宋体" w:cs="Times New Roman"/>
          <w:sz w:val="24"/>
        </w:rPr>
        <w:t>按询价人</w:t>
      </w:r>
      <w:r>
        <w:rPr>
          <w:rFonts w:hint="eastAsia" w:ascii="宋体" w:hAnsi="宋体" w:eastAsia="宋体" w:cs="Times New Roman"/>
          <w:sz w:val="24"/>
        </w:rPr>
        <w:t>形式合同有关</w:t>
      </w:r>
      <w:r>
        <w:rPr>
          <w:rFonts w:ascii="宋体" w:hAnsi="宋体" w:eastAsia="宋体" w:cs="Times New Roman"/>
          <w:sz w:val="24"/>
        </w:rPr>
        <w:t>条款和条件执行。凡不接受询价人条款和条件的，应在报价中明确说明。响应人以不同条件报价或报价不符合要求的，都有可能导致响应人报价不被询价人接受。</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报价单中同一品牌或生产厂家的货物应能单项供货，不能拆包的必需在备注中注明，否</w:t>
      </w:r>
      <w:r>
        <w:rPr>
          <w:rFonts w:ascii="宋体" w:hAnsi="宋体" w:eastAsia="宋体" w:cs="Times New Roman"/>
          <w:sz w:val="24"/>
        </w:rPr>
        <w:t>则</w:t>
      </w:r>
      <w:r>
        <w:rPr>
          <w:rFonts w:hint="eastAsia" w:ascii="宋体" w:hAnsi="宋体" w:eastAsia="宋体" w:cs="Times New Roman"/>
          <w:sz w:val="24"/>
        </w:rPr>
        <w:t>询价人有</w:t>
      </w:r>
      <w:r>
        <w:rPr>
          <w:rFonts w:ascii="宋体" w:hAnsi="宋体" w:eastAsia="宋体" w:cs="Times New Roman"/>
          <w:sz w:val="24"/>
        </w:rPr>
        <w:t>权对</w:t>
      </w:r>
      <w:r>
        <w:rPr>
          <w:rFonts w:hint="eastAsia" w:ascii="宋体" w:hAnsi="宋体" w:eastAsia="宋体" w:cs="Times New Roman"/>
          <w:sz w:val="24"/>
        </w:rPr>
        <w:t>其</w:t>
      </w:r>
      <w:r>
        <w:rPr>
          <w:rFonts w:ascii="宋体" w:hAnsi="宋体" w:eastAsia="宋体" w:cs="Times New Roman"/>
          <w:sz w:val="24"/>
        </w:rPr>
        <w:t>进行分项</w:t>
      </w:r>
      <w:r>
        <w:rPr>
          <w:rFonts w:hint="eastAsia" w:ascii="宋体" w:hAnsi="宋体" w:eastAsia="宋体" w:cs="Times New Roman"/>
          <w:sz w:val="24"/>
        </w:rPr>
        <w:t>成交并</w:t>
      </w:r>
      <w:r>
        <w:rPr>
          <w:rFonts w:ascii="宋体" w:hAnsi="宋体" w:eastAsia="宋体" w:cs="Times New Roman"/>
          <w:sz w:val="24"/>
        </w:rPr>
        <w:t>签订</w:t>
      </w:r>
      <w:r>
        <w:rPr>
          <w:rFonts w:hint="eastAsia" w:ascii="宋体" w:hAnsi="宋体" w:eastAsia="宋体" w:cs="Times New Roman"/>
          <w:sz w:val="24"/>
        </w:rPr>
        <w:t>分</w:t>
      </w:r>
      <w:r>
        <w:rPr>
          <w:rFonts w:ascii="宋体" w:hAnsi="宋体" w:eastAsia="宋体" w:cs="Times New Roman"/>
          <w:sz w:val="24"/>
        </w:rPr>
        <w:t>项</w:t>
      </w:r>
      <w:r>
        <w:rPr>
          <w:rFonts w:hint="eastAsia" w:ascii="宋体" w:hAnsi="宋体" w:eastAsia="宋体" w:cs="Times New Roman"/>
          <w:sz w:val="24"/>
        </w:rPr>
        <w:t>供</w:t>
      </w:r>
      <w:r>
        <w:rPr>
          <w:rFonts w:ascii="宋体" w:hAnsi="宋体" w:eastAsia="宋体" w:cs="Times New Roman"/>
          <w:sz w:val="24"/>
        </w:rPr>
        <w:t>货合同</w:t>
      </w:r>
      <w:r>
        <w:rPr>
          <w:rFonts w:hint="eastAsia" w:ascii="宋体" w:hAnsi="宋体" w:eastAsia="宋体" w:cs="Times New Roman"/>
          <w:sz w:val="24"/>
        </w:rPr>
        <w:t>。</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交货期：响应人报价时同时报出合同签订后的最佳交货期（该交货期为货物、证书及相关文件一起交到询价人仓库的最晚日期）。询价单对交货期有特别要求的报价时须说明是否可满足要求。</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询价人询价内容没有注明产品厂家或者品牌的，请响应人报价的时候注明所报货物的生产厂家、品牌、质量保证及质保期、售后服务承诺、交货方式、包装后总重量等事项。</w:t>
      </w:r>
    </w:p>
    <w:p>
      <w:pPr>
        <w:pStyle w:val="41"/>
        <w:numPr>
          <w:ilvl w:val="0"/>
          <w:numId w:val="2"/>
        </w:numPr>
        <w:spacing w:line="360" w:lineRule="auto"/>
        <w:ind w:left="0" w:firstLine="420" w:firstLineChars="0"/>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付款条件</w:t>
      </w:r>
      <w:r>
        <w:rPr>
          <w:rFonts w:hint="eastAsia" w:ascii="宋体" w:hAnsi="宋体" w:eastAsia="宋体" w:cs="Times New Roman"/>
          <w:sz w:val="24"/>
        </w:rPr>
        <w:t>：如无特别约定，则货到询价人指定地点并经初步检验合格或完成安装，且收到成交人有效发票及相关单证验收无误后</w:t>
      </w:r>
      <w:r>
        <w:rPr>
          <w:rFonts w:hint="eastAsia" w:ascii="宋体" w:hAnsi="宋体" w:cs="Times New Roman"/>
          <w:sz w:val="24"/>
          <w:lang w:val="en-US" w:eastAsia="zh-CN"/>
        </w:rPr>
        <w:t>30</w:t>
      </w:r>
      <w:r>
        <w:rPr>
          <w:rFonts w:hint="eastAsia" w:ascii="宋体" w:hAnsi="宋体" w:eastAsia="宋体" w:cs="Times New Roman"/>
          <w:sz w:val="24"/>
        </w:rPr>
        <w:t>天内通过银行转帐支付。</w:t>
      </w:r>
    </w:p>
    <w:p>
      <w:pPr>
        <w:pStyle w:val="41"/>
        <w:numPr>
          <w:ilvl w:val="0"/>
          <w:numId w:val="2"/>
        </w:numPr>
        <w:spacing w:line="360" w:lineRule="auto"/>
        <w:ind w:left="0" w:firstLine="420" w:firstLineChars="0"/>
        <w:rPr>
          <w:rFonts w:hint="eastAsia" w:ascii="宋体" w:hAnsi="宋体" w:eastAsia="宋体" w:cs="Times New Roman"/>
          <w:sz w:val="24"/>
        </w:rPr>
      </w:pPr>
      <w:r>
        <w:rPr>
          <w:rFonts w:hint="eastAsia" w:ascii="宋体" w:hAnsi="宋体" w:eastAsia="宋体" w:cs="Times New Roman"/>
          <w:sz w:val="24"/>
        </w:rPr>
        <w:t>响应人应确保报价产品取得法定或本询价文件要求的合格产品认证，严禁假冒伪劣产品，并在交货时提供相关证书文件供询价人验收核查。一经发现存在假冒伪劣、质量缺陷等问题，将严格追究违约责任。</w:t>
      </w: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0"/>
        </w:numPr>
        <w:spacing w:line="360" w:lineRule="auto"/>
        <w:ind w:leftChars="200"/>
        <w:jc w:val="both"/>
        <w:outlineLvl w:val="0"/>
        <w:rPr>
          <w:rStyle w:val="40"/>
          <w:rFonts w:hint="eastAsia" w:ascii="Times New Roman" w:hAnsi="Times New Roman" w:eastAsia="宋体" w:cs="Times New Roman"/>
          <w:sz w:val="36"/>
          <w:szCs w:val="36"/>
          <w:lang w:val="en-US" w:eastAsia="zh-CN"/>
        </w:rPr>
      </w:pPr>
    </w:p>
    <w:p>
      <w:pPr>
        <w:pStyle w:val="41"/>
        <w:numPr>
          <w:ilvl w:val="0"/>
          <w:numId w:val="1"/>
        </w:numPr>
        <w:spacing w:line="360" w:lineRule="auto"/>
        <w:ind w:left="0" w:firstLine="723"/>
        <w:jc w:val="center"/>
        <w:outlineLvl w:val="0"/>
        <w:rPr>
          <w:rStyle w:val="40"/>
          <w:rFonts w:hint="eastAsia" w:ascii="Times New Roman" w:hAnsi="Times New Roman" w:eastAsia="宋体" w:cs="Times New Roman"/>
          <w:sz w:val="36"/>
          <w:szCs w:val="36"/>
          <w:lang w:val="en-US" w:eastAsia="zh-CN"/>
        </w:rPr>
      </w:pPr>
      <w:r>
        <w:rPr>
          <w:rStyle w:val="40"/>
          <w:rFonts w:hint="eastAsia" w:ascii="Times New Roman" w:hAnsi="Times New Roman" w:eastAsia="宋体" w:cs="Times New Roman"/>
          <w:sz w:val="36"/>
          <w:szCs w:val="36"/>
          <w:lang w:val="en-US" w:eastAsia="zh-CN"/>
        </w:rPr>
        <w:t>响应文件评审</w:t>
      </w:r>
    </w:p>
    <w:p>
      <w:pPr>
        <w:pStyle w:val="41"/>
        <w:numPr>
          <w:ilvl w:val="0"/>
          <w:numId w:val="3"/>
        </w:numPr>
        <w:tabs>
          <w:tab w:val="left" w:pos="709"/>
        </w:tabs>
        <w:spacing w:line="360" w:lineRule="auto"/>
        <w:ind w:left="0" w:firstLine="424" w:firstLineChars="177"/>
        <w:rPr>
          <w:rFonts w:ascii="宋体" w:hAnsi="宋体" w:eastAsia="宋体" w:cs="Times New Roman"/>
          <w:sz w:val="24"/>
        </w:rPr>
      </w:pPr>
      <w:r>
        <w:rPr>
          <w:rFonts w:hint="eastAsia" w:ascii="宋体" w:hAnsi="宋体" w:eastAsia="宋体" w:cs="Times New Roman"/>
          <w:kern w:val="0"/>
          <w:sz w:val="24"/>
          <w:szCs w:val="24"/>
        </w:rPr>
        <w:t>评审及授标原则：</w:t>
      </w:r>
      <w:r>
        <w:rPr>
          <w:rFonts w:hint="eastAsia" w:ascii="宋体" w:hAnsi="Times New Roman" w:eastAsia="宋体" w:cs="Times New Roman"/>
          <w:color w:val="000000" w:themeColor="text1"/>
          <w:kern w:val="0"/>
          <w:sz w:val="24"/>
          <w:szCs w:val="24"/>
          <w14:textFill>
            <w14:solidFill>
              <w14:schemeClr w14:val="tx1"/>
            </w14:solidFill>
          </w14:textFill>
        </w:rPr>
        <w:t>采用响应询价文件要求且报价总价最低原则。</w:t>
      </w:r>
      <w:r>
        <w:rPr>
          <w:rFonts w:hint="eastAsia" w:ascii="宋体" w:hAnsi="宋体" w:eastAsia="宋体" w:cs="Times New Roman"/>
          <w:sz w:val="24"/>
        </w:rPr>
        <w:t>原则上采用整体授标。有三家及以上响应人的，按照整体报价从低至高顺序的前三家供应商报价文件进行评审，如前三家供应商报价文件存在缺漏项或整体/部分评审不合格情形的，则依次递补进行评审，直至所有供应商报价文件都参与评审。</w:t>
      </w:r>
      <w:r>
        <w:rPr>
          <w:rFonts w:hint="eastAsia" w:ascii="宋体" w:hAnsi="宋体" w:eastAsia="宋体" w:cs="Times New Roman"/>
          <w:b/>
          <w:bCs/>
          <w:sz w:val="24"/>
        </w:rPr>
        <w:t>如存在合格最低价响应人价格一致的情况，按照工期/交货期、质保期、付款条件等优先顺序确定成交供应商。</w:t>
      </w:r>
      <w:r>
        <w:rPr>
          <w:rFonts w:hint="eastAsia" w:ascii="宋体" w:hAnsi="宋体" w:eastAsia="宋体" w:cs="Times New Roman"/>
          <w:sz w:val="24"/>
        </w:rPr>
        <w:t>特殊情况下，供应商报价中均存在缺漏项无法整体授标的，则在比价时计入其它合格报价各方的该项最高价，拉平比价。比价结果最低的供应商，仅对除缺漏项以外的范围进行授标。对缺漏项，按照前述评审程序从合格报价各方中整体低价授标或选择另行采购。对于对于报价缺漏项数量或金额（评审价格）超过</w:t>
      </w:r>
      <w:r>
        <w:rPr>
          <w:rFonts w:ascii="宋体" w:hAnsi="宋体" w:eastAsia="宋体" w:cs="Times New Roman"/>
          <w:sz w:val="24"/>
        </w:rPr>
        <w:t>20%的</w:t>
      </w:r>
      <w:r>
        <w:rPr>
          <w:rFonts w:hint="eastAsia" w:ascii="宋体" w:hAnsi="宋体" w:eastAsia="宋体" w:cs="Times New Roman"/>
          <w:sz w:val="24"/>
        </w:rPr>
        <w:t>，视为非实质性响应，评议不合格。</w:t>
      </w:r>
    </w:p>
    <w:p>
      <w:pPr>
        <w:pStyle w:val="41"/>
        <w:numPr>
          <w:ilvl w:val="0"/>
          <w:numId w:val="3"/>
        </w:numPr>
        <w:tabs>
          <w:tab w:val="left" w:pos="709"/>
        </w:tabs>
        <w:spacing w:line="360" w:lineRule="auto"/>
        <w:ind w:left="2"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响应报价有算术错误及其他错误的，询价人按以下原则要求报价人对响应报价进行修正，并要求供应商澄清确认。供应商拒不澄清确认的，询价人应当否决其响应文件：</w:t>
      </w:r>
      <w:r>
        <w:rPr>
          <w:rFonts w:ascii="宋体" w:hAnsi="宋体" w:eastAsia="宋体" w:cs="Times New Roman"/>
          <w:kern w:val="0"/>
          <w:sz w:val="24"/>
          <w:szCs w:val="24"/>
        </w:rPr>
        <w:t xml:space="preserve"> </w:t>
      </w:r>
    </w:p>
    <w:p>
      <w:pPr>
        <w:pStyle w:val="41"/>
        <w:numPr>
          <w:ilvl w:val="2"/>
          <w:numId w:val="4"/>
        </w:numPr>
        <w:spacing w:line="360" w:lineRule="auto"/>
        <w:ind w:left="851" w:hanging="425" w:firstLineChars="0"/>
        <w:rPr>
          <w:rFonts w:ascii="宋体" w:hAnsi="宋体" w:eastAsia="宋体" w:cs="Times New Roman"/>
          <w:sz w:val="24"/>
          <w:szCs w:val="24"/>
        </w:rPr>
      </w:pPr>
      <w:r>
        <w:rPr>
          <w:rFonts w:hint="eastAsia" w:ascii="宋体" w:hAnsi="宋体" w:eastAsia="宋体" w:cs="Times New Roman"/>
          <w:sz w:val="24"/>
          <w:szCs w:val="24"/>
        </w:rPr>
        <w:t>响应文件中的大写金额与小写金额不一致的，以大写金额为准，但金额有明显错误的除外；</w:t>
      </w:r>
      <w:r>
        <w:rPr>
          <w:rFonts w:ascii="宋体" w:hAnsi="宋体" w:eastAsia="宋体" w:cs="Times New Roman"/>
          <w:sz w:val="24"/>
          <w:szCs w:val="24"/>
        </w:rPr>
        <w:t xml:space="preserve"> </w:t>
      </w:r>
    </w:p>
    <w:p>
      <w:pPr>
        <w:pStyle w:val="41"/>
        <w:numPr>
          <w:ilvl w:val="2"/>
          <w:numId w:val="4"/>
        </w:numPr>
        <w:spacing w:line="360" w:lineRule="auto"/>
        <w:ind w:left="851" w:hanging="425" w:firstLineChars="0"/>
        <w:rPr>
          <w:rFonts w:ascii="宋体" w:hAnsi="宋体" w:eastAsia="宋体" w:cs="Times New Roman"/>
          <w:sz w:val="24"/>
          <w:szCs w:val="24"/>
        </w:rPr>
      </w:pPr>
      <w:r>
        <w:rPr>
          <w:rFonts w:hint="eastAsia" w:ascii="宋体" w:hAnsi="宋体" w:eastAsia="宋体" w:cs="Times New Roman"/>
          <w:sz w:val="24"/>
          <w:szCs w:val="24"/>
        </w:rPr>
        <w:t xml:space="preserve">总价金额与单价金额不一致的，以单价金额为准，但金额有明显错误的除外； </w:t>
      </w:r>
    </w:p>
    <w:p>
      <w:pPr>
        <w:pStyle w:val="41"/>
        <w:numPr>
          <w:ilvl w:val="2"/>
          <w:numId w:val="4"/>
        </w:numPr>
        <w:spacing w:line="360" w:lineRule="auto"/>
        <w:ind w:left="851" w:hanging="425" w:firstLineChars="0"/>
        <w:rPr>
          <w:rFonts w:ascii="宋体" w:hAnsi="宋体" w:eastAsia="宋体" w:cs="Times New Roman"/>
          <w:sz w:val="24"/>
          <w:szCs w:val="24"/>
        </w:rPr>
      </w:pPr>
      <w:r>
        <w:rPr>
          <w:rFonts w:hint="eastAsia" w:ascii="宋体" w:hAnsi="宋体" w:eastAsia="宋体" w:cs="Times New Roman"/>
          <w:sz w:val="24"/>
          <w:szCs w:val="24"/>
        </w:rPr>
        <w:t>响应报价为各分项报价金额之和，响应报价与分项报价的合价不一致的， 应以各分项合价累计数为准，修正响应报价。</w:t>
      </w:r>
    </w:p>
    <w:p>
      <w:pPr>
        <w:pStyle w:val="41"/>
        <w:numPr>
          <w:ilvl w:val="2"/>
          <w:numId w:val="4"/>
        </w:numPr>
        <w:spacing w:line="360" w:lineRule="auto"/>
        <w:ind w:left="851" w:hanging="425" w:firstLineChars="0"/>
        <w:rPr>
          <w:rFonts w:ascii="宋体" w:hAnsi="宋体" w:eastAsia="宋体" w:cs="Times New Roman"/>
          <w:sz w:val="24"/>
          <w:szCs w:val="24"/>
        </w:rPr>
      </w:pPr>
      <w:r>
        <w:rPr>
          <w:rFonts w:hint="eastAsia" w:ascii="宋体" w:hAnsi="宋体" w:eastAsia="宋体" w:cs="Times New Roman"/>
          <w:sz w:val="24"/>
          <w:szCs w:val="24"/>
        </w:rPr>
        <w:t>响应报价不含税价加算增值税后与含税价不一致的，以不含税价为准。</w:t>
      </w:r>
    </w:p>
    <w:p>
      <w:pPr>
        <w:pStyle w:val="41"/>
        <w:numPr>
          <w:ilvl w:val="0"/>
          <w:numId w:val="3"/>
        </w:numPr>
        <w:tabs>
          <w:tab w:val="left" w:pos="709"/>
        </w:tabs>
        <w:spacing w:line="360" w:lineRule="auto"/>
        <w:ind w:left="2" w:firstLine="424" w:firstLineChars="177"/>
        <w:rPr>
          <w:rFonts w:ascii="宋体" w:hAnsi="宋体" w:eastAsia="宋体" w:cs="Times New Roman"/>
          <w:b/>
          <w:sz w:val="24"/>
          <w:szCs w:val="24"/>
        </w:rPr>
      </w:pPr>
      <w:r>
        <w:rPr>
          <w:rFonts w:hint="eastAsia" w:ascii="宋体" w:hAnsi="宋体" w:eastAsia="宋体" w:cs="Times New Roman"/>
          <w:sz w:val="24"/>
          <w:szCs w:val="24"/>
        </w:rPr>
        <w:t>★</w:t>
      </w:r>
      <w:r>
        <w:rPr>
          <w:rFonts w:hint="eastAsia" w:ascii="宋体" w:hAnsi="宋体" w:eastAsia="宋体" w:cs="Times New Roman"/>
          <w:b/>
          <w:sz w:val="24"/>
          <w:szCs w:val="24"/>
        </w:rPr>
        <w:t>响应文件出现如下情况之一将予以废标：</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响应文件不满足询价文件中关键（带★号）指标的；</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报价文件未加盖公章的；</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报价文件无法定代表人签字,也没有被授权委托人签字的；</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委托他人办理而未提供授权委托书和委托代理人身份证复印件的；</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报价一经涂改，未在涂改处加盖公章或者未经法定代表人或被授权委托人签字或盖章的；</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对技术要求未详细应答或未能说明报价标的内容有关技术要求、偏离情况的，致使其响应文件无法评审的；</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不满足要求的资质、未提供满足要求的证书及资质挂靠的；</w:t>
      </w:r>
    </w:p>
    <w:p>
      <w:pPr>
        <w:pStyle w:val="41"/>
        <w:numPr>
          <w:ilvl w:val="2"/>
          <w:numId w:val="5"/>
        </w:numPr>
        <w:spacing w:line="360" w:lineRule="auto"/>
        <w:ind w:left="851" w:firstLineChars="0"/>
        <w:rPr>
          <w:rFonts w:hint="eastAsia" w:ascii="宋体" w:hAnsi="宋体" w:eastAsia="宋体" w:cs="Times New Roman"/>
          <w:sz w:val="24"/>
          <w:szCs w:val="24"/>
        </w:rPr>
      </w:pPr>
      <w:r>
        <w:rPr>
          <w:rFonts w:hint="eastAsia" w:ascii="宋体" w:hAnsi="宋体" w:eastAsia="宋体" w:cs="Times New Roman"/>
          <w:sz w:val="24"/>
          <w:szCs w:val="24"/>
        </w:rPr>
        <w:t>报价文件未实质性响应</w:t>
      </w:r>
      <w:r>
        <w:rPr>
          <w:rFonts w:hint="eastAsia" w:ascii="宋体" w:hAnsi="宋体" w:eastAsia="宋体" w:cs="Times New Roman"/>
          <w:sz w:val="24"/>
          <w:szCs w:val="24"/>
          <w:lang w:val="en-US" w:eastAsia="zh-CN"/>
        </w:rPr>
        <w:t>的</w:t>
      </w:r>
      <w:r>
        <w:rPr>
          <w:rFonts w:hint="eastAsia" w:ascii="宋体" w:hAnsi="宋体" w:eastAsia="宋体" w:cs="Times New Roman"/>
          <w:sz w:val="24"/>
          <w:szCs w:val="24"/>
        </w:rPr>
        <w:t>；</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存在串通报价行为的；</w:t>
      </w:r>
    </w:p>
    <w:p>
      <w:pPr>
        <w:pStyle w:val="41"/>
        <w:numPr>
          <w:ilvl w:val="2"/>
          <w:numId w:val="5"/>
        </w:numPr>
        <w:spacing w:line="360" w:lineRule="auto"/>
        <w:ind w:left="851" w:firstLineChars="0"/>
        <w:rPr>
          <w:rFonts w:ascii="宋体" w:hAnsi="宋体" w:eastAsia="宋体" w:cs="Times New Roman"/>
          <w:sz w:val="24"/>
          <w:szCs w:val="24"/>
        </w:rPr>
      </w:pPr>
      <w:r>
        <w:rPr>
          <w:rFonts w:ascii="宋体" w:hAnsi="宋体" w:eastAsia="宋体" w:cs="Times New Roman"/>
          <w:sz w:val="24"/>
          <w:szCs w:val="24"/>
        </w:rPr>
        <w:t>原厂家</w:t>
      </w:r>
      <w:r>
        <w:rPr>
          <w:rFonts w:hint="eastAsia" w:ascii="宋体" w:hAnsi="宋体" w:eastAsia="宋体" w:cs="Times New Roman"/>
          <w:sz w:val="24"/>
          <w:szCs w:val="24"/>
        </w:rPr>
        <w:t>参与报价情况下，参与报价的</w:t>
      </w:r>
      <w:r>
        <w:rPr>
          <w:rFonts w:ascii="宋体" w:hAnsi="宋体" w:eastAsia="宋体" w:cs="Times New Roman"/>
          <w:sz w:val="24"/>
          <w:szCs w:val="24"/>
        </w:rPr>
        <w:t>代理商</w:t>
      </w:r>
      <w:r>
        <w:rPr>
          <w:rFonts w:hint="eastAsia" w:ascii="宋体" w:hAnsi="宋体" w:eastAsia="宋体" w:cs="Times New Roman"/>
          <w:sz w:val="24"/>
          <w:szCs w:val="24"/>
        </w:rPr>
        <w:t>予以废标；</w:t>
      </w:r>
    </w:p>
    <w:p>
      <w:pPr>
        <w:pStyle w:val="41"/>
        <w:numPr>
          <w:ilvl w:val="2"/>
          <w:numId w:val="5"/>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其他违反法律、法规的情形。</w:t>
      </w:r>
    </w:p>
    <w:p>
      <w:pPr>
        <w:pStyle w:val="41"/>
        <w:numPr>
          <w:ilvl w:val="0"/>
          <w:numId w:val="3"/>
        </w:numPr>
        <w:tabs>
          <w:tab w:val="left" w:pos="709"/>
        </w:tabs>
        <w:spacing w:line="360" w:lineRule="auto"/>
        <w:ind w:left="2" w:firstLine="424" w:firstLineChars="177"/>
        <w:rPr>
          <w:rFonts w:ascii="宋体" w:hAnsi="宋体" w:eastAsia="宋体"/>
          <w:b/>
          <w:sz w:val="24"/>
          <w:szCs w:val="21"/>
        </w:rPr>
      </w:pPr>
      <w:r>
        <w:rPr>
          <w:rFonts w:hint="eastAsia" w:ascii="宋体" w:hAnsi="宋体" w:eastAsia="宋体"/>
          <w:b/>
          <w:sz w:val="24"/>
          <w:szCs w:val="21"/>
        </w:rPr>
        <w:t>有下列情形之一的，属于响应人相互串通报价：</w:t>
      </w:r>
    </w:p>
    <w:p>
      <w:pPr>
        <w:pStyle w:val="41"/>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响应人之间协商报价文件的实质性内容；</w:t>
      </w:r>
    </w:p>
    <w:p>
      <w:pPr>
        <w:pStyle w:val="41"/>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响应人之间约定成交人；</w:t>
      </w:r>
    </w:p>
    <w:p>
      <w:pPr>
        <w:pStyle w:val="41"/>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响应人之间约定部分响应人放弃投标或者中标；</w:t>
      </w:r>
    </w:p>
    <w:p>
      <w:pPr>
        <w:pStyle w:val="41"/>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属于同一集团、协会、商会等组织成员的响应人按照该组织要求协同报价；</w:t>
      </w:r>
    </w:p>
    <w:p>
      <w:pPr>
        <w:pStyle w:val="41"/>
        <w:numPr>
          <w:ilvl w:val="2"/>
          <w:numId w:val="6"/>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响应人之间为谋取中标或者排斥特定响应人而采取的其他联合行动。</w:t>
      </w:r>
    </w:p>
    <w:p>
      <w:pPr>
        <w:pStyle w:val="41"/>
        <w:numPr>
          <w:ilvl w:val="0"/>
          <w:numId w:val="3"/>
        </w:numPr>
        <w:tabs>
          <w:tab w:val="left" w:pos="709"/>
        </w:tabs>
        <w:spacing w:line="360" w:lineRule="auto"/>
        <w:ind w:left="2" w:firstLine="424" w:firstLineChars="177"/>
        <w:rPr>
          <w:rFonts w:ascii="宋体" w:hAnsi="宋体" w:eastAsia="宋体"/>
          <w:b/>
          <w:sz w:val="24"/>
          <w:szCs w:val="21"/>
        </w:rPr>
      </w:pPr>
      <w:r>
        <w:rPr>
          <w:rFonts w:hint="eastAsia" w:ascii="宋体" w:hAnsi="宋体" w:eastAsia="宋体"/>
          <w:b/>
          <w:sz w:val="24"/>
          <w:szCs w:val="21"/>
        </w:rPr>
        <w:t>有下列情形之一的，视为响应人相互串通报价：</w:t>
      </w:r>
    </w:p>
    <w:p>
      <w:pPr>
        <w:pStyle w:val="41"/>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不同响应人的报价文件由同一单位或者个人编制，例如响应人报价文件显示同一作者信息；</w:t>
      </w:r>
    </w:p>
    <w:p>
      <w:pPr>
        <w:pStyle w:val="41"/>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不同响应人委托同一单位或者个人办理报价事宜；</w:t>
      </w:r>
    </w:p>
    <w:p>
      <w:pPr>
        <w:pStyle w:val="41"/>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不同响应人的报价文件载明的项目管理成员为同一人；</w:t>
      </w:r>
    </w:p>
    <w:p>
      <w:pPr>
        <w:pStyle w:val="41"/>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不同响应人的报价文件异常一致或者存在</w:t>
      </w:r>
      <w:r>
        <w:rPr>
          <w:rFonts w:ascii="宋体" w:hAnsi="宋体" w:eastAsia="宋体" w:cs="Times New Roman"/>
          <w:sz w:val="24"/>
          <w:szCs w:val="24"/>
        </w:rPr>
        <w:t>2处以上一致性错误；或者报价呈规律性差异的项数达到报价清单的50%以上；</w:t>
      </w:r>
    </w:p>
    <w:p>
      <w:pPr>
        <w:pStyle w:val="41"/>
        <w:numPr>
          <w:ilvl w:val="2"/>
          <w:numId w:val="7"/>
        </w:numPr>
        <w:spacing w:line="360" w:lineRule="auto"/>
        <w:ind w:left="851" w:firstLineChars="0"/>
        <w:rPr>
          <w:rFonts w:ascii="宋体" w:hAnsi="宋体" w:eastAsia="宋体" w:cs="Times New Roman"/>
          <w:sz w:val="24"/>
          <w:szCs w:val="24"/>
        </w:rPr>
      </w:pPr>
      <w:r>
        <w:rPr>
          <w:rFonts w:hint="eastAsia" w:ascii="宋体" w:hAnsi="宋体" w:eastAsia="宋体" w:cs="Times New Roman"/>
          <w:sz w:val="24"/>
          <w:szCs w:val="24"/>
        </w:rPr>
        <w:t>不同响应人的报价文件相互混装。</w:t>
      </w:r>
    </w:p>
    <w:p>
      <w:pPr>
        <w:pStyle w:val="41"/>
        <w:tabs>
          <w:tab w:val="left" w:pos="709"/>
        </w:tabs>
        <w:spacing w:line="360" w:lineRule="auto"/>
        <w:ind w:firstLine="424" w:firstLineChars="177"/>
        <w:rPr>
          <w:rFonts w:ascii="宋体" w:hAnsi="宋体" w:eastAsia="宋体" w:cs="Times New Roman"/>
          <w:sz w:val="24"/>
          <w:szCs w:val="24"/>
        </w:rPr>
      </w:pPr>
      <w:r>
        <w:rPr>
          <w:rFonts w:hint="eastAsia" w:ascii="宋体" w:hAnsi="宋体" w:eastAsia="宋体" w:cs="Times New Roman"/>
          <w:sz w:val="24"/>
          <w:szCs w:val="24"/>
        </w:rPr>
        <w:t>对于前款第</w:t>
      </w:r>
      <w:r>
        <w:rPr>
          <w:rFonts w:ascii="宋体" w:hAnsi="宋体" w:eastAsia="宋体" w:cs="Times New Roman"/>
          <w:sz w:val="24"/>
          <w:szCs w:val="24"/>
        </w:rPr>
        <w:t>5条</w:t>
      </w:r>
      <w:r>
        <w:rPr>
          <w:rFonts w:ascii="宋体" w:hAnsi="宋体" w:eastAsia="宋体" w:cs="Times New Roman"/>
          <w:kern w:val="0"/>
          <w:sz w:val="24"/>
          <w:szCs w:val="24"/>
        </w:rPr>
        <w:t>3)、4)</w:t>
      </w:r>
      <w:r>
        <w:rPr>
          <w:rFonts w:hint="eastAsia" w:ascii="宋体" w:hAnsi="宋体" w:eastAsia="宋体" w:cs="Times New Roman"/>
          <w:sz w:val="24"/>
          <w:szCs w:val="24"/>
        </w:rPr>
        <w:t>两</w:t>
      </w:r>
      <w:r>
        <w:rPr>
          <w:rFonts w:ascii="宋体" w:hAnsi="宋体" w:eastAsia="宋体" w:cs="Times New Roman"/>
          <w:sz w:val="24"/>
          <w:szCs w:val="24"/>
        </w:rPr>
        <w:t>种情形，给予</w:t>
      </w:r>
      <w:r>
        <w:rPr>
          <w:rFonts w:hint="eastAsia" w:ascii="宋体" w:hAnsi="宋体" w:eastAsia="宋体" w:cs="Times New Roman"/>
          <w:sz w:val="24"/>
          <w:szCs w:val="24"/>
        </w:rPr>
        <w:t>响应人</w:t>
      </w:r>
      <w:r>
        <w:rPr>
          <w:rFonts w:ascii="宋体" w:hAnsi="宋体" w:eastAsia="宋体" w:cs="Times New Roman"/>
          <w:sz w:val="24"/>
          <w:szCs w:val="24"/>
        </w:rPr>
        <w:t>澄清、说明的机会，</w:t>
      </w:r>
      <w:r>
        <w:rPr>
          <w:rFonts w:hint="eastAsia" w:ascii="宋体" w:hAnsi="宋体" w:eastAsia="宋体" w:cs="Times New Roman"/>
          <w:sz w:val="24"/>
          <w:szCs w:val="24"/>
        </w:rPr>
        <w:t>受时间、资源等条件限制无法查明串通报价事实时，询价人可以暂时视为响应人之间存在串通，否决相关报价。</w:t>
      </w:r>
    </w:p>
    <w:p>
      <w:pPr>
        <w:pStyle w:val="41"/>
        <w:numPr>
          <w:ilvl w:val="0"/>
          <w:numId w:val="3"/>
        </w:numPr>
        <w:tabs>
          <w:tab w:val="left" w:pos="709"/>
        </w:tabs>
        <w:spacing w:line="360" w:lineRule="auto"/>
        <w:ind w:left="2" w:firstLine="424" w:firstLineChars="177"/>
        <w:rPr>
          <w:rFonts w:ascii="宋体" w:hAnsi="宋体" w:eastAsia="宋体" w:cs="Times New Roman"/>
          <w:sz w:val="24"/>
          <w:szCs w:val="24"/>
        </w:rPr>
      </w:pPr>
      <w:r>
        <w:rPr>
          <w:rFonts w:hint="eastAsia" w:ascii="宋体" w:hAnsi="宋体" w:eastAsia="宋体" w:cs="Times New Roman"/>
          <w:sz w:val="24"/>
          <w:szCs w:val="24"/>
        </w:rPr>
        <w:t>本次询价采购，询价人有权根据市场调查情况对采购结果进行对比，如有异常情况，询价人可以暂不采购。若认为本次采购确与市场调查不符的，可另行组织采购，无须向报价人解释具体原因。</w:t>
      </w:r>
    </w:p>
    <w:p>
      <w:pPr>
        <w:pStyle w:val="41"/>
        <w:numPr>
          <w:ilvl w:val="0"/>
          <w:numId w:val="0"/>
        </w:numPr>
        <w:overflowPunct w:val="0"/>
        <w:autoSpaceDE w:val="0"/>
        <w:autoSpaceDN w:val="0"/>
        <w:adjustRightInd w:val="0"/>
        <w:spacing w:line="360" w:lineRule="auto"/>
        <w:jc w:val="both"/>
        <w:textAlignment w:val="baseline"/>
        <w:outlineLvl w:val="0"/>
        <w:rPr>
          <w:rStyle w:val="40"/>
          <w:sz w:val="36"/>
          <w:szCs w:val="36"/>
          <w:lang w:eastAsia="zh-CN"/>
        </w:rPr>
      </w:pPr>
    </w:p>
    <w:p>
      <w:pPr>
        <w:pStyle w:val="41"/>
        <w:numPr>
          <w:ilvl w:val="0"/>
          <w:numId w:val="1"/>
        </w:numPr>
        <w:spacing w:line="360" w:lineRule="auto"/>
        <w:ind w:left="0" w:firstLine="723"/>
        <w:jc w:val="center"/>
        <w:outlineLvl w:val="0"/>
        <w:rPr>
          <w:rStyle w:val="40"/>
          <w:sz w:val="36"/>
          <w:szCs w:val="36"/>
          <w:lang w:eastAsia="zh-CN"/>
        </w:rPr>
      </w:pPr>
      <w:r>
        <w:rPr>
          <w:rStyle w:val="40"/>
          <w:rFonts w:hint="eastAsia"/>
          <w:sz w:val="36"/>
          <w:szCs w:val="36"/>
          <w:lang w:eastAsia="zh-CN"/>
        </w:rPr>
        <w:t>应答文件格式要求</w:t>
      </w:r>
    </w:p>
    <w:p>
      <w:pPr>
        <w:spacing w:line="360" w:lineRule="auto"/>
        <w:ind w:firstLine="480" w:firstLineChars="200"/>
        <w:rPr>
          <w:bCs/>
          <w:sz w:val="24"/>
          <w:szCs w:val="24"/>
          <w:lang w:eastAsia="zh-CN"/>
        </w:rPr>
      </w:pPr>
      <w:r>
        <w:rPr>
          <w:rFonts w:hint="eastAsia"/>
          <w:bCs/>
          <w:sz w:val="24"/>
          <w:szCs w:val="24"/>
          <w:lang w:eastAsia="zh-CN"/>
        </w:rPr>
        <w:t>应答文件应包含：</w:t>
      </w:r>
    </w:p>
    <w:p>
      <w:pPr>
        <w:pStyle w:val="41"/>
        <w:numPr>
          <w:ilvl w:val="0"/>
          <w:numId w:val="8"/>
        </w:numPr>
        <w:spacing w:line="360" w:lineRule="auto"/>
        <w:ind w:left="0" w:firstLine="0" w:firstLineChars="0"/>
        <w:rPr>
          <w:sz w:val="24"/>
          <w:szCs w:val="24"/>
          <w:lang w:eastAsia="zh-CN"/>
        </w:rPr>
      </w:pPr>
      <w:r>
        <w:rPr>
          <w:rFonts w:hint="eastAsia"/>
          <w:sz w:val="24"/>
          <w:szCs w:val="24"/>
          <w:lang w:eastAsia="zh-CN"/>
        </w:rPr>
        <w:t>法人授权书（</w:t>
      </w:r>
      <w:r>
        <w:rPr>
          <w:rFonts w:hint="eastAsia"/>
          <w:color w:val="000000"/>
          <w:sz w:val="24"/>
          <w:szCs w:val="24"/>
          <w:lang w:eastAsia="zh-CN"/>
        </w:rPr>
        <w:t>见后附</w:t>
      </w:r>
      <w:r>
        <w:rPr>
          <w:rFonts w:hint="eastAsia"/>
          <w:sz w:val="24"/>
          <w:szCs w:val="24"/>
          <w:lang w:eastAsia="zh-CN"/>
        </w:rPr>
        <w:t>格式A）</w:t>
      </w:r>
    </w:p>
    <w:p>
      <w:pPr>
        <w:pStyle w:val="41"/>
        <w:numPr>
          <w:ilvl w:val="0"/>
          <w:numId w:val="8"/>
        </w:numPr>
        <w:spacing w:line="360" w:lineRule="auto"/>
        <w:ind w:left="0" w:firstLine="0" w:firstLineChars="0"/>
        <w:rPr>
          <w:sz w:val="24"/>
          <w:szCs w:val="24"/>
          <w:lang w:eastAsia="zh-CN"/>
        </w:rPr>
      </w:pPr>
      <w:r>
        <w:rPr>
          <w:rFonts w:hint="eastAsia"/>
          <w:sz w:val="24"/>
          <w:szCs w:val="24"/>
          <w:lang w:val="en-US" w:eastAsia="zh-CN"/>
        </w:rPr>
        <w:t>近三年公司财务报表。</w:t>
      </w:r>
    </w:p>
    <w:p>
      <w:pPr>
        <w:pStyle w:val="41"/>
        <w:numPr>
          <w:ilvl w:val="0"/>
          <w:numId w:val="8"/>
        </w:numPr>
        <w:spacing w:line="360" w:lineRule="auto"/>
        <w:ind w:left="0" w:firstLine="0" w:firstLineChars="0"/>
        <w:rPr>
          <w:bCs/>
          <w:color w:val="000000"/>
          <w:sz w:val="24"/>
          <w:szCs w:val="24"/>
          <w:lang w:eastAsia="zh-CN"/>
        </w:rPr>
      </w:pPr>
      <w:r>
        <w:rPr>
          <w:rFonts w:hint="eastAsia"/>
          <w:bCs/>
          <w:color w:val="000000"/>
          <w:sz w:val="24"/>
          <w:szCs w:val="24"/>
          <w:lang w:eastAsia="zh-CN"/>
        </w:rPr>
        <w:t>公司营业执照</w:t>
      </w:r>
      <w:r>
        <w:rPr>
          <w:rFonts w:hint="eastAsia"/>
          <w:bCs/>
          <w:color w:val="000000"/>
          <w:sz w:val="24"/>
          <w:szCs w:val="24"/>
          <w:lang w:val="en-US" w:eastAsia="zh-CN"/>
        </w:rPr>
        <w:t>及相关资质证书。</w:t>
      </w:r>
    </w:p>
    <w:p>
      <w:pPr>
        <w:pStyle w:val="41"/>
        <w:numPr>
          <w:ilvl w:val="0"/>
          <w:numId w:val="8"/>
        </w:numPr>
        <w:spacing w:line="360" w:lineRule="auto"/>
        <w:ind w:left="0" w:firstLine="0" w:firstLineChars="0"/>
        <w:rPr>
          <w:bCs/>
          <w:sz w:val="24"/>
          <w:szCs w:val="24"/>
          <w:lang w:eastAsia="zh-CN"/>
        </w:rPr>
      </w:pPr>
      <w:r>
        <w:rPr>
          <w:rFonts w:hint="eastAsia" w:hAnsi="宋体"/>
          <w:bCs/>
          <w:sz w:val="24"/>
          <w:szCs w:val="24"/>
          <w:lang w:eastAsia="zh-CN"/>
        </w:rPr>
        <w:t>商务技术和合同条款偏离表</w:t>
      </w:r>
      <w:r>
        <w:rPr>
          <w:rFonts w:hint="eastAsia"/>
          <w:sz w:val="24"/>
          <w:szCs w:val="24"/>
          <w:lang w:eastAsia="zh-CN"/>
        </w:rPr>
        <w:t>（</w:t>
      </w:r>
      <w:r>
        <w:rPr>
          <w:rFonts w:hint="eastAsia"/>
          <w:color w:val="000000"/>
          <w:sz w:val="24"/>
          <w:szCs w:val="24"/>
          <w:lang w:eastAsia="zh-CN"/>
        </w:rPr>
        <w:t>见后附</w:t>
      </w:r>
      <w:r>
        <w:rPr>
          <w:rFonts w:hint="eastAsia"/>
          <w:sz w:val="24"/>
          <w:szCs w:val="24"/>
          <w:lang w:eastAsia="zh-CN"/>
        </w:rPr>
        <w:t>格式B）</w:t>
      </w:r>
    </w:p>
    <w:p>
      <w:pPr>
        <w:pStyle w:val="41"/>
        <w:numPr>
          <w:ilvl w:val="0"/>
          <w:numId w:val="8"/>
        </w:numPr>
        <w:spacing w:line="360" w:lineRule="auto"/>
        <w:ind w:left="0" w:firstLine="0" w:firstLineChars="0"/>
        <w:rPr>
          <w:bCs/>
          <w:sz w:val="24"/>
          <w:szCs w:val="24"/>
          <w:lang w:eastAsia="zh-CN"/>
        </w:rPr>
      </w:pPr>
      <w:r>
        <w:rPr>
          <w:rFonts w:hint="eastAsia" w:hAnsi="宋体"/>
          <w:bCs/>
          <w:sz w:val="24"/>
          <w:szCs w:val="24"/>
          <w:lang w:eastAsia="zh-CN"/>
        </w:rPr>
        <w:t>报价文件</w:t>
      </w:r>
      <w:r>
        <w:rPr>
          <w:rFonts w:hint="eastAsia"/>
          <w:sz w:val="24"/>
          <w:szCs w:val="24"/>
          <w:lang w:eastAsia="zh-CN"/>
        </w:rPr>
        <w:t>（</w:t>
      </w:r>
      <w:r>
        <w:rPr>
          <w:rFonts w:hint="eastAsia"/>
          <w:color w:val="000000"/>
          <w:sz w:val="24"/>
          <w:szCs w:val="24"/>
          <w:lang w:eastAsia="zh-CN"/>
        </w:rPr>
        <w:t>见后附</w:t>
      </w:r>
      <w:r>
        <w:rPr>
          <w:rFonts w:hint="eastAsia"/>
          <w:sz w:val="24"/>
          <w:szCs w:val="24"/>
          <w:lang w:eastAsia="zh-CN"/>
        </w:rPr>
        <w:t>格式</w:t>
      </w:r>
      <w:r>
        <w:rPr>
          <w:sz w:val="24"/>
          <w:szCs w:val="24"/>
          <w:lang w:eastAsia="zh-CN"/>
        </w:rPr>
        <w:t>C</w:t>
      </w:r>
      <w:r>
        <w:rPr>
          <w:rFonts w:hint="eastAsia"/>
          <w:sz w:val="24"/>
          <w:szCs w:val="24"/>
          <w:lang w:eastAsia="zh-CN"/>
        </w:rPr>
        <w:t>）</w:t>
      </w:r>
    </w:p>
    <w:p>
      <w:pPr>
        <w:pStyle w:val="41"/>
        <w:numPr>
          <w:ilvl w:val="0"/>
          <w:numId w:val="8"/>
        </w:numPr>
        <w:spacing w:line="360" w:lineRule="auto"/>
        <w:ind w:left="0" w:firstLine="0" w:firstLineChars="0"/>
        <w:rPr>
          <w:bCs/>
          <w:sz w:val="24"/>
          <w:szCs w:val="24"/>
          <w:lang w:eastAsia="zh-CN"/>
        </w:rPr>
      </w:pPr>
      <w:r>
        <w:rPr>
          <w:rFonts w:hint="eastAsia" w:ascii="Times New Roman" w:hAnsi="宋体" w:eastAsia="宋体" w:cs="Times New Roman"/>
          <w:bCs/>
          <w:sz w:val="24"/>
          <w:szCs w:val="24"/>
          <w:lang w:eastAsia="zh-CN"/>
        </w:rPr>
        <w:t>关于中国海油领导人员、离职退休人员在本公司任职情况说明</w:t>
      </w:r>
      <w:r>
        <w:rPr>
          <w:rFonts w:hint="eastAsia"/>
          <w:sz w:val="24"/>
          <w:szCs w:val="24"/>
          <w:lang w:eastAsia="zh-CN"/>
        </w:rPr>
        <w:t>（</w:t>
      </w:r>
      <w:r>
        <w:rPr>
          <w:rFonts w:hint="eastAsia"/>
          <w:color w:val="000000"/>
          <w:sz w:val="24"/>
          <w:szCs w:val="24"/>
          <w:lang w:eastAsia="zh-CN"/>
        </w:rPr>
        <w:t>见后附</w:t>
      </w:r>
      <w:r>
        <w:rPr>
          <w:rFonts w:hint="eastAsia"/>
          <w:sz w:val="24"/>
          <w:szCs w:val="24"/>
          <w:lang w:eastAsia="zh-CN"/>
        </w:rPr>
        <w:t>格式</w:t>
      </w:r>
      <w:r>
        <w:rPr>
          <w:rFonts w:hint="eastAsia"/>
          <w:sz w:val="24"/>
          <w:szCs w:val="24"/>
          <w:lang w:val="en-US" w:eastAsia="zh-CN"/>
        </w:rPr>
        <w:t>D</w:t>
      </w:r>
      <w:r>
        <w:rPr>
          <w:rFonts w:hint="eastAsia"/>
          <w:sz w:val="24"/>
          <w:szCs w:val="24"/>
          <w:lang w:eastAsia="zh-CN"/>
        </w:rPr>
        <w:t>）</w:t>
      </w:r>
    </w:p>
    <w:p>
      <w:pPr>
        <w:pStyle w:val="41"/>
        <w:numPr>
          <w:ilvl w:val="0"/>
          <w:numId w:val="8"/>
        </w:numPr>
        <w:spacing w:line="360" w:lineRule="auto"/>
        <w:ind w:left="0" w:firstLine="0" w:firstLineChars="0"/>
        <w:rPr>
          <w:bCs/>
          <w:sz w:val="24"/>
          <w:szCs w:val="24"/>
          <w:lang w:eastAsia="zh-CN"/>
        </w:rPr>
      </w:pPr>
      <w:r>
        <w:rPr>
          <w:rFonts w:hint="eastAsia"/>
          <w:sz w:val="24"/>
          <w:szCs w:val="24"/>
          <w:lang w:val="en-US" w:eastAsia="zh-CN"/>
        </w:rPr>
        <w:t>供货方案（包含供货进度、调试安排、付款周期等内容）</w:t>
      </w:r>
    </w:p>
    <w:p>
      <w:pPr>
        <w:pStyle w:val="41"/>
        <w:numPr>
          <w:ilvl w:val="0"/>
          <w:numId w:val="8"/>
        </w:numPr>
        <w:spacing w:line="360" w:lineRule="auto"/>
        <w:ind w:left="0" w:firstLine="0" w:firstLineChars="0"/>
        <w:rPr>
          <w:bCs/>
          <w:sz w:val="24"/>
          <w:szCs w:val="24"/>
          <w:lang w:eastAsia="zh-CN"/>
        </w:rPr>
      </w:pPr>
      <w:r>
        <w:rPr>
          <w:bCs/>
          <w:sz w:val="24"/>
          <w:szCs w:val="24"/>
          <w:lang w:eastAsia="zh-CN"/>
        </w:rPr>
        <w:br w:type="page"/>
      </w:r>
    </w:p>
    <w:p>
      <w:pPr>
        <w:spacing w:before="156" w:beforeLines="50" w:after="156" w:afterLines="50" w:line="240" w:lineRule="atLeast"/>
        <w:rPr>
          <w:rFonts w:ascii="宋体" w:hAnsi="宋体"/>
          <w:b/>
          <w:sz w:val="28"/>
          <w:szCs w:val="28"/>
          <w:lang w:eastAsia="zh-CN"/>
        </w:rPr>
      </w:pPr>
      <w:r>
        <w:rPr>
          <w:rFonts w:ascii="宋体" w:hAnsi="宋体"/>
          <w:b/>
          <w:sz w:val="28"/>
          <w:szCs w:val="28"/>
          <w:lang w:eastAsia="zh-CN"/>
        </w:rPr>
        <w:t>格式</w:t>
      </w:r>
      <w:r>
        <w:rPr>
          <w:rFonts w:hint="eastAsia" w:ascii="宋体" w:hAnsi="宋体"/>
          <w:b/>
          <w:sz w:val="28"/>
          <w:szCs w:val="28"/>
          <w:lang w:eastAsia="zh-CN"/>
        </w:rPr>
        <w:t>A</w:t>
      </w:r>
      <w:r>
        <w:rPr>
          <w:rFonts w:ascii="宋体" w:hAnsi="宋体"/>
          <w:b/>
          <w:sz w:val="28"/>
          <w:szCs w:val="28"/>
          <w:lang w:eastAsia="zh-CN"/>
        </w:rPr>
        <w:t>　</w:t>
      </w:r>
      <w:r>
        <w:rPr>
          <w:rFonts w:hint="eastAsia" w:ascii="宋体" w:hAnsi="宋体"/>
          <w:b/>
          <w:sz w:val="28"/>
          <w:szCs w:val="28"/>
          <w:lang w:val="zh-CN" w:eastAsia="zh-CN"/>
        </w:rPr>
        <w:t>法定代表人授权书</w:t>
      </w:r>
    </w:p>
    <w:p>
      <w:pPr>
        <w:spacing w:line="360" w:lineRule="auto"/>
        <w:rPr>
          <w:rFonts w:ascii="宋体" w:hAnsi="宋体"/>
          <w:sz w:val="24"/>
          <w:szCs w:val="24"/>
          <w:lang w:eastAsia="zh-CN"/>
        </w:rPr>
      </w:pPr>
    </w:p>
    <w:p>
      <w:pPr>
        <w:spacing w:line="360" w:lineRule="auto"/>
        <w:rPr>
          <w:rFonts w:ascii="宋体" w:hAnsi="宋体"/>
          <w:sz w:val="24"/>
          <w:szCs w:val="24"/>
          <w:lang w:eastAsia="zh-CN"/>
        </w:rPr>
      </w:pPr>
      <w:r>
        <w:rPr>
          <w:rFonts w:hint="eastAsia" w:ascii="宋体" w:hAnsi="宋体"/>
          <w:sz w:val="24"/>
          <w:szCs w:val="24"/>
          <w:lang w:eastAsia="zh-CN"/>
        </w:rPr>
        <w:t>[</w:t>
      </w:r>
      <w:r>
        <w:rPr>
          <w:rFonts w:hint="eastAsia" w:ascii="宋体" w:hAnsi="宋体"/>
          <w:i/>
          <w:sz w:val="24"/>
          <w:szCs w:val="24"/>
          <w:lang w:eastAsia="zh-CN"/>
        </w:rPr>
        <w:t>出具本文件的地址，出具本文件的日期</w:t>
      </w:r>
      <w:r>
        <w:rPr>
          <w:rFonts w:hint="eastAsia" w:ascii="宋体" w:hAnsi="宋体"/>
          <w:sz w:val="24"/>
          <w:szCs w:val="24"/>
          <w:lang w:eastAsia="zh-CN"/>
        </w:rPr>
        <w:t>]</w:t>
      </w:r>
    </w:p>
    <w:p>
      <w:pPr>
        <w:spacing w:line="360" w:lineRule="auto"/>
        <w:rPr>
          <w:rFonts w:ascii="宋体" w:hAnsi="宋体"/>
          <w:b/>
          <w:sz w:val="24"/>
          <w:szCs w:val="24"/>
          <w:lang w:val="zh-CN" w:eastAsia="zh-CN"/>
        </w:rPr>
      </w:pPr>
      <w:r>
        <w:rPr>
          <w:rFonts w:hint="eastAsia" w:ascii="宋体" w:hAnsi="宋体"/>
          <w:sz w:val="24"/>
          <w:szCs w:val="24"/>
          <w:lang w:eastAsia="zh-CN"/>
        </w:rPr>
        <w:t>致：</w:t>
      </w:r>
      <w:r>
        <w:rPr>
          <w:rFonts w:ascii="宋体" w:hAnsi="宋体"/>
          <w:sz w:val="24"/>
          <w:szCs w:val="24"/>
          <w:lang w:eastAsia="zh-CN"/>
        </w:rPr>
        <w:t>[</w:t>
      </w:r>
      <w:r>
        <w:rPr>
          <w:rFonts w:hint="eastAsia" w:ascii="宋体" w:hAnsi="宋体"/>
          <w:i/>
          <w:sz w:val="24"/>
          <w:szCs w:val="24"/>
          <w:lang w:eastAsia="zh-CN"/>
        </w:rPr>
        <w:t>招标人名称和地址</w:t>
      </w:r>
      <w:r>
        <w:rPr>
          <w:rFonts w:ascii="宋体" w:hAnsi="宋体"/>
          <w:sz w:val="24"/>
          <w:szCs w:val="24"/>
          <w:lang w:eastAsia="zh-CN"/>
        </w:rPr>
        <w:t>]</w:t>
      </w:r>
    </w:p>
    <w:p>
      <w:pPr>
        <w:spacing w:line="360" w:lineRule="auto"/>
        <w:rPr>
          <w:sz w:val="24"/>
          <w:szCs w:val="24"/>
          <w:lang w:eastAsia="zh-CN"/>
        </w:rPr>
      </w:pPr>
      <w:r>
        <w:rPr>
          <w:rFonts w:hint="eastAsia"/>
          <w:sz w:val="24"/>
          <w:szCs w:val="24"/>
          <w:lang w:eastAsia="zh-CN"/>
        </w:rPr>
        <w:t xml:space="preserve">      本人</w:t>
      </w:r>
      <w:r>
        <w:rPr>
          <w:rFonts w:hint="eastAsia"/>
          <w:sz w:val="24"/>
          <w:szCs w:val="24"/>
          <w:u w:val="single"/>
          <w:lang w:eastAsia="zh-CN"/>
        </w:rPr>
        <w:t xml:space="preserve">  </w:t>
      </w:r>
      <w:r>
        <w:rPr>
          <w:rFonts w:hint="eastAsia"/>
          <w:i/>
          <w:iCs/>
          <w:sz w:val="24"/>
          <w:szCs w:val="24"/>
          <w:u w:val="single"/>
          <w:lang w:eastAsia="zh-CN"/>
        </w:rPr>
        <w:t xml:space="preserve">[法定代表人姓名]   </w:t>
      </w:r>
      <w:r>
        <w:rPr>
          <w:rFonts w:hint="eastAsia"/>
          <w:sz w:val="24"/>
          <w:szCs w:val="24"/>
          <w:lang w:eastAsia="zh-CN"/>
        </w:rPr>
        <w:t>系</w:t>
      </w:r>
      <w:r>
        <w:rPr>
          <w:rFonts w:hint="eastAsia"/>
          <w:sz w:val="24"/>
          <w:szCs w:val="24"/>
          <w:u w:val="single"/>
          <w:lang w:eastAsia="zh-CN"/>
        </w:rPr>
        <w:t xml:space="preserve">     </w:t>
      </w:r>
      <w:r>
        <w:rPr>
          <w:rFonts w:hint="eastAsia"/>
          <w:i/>
          <w:iCs/>
          <w:sz w:val="24"/>
          <w:szCs w:val="24"/>
          <w:u w:val="single"/>
          <w:lang w:eastAsia="zh-CN"/>
        </w:rPr>
        <w:t>[投标人名称]</w:t>
      </w:r>
      <w:r>
        <w:rPr>
          <w:rFonts w:hint="eastAsia"/>
          <w:sz w:val="24"/>
          <w:szCs w:val="24"/>
          <w:u w:val="single"/>
          <w:lang w:eastAsia="zh-CN"/>
        </w:rPr>
        <w:t xml:space="preserve">        </w:t>
      </w:r>
      <w:r>
        <w:rPr>
          <w:rFonts w:hint="eastAsia"/>
          <w:sz w:val="24"/>
          <w:szCs w:val="24"/>
          <w:lang w:eastAsia="zh-CN"/>
        </w:rPr>
        <w:t>位于</w:t>
      </w:r>
      <w:r>
        <w:rPr>
          <w:rFonts w:hint="eastAsia"/>
          <w:sz w:val="24"/>
          <w:szCs w:val="24"/>
          <w:u w:val="single"/>
          <w:lang w:eastAsia="zh-CN"/>
        </w:rPr>
        <w:t xml:space="preserve">   </w:t>
      </w:r>
      <w:r>
        <w:rPr>
          <w:rFonts w:hint="eastAsia"/>
          <w:i/>
          <w:iCs/>
          <w:sz w:val="24"/>
          <w:szCs w:val="24"/>
          <w:u w:val="single"/>
          <w:lang w:eastAsia="zh-CN"/>
        </w:rPr>
        <w:t xml:space="preserve">[投标人法定地址] </w:t>
      </w:r>
      <w:r>
        <w:rPr>
          <w:rFonts w:hint="eastAsia"/>
          <w:sz w:val="24"/>
          <w:szCs w:val="24"/>
          <w:u w:val="single"/>
          <w:lang w:eastAsia="zh-CN"/>
        </w:rPr>
        <w:t xml:space="preserve"> </w:t>
      </w:r>
      <w:r>
        <w:rPr>
          <w:rFonts w:hint="eastAsia"/>
          <w:sz w:val="24"/>
          <w:szCs w:val="24"/>
          <w:lang w:eastAsia="zh-CN"/>
        </w:rPr>
        <w:t>的法定代表人，现委托</w:t>
      </w:r>
      <w:r>
        <w:rPr>
          <w:rFonts w:hint="eastAsia"/>
          <w:sz w:val="24"/>
          <w:szCs w:val="24"/>
          <w:u w:val="single"/>
          <w:lang w:eastAsia="zh-CN"/>
        </w:rPr>
        <w:t xml:space="preserve">    </w:t>
      </w:r>
      <w:r>
        <w:rPr>
          <w:rFonts w:hint="eastAsia"/>
          <w:i/>
          <w:iCs/>
          <w:sz w:val="24"/>
          <w:szCs w:val="24"/>
          <w:u w:val="single"/>
          <w:lang w:eastAsia="zh-CN"/>
        </w:rPr>
        <w:t>[授权委托人姓名]</w:t>
      </w:r>
      <w:r>
        <w:rPr>
          <w:rFonts w:hint="eastAsia"/>
          <w:sz w:val="24"/>
          <w:szCs w:val="24"/>
          <w:u w:val="single"/>
          <w:lang w:eastAsia="zh-CN"/>
        </w:rPr>
        <w:t xml:space="preserve">    </w:t>
      </w:r>
      <w:r>
        <w:rPr>
          <w:rFonts w:hint="eastAsia"/>
          <w:sz w:val="24"/>
          <w:szCs w:val="24"/>
          <w:lang w:eastAsia="zh-CN"/>
        </w:rPr>
        <w:t>为我方代理人。代理人根据授权，以我方名义签署、澄清、说明、补正、递交、撤回、修改</w:t>
      </w:r>
      <w:r>
        <w:rPr>
          <w:rFonts w:hint="eastAsia"/>
          <w:sz w:val="24"/>
          <w:szCs w:val="24"/>
          <w:u w:val="single"/>
          <w:lang w:eastAsia="zh-CN"/>
        </w:rPr>
        <w:t xml:space="preserve">      </w:t>
      </w:r>
      <w:r>
        <w:rPr>
          <w:rFonts w:hint="eastAsia"/>
          <w:i/>
          <w:iCs/>
          <w:sz w:val="24"/>
          <w:szCs w:val="24"/>
          <w:u w:val="single"/>
          <w:lang w:eastAsia="zh-CN"/>
        </w:rPr>
        <w:t xml:space="preserve">[投标项目名称] </w:t>
      </w:r>
      <w:r>
        <w:rPr>
          <w:rFonts w:hint="eastAsia"/>
          <w:sz w:val="24"/>
          <w:szCs w:val="24"/>
          <w:u w:val="single"/>
          <w:lang w:eastAsia="zh-CN"/>
        </w:rPr>
        <w:t xml:space="preserve">     </w:t>
      </w:r>
      <w:r>
        <w:rPr>
          <w:rFonts w:hint="eastAsia"/>
          <w:sz w:val="24"/>
          <w:szCs w:val="24"/>
          <w:lang w:eastAsia="zh-CN"/>
        </w:rPr>
        <w:t>投标应答文件、签订合同和处理有关事宜，其法律后果由我方承担。</w:t>
      </w:r>
    </w:p>
    <w:p>
      <w:pPr>
        <w:spacing w:line="360" w:lineRule="auto"/>
        <w:ind w:firstLine="480" w:firstLineChars="200"/>
        <w:rPr>
          <w:sz w:val="24"/>
          <w:szCs w:val="24"/>
          <w:lang w:eastAsia="zh-CN"/>
        </w:rPr>
      </w:pPr>
      <w:r>
        <w:rPr>
          <w:rFonts w:hint="eastAsia"/>
          <w:sz w:val="24"/>
          <w:szCs w:val="24"/>
          <w:lang w:eastAsia="zh-CN"/>
        </w:rPr>
        <w:t>委托期限：从委托生效之日起至本项目结束。</w:t>
      </w:r>
    </w:p>
    <w:p>
      <w:pPr>
        <w:spacing w:line="360" w:lineRule="auto"/>
        <w:ind w:firstLine="480" w:firstLineChars="200"/>
        <w:rPr>
          <w:sz w:val="24"/>
          <w:szCs w:val="24"/>
          <w:lang w:eastAsia="zh-CN"/>
        </w:rPr>
      </w:pPr>
      <w:r>
        <w:rPr>
          <w:rFonts w:hint="eastAsia"/>
          <w:sz w:val="24"/>
          <w:szCs w:val="24"/>
          <w:lang w:eastAsia="zh-CN"/>
        </w:rPr>
        <w:t>代理人无转委托权。</w:t>
      </w:r>
    </w:p>
    <w:p>
      <w:pPr>
        <w:spacing w:line="360" w:lineRule="auto"/>
        <w:rPr>
          <w:sz w:val="24"/>
          <w:szCs w:val="24"/>
          <w:lang w:eastAsia="zh-CN"/>
        </w:rPr>
      </w:pPr>
      <w:r>
        <w:rPr>
          <w:rFonts w:hint="eastAsia"/>
          <w:sz w:val="24"/>
          <w:szCs w:val="24"/>
          <w:lang w:eastAsia="zh-CN"/>
        </w:rPr>
        <w:t>附：法定代表人身份证明</w:t>
      </w:r>
    </w:p>
    <w:p>
      <w:pPr>
        <w:spacing w:line="360" w:lineRule="auto"/>
        <w:rPr>
          <w:sz w:val="24"/>
          <w:szCs w:val="24"/>
          <w:lang w:eastAsia="zh-CN"/>
        </w:rPr>
      </w:pPr>
    </w:p>
    <w:p>
      <w:pPr>
        <w:spacing w:line="360" w:lineRule="auto"/>
        <w:rPr>
          <w:sz w:val="24"/>
          <w:szCs w:val="24"/>
          <w:lang w:eastAsia="zh-CN"/>
        </w:rPr>
      </w:pPr>
    </w:p>
    <w:p>
      <w:pPr>
        <w:spacing w:line="360" w:lineRule="auto"/>
        <w:rPr>
          <w:sz w:val="24"/>
          <w:szCs w:val="24"/>
          <w:lang w:eastAsia="zh-CN"/>
        </w:rPr>
      </w:pPr>
    </w:p>
    <w:p>
      <w:pPr>
        <w:spacing w:line="360" w:lineRule="auto"/>
        <w:rPr>
          <w:sz w:val="24"/>
          <w:szCs w:val="24"/>
          <w:lang w:eastAsia="zh-CN"/>
        </w:rPr>
      </w:pPr>
      <w:r>
        <w:rPr>
          <w:rFonts w:hint="eastAsia"/>
          <w:sz w:val="24"/>
          <w:szCs w:val="24"/>
          <w:lang w:eastAsia="zh-CN"/>
        </w:rPr>
        <w:t xml:space="preserve">                                          投标人</w:t>
      </w:r>
      <w:r>
        <w:rPr>
          <w:rFonts w:hint="eastAsia"/>
          <w:i/>
          <w:iCs/>
          <w:sz w:val="24"/>
          <w:szCs w:val="24"/>
          <w:lang w:eastAsia="zh-CN"/>
        </w:rPr>
        <w:t>[</w:t>
      </w:r>
      <w:r>
        <w:rPr>
          <w:rFonts w:hint="eastAsia"/>
          <w:sz w:val="24"/>
          <w:szCs w:val="24"/>
          <w:lang w:eastAsia="zh-CN"/>
        </w:rPr>
        <w:t>盖单位章</w:t>
      </w:r>
      <w:r>
        <w:rPr>
          <w:rFonts w:hint="eastAsia"/>
          <w:i/>
          <w:iCs/>
          <w:sz w:val="24"/>
          <w:szCs w:val="24"/>
          <w:lang w:eastAsia="zh-CN"/>
        </w:rPr>
        <w:t>]</w:t>
      </w:r>
      <w:r>
        <w:rPr>
          <w:rFonts w:hint="eastAsia"/>
          <w:sz w:val="24"/>
          <w:szCs w:val="24"/>
          <w:lang w:eastAsia="zh-CN"/>
        </w:rPr>
        <w:t xml:space="preserve">： </w:t>
      </w:r>
      <w:r>
        <w:rPr>
          <w:rFonts w:hint="eastAsia"/>
          <w:sz w:val="24"/>
          <w:szCs w:val="24"/>
          <w:u w:val="single"/>
          <w:lang w:eastAsia="zh-CN"/>
        </w:rPr>
        <w:t xml:space="preserve">                                                          </w:t>
      </w:r>
    </w:p>
    <w:p>
      <w:pPr>
        <w:spacing w:line="360" w:lineRule="auto"/>
        <w:rPr>
          <w:sz w:val="24"/>
          <w:szCs w:val="24"/>
          <w:lang w:eastAsia="zh-CN"/>
        </w:rPr>
      </w:pPr>
    </w:p>
    <w:p>
      <w:pPr>
        <w:spacing w:line="360" w:lineRule="auto"/>
        <w:ind w:firstLine="2520" w:firstLineChars="1050"/>
        <w:rPr>
          <w:sz w:val="24"/>
          <w:szCs w:val="24"/>
          <w:lang w:eastAsia="zh-CN"/>
        </w:rPr>
      </w:pPr>
      <w:r>
        <w:rPr>
          <w:rFonts w:hint="eastAsia"/>
          <w:sz w:val="24"/>
          <w:szCs w:val="24"/>
          <w:lang w:eastAsia="zh-CN"/>
        </w:rPr>
        <w:t>法定代表人</w:t>
      </w:r>
      <w:r>
        <w:rPr>
          <w:rFonts w:hint="eastAsia"/>
          <w:i/>
          <w:iCs/>
          <w:sz w:val="24"/>
          <w:szCs w:val="24"/>
          <w:lang w:eastAsia="zh-CN"/>
        </w:rPr>
        <w:t>[</w:t>
      </w:r>
      <w:r>
        <w:rPr>
          <w:rFonts w:hint="eastAsia"/>
          <w:sz w:val="24"/>
          <w:szCs w:val="24"/>
          <w:lang w:eastAsia="zh-CN"/>
        </w:rPr>
        <w:t>签字</w:t>
      </w:r>
      <w:r>
        <w:rPr>
          <w:rFonts w:hint="eastAsia"/>
          <w:i/>
          <w:iCs/>
          <w:sz w:val="24"/>
          <w:szCs w:val="24"/>
          <w:lang w:eastAsia="zh-CN"/>
        </w:rPr>
        <w:t>]</w:t>
      </w:r>
      <w:r>
        <w:rPr>
          <w:rFonts w:hint="eastAsia"/>
          <w:sz w:val="24"/>
          <w:szCs w:val="24"/>
          <w:lang w:eastAsia="zh-CN"/>
        </w:rPr>
        <w:t>：</w:t>
      </w:r>
      <w:r>
        <w:rPr>
          <w:rFonts w:hint="eastAsia"/>
          <w:sz w:val="24"/>
          <w:szCs w:val="24"/>
          <w:u w:val="single"/>
          <w:lang w:eastAsia="zh-CN"/>
        </w:rPr>
        <w:t xml:space="preserve">                                                           </w:t>
      </w:r>
    </w:p>
    <w:p>
      <w:pPr>
        <w:spacing w:line="360" w:lineRule="auto"/>
        <w:rPr>
          <w:sz w:val="24"/>
          <w:szCs w:val="24"/>
          <w:lang w:eastAsia="zh-CN"/>
        </w:rPr>
      </w:pPr>
    </w:p>
    <w:p>
      <w:pPr>
        <w:spacing w:line="360" w:lineRule="auto"/>
        <w:ind w:firstLine="2520" w:firstLineChars="1050"/>
        <w:rPr>
          <w:sz w:val="24"/>
          <w:szCs w:val="24"/>
          <w:lang w:eastAsia="zh-CN"/>
        </w:rPr>
      </w:pPr>
      <w:r>
        <w:rPr>
          <w:rFonts w:hint="eastAsia"/>
          <w:sz w:val="24"/>
          <w:szCs w:val="24"/>
          <w:lang w:eastAsia="zh-CN"/>
        </w:rPr>
        <w:t>身份证号码：</w:t>
      </w:r>
      <w:r>
        <w:rPr>
          <w:rFonts w:hint="eastAsia"/>
          <w:sz w:val="24"/>
          <w:szCs w:val="24"/>
          <w:u w:val="single"/>
          <w:lang w:eastAsia="zh-CN"/>
        </w:rPr>
        <w:t xml:space="preserve">                                                                      </w:t>
      </w:r>
      <w:r>
        <w:rPr>
          <w:rFonts w:hint="eastAsia"/>
          <w:sz w:val="24"/>
          <w:szCs w:val="24"/>
          <w:lang w:eastAsia="zh-CN"/>
        </w:rPr>
        <w:t xml:space="preserve">   </w:t>
      </w:r>
    </w:p>
    <w:p>
      <w:pPr>
        <w:spacing w:line="360" w:lineRule="auto"/>
        <w:rPr>
          <w:sz w:val="24"/>
          <w:szCs w:val="24"/>
          <w:lang w:eastAsia="zh-CN"/>
        </w:rPr>
      </w:pPr>
    </w:p>
    <w:p>
      <w:pPr>
        <w:spacing w:line="360" w:lineRule="auto"/>
        <w:ind w:firstLine="2520" w:firstLineChars="1050"/>
        <w:rPr>
          <w:sz w:val="24"/>
          <w:szCs w:val="24"/>
          <w:lang w:eastAsia="zh-CN"/>
        </w:rPr>
      </w:pPr>
      <w:r>
        <w:rPr>
          <w:rFonts w:hint="eastAsia"/>
          <w:sz w:val="24"/>
          <w:szCs w:val="24"/>
          <w:lang w:eastAsia="zh-CN"/>
        </w:rPr>
        <w:t>委托代理人</w:t>
      </w:r>
      <w:r>
        <w:rPr>
          <w:rFonts w:hint="eastAsia"/>
          <w:i/>
          <w:iCs/>
          <w:sz w:val="24"/>
          <w:szCs w:val="24"/>
          <w:lang w:eastAsia="zh-CN"/>
        </w:rPr>
        <w:t>[</w:t>
      </w:r>
      <w:r>
        <w:rPr>
          <w:rFonts w:hint="eastAsia"/>
          <w:sz w:val="24"/>
          <w:szCs w:val="24"/>
          <w:lang w:eastAsia="zh-CN"/>
        </w:rPr>
        <w:t>签字</w:t>
      </w:r>
      <w:r>
        <w:rPr>
          <w:rFonts w:hint="eastAsia"/>
          <w:i/>
          <w:iCs/>
          <w:sz w:val="24"/>
          <w:szCs w:val="24"/>
          <w:lang w:eastAsia="zh-CN"/>
        </w:rPr>
        <w:t>]</w:t>
      </w:r>
      <w:r>
        <w:rPr>
          <w:rFonts w:hint="eastAsia"/>
          <w:sz w:val="24"/>
          <w:szCs w:val="24"/>
          <w:lang w:eastAsia="zh-CN"/>
        </w:rPr>
        <w:t>：</w:t>
      </w:r>
      <w:r>
        <w:rPr>
          <w:rFonts w:hint="eastAsia"/>
          <w:sz w:val="24"/>
          <w:szCs w:val="24"/>
          <w:u w:val="single"/>
          <w:lang w:eastAsia="zh-CN"/>
        </w:rPr>
        <w:t xml:space="preserve">                                                          </w:t>
      </w:r>
    </w:p>
    <w:p>
      <w:pPr>
        <w:spacing w:line="360" w:lineRule="auto"/>
        <w:rPr>
          <w:sz w:val="24"/>
          <w:szCs w:val="24"/>
          <w:lang w:eastAsia="zh-CN"/>
        </w:rPr>
      </w:pPr>
    </w:p>
    <w:p>
      <w:pPr>
        <w:spacing w:line="360" w:lineRule="auto"/>
        <w:ind w:firstLine="2520" w:firstLineChars="1050"/>
        <w:rPr>
          <w:sz w:val="24"/>
          <w:szCs w:val="24"/>
          <w:lang w:eastAsia="zh-CN"/>
        </w:rPr>
      </w:pPr>
      <w:r>
        <w:rPr>
          <w:rFonts w:hint="eastAsia"/>
          <w:sz w:val="24"/>
          <w:szCs w:val="24"/>
          <w:lang w:eastAsia="zh-CN"/>
        </w:rPr>
        <w:t>身份证号码：</w:t>
      </w:r>
      <w:r>
        <w:rPr>
          <w:rFonts w:hint="eastAsia"/>
          <w:sz w:val="24"/>
          <w:szCs w:val="24"/>
          <w:u w:val="single"/>
          <w:lang w:eastAsia="zh-CN"/>
        </w:rPr>
        <w:t xml:space="preserve">                                                                       </w:t>
      </w:r>
    </w:p>
    <w:p>
      <w:pPr>
        <w:spacing w:line="360" w:lineRule="auto"/>
        <w:rPr>
          <w:sz w:val="24"/>
          <w:szCs w:val="24"/>
          <w:lang w:eastAsia="zh-CN"/>
        </w:rPr>
      </w:pPr>
    </w:p>
    <w:p>
      <w:pPr>
        <w:overflowPunct/>
        <w:autoSpaceDE/>
        <w:autoSpaceDN/>
        <w:adjustRightInd/>
        <w:textAlignment w:val="auto"/>
        <w:rPr>
          <w:rStyle w:val="40"/>
          <w:sz w:val="36"/>
          <w:szCs w:val="36"/>
          <w:lang w:eastAsia="zh-CN"/>
        </w:rPr>
      </w:pPr>
    </w:p>
    <w:p>
      <w:pPr>
        <w:overflowPunct/>
        <w:autoSpaceDE/>
        <w:autoSpaceDN/>
        <w:adjustRightInd/>
        <w:textAlignment w:val="auto"/>
        <w:rPr>
          <w:rStyle w:val="40"/>
          <w:sz w:val="36"/>
          <w:szCs w:val="36"/>
          <w:lang w:eastAsia="zh-CN"/>
        </w:rPr>
      </w:pPr>
      <w:r>
        <w:rPr>
          <w:rStyle w:val="40"/>
          <w:sz w:val="36"/>
          <w:szCs w:val="36"/>
          <w:lang w:eastAsia="zh-CN"/>
        </w:rPr>
        <w:br w:type="page"/>
      </w:r>
    </w:p>
    <w:p>
      <w:pPr>
        <w:overflowPunct/>
        <w:autoSpaceDE/>
        <w:autoSpaceDN/>
        <w:adjustRightInd/>
        <w:textAlignment w:val="auto"/>
        <w:rPr>
          <w:rFonts w:ascii="宋体" w:hAnsi="宋体"/>
          <w:b/>
          <w:sz w:val="28"/>
          <w:szCs w:val="28"/>
          <w:lang w:eastAsia="zh-CN"/>
        </w:rPr>
      </w:pPr>
      <w:r>
        <w:rPr>
          <w:rFonts w:ascii="宋体" w:hAnsi="宋体"/>
          <w:b/>
          <w:sz w:val="28"/>
          <w:szCs w:val="28"/>
          <w:lang w:eastAsia="zh-CN"/>
        </w:rPr>
        <w:t>格式</w:t>
      </w:r>
      <w:r>
        <w:rPr>
          <w:rFonts w:hint="eastAsia" w:ascii="宋体" w:hAnsi="宋体"/>
          <w:b/>
          <w:sz w:val="28"/>
          <w:szCs w:val="28"/>
          <w:lang w:eastAsia="zh-CN"/>
        </w:rPr>
        <w:t>B</w:t>
      </w:r>
      <w:r>
        <w:rPr>
          <w:rFonts w:ascii="宋体" w:hAnsi="宋体"/>
          <w:b/>
          <w:sz w:val="28"/>
          <w:szCs w:val="28"/>
          <w:lang w:eastAsia="zh-CN"/>
        </w:rPr>
        <w:t>　</w:t>
      </w:r>
      <w:r>
        <w:rPr>
          <w:rFonts w:hint="eastAsia" w:ascii="宋体" w:hAnsi="宋体"/>
          <w:b/>
          <w:sz w:val="28"/>
          <w:szCs w:val="28"/>
          <w:lang w:eastAsia="zh-CN"/>
        </w:rPr>
        <w:t>商务技术和合同条款偏离表</w:t>
      </w:r>
    </w:p>
    <w:p>
      <w:pPr>
        <w:spacing w:before="156" w:beforeLines="50" w:after="156" w:afterLines="50" w:line="240" w:lineRule="atLeast"/>
        <w:rPr>
          <w:b/>
          <w:sz w:val="24"/>
          <w:szCs w:val="24"/>
          <w:lang w:val="fr-FR" w:eastAsia="zh-CN"/>
        </w:rPr>
      </w:pPr>
    </w:p>
    <w:tbl>
      <w:tblPr>
        <w:tblStyle w:val="19"/>
        <w:tblW w:w="84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25"/>
        <w:gridCol w:w="1276"/>
        <w:gridCol w:w="2977"/>
        <w:gridCol w:w="2068"/>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4" w:hRule="exact"/>
          <w:jc w:val="center"/>
        </w:trPr>
        <w:tc>
          <w:tcPr>
            <w:tcW w:w="310"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序号</w:t>
            </w:r>
          </w:p>
        </w:tc>
        <w:tc>
          <w:tcPr>
            <w:tcW w:w="754"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采购文件（合同）条目号</w:t>
            </w:r>
          </w:p>
        </w:tc>
        <w:tc>
          <w:tcPr>
            <w:tcW w:w="1759"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采购文件（或合同）原文摘要</w:t>
            </w:r>
          </w:p>
        </w:tc>
        <w:tc>
          <w:tcPr>
            <w:tcW w:w="1222"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投标人偏离</w:t>
            </w:r>
          </w:p>
        </w:tc>
        <w:tc>
          <w:tcPr>
            <w:tcW w:w="955" w:type="pct"/>
            <w:vAlign w:val="center"/>
          </w:tcPr>
          <w:p>
            <w:pPr>
              <w:spacing w:line="360" w:lineRule="exact"/>
              <w:rPr>
                <w:rFonts w:ascii="宋体" w:hAnsi="宋体"/>
                <w:b/>
                <w:bCs/>
                <w:sz w:val="21"/>
                <w:szCs w:val="21"/>
                <w:lang w:eastAsia="zh-CN"/>
              </w:rPr>
            </w:pPr>
            <w:r>
              <w:rPr>
                <w:rFonts w:hint="eastAsia" w:ascii="宋体" w:hAnsi="宋体"/>
                <w:b/>
                <w:bCs/>
                <w:sz w:val="21"/>
                <w:szCs w:val="21"/>
                <w:lang w:eastAsia="zh-CN"/>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7" w:hRule="atLeast"/>
          <w:jc w:val="center"/>
        </w:trPr>
        <w:tc>
          <w:tcPr>
            <w:tcW w:w="310" w:type="pct"/>
            <w:vAlign w:val="center"/>
          </w:tcPr>
          <w:p>
            <w:pPr>
              <w:snapToGrid w:val="0"/>
              <w:spacing w:line="520" w:lineRule="atLeast"/>
              <w:rPr>
                <w:sz w:val="24"/>
                <w:szCs w:val="24"/>
              </w:rPr>
            </w:pPr>
          </w:p>
        </w:tc>
        <w:tc>
          <w:tcPr>
            <w:tcW w:w="754" w:type="pct"/>
            <w:vAlign w:val="center"/>
          </w:tcPr>
          <w:p>
            <w:pPr>
              <w:snapToGrid w:val="0"/>
              <w:spacing w:line="520" w:lineRule="atLeast"/>
              <w:rPr>
                <w:sz w:val="24"/>
                <w:szCs w:val="24"/>
              </w:rPr>
            </w:pPr>
          </w:p>
        </w:tc>
        <w:tc>
          <w:tcPr>
            <w:tcW w:w="1759" w:type="pct"/>
          </w:tcPr>
          <w:p>
            <w:pPr>
              <w:snapToGrid w:val="0"/>
              <w:spacing w:line="520" w:lineRule="atLeast"/>
              <w:rPr>
                <w:sz w:val="24"/>
                <w:szCs w:val="24"/>
              </w:rPr>
            </w:pPr>
          </w:p>
        </w:tc>
        <w:tc>
          <w:tcPr>
            <w:tcW w:w="1222" w:type="pct"/>
          </w:tcPr>
          <w:p>
            <w:pPr>
              <w:snapToGrid w:val="0"/>
              <w:spacing w:line="520" w:lineRule="atLeast"/>
              <w:rPr>
                <w:sz w:val="24"/>
                <w:szCs w:val="24"/>
              </w:rPr>
            </w:pPr>
          </w:p>
        </w:tc>
        <w:tc>
          <w:tcPr>
            <w:tcW w:w="955" w:type="pct"/>
            <w:vAlign w:val="center"/>
          </w:tcPr>
          <w:p>
            <w:pPr>
              <w:snapToGrid w:val="0"/>
              <w:spacing w:line="520" w:lineRule="atLeast"/>
              <w:rPr>
                <w:sz w:val="24"/>
                <w:szCs w:val="24"/>
              </w:rPr>
            </w:pPr>
          </w:p>
        </w:tc>
      </w:tr>
    </w:tbl>
    <w:p>
      <w:pPr>
        <w:spacing w:line="360" w:lineRule="exact"/>
        <w:ind w:firstLine="480" w:firstLineChars="200"/>
        <w:rPr>
          <w:rFonts w:ascii="宋体" w:hAnsi="宋体"/>
          <w:bCs/>
          <w:sz w:val="24"/>
          <w:szCs w:val="24"/>
          <w:lang w:eastAsia="zh-CN"/>
        </w:rPr>
      </w:pPr>
      <w:r>
        <w:rPr>
          <w:rFonts w:hint="eastAsia" w:ascii="宋体" w:hAnsi="宋体"/>
          <w:bCs/>
          <w:sz w:val="24"/>
          <w:szCs w:val="24"/>
          <w:lang w:eastAsia="zh-CN"/>
        </w:rPr>
        <w:t>注：投标人应对照采购文件的要求，逐条说明投标文件（包括合同条款）的响应情况。</w:t>
      </w:r>
    </w:p>
    <w:p>
      <w:pPr>
        <w:overflowPunct/>
        <w:autoSpaceDE/>
        <w:autoSpaceDN/>
        <w:adjustRightInd/>
        <w:textAlignment w:val="auto"/>
        <w:rPr>
          <w:rFonts w:ascii="宋体" w:hAnsi="宋体"/>
          <w:b/>
          <w:sz w:val="28"/>
          <w:szCs w:val="28"/>
          <w:lang w:eastAsia="zh-CN"/>
        </w:rPr>
      </w:pPr>
    </w:p>
    <w:p>
      <w:pPr>
        <w:spacing w:line="360" w:lineRule="auto"/>
        <w:rPr>
          <w:sz w:val="24"/>
          <w:szCs w:val="24"/>
          <w:lang w:eastAsia="zh-CN"/>
        </w:rPr>
      </w:pPr>
      <w:r>
        <w:rPr>
          <w:rFonts w:hint="eastAsia"/>
          <w:sz w:val="24"/>
          <w:szCs w:val="24"/>
          <w:lang w:eastAsia="zh-CN"/>
        </w:rPr>
        <w:t xml:space="preserve">                                          投标人</w:t>
      </w:r>
      <w:r>
        <w:rPr>
          <w:rFonts w:hint="eastAsia"/>
          <w:i/>
          <w:iCs/>
          <w:sz w:val="24"/>
          <w:szCs w:val="24"/>
          <w:lang w:eastAsia="zh-CN"/>
        </w:rPr>
        <w:t>[</w:t>
      </w:r>
      <w:r>
        <w:rPr>
          <w:rFonts w:hint="eastAsia"/>
          <w:sz w:val="24"/>
          <w:szCs w:val="24"/>
          <w:lang w:eastAsia="zh-CN"/>
        </w:rPr>
        <w:t>盖单位章</w:t>
      </w:r>
      <w:r>
        <w:rPr>
          <w:rFonts w:hint="eastAsia"/>
          <w:i/>
          <w:iCs/>
          <w:sz w:val="24"/>
          <w:szCs w:val="24"/>
          <w:lang w:eastAsia="zh-CN"/>
        </w:rPr>
        <w:t>]</w:t>
      </w:r>
      <w:r>
        <w:rPr>
          <w:rFonts w:hint="eastAsia"/>
          <w:sz w:val="24"/>
          <w:szCs w:val="24"/>
          <w:lang w:eastAsia="zh-CN"/>
        </w:rPr>
        <w:t xml:space="preserve">： </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 xml:space="preserve">                                                         </w:t>
      </w:r>
    </w:p>
    <w:p>
      <w:pPr>
        <w:spacing w:line="360" w:lineRule="auto"/>
        <w:jc w:val="center"/>
        <w:rPr>
          <w:rFonts w:hint="eastAsia"/>
          <w:sz w:val="24"/>
          <w:szCs w:val="24"/>
          <w:lang w:val="en-US" w:eastAsia="zh-CN"/>
        </w:rPr>
      </w:pPr>
      <w:r>
        <w:rPr>
          <w:rFonts w:hint="eastAsia"/>
          <w:sz w:val="24"/>
          <w:szCs w:val="24"/>
          <w:lang w:val="en-US" w:eastAsia="zh-CN"/>
        </w:rPr>
        <w:t xml:space="preserve">                         </w:t>
      </w:r>
    </w:p>
    <w:p>
      <w:pPr>
        <w:spacing w:line="360" w:lineRule="auto"/>
        <w:jc w:val="center"/>
        <w:rPr>
          <w:rFonts w:hint="eastAsia"/>
          <w:sz w:val="24"/>
          <w:szCs w:val="24"/>
          <w:u w:val="single"/>
          <w:lang w:val="en-US" w:eastAsia="zh-CN"/>
        </w:rPr>
      </w:pPr>
      <w:r>
        <w:rPr>
          <w:rFonts w:hint="eastAsia"/>
          <w:sz w:val="24"/>
          <w:szCs w:val="24"/>
          <w:lang w:val="en-US" w:eastAsia="zh-CN"/>
        </w:rPr>
        <w:t xml:space="preserve">                         投标日期：</w:t>
      </w:r>
      <w:r>
        <w:rPr>
          <w:rFonts w:hint="eastAsia"/>
          <w:sz w:val="24"/>
          <w:szCs w:val="24"/>
          <w:u w:val="single"/>
          <w:lang w:eastAsia="zh-CN"/>
        </w:rPr>
        <w:t xml:space="preserve"> </w:t>
      </w:r>
      <w:r>
        <w:rPr>
          <w:rFonts w:hint="eastAsia"/>
          <w:sz w:val="24"/>
          <w:szCs w:val="24"/>
          <w:u w:val="single"/>
          <w:lang w:val="en-US" w:eastAsia="zh-CN"/>
        </w:rPr>
        <w:t xml:space="preserve">        </w:t>
      </w:r>
    </w:p>
    <w:p>
      <w:pPr>
        <w:overflowPunct/>
        <w:autoSpaceDE/>
        <w:autoSpaceDN/>
        <w:adjustRightInd/>
        <w:textAlignment w:val="auto"/>
        <w:rPr>
          <w:b/>
          <w:bCs/>
          <w:kern w:val="44"/>
          <w:sz w:val="36"/>
          <w:szCs w:val="36"/>
          <w:lang w:eastAsia="zh-CN"/>
        </w:rPr>
      </w:pPr>
    </w:p>
    <w:p>
      <w:pPr>
        <w:overflowPunct/>
        <w:autoSpaceDE/>
        <w:autoSpaceDN/>
        <w:adjustRightInd/>
        <w:textAlignment w:val="auto"/>
        <w:rPr>
          <w:b/>
          <w:bCs/>
          <w:kern w:val="44"/>
          <w:sz w:val="36"/>
          <w:szCs w:val="36"/>
          <w:lang w:eastAsia="zh-CN"/>
        </w:rPr>
      </w:pPr>
    </w:p>
    <w:p>
      <w:pPr>
        <w:overflowPunct/>
        <w:autoSpaceDE/>
        <w:autoSpaceDN/>
        <w:adjustRightInd/>
        <w:textAlignment w:val="auto"/>
        <w:rPr>
          <w:rFonts w:ascii="宋体" w:hAnsi="宋体"/>
          <w:b/>
          <w:sz w:val="28"/>
          <w:szCs w:val="28"/>
          <w:lang w:eastAsia="zh-CN"/>
        </w:rPr>
      </w:pPr>
      <w:r>
        <w:rPr>
          <w:rFonts w:ascii="宋体" w:hAnsi="宋体"/>
          <w:b/>
          <w:sz w:val="28"/>
          <w:szCs w:val="28"/>
          <w:lang w:eastAsia="zh-CN"/>
        </w:rPr>
        <w:t>格式</w:t>
      </w:r>
      <w:r>
        <w:rPr>
          <w:rFonts w:hint="eastAsia" w:ascii="宋体" w:hAnsi="宋体"/>
          <w:b/>
          <w:sz w:val="28"/>
          <w:szCs w:val="28"/>
          <w:lang w:eastAsia="zh-CN"/>
        </w:rPr>
        <w:t>C</w:t>
      </w:r>
      <w:r>
        <w:rPr>
          <w:rFonts w:ascii="宋体" w:hAnsi="宋体"/>
          <w:b/>
          <w:sz w:val="28"/>
          <w:szCs w:val="28"/>
          <w:lang w:eastAsia="zh-CN"/>
        </w:rPr>
        <w:t>　</w:t>
      </w:r>
      <w:r>
        <w:rPr>
          <w:rFonts w:hint="eastAsia" w:ascii="宋体" w:hAnsi="宋体"/>
          <w:b/>
          <w:sz w:val="28"/>
          <w:szCs w:val="28"/>
          <w:lang w:eastAsia="zh-CN"/>
        </w:rPr>
        <w:t>报价文件</w:t>
      </w:r>
    </w:p>
    <w:tbl>
      <w:tblPr>
        <w:tblStyle w:val="19"/>
        <w:tblW w:w="883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3"/>
        <w:gridCol w:w="709"/>
        <w:gridCol w:w="817"/>
        <w:gridCol w:w="708"/>
        <w:gridCol w:w="993"/>
        <w:gridCol w:w="850"/>
        <w:gridCol w:w="992"/>
        <w:gridCol w:w="1560"/>
        <w:gridCol w:w="36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836" w:type="dxa"/>
            <w:gridSpan w:val="9"/>
            <w:tcBorders>
              <w:top w:val="nil"/>
            </w:tcBorders>
          </w:tcPr>
          <w:p>
            <w:pPr>
              <w:spacing w:before="156" w:beforeLines="50" w:after="156" w:afterLines="50" w:line="240" w:lineRule="atLeast"/>
              <w:rPr>
                <w:rFonts w:ascii="宋体" w:hAnsi="宋体"/>
                <w:b/>
                <w:sz w:val="24"/>
                <w:szCs w:val="24"/>
                <w:lang w:eastAsia="zh-CN"/>
              </w:rPr>
            </w:pPr>
            <w:r>
              <w:rPr>
                <w:rFonts w:hint="eastAsia"/>
                <w:b/>
                <w:sz w:val="24"/>
                <w:szCs w:val="24"/>
                <w:lang w:eastAsia="zh-CN"/>
              </w:rPr>
              <w:t>（一）报价分项表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cantSplit/>
        </w:trPr>
        <w:tc>
          <w:tcPr>
            <w:tcW w:w="1843" w:type="dxa"/>
            <w:vMerge w:val="restart"/>
            <w:tcBorders>
              <w:righ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eastAsia="zh-CN"/>
              </w:rPr>
              <w:t>分项名称</w:t>
            </w:r>
          </w:p>
        </w:tc>
        <w:tc>
          <w:tcPr>
            <w:tcW w:w="709" w:type="dxa"/>
            <w:vMerge w:val="restart"/>
            <w:tcBorders>
              <w:left w:val="single" w:color="auto" w:sz="4" w:space="0"/>
              <w:righ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val="fr-FR" w:eastAsia="zh-CN"/>
              </w:rPr>
              <w:t>数量</w:t>
            </w:r>
          </w:p>
        </w:tc>
        <w:tc>
          <w:tcPr>
            <w:tcW w:w="817" w:type="dxa"/>
            <w:vMerge w:val="restart"/>
            <w:tcBorders>
              <w:lef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ascii="宋体" w:hAnsi="宋体"/>
                <w:sz w:val="24"/>
                <w:szCs w:val="24"/>
                <w:lang w:val="fr-FR" w:eastAsia="zh-CN"/>
              </w:rPr>
              <w:t>单位</w:t>
            </w:r>
          </w:p>
        </w:tc>
        <w:tc>
          <w:tcPr>
            <w:tcW w:w="708" w:type="dxa"/>
            <w:tcBorders>
              <w:right w:val="single" w:color="auto" w:sz="4" w:space="0"/>
            </w:tcBorders>
          </w:tcPr>
          <w:p>
            <w:pPr>
              <w:spacing w:before="156" w:beforeLines="50" w:after="156" w:afterLines="50" w:line="240" w:lineRule="atLeast"/>
              <w:jc w:val="center"/>
              <w:rPr>
                <w:rFonts w:ascii="宋体" w:hAnsi="宋体"/>
                <w:sz w:val="24"/>
                <w:szCs w:val="24"/>
                <w:lang w:val="fr-FR" w:eastAsia="zh-CN"/>
              </w:rPr>
            </w:pPr>
          </w:p>
        </w:tc>
        <w:tc>
          <w:tcPr>
            <w:tcW w:w="4395" w:type="dxa"/>
            <w:gridSpan w:val="4"/>
            <w:tcBorders>
              <w:left w:val="single" w:color="auto" w:sz="4" w:space="0"/>
            </w:tcBorders>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eastAsia="zh-CN"/>
              </w:rPr>
              <w:t>价格</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trPr>
        <w:tc>
          <w:tcPr>
            <w:tcW w:w="1843" w:type="dxa"/>
            <w:vMerge w:val="continue"/>
            <w:tcBorders>
              <w:right w:val="single" w:color="auto" w:sz="4" w:space="0"/>
            </w:tcBorders>
            <w:vAlign w:val="center"/>
          </w:tcPr>
          <w:p>
            <w:pPr>
              <w:spacing w:before="156" w:beforeLines="50" w:after="156" w:afterLines="50" w:line="240" w:lineRule="atLeast"/>
              <w:rPr>
                <w:rFonts w:ascii="宋体" w:hAnsi="宋体"/>
                <w:sz w:val="24"/>
                <w:szCs w:val="24"/>
                <w:lang w:val="fr-FR" w:eastAsia="zh-CN"/>
              </w:rPr>
            </w:pPr>
          </w:p>
        </w:tc>
        <w:tc>
          <w:tcPr>
            <w:tcW w:w="709" w:type="dxa"/>
            <w:vMerge w:val="continue"/>
            <w:tcBorders>
              <w:left w:val="single" w:color="auto" w:sz="4" w:space="0"/>
              <w:right w:val="single" w:color="auto" w:sz="4" w:space="0"/>
            </w:tcBorders>
            <w:vAlign w:val="center"/>
          </w:tcPr>
          <w:p>
            <w:pPr>
              <w:spacing w:before="156" w:beforeLines="50" w:after="156" w:afterLines="50" w:line="240" w:lineRule="atLeast"/>
              <w:rPr>
                <w:rFonts w:ascii="宋体" w:hAnsi="宋体"/>
                <w:sz w:val="24"/>
                <w:szCs w:val="24"/>
                <w:lang w:val="fr-FR" w:eastAsia="zh-CN"/>
              </w:rPr>
            </w:pPr>
          </w:p>
        </w:tc>
        <w:tc>
          <w:tcPr>
            <w:tcW w:w="817" w:type="dxa"/>
            <w:vMerge w:val="continue"/>
            <w:tcBorders>
              <w:left w:val="single" w:color="auto" w:sz="4" w:space="0"/>
            </w:tcBorders>
            <w:vAlign w:val="center"/>
          </w:tcPr>
          <w:p>
            <w:pPr>
              <w:spacing w:before="156" w:beforeLines="50" w:after="156" w:afterLines="50" w:line="240" w:lineRule="atLeast"/>
              <w:rPr>
                <w:rFonts w:ascii="宋体" w:hAnsi="宋体"/>
                <w:sz w:val="24"/>
                <w:szCs w:val="24"/>
                <w:lang w:val="fr-FR" w:eastAsia="zh-CN"/>
              </w:rPr>
            </w:pPr>
          </w:p>
        </w:tc>
        <w:tc>
          <w:tcPr>
            <w:tcW w:w="708" w:type="dxa"/>
            <w:tcBorders>
              <w:righ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val="fr-FR" w:eastAsia="zh-CN"/>
              </w:rPr>
              <w:t>单价</w:t>
            </w:r>
          </w:p>
        </w:tc>
        <w:tc>
          <w:tcPr>
            <w:tcW w:w="993" w:type="dxa"/>
            <w:tcBorders>
              <w:left w:val="single" w:color="auto" w:sz="4" w:space="0"/>
            </w:tcBorders>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kern w:val="2"/>
                <w:sz w:val="24"/>
                <w:szCs w:val="24"/>
              </w:rPr>
              <w:t>不含税报价</w:t>
            </w:r>
          </w:p>
        </w:tc>
        <w:tc>
          <w:tcPr>
            <w:tcW w:w="850" w:type="dxa"/>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kern w:val="2"/>
                <w:sz w:val="24"/>
                <w:szCs w:val="24"/>
              </w:rPr>
              <w:t>增值税率</w:t>
            </w:r>
          </w:p>
        </w:tc>
        <w:tc>
          <w:tcPr>
            <w:tcW w:w="992" w:type="dxa"/>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kern w:val="2"/>
                <w:sz w:val="24"/>
                <w:szCs w:val="24"/>
              </w:rPr>
              <w:t>增值税金额</w:t>
            </w:r>
          </w:p>
        </w:tc>
        <w:tc>
          <w:tcPr>
            <w:tcW w:w="1560" w:type="dxa"/>
            <w:vAlign w:val="center"/>
          </w:tcPr>
          <w:p>
            <w:pPr>
              <w:spacing w:before="156" w:beforeLines="50" w:after="156" w:afterLines="50" w:line="240" w:lineRule="atLeast"/>
              <w:jc w:val="center"/>
              <w:rPr>
                <w:rFonts w:ascii="宋体" w:hAnsi="宋体"/>
                <w:sz w:val="24"/>
                <w:szCs w:val="24"/>
                <w:lang w:val="fr-FR" w:eastAsia="zh-CN"/>
              </w:rPr>
            </w:pPr>
            <w:r>
              <w:rPr>
                <w:rFonts w:hint="eastAsia" w:ascii="宋体" w:hAnsi="宋体"/>
                <w:kern w:val="2"/>
                <w:sz w:val="24"/>
                <w:szCs w:val="24"/>
              </w:rPr>
              <w:t>含税报价</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trPr>
        <w:tc>
          <w:tcPr>
            <w:tcW w:w="1843" w:type="dxa"/>
            <w:tcBorders>
              <w:right w:val="single" w:color="auto" w:sz="4" w:space="0"/>
            </w:tcBorders>
          </w:tcPr>
          <w:p>
            <w:pPr>
              <w:spacing w:before="156" w:beforeLines="50" w:after="156" w:afterLines="50" w:line="240" w:lineRule="atLeast"/>
              <w:rPr>
                <w:rFonts w:ascii="宋体" w:hAnsi="宋体"/>
                <w:strike w:val="0"/>
                <w:dstrike w:val="0"/>
                <w:sz w:val="24"/>
                <w:szCs w:val="24"/>
                <w:highlight w:val="yellow"/>
                <w:u w:val="none"/>
                <w:lang w:val="fr-FR" w:eastAsia="zh-CN"/>
              </w:rPr>
            </w:pPr>
            <w:r>
              <w:rPr>
                <w:rFonts w:hint="eastAsia" w:ascii="宋体" w:hAnsi="宋体"/>
                <w:sz w:val="24"/>
                <w:szCs w:val="24"/>
                <w:lang w:val="en-US" w:eastAsia="zh-CN"/>
              </w:rPr>
              <w:t>SMTX OS 超融合软件</w:t>
            </w:r>
            <w:bookmarkStart w:id="77" w:name="_GoBack"/>
            <w:bookmarkEnd w:id="77"/>
          </w:p>
        </w:tc>
        <w:tc>
          <w:tcPr>
            <w:tcW w:w="709" w:type="dxa"/>
            <w:tcBorders>
              <w:left w:val="single" w:color="auto" w:sz="4" w:space="0"/>
              <w:right w:val="single" w:color="auto" w:sz="4" w:space="0"/>
            </w:tcBorders>
            <w:vAlign w:val="center"/>
          </w:tcPr>
          <w:p>
            <w:pPr>
              <w:spacing w:before="156" w:beforeLines="50" w:after="156" w:afterLines="50" w:line="240" w:lineRule="atLeast"/>
              <w:rPr>
                <w:rFonts w:hint="default" w:ascii="宋体" w:hAnsi="宋体"/>
                <w:sz w:val="24"/>
                <w:szCs w:val="24"/>
                <w:lang w:val="en-US" w:eastAsia="zh-CN"/>
              </w:rPr>
            </w:pPr>
            <w:r>
              <w:rPr>
                <w:rFonts w:hint="eastAsia" w:ascii="宋体" w:hAnsi="宋体"/>
                <w:sz w:val="24"/>
                <w:szCs w:val="24"/>
                <w:lang w:val="en-US" w:eastAsia="zh-CN"/>
              </w:rPr>
              <w:t>3</w:t>
            </w:r>
          </w:p>
        </w:tc>
        <w:tc>
          <w:tcPr>
            <w:tcW w:w="817" w:type="dxa"/>
            <w:tcBorders>
              <w:left w:val="single" w:color="auto" w:sz="4" w:space="0"/>
            </w:tcBorders>
            <w:vAlign w:val="center"/>
          </w:tcPr>
          <w:p>
            <w:pPr>
              <w:spacing w:before="156" w:beforeLines="50" w:after="156" w:afterLines="50" w:line="240" w:lineRule="atLeast"/>
              <w:rPr>
                <w:rFonts w:hint="default" w:ascii="宋体" w:hAnsi="宋体"/>
                <w:sz w:val="24"/>
                <w:szCs w:val="24"/>
                <w:lang w:val="en-US" w:eastAsia="zh-CN"/>
              </w:rPr>
            </w:pPr>
            <w:r>
              <w:rPr>
                <w:rFonts w:hint="eastAsia" w:ascii="宋体" w:hAnsi="宋体"/>
                <w:sz w:val="24"/>
                <w:szCs w:val="24"/>
                <w:lang w:val="en-US" w:eastAsia="zh-CN"/>
              </w:rPr>
              <w:t>套</w:t>
            </w:r>
          </w:p>
        </w:tc>
        <w:tc>
          <w:tcPr>
            <w:tcW w:w="708" w:type="dxa"/>
            <w:tcBorders>
              <w:right w:val="single" w:color="auto" w:sz="4" w:space="0"/>
            </w:tcBorders>
          </w:tcPr>
          <w:p>
            <w:pPr>
              <w:spacing w:before="156" w:beforeLines="50" w:after="156" w:afterLines="50" w:line="240" w:lineRule="atLeast"/>
              <w:rPr>
                <w:rFonts w:ascii="宋体" w:hAnsi="宋体"/>
                <w:sz w:val="24"/>
                <w:szCs w:val="24"/>
                <w:lang w:val="fr-FR" w:eastAsia="zh-CN"/>
              </w:rPr>
            </w:pPr>
          </w:p>
        </w:tc>
        <w:tc>
          <w:tcPr>
            <w:tcW w:w="993" w:type="dxa"/>
            <w:tcBorders>
              <w:left w:val="single" w:color="auto" w:sz="4" w:space="0"/>
            </w:tcBorders>
          </w:tcPr>
          <w:p>
            <w:pPr>
              <w:spacing w:before="156" w:beforeLines="50" w:after="156" w:afterLines="50" w:line="240" w:lineRule="atLeast"/>
              <w:rPr>
                <w:rFonts w:ascii="宋体" w:hAnsi="宋体"/>
                <w:sz w:val="24"/>
                <w:szCs w:val="24"/>
                <w:lang w:val="fr-FR" w:eastAsia="zh-CN"/>
              </w:rPr>
            </w:pPr>
          </w:p>
        </w:tc>
        <w:tc>
          <w:tcPr>
            <w:tcW w:w="850" w:type="dxa"/>
          </w:tcPr>
          <w:p>
            <w:pPr>
              <w:spacing w:before="156" w:beforeLines="50" w:after="156" w:afterLines="50" w:line="240" w:lineRule="atLeast"/>
              <w:rPr>
                <w:rFonts w:ascii="宋体" w:hAnsi="宋体"/>
                <w:sz w:val="24"/>
                <w:szCs w:val="24"/>
                <w:lang w:val="fr-FR" w:eastAsia="zh-CN"/>
              </w:rPr>
            </w:pPr>
          </w:p>
        </w:tc>
        <w:tc>
          <w:tcPr>
            <w:tcW w:w="992" w:type="dxa"/>
          </w:tcPr>
          <w:p>
            <w:pPr>
              <w:spacing w:before="156" w:beforeLines="50" w:after="156" w:afterLines="50" w:line="240" w:lineRule="atLeast"/>
              <w:rPr>
                <w:rFonts w:ascii="宋体" w:hAnsi="宋体"/>
                <w:sz w:val="24"/>
                <w:szCs w:val="24"/>
                <w:lang w:val="fr-FR" w:eastAsia="zh-CN"/>
              </w:rPr>
            </w:pPr>
          </w:p>
        </w:tc>
        <w:tc>
          <w:tcPr>
            <w:tcW w:w="1560" w:type="dxa"/>
          </w:tcPr>
          <w:p>
            <w:pPr>
              <w:spacing w:before="156" w:beforeLines="50" w:after="156" w:afterLines="50" w:line="240" w:lineRule="atLeast"/>
              <w:rPr>
                <w:rFonts w:ascii="宋体" w:hAnsi="宋体"/>
                <w:sz w:val="24"/>
                <w:szCs w:val="24"/>
                <w:lang w:val="fr-FR" w:eastAsia="zh-CN"/>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trPr>
        <w:tc>
          <w:tcPr>
            <w:tcW w:w="1843" w:type="dxa"/>
            <w:tcBorders>
              <w:right w:val="single" w:color="auto" w:sz="4" w:space="0"/>
            </w:tcBorders>
          </w:tcPr>
          <w:p>
            <w:pPr>
              <w:spacing w:before="156" w:beforeLines="50" w:after="156" w:afterLines="50" w:line="240" w:lineRule="atLeast"/>
              <w:rPr>
                <w:strike w:val="0"/>
                <w:dstrike w:val="0"/>
                <w:sz w:val="24"/>
                <w:szCs w:val="24"/>
                <w:highlight w:val="yellow"/>
                <w:u w:val="none"/>
                <w:lang w:eastAsia="zh-CN"/>
              </w:rPr>
            </w:pPr>
          </w:p>
        </w:tc>
        <w:tc>
          <w:tcPr>
            <w:tcW w:w="709" w:type="dxa"/>
            <w:tcBorders>
              <w:left w:val="single" w:color="auto" w:sz="4" w:space="0"/>
              <w:right w:val="single" w:color="auto" w:sz="4" w:space="0"/>
            </w:tcBorders>
            <w:vAlign w:val="center"/>
          </w:tcPr>
          <w:p>
            <w:pPr>
              <w:spacing w:before="156" w:beforeLines="50" w:after="156" w:afterLines="50" w:line="240" w:lineRule="atLeast"/>
              <w:rPr>
                <w:rFonts w:hint="default" w:ascii="宋体" w:hAnsi="宋体"/>
                <w:sz w:val="24"/>
                <w:szCs w:val="24"/>
                <w:lang w:val="en-US" w:eastAsia="zh-CN"/>
              </w:rPr>
            </w:pPr>
          </w:p>
        </w:tc>
        <w:tc>
          <w:tcPr>
            <w:tcW w:w="817" w:type="dxa"/>
            <w:tcBorders>
              <w:left w:val="single" w:color="auto" w:sz="4" w:space="0"/>
            </w:tcBorders>
            <w:vAlign w:val="center"/>
          </w:tcPr>
          <w:p>
            <w:pPr>
              <w:spacing w:before="156" w:beforeLines="50" w:after="156" w:afterLines="50" w:line="240" w:lineRule="atLeast"/>
              <w:rPr>
                <w:rFonts w:ascii="宋体" w:hAnsi="宋体"/>
                <w:sz w:val="24"/>
                <w:szCs w:val="24"/>
                <w:lang w:val="fr-FR" w:eastAsia="zh-CN"/>
              </w:rPr>
            </w:pPr>
          </w:p>
        </w:tc>
        <w:tc>
          <w:tcPr>
            <w:tcW w:w="708" w:type="dxa"/>
            <w:tcBorders>
              <w:right w:val="single" w:color="auto" w:sz="4" w:space="0"/>
            </w:tcBorders>
          </w:tcPr>
          <w:p>
            <w:pPr>
              <w:spacing w:before="156" w:beforeLines="50" w:after="156" w:afterLines="50" w:line="240" w:lineRule="atLeast"/>
              <w:rPr>
                <w:rFonts w:ascii="宋体" w:hAnsi="宋体"/>
                <w:sz w:val="24"/>
                <w:szCs w:val="24"/>
                <w:lang w:val="fr-FR" w:eastAsia="zh-CN"/>
              </w:rPr>
            </w:pPr>
          </w:p>
        </w:tc>
        <w:tc>
          <w:tcPr>
            <w:tcW w:w="993" w:type="dxa"/>
            <w:tcBorders>
              <w:left w:val="single" w:color="auto" w:sz="4" w:space="0"/>
            </w:tcBorders>
          </w:tcPr>
          <w:p>
            <w:pPr>
              <w:spacing w:before="156" w:beforeLines="50" w:after="156" w:afterLines="50" w:line="240" w:lineRule="atLeast"/>
              <w:rPr>
                <w:rFonts w:ascii="宋体" w:hAnsi="宋体"/>
                <w:sz w:val="24"/>
                <w:szCs w:val="24"/>
                <w:lang w:val="fr-FR" w:eastAsia="zh-CN"/>
              </w:rPr>
            </w:pPr>
          </w:p>
        </w:tc>
        <w:tc>
          <w:tcPr>
            <w:tcW w:w="850" w:type="dxa"/>
          </w:tcPr>
          <w:p>
            <w:pPr>
              <w:spacing w:before="156" w:beforeLines="50" w:after="156" w:afterLines="50" w:line="240" w:lineRule="atLeast"/>
              <w:rPr>
                <w:rFonts w:ascii="宋体" w:hAnsi="宋体"/>
                <w:sz w:val="24"/>
                <w:szCs w:val="24"/>
                <w:lang w:val="fr-FR" w:eastAsia="zh-CN"/>
              </w:rPr>
            </w:pPr>
          </w:p>
        </w:tc>
        <w:tc>
          <w:tcPr>
            <w:tcW w:w="992" w:type="dxa"/>
          </w:tcPr>
          <w:p>
            <w:pPr>
              <w:spacing w:before="156" w:beforeLines="50" w:after="156" w:afterLines="50" w:line="240" w:lineRule="atLeast"/>
              <w:rPr>
                <w:rFonts w:ascii="宋体" w:hAnsi="宋体"/>
                <w:sz w:val="24"/>
                <w:szCs w:val="24"/>
                <w:lang w:val="fr-FR" w:eastAsia="zh-CN"/>
              </w:rPr>
            </w:pPr>
          </w:p>
        </w:tc>
        <w:tc>
          <w:tcPr>
            <w:tcW w:w="1560" w:type="dxa"/>
          </w:tcPr>
          <w:p>
            <w:pPr>
              <w:spacing w:before="156" w:beforeLines="50" w:after="156" w:afterLines="50" w:line="240" w:lineRule="atLeast"/>
              <w:rPr>
                <w:rFonts w:ascii="宋体" w:hAnsi="宋体"/>
                <w:sz w:val="24"/>
                <w:szCs w:val="24"/>
                <w:lang w:val="fr-FR" w:eastAsia="zh-CN"/>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gridAfter w:val="1"/>
          <w:wAfter w:w="364" w:type="dxa"/>
        </w:trPr>
        <w:tc>
          <w:tcPr>
            <w:tcW w:w="3369" w:type="dxa"/>
            <w:gridSpan w:val="3"/>
            <w:tcBorders>
              <w:bottom w:val="double" w:color="auto" w:sz="6" w:space="0"/>
            </w:tcBorders>
          </w:tcPr>
          <w:p>
            <w:pPr>
              <w:spacing w:before="156" w:beforeLines="50" w:after="156" w:afterLines="50" w:line="240" w:lineRule="atLeast"/>
              <w:jc w:val="center"/>
              <w:rPr>
                <w:rFonts w:ascii="宋体" w:hAnsi="宋体"/>
                <w:sz w:val="24"/>
                <w:szCs w:val="24"/>
                <w:lang w:eastAsia="zh-CN"/>
              </w:rPr>
            </w:pPr>
            <w:r>
              <w:rPr>
                <w:rFonts w:hint="eastAsia" w:ascii="宋体" w:hAnsi="宋体"/>
                <w:sz w:val="24"/>
                <w:szCs w:val="24"/>
                <w:lang w:eastAsia="zh-CN"/>
              </w:rPr>
              <w:t>不含税总价</w:t>
            </w:r>
          </w:p>
        </w:tc>
        <w:tc>
          <w:tcPr>
            <w:tcW w:w="1701" w:type="dxa"/>
            <w:gridSpan w:val="2"/>
            <w:tcBorders>
              <w:bottom w:val="double" w:color="auto" w:sz="6" w:space="0"/>
            </w:tcBorders>
          </w:tcPr>
          <w:p>
            <w:pPr>
              <w:spacing w:before="156" w:beforeLines="50" w:after="156" w:afterLines="50" w:line="240" w:lineRule="atLeast"/>
              <w:rPr>
                <w:rFonts w:ascii="宋体" w:hAnsi="宋体"/>
                <w:sz w:val="24"/>
                <w:szCs w:val="24"/>
                <w:lang w:val="fr-FR" w:eastAsia="zh-CN"/>
              </w:rPr>
            </w:pPr>
          </w:p>
        </w:tc>
        <w:tc>
          <w:tcPr>
            <w:tcW w:w="1842" w:type="dxa"/>
            <w:gridSpan w:val="2"/>
            <w:tcBorders>
              <w:bottom w:val="double" w:color="auto" w:sz="6" w:space="0"/>
            </w:tcBorders>
          </w:tcPr>
          <w:p>
            <w:pPr>
              <w:spacing w:before="156" w:beforeLines="50" w:after="156" w:afterLines="50" w:line="240" w:lineRule="atLeast"/>
              <w:jc w:val="center"/>
              <w:rPr>
                <w:rFonts w:ascii="宋体" w:hAnsi="宋体"/>
                <w:sz w:val="24"/>
                <w:szCs w:val="24"/>
                <w:lang w:val="fr-FR" w:eastAsia="zh-CN"/>
              </w:rPr>
            </w:pPr>
            <w:r>
              <w:rPr>
                <w:rFonts w:hint="eastAsia" w:ascii="宋体" w:hAnsi="宋体"/>
                <w:sz w:val="24"/>
                <w:szCs w:val="24"/>
                <w:lang w:eastAsia="zh-CN"/>
              </w:rPr>
              <w:t>含税总价</w:t>
            </w:r>
          </w:p>
        </w:tc>
        <w:tc>
          <w:tcPr>
            <w:tcW w:w="1560" w:type="dxa"/>
            <w:tcBorders>
              <w:bottom w:val="double" w:color="auto" w:sz="6" w:space="0"/>
            </w:tcBorders>
          </w:tcPr>
          <w:p>
            <w:pPr>
              <w:spacing w:before="156" w:beforeLines="50" w:after="156" w:afterLines="50" w:line="240" w:lineRule="atLeast"/>
              <w:rPr>
                <w:rFonts w:ascii="宋体" w:hAnsi="宋体"/>
                <w:sz w:val="24"/>
                <w:szCs w:val="24"/>
                <w:lang w:val="fr-FR" w:eastAsia="zh-CN"/>
              </w:rPr>
            </w:pPr>
          </w:p>
        </w:tc>
      </w:tr>
    </w:tbl>
    <w:p>
      <w:pPr>
        <w:rPr>
          <w:rFonts w:ascii="宋体" w:hAnsi="宋体"/>
          <w:sz w:val="21"/>
          <w:szCs w:val="21"/>
          <w:lang w:val="fr-FR" w:eastAsia="zh-CN"/>
        </w:rPr>
      </w:pPr>
    </w:p>
    <w:p>
      <w:pPr>
        <w:overflowPunct/>
        <w:autoSpaceDE/>
        <w:autoSpaceDN/>
        <w:adjustRightInd/>
        <w:textAlignment w:val="auto"/>
        <w:rPr>
          <w:rFonts w:hAnsi="宋体"/>
          <w:sz w:val="18"/>
          <w:szCs w:val="18"/>
          <w:lang w:eastAsia="zh-CN"/>
        </w:rPr>
      </w:pPr>
      <w:r>
        <w:rPr>
          <w:rFonts w:hint="eastAsia" w:hAnsi="宋体"/>
          <w:bCs/>
          <w:sz w:val="18"/>
          <w:szCs w:val="18"/>
          <w:lang w:eastAsia="zh-CN"/>
        </w:rPr>
        <w:t>注：1、</w:t>
      </w:r>
      <w:r>
        <w:rPr>
          <w:rFonts w:hint="eastAsia" w:hAnsi="宋体"/>
          <w:sz w:val="18"/>
          <w:szCs w:val="18"/>
          <w:lang w:eastAsia="zh-CN"/>
        </w:rPr>
        <w:t>报价</w:t>
      </w:r>
      <w:r>
        <w:rPr>
          <w:rFonts w:hAnsi="宋体"/>
          <w:sz w:val="18"/>
          <w:szCs w:val="18"/>
          <w:lang w:eastAsia="zh-CN"/>
        </w:rPr>
        <w:t>总价</w:t>
      </w:r>
      <w:r>
        <w:rPr>
          <w:rFonts w:hint="eastAsia" w:hAnsi="宋体"/>
          <w:sz w:val="18"/>
          <w:szCs w:val="18"/>
          <w:lang w:eastAsia="zh-CN"/>
        </w:rPr>
        <w:t>包括人工费、材料机、机械设备费、其他直接费、管理费、利润、税金、风险等</w:t>
      </w:r>
      <w:r>
        <w:rPr>
          <w:rFonts w:hAnsi="宋体"/>
          <w:sz w:val="18"/>
          <w:szCs w:val="18"/>
          <w:lang w:eastAsia="zh-CN"/>
        </w:rPr>
        <w:t>，</w:t>
      </w:r>
      <w:r>
        <w:rPr>
          <w:rFonts w:hint="eastAsia" w:hAnsi="宋体"/>
          <w:sz w:val="18"/>
          <w:szCs w:val="18"/>
          <w:lang w:eastAsia="zh-CN"/>
        </w:rPr>
        <w:t>该价格</w:t>
      </w:r>
      <w:r>
        <w:rPr>
          <w:rFonts w:hAnsi="宋体"/>
          <w:sz w:val="18"/>
          <w:szCs w:val="18"/>
          <w:lang w:eastAsia="zh-CN"/>
        </w:rPr>
        <w:t>不受通胀、利率、汇率、税费、成本及市场因素变化的影响</w:t>
      </w:r>
      <w:r>
        <w:rPr>
          <w:rFonts w:hint="eastAsia" w:hAnsi="宋体"/>
          <w:sz w:val="18"/>
          <w:szCs w:val="18"/>
          <w:lang w:eastAsia="zh-CN"/>
        </w:rPr>
        <w:t>，投标人报价时应充分考虑履行合同过程的各项风险；</w:t>
      </w:r>
    </w:p>
    <w:p>
      <w:pPr>
        <w:overflowPunct/>
        <w:autoSpaceDE/>
        <w:autoSpaceDN/>
        <w:adjustRightInd/>
        <w:textAlignment w:val="auto"/>
        <w:rPr>
          <w:rFonts w:hAnsi="宋体"/>
          <w:sz w:val="18"/>
          <w:szCs w:val="18"/>
          <w:lang w:eastAsia="zh-CN"/>
        </w:rPr>
      </w:pPr>
      <w:r>
        <w:rPr>
          <w:rFonts w:hint="eastAsia" w:hAnsi="宋体"/>
          <w:sz w:val="18"/>
          <w:szCs w:val="18"/>
          <w:lang w:eastAsia="zh-CN"/>
        </w:rPr>
        <w:t>2、报价文件格式仅为参考格式，应根据项目特点进行修改。应答方必须根据项目实际交付内容或资源投入或供货清单等情况进行详细的分项报价；咨询服务合同应分费率角色工作量报价，单位应为人天。</w:t>
      </w:r>
    </w:p>
    <w:p>
      <w:pPr>
        <w:overflowPunct/>
        <w:autoSpaceDE/>
        <w:autoSpaceDN/>
        <w:adjustRightInd/>
        <w:textAlignment w:val="auto"/>
        <w:rPr>
          <w:rFonts w:hint="eastAsia"/>
          <w:sz w:val="24"/>
          <w:szCs w:val="24"/>
          <w:lang w:eastAsia="zh-CN"/>
        </w:rPr>
      </w:pPr>
    </w:p>
    <w:p>
      <w:pPr>
        <w:overflowPunct/>
        <w:autoSpaceDE/>
        <w:autoSpaceDN/>
        <w:adjustRightInd/>
        <w:textAlignment w:val="auto"/>
        <w:rPr>
          <w:rFonts w:hint="eastAsia"/>
          <w:sz w:val="24"/>
          <w:szCs w:val="24"/>
          <w:lang w:eastAsia="zh-CN"/>
        </w:rPr>
      </w:pPr>
    </w:p>
    <w:p>
      <w:pPr>
        <w:overflowPunct/>
        <w:autoSpaceDE/>
        <w:autoSpaceDN/>
        <w:adjustRightInd/>
        <w:textAlignment w:val="auto"/>
        <w:rPr>
          <w:sz w:val="24"/>
          <w:szCs w:val="24"/>
          <w:lang w:eastAsia="zh-CN"/>
        </w:rPr>
      </w:pPr>
      <w:r>
        <w:rPr>
          <w:rFonts w:hint="eastAsia"/>
          <w:sz w:val="24"/>
          <w:szCs w:val="24"/>
          <w:lang w:eastAsia="zh-CN"/>
        </w:rPr>
        <w:t xml:space="preserve">                                   投标人</w:t>
      </w:r>
      <w:r>
        <w:rPr>
          <w:rFonts w:hint="eastAsia"/>
          <w:i/>
          <w:iCs/>
          <w:sz w:val="24"/>
          <w:szCs w:val="24"/>
          <w:lang w:eastAsia="zh-CN"/>
        </w:rPr>
        <w:t>[</w:t>
      </w:r>
      <w:r>
        <w:rPr>
          <w:rFonts w:hint="eastAsia"/>
          <w:sz w:val="24"/>
          <w:szCs w:val="24"/>
          <w:lang w:eastAsia="zh-CN"/>
        </w:rPr>
        <w:t>盖单位章</w:t>
      </w:r>
      <w:r>
        <w:rPr>
          <w:rFonts w:hint="eastAsia"/>
          <w:i/>
          <w:iCs/>
          <w:sz w:val="24"/>
          <w:szCs w:val="24"/>
          <w:lang w:eastAsia="zh-CN"/>
        </w:rPr>
        <w:t>]</w:t>
      </w:r>
      <w:r>
        <w:rPr>
          <w:rFonts w:hint="eastAsia"/>
          <w:sz w:val="24"/>
          <w:szCs w:val="24"/>
          <w:lang w:eastAsia="zh-CN"/>
        </w:rPr>
        <w:t xml:space="preserve">： </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 xml:space="preserve">                                                         </w:t>
      </w:r>
    </w:p>
    <w:p>
      <w:pPr>
        <w:spacing w:line="360" w:lineRule="auto"/>
        <w:jc w:val="center"/>
        <w:rPr>
          <w:rFonts w:hint="eastAsia"/>
          <w:sz w:val="24"/>
          <w:szCs w:val="24"/>
          <w:lang w:val="en-US" w:eastAsia="zh-CN"/>
        </w:rPr>
      </w:pPr>
      <w:r>
        <w:rPr>
          <w:rFonts w:hint="eastAsia"/>
          <w:sz w:val="24"/>
          <w:szCs w:val="24"/>
          <w:lang w:val="en-US" w:eastAsia="zh-CN"/>
        </w:rPr>
        <w:t xml:space="preserve">                         </w:t>
      </w:r>
    </w:p>
    <w:p>
      <w:pPr>
        <w:spacing w:line="360" w:lineRule="auto"/>
        <w:jc w:val="center"/>
        <w:rPr>
          <w:rFonts w:hint="eastAsia"/>
          <w:sz w:val="24"/>
          <w:szCs w:val="24"/>
          <w:u w:val="single"/>
          <w:lang w:val="en-US" w:eastAsia="zh-CN"/>
        </w:rPr>
      </w:pPr>
      <w:r>
        <w:rPr>
          <w:rFonts w:hint="eastAsia"/>
          <w:sz w:val="24"/>
          <w:szCs w:val="24"/>
          <w:lang w:val="en-US" w:eastAsia="zh-CN"/>
        </w:rPr>
        <w:t xml:space="preserve">                         投标日期：</w:t>
      </w:r>
      <w:r>
        <w:rPr>
          <w:rFonts w:hint="eastAsia"/>
          <w:sz w:val="24"/>
          <w:szCs w:val="24"/>
          <w:u w:val="single"/>
          <w:lang w:eastAsia="zh-CN"/>
        </w:rPr>
        <w:t xml:space="preserve"> </w:t>
      </w:r>
      <w:r>
        <w:rPr>
          <w:rFonts w:hint="eastAsia"/>
          <w:sz w:val="24"/>
          <w:szCs w:val="24"/>
          <w:u w:val="single"/>
          <w:lang w:val="en-US" w:eastAsia="zh-CN"/>
        </w:rPr>
        <w:t xml:space="preserve">        </w:t>
      </w:r>
    </w:p>
    <w:p>
      <w:pPr>
        <w:spacing w:line="360" w:lineRule="auto"/>
        <w:jc w:val="center"/>
        <w:rPr>
          <w:rFonts w:hint="eastAsia"/>
          <w:sz w:val="24"/>
          <w:szCs w:val="24"/>
          <w:u w:val="single"/>
          <w:lang w:val="en-US" w:eastAsia="zh-CN"/>
        </w:rPr>
      </w:pPr>
    </w:p>
    <w:p>
      <w:pPr>
        <w:spacing w:line="360" w:lineRule="auto"/>
        <w:jc w:val="center"/>
        <w:rPr>
          <w:rFonts w:hint="eastAsia"/>
          <w:sz w:val="24"/>
          <w:szCs w:val="24"/>
          <w:u w:val="single"/>
          <w:lang w:val="en-US" w:eastAsia="zh-CN"/>
        </w:rPr>
      </w:pPr>
    </w:p>
    <w:p>
      <w:pPr>
        <w:pStyle w:val="4"/>
        <w:rPr>
          <w:rFonts w:hint="eastAsia"/>
          <w:sz w:val="24"/>
          <w:szCs w:val="24"/>
          <w:u w:val="single"/>
          <w:lang w:val="en-US" w:eastAsia="zh-CN"/>
        </w:rPr>
      </w:pPr>
    </w:p>
    <w:p>
      <w:pPr>
        <w:pStyle w:val="4"/>
        <w:rPr>
          <w:rFonts w:hint="eastAsia"/>
          <w:sz w:val="24"/>
          <w:szCs w:val="24"/>
          <w:u w:val="single"/>
          <w:lang w:val="en-US" w:eastAsia="zh-CN"/>
        </w:rPr>
      </w:pPr>
    </w:p>
    <w:p>
      <w:pPr>
        <w:rPr>
          <w:rFonts w:hint="eastAsia"/>
          <w:sz w:val="24"/>
          <w:szCs w:val="24"/>
          <w:u w:val="single"/>
          <w:lang w:val="en-US" w:eastAsia="zh-CN"/>
        </w:rPr>
      </w:pPr>
    </w:p>
    <w:p>
      <w:pPr>
        <w:pStyle w:val="4"/>
        <w:rPr>
          <w:rFonts w:hint="eastAsia"/>
          <w:lang w:val="en-US" w:eastAsia="zh-CN"/>
        </w:rPr>
      </w:pPr>
    </w:p>
    <w:p>
      <w:pPr>
        <w:rPr>
          <w:rFonts w:hint="eastAsia"/>
          <w:lang w:val="en-US" w:eastAsia="zh-CN"/>
        </w:rPr>
      </w:pPr>
    </w:p>
    <w:p>
      <w:pPr>
        <w:pStyle w:val="4"/>
        <w:keepNext/>
        <w:keepLines/>
        <w:pageBreakBefore w:val="0"/>
        <w:widowControl/>
        <w:kinsoku/>
        <w:wordWrap/>
        <w:overflowPunct w:val="0"/>
        <w:topLinePunct w:val="0"/>
        <w:autoSpaceDE w:val="0"/>
        <w:autoSpaceDN w:val="0"/>
        <w:bidi w:val="0"/>
        <w:adjustRightInd w:val="0"/>
        <w:snapToGrid/>
        <w:spacing w:line="360" w:lineRule="auto"/>
        <w:textAlignment w:val="baseline"/>
        <w:rPr>
          <w:rFonts w:ascii="宋体" w:hAnsi="宋体" w:eastAsia="宋体" w:cs="Times New Roman"/>
          <w:b/>
          <w:sz w:val="24"/>
          <w:szCs w:val="24"/>
        </w:rPr>
      </w:pPr>
      <w:r>
        <w:rPr>
          <w:rFonts w:ascii="宋体" w:hAnsi="宋体"/>
          <w:b/>
          <w:sz w:val="28"/>
          <w:szCs w:val="28"/>
          <w:lang w:eastAsia="zh-CN"/>
        </w:rPr>
        <w:t>格式</w:t>
      </w:r>
      <w:r>
        <w:rPr>
          <w:rFonts w:hint="eastAsia" w:ascii="宋体" w:hAnsi="宋体"/>
          <w:b/>
          <w:sz w:val="28"/>
          <w:szCs w:val="28"/>
          <w:lang w:val="en-US" w:eastAsia="zh-CN"/>
        </w:rPr>
        <w:t>D：</w:t>
      </w:r>
      <w:r>
        <w:rPr>
          <w:rFonts w:hint="eastAsia" w:ascii="宋体" w:hAnsi="宋体" w:eastAsia="宋体" w:cs="Times New Roman"/>
          <w:b/>
          <w:sz w:val="24"/>
          <w:szCs w:val="24"/>
        </w:rPr>
        <w:t>关于中国海油领导人员、离职退休人员在本公司任职情况说明</w:t>
      </w:r>
    </w:p>
    <w:p>
      <w:pPr>
        <w:spacing w:line="440" w:lineRule="exact"/>
        <w:rPr>
          <w:rFonts w:ascii="宋体" w:hAnsi="宋体" w:eastAsia="宋体"/>
          <w:b/>
          <w:sz w:val="28"/>
          <w:szCs w:val="28"/>
        </w:rPr>
      </w:pPr>
      <w:r>
        <w:rPr>
          <w:rFonts w:hint="eastAsia" w:ascii="宋体" w:hAnsi="宋体" w:eastAsia="宋体"/>
          <w:b/>
          <w:sz w:val="28"/>
          <w:szCs w:val="28"/>
        </w:rPr>
        <w:t>中海石油（中国）有限公司X</w:t>
      </w:r>
      <w:r>
        <w:rPr>
          <w:rFonts w:ascii="宋体" w:hAnsi="宋体" w:eastAsia="宋体"/>
          <w:b/>
          <w:sz w:val="28"/>
          <w:szCs w:val="28"/>
        </w:rPr>
        <w:t>X</w:t>
      </w:r>
      <w:r>
        <w:rPr>
          <w:rFonts w:hint="eastAsia" w:ascii="宋体" w:hAnsi="宋体" w:eastAsia="宋体"/>
          <w:b/>
          <w:sz w:val="28"/>
          <w:szCs w:val="28"/>
        </w:rPr>
        <w:t>分公司：</w:t>
      </w:r>
    </w:p>
    <w:p>
      <w:pPr>
        <w:spacing w:line="440" w:lineRule="exact"/>
        <w:ind w:firstLine="420"/>
        <w:rPr>
          <w:rFonts w:ascii="宋体" w:hAnsi="宋体" w:eastAsia="宋体"/>
          <w:sz w:val="24"/>
          <w:szCs w:val="24"/>
        </w:rPr>
      </w:pPr>
      <w:r>
        <w:rPr>
          <w:rFonts w:hint="eastAsia" w:ascii="宋体" w:hAnsi="宋体" w:eastAsia="宋体"/>
          <w:sz w:val="24"/>
          <w:szCs w:val="24"/>
        </w:rPr>
        <w:t>我公司为</w:t>
      </w:r>
      <w:r>
        <w:rPr>
          <w:rFonts w:hint="eastAsia" w:ascii="宋体" w:hAnsi="宋体" w:eastAsia="宋体"/>
          <w:sz w:val="28"/>
          <w:szCs w:val="28"/>
        </w:rPr>
        <w:t xml:space="preserve"> □</w:t>
      </w:r>
      <w:r>
        <w:rPr>
          <w:rFonts w:hint="eastAsia" w:ascii="宋体" w:hAnsi="宋体" w:eastAsia="宋体"/>
          <w:sz w:val="24"/>
          <w:szCs w:val="24"/>
        </w:rPr>
        <w:t>国有性质企业  /  □大学等事业单位  /  □非国有性质企业。</w:t>
      </w:r>
    </w:p>
    <w:p>
      <w:pPr>
        <w:spacing w:line="440" w:lineRule="exact"/>
        <w:ind w:firstLine="420"/>
        <w:rPr>
          <w:rFonts w:ascii="宋体" w:hAnsi="宋体" w:eastAsia="宋体"/>
          <w:b/>
          <w:sz w:val="24"/>
          <w:szCs w:val="24"/>
          <w:u w:val="single"/>
        </w:rPr>
      </w:pPr>
      <w:r>
        <w:rPr>
          <w:rFonts w:hint="eastAsia" w:ascii="宋体" w:hAnsi="宋体" w:eastAsia="宋体"/>
          <w:b/>
          <w:sz w:val="24"/>
          <w:szCs w:val="24"/>
          <w:u w:val="single"/>
          <w:shd w:val="pct10" w:color="auto" w:fill="FFFFFF"/>
        </w:rPr>
        <w:t>以下为非国有性质企业必填写：</w:t>
      </w:r>
    </w:p>
    <w:p>
      <w:pPr>
        <w:spacing w:line="440" w:lineRule="exact"/>
        <w:ind w:firstLine="420"/>
        <w:rPr>
          <w:rFonts w:ascii="宋体" w:hAnsi="宋体" w:eastAsia="宋体"/>
          <w:sz w:val="24"/>
          <w:szCs w:val="24"/>
        </w:rPr>
      </w:pPr>
      <w:r>
        <w:rPr>
          <w:rFonts w:hint="eastAsia" w:ascii="宋体" w:hAnsi="宋体" w:eastAsia="宋体"/>
          <w:sz w:val="24"/>
          <w:szCs w:val="24"/>
        </w:rPr>
        <w:t>我公司  □存在 / □不存在 以下情况</w:t>
      </w:r>
      <w:r>
        <w:rPr>
          <w:rFonts w:hint="eastAsia" w:ascii="宋体" w:hAnsi="宋体" w:eastAsia="宋体"/>
          <w:sz w:val="24"/>
          <w:szCs w:val="24"/>
          <w:u w:val="single"/>
        </w:rPr>
        <w:t>（</w:t>
      </w:r>
      <w:r>
        <w:rPr>
          <w:rFonts w:hint="eastAsia" w:ascii="宋体" w:hAnsi="宋体" w:eastAsia="宋体"/>
          <w:sz w:val="24"/>
          <w:szCs w:val="24"/>
          <w:u w:val="single"/>
          <w:shd w:val="pct10" w:color="auto" w:fill="FFFFFF"/>
        </w:rPr>
        <w:t>以下所有框内都需要标记，不存在的打×，存在的情况打√并附详细信息在表格中）</w:t>
      </w:r>
      <w:r>
        <w:rPr>
          <w:rFonts w:hint="eastAsia" w:ascii="宋体" w:hAnsi="宋体" w:eastAsia="宋体"/>
          <w:sz w:val="24"/>
          <w:szCs w:val="24"/>
        </w:rPr>
        <w:t>：</w:t>
      </w:r>
    </w:p>
    <w:p>
      <w:pPr>
        <w:spacing w:line="440" w:lineRule="exact"/>
        <w:rPr>
          <w:rFonts w:ascii="宋体" w:hAnsi="宋体" w:eastAsia="宋体"/>
          <w:sz w:val="24"/>
          <w:szCs w:val="24"/>
        </w:rPr>
      </w:pPr>
      <w:r>
        <w:rPr>
          <w:rFonts w:hint="eastAsia" w:ascii="宋体" w:hAnsi="宋体" w:eastAsia="宋体"/>
          <w:sz w:val="24"/>
          <w:szCs w:val="24"/>
        </w:rPr>
        <w:t>□中国海油领导人员亲属为本公司法人或实际控制人，</w:t>
      </w:r>
    </w:p>
    <w:p>
      <w:pPr>
        <w:spacing w:line="440" w:lineRule="exact"/>
        <w:rPr>
          <w:rFonts w:ascii="宋体" w:hAnsi="宋体" w:eastAsia="宋体"/>
          <w:sz w:val="24"/>
          <w:szCs w:val="24"/>
        </w:rPr>
      </w:pPr>
      <w:r>
        <w:rPr>
          <w:rFonts w:hint="eastAsia" w:ascii="宋体" w:hAnsi="宋体" w:eastAsia="宋体"/>
          <w:sz w:val="24"/>
          <w:szCs w:val="24"/>
        </w:rPr>
        <w:t>□中国海油领导人员亲属在本公司持有股权</w:t>
      </w:r>
    </w:p>
    <w:p>
      <w:pPr>
        <w:spacing w:line="440" w:lineRule="exact"/>
        <w:rPr>
          <w:rFonts w:ascii="宋体" w:hAnsi="宋体" w:eastAsia="宋体"/>
          <w:sz w:val="24"/>
          <w:szCs w:val="24"/>
        </w:rPr>
      </w:pPr>
      <w:r>
        <w:rPr>
          <w:rFonts w:hint="eastAsia" w:ascii="宋体" w:hAnsi="宋体" w:eastAsia="宋体"/>
          <w:sz w:val="24"/>
          <w:szCs w:val="24"/>
        </w:rPr>
        <w:t>□中国海油领导人员亲属在本公司受聘担任部门负责人及以上高级职务</w:t>
      </w:r>
    </w:p>
    <w:p>
      <w:pPr>
        <w:spacing w:line="440" w:lineRule="exact"/>
        <w:rPr>
          <w:rFonts w:ascii="宋体" w:hAnsi="宋体" w:eastAsia="宋体"/>
          <w:sz w:val="24"/>
          <w:szCs w:val="24"/>
        </w:rPr>
      </w:pPr>
      <w:r>
        <w:rPr>
          <w:rFonts w:hint="eastAsia" w:ascii="宋体" w:hAnsi="宋体" w:eastAsia="宋体"/>
          <w:sz w:val="24"/>
          <w:szCs w:val="24"/>
        </w:rPr>
        <w:t>□中国海油离职/退休人员为本公司法人、合伙人或实际控制人</w:t>
      </w:r>
    </w:p>
    <w:p>
      <w:pPr>
        <w:spacing w:line="440" w:lineRule="exact"/>
        <w:rPr>
          <w:rFonts w:ascii="宋体" w:hAnsi="宋体" w:eastAsia="宋体"/>
          <w:sz w:val="24"/>
          <w:szCs w:val="24"/>
        </w:rPr>
      </w:pPr>
      <w:r>
        <w:rPr>
          <w:rFonts w:hint="eastAsia" w:ascii="宋体" w:hAnsi="宋体" w:eastAsia="宋体"/>
          <w:sz w:val="24"/>
          <w:szCs w:val="24"/>
        </w:rPr>
        <w:t>□中国海油离职/退休人员在本公司受聘担任部门负责人及以上高级职务</w:t>
      </w:r>
    </w:p>
    <w:p>
      <w:pPr>
        <w:spacing w:line="440" w:lineRule="exact"/>
        <w:rPr>
          <w:rFonts w:ascii="宋体" w:hAnsi="宋体" w:eastAsia="宋体"/>
          <w:sz w:val="24"/>
          <w:szCs w:val="24"/>
        </w:rPr>
      </w:pPr>
      <w:r>
        <w:rPr>
          <w:rFonts w:hint="eastAsia" w:ascii="宋体" w:hAnsi="宋体" w:eastAsia="宋体"/>
          <w:sz w:val="24"/>
          <w:szCs w:val="24"/>
        </w:rPr>
        <w:t>（注：以上中国海油领导人员、离职/退休人员级别只限M10或T8及以上）</w:t>
      </w:r>
    </w:p>
    <w:tbl>
      <w:tblPr>
        <w:tblStyle w:val="19"/>
        <w:tblpPr w:leftFromText="180" w:rightFromText="180" w:vertAnchor="text" w:horzAnchor="margin" w:tblpXSpec="center" w:tblpY="41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208"/>
        <w:gridCol w:w="1168"/>
        <w:gridCol w:w="1276"/>
        <w:gridCol w:w="1666"/>
        <w:gridCol w:w="993"/>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本公司员工姓名</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性别</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在本公司</w:t>
            </w:r>
            <w:r>
              <w:rPr>
                <w:rFonts w:hint="eastAsia" w:ascii="宋体" w:hAnsi="宋体" w:eastAsia="宋体" w:cs="宋体"/>
                <w:kern w:val="0"/>
                <w:szCs w:val="21"/>
              </w:rPr>
              <w:br w:type="textWrapping"/>
            </w:r>
            <w:r>
              <w:rPr>
                <w:rFonts w:hint="eastAsia" w:ascii="宋体" w:hAnsi="宋体" w:eastAsia="宋体" w:cs="宋体"/>
                <w:kern w:val="0"/>
                <w:szCs w:val="21"/>
              </w:rPr>
              <w:t>职务</w:t>
            </w:r>
          </w:p>
        </w:tc>
        <w:tc>
          <w:tcPr>
            <w:tcW w:w="1168" w:type="dxa"/>
            <w:shd w:val="clear" w:color="auto" w:fill="auto"/>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与海油人员关系</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相关的海油人员姓名</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海油人员在职情况</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海油人员级别</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示例：李XX</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女</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法定代表人</w:t>
            </w:r>
          </w:p>
        </w:tc>
        <w:tc>
          <w:tcPr>
            <w:tcW w:w="1168" w:type="dxa"/>
            <w:shd w:val="clear" w:color="auto" w:fill="auto"/>
            <w:noWrap/>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妻侄子之母</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XXX</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海油xx单位</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TX</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示例：张XX</w:t>
            </w:r>
          </w:p>
        </w:tc>
        <w:tc>
          <w:tcPr>
            <w:tcW w:w="709"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男</w:t>
            </w:r>
          </w:p>
        </w:tc>
        <w:tc>
          <w:tcPr>
            <w:tcW w:w="1208"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公司顾问</w:t>
            </w:r>
          </w:p>
        </w:tc>
        <w:tc>
          <w:tcPr>
            <w:tcW w:w="1168" w:type="dxa"/>
            <w:shd w:val="clear" w:color="auto" w:fill="auto"/>
            <w:noWrap/>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本人</w:t>
            </w:r>
          </w:p>
        </w:tc>
        <w:tc>
          <w:tcPr>
            <w:tcW w:w="127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本人</w:t>
            </w:r>
          </w:p>
        </w:tc>
        <w:tc>
          <w:tcPr>
            <w:tcW w:w="1666"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退休（原就职于海油XX单位）</w:t>
            </w:r>
          </w:p>
        </w:tc>
        <w:tc>
          <w:tcPr>
            <w:tcW w:w="993"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MX</w:t>
            </w:r>
          </w:p>
        </w:tc>
        <w:tc>
          <w:tcPr>
            <w:tcW w:w="1275" w:type="dxa"/>
            <w:vAlign w:val="center"/>
          </w:tcPr>
          <w:p>
            <w:pPr>
              <w:widowControl/>
              <w:spacing w:line="440" w:lineRule="exact"/>
              <w:jc w:val="center"/>
              <w:rPr>
                <w:rFonts w:ascii="宋体" w:hAnsi="宋体" w:eastAsia="宋体" w:cs="宋体"/>
                <w:kern w:val="0"/>
                <w:szCs w:val="21"/>
              </w:rPr>
            </w:pPr>
            <w:r>
              <w:rPr>
                <w:rFonts w:hint="eastAsia" w:ascii="宋体" w:hAnsi="宋体" w:eastAsia="宋体" w:cs="宋体"/>
                <w:kern w:val="0"/>
                <w:szCs w:val="21"/>
              </w:rPr>
              <w:t>XX年XX月XX日</w:t>
            </w:r>
          </w:p>
        </w:tc>
      </w:tr>
    </w:tbl>
    <w:p>
      <w:pPr>
        <w:spacing w:line="440" w:lineRule="exact"/>
        <w:ind w:firstLine="480" w:firstLineChars="200"/>
        <w:rPr>
          <w:rFonts w:ascii="宋体" w:hAnsi="宋体" w:eastAsia="宋体"/>
          <w:sz w:val="24"/>
          <w:szCs w:val="24"/>
        </w:rPr>
      </w:pPr>
    </w:p>
    <w:p>
      <w:pPr>
        <w:spacing w:line="440" w:lineRule="exact"/>
        <w:ind w:firstLine="480" w:firstLineChars="200"/>
        <w:rPr>
          <w:rFonts w:ascii="宋体" w:hAnsi="宋体" w:eastAsia="宋体"/>
          <w:sz w:val="24"/>
          <w:szCs w:val="24"/>
        </w:rPr>
      </w:pPr>
      <w:r>
        <w:rPr>
          <w:rFonts w:hint="eastAsia" w:ascii="宋体" w:hAnsi="宋体" w:eastAsia="宋体"/>
          <w:sz w:val="24"/>
          <w:szCs w:val="24"/>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440" w:lineRule="exact"/>
        <w:rPr>
          <w:rFonts w:ascii="宋体" w:hAnsi="宋体" w:eastAsia="宋体"/>
          <w:sz w:val="24"/>
          <w:szCs w:val="24"/>
        </w:rPr>
      </w:pPr>
    </w:p>
    <w:p>
      <w:pPr>
        <w:spacing w:line="440" w:lineRule="exact"/>
        <w:ind w:firstLine="540"/>
        <w:jc w:val="right"/>
        <w:rPr>
          <w:rFonts w:ascii="宋体" w:hAnsi="宋体" w:eastAsia="宋体"/>
          <w:sz w:val="24"/>
          <w:szCs w:val="24"/>
        </w:rPr>
      </w:pPr>
      <w:r>
        <w:rPr>
          <w:rFonts w:hint="eastAsia" w:ascii="宋体" w:hAnsi="宋体" w:eastAsia="宋体"/>
          <w:sz w:val="24"/>
          <w:szCs w:val="24"/>
        </w:rPr>
        <w:t xml:space="preserve">                       报价单位</w:t>
      </w:r>
      <w:r>
        <w:rPr>
          <w:rFonts w:ascii="宋体" w:hAnsi="宋体" w:eastAsia="宋体"/>
          <w:sz w:val="24"/>
          <w:szCs w:val="24"/>
        </w:rPr>
        <w:t>名称：***</w:t>
      </w:r>
      <w:r>
        <w:rPr>
          <w:rFonts w:hint="eastAsia" w:ascii="宋体" w:hAnsi="宋体" w:eastAsia="宋体"/>
          <w:sz w:val="24"/>
          <w:szCs w:val="24"/>
        </w:rPr>
        <w:t>（加盖</w:t>
      </w:r>
      <w:r>
        <w:rPr>
          <w:rFonts w:ascii="宋体" w:hAnsi="宋体" w:eastAsia="宋体"/>
          <w:sz w:val="24"/>
          <w:szCs w:val="24"/>
        </w:rPr>
        <w:t>公章</w:t>
      </w:r>
      <w:r>
        <w:rPr>
          <w:rFonts w:hint="eastAsia" w:ascii="宋体" w:hAnsi="宋体" w:eastAsia="宋体"/>
          <w:sz w:val="24"/>
          <w:szCs w:val="24"/>
        </w:rPr>
        <w:t>）</w:t>
      </w:r>
    </w:p>
    <w:p>
      <w:pPr>
        <w:spacing w:line="440" w:lineRule="exact"/>
        <w:ind w:firstLine="4080" w:firstLineChars="170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法人或被授权人（签字）：</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w:t>
      </w:r>
      <w:r>
        <w:rPr>
          <w:rFonts w:hint="eastAsia" w:ascii="宋体" w:hAnsi="宋体" w:eastAsia="宋体"/>
          <w:sz w:val="24"/>
          <w:szCs w:val="24"/>
        </w:rPr>
        <w:t>*</w:t>
      </w:r>
      <w:r>
        <w:rPr>
          <w:rFonts w:ascii="宋体" w:hAnsi="宋体" w:eastAsia="宋体"/>
          <w:sz w:val="24"/>
          <w:szCs w:val="24"/>
        </w:rPr>
        <w:t>***年**月**日</w:t>
      </w:r>
    </w:p>
    <w:p>
      <w:pPr>
        <w:pStyle w:val="41"/>
        <w:numPr>
          <w:ilvl w:val="0"/>
          <w:numId w:val="1"/>
        </w:numPr>
        <w:spacing w:before="120" w:line="400" w:lineRule="atLeast"/>
        <w:ind w:left="1021" w:firstLineChars="0"/>
        <w:jc w:val="center"/>
        <w:outlineLvl w:val="0"/>
        <w:rPr>
          <w:rStyle w:val="40"/>
          <w:sz w:val="36"/>
          <w:szCs w:val="36"/>
          <w:lang w:eastAsia="zh-CN"/>
        </w:rPr>
      </w:pPr>
      <w:r>
        <w:rPr>
          <w:rStyle w:val="40"/>
          <w:rFonts w:hint="eastAsia"/>
          <w:sz w:val="36"/>
          <w:szCs w:val="36"/>
          <w:lang w:eastAsia="zh-CN"/>
        </w:rPr>
        <w:t>项目商务和技术要求</w:t>
      </w:r>
    </w:p>
    <w:p>
      <w:pPr>
        <w:pStyle w:val="41"/>
        <w:numPr>
          <w:ilvl w:val="0"/>
          <w:numId w:val="9"/>
        </w:numPr>
        <w:spacing w:before="120" w:line="400" w:lineRule="atLeast"/>
        <w:ind w:left="0" w:leftChars="0" w:firstLine="0" w:firstLineChars="0"/>
        <w:jc w:val="both"/>
        <w:outlineLvl w:val="0"/>
        <w:rPr>
          <w:rStyle w:val="40"/>
          <w:rFonts w:hint="eastAsia"/>
          <w:sz w:val="32"/>
          <w:szCs w:val="32"/>
          <w:lang w:val="en-US" w:eastAsia="zh-CN"/>
        </w:rPr>
      </w:pPr>
      <w:r>
        <w:rPr>
          <w:rStyle w:val="40"/>
          <w:rFonts w:hint="eastAsia"/>
          <w:sz w:val="32"/>
          <w:szCs w:val="32"/>
          <w:lang w:val="en-US" w:eastAsia="zh-CN"/>
        </w:rPr>
        <w:t>商务要求</w:t>
      </w:r>
    </w:p>
    <w:p>
      <w:pPr>
        <w:pStyle w:val="41"/>
        <w:keepNext w:val="0"/>
        <w:keepLines w:val="0"/>
        <w:pageBreakBefore w:val="0"/>
        <w:widowControl/>
        <w:numPr>
          <w:ilvl w:val="0"/>
          <w:numId w:val="10"/>
        </w:numPr>
        <w:kinsoku/>
        <w:wordWrap/>
        <w:overflowPunct w:val="0"/>
        <w:topLinePunct w:val="0"/>
        <w:autoSpaceDE w:val="0"/>
        <w:autoSpaceDN w:val="0"/>
        <w:bidi w:val="0"/>
        <w:adjustRightInd w:val="0"/>
        <w:snapToGrid/>
        <w:spacing w:before="120" w:line="360" w:lineRule="auto"/>
        <w:ind w:firstLine="420" w:firstLineChars="0"/>
        <w:jc w:val="both"/>
        <w:textAlignment w:val="baseline"/>
        <w:outlineLvl w:val="0"/>
        <w:rPr>
          <w:rFonts w:hint="eastAsia" w:ascii="宋体" w:hAnsi="宋体" w:cs="Calibri"/>
          <w:bCs/>
          <w:kern w:val="0"/>
          <w:sz w:val="28"/>
          <w:szCs w:val="28"/>
          <w:lang w:eastAsia="zh-CN"/>
        </w:rPr>
      </w:pPr>
      <w:r>
        <w:rPr>
          <w:rFonts w:hint="eastAsia" w:ascii="宋体" w:hAnsi="宋体" w:eastAsia="宋体" w:cs="Calibri"/>
          <w:bCs/>
          <w:color w:val="000000" w:themeColor="text1"/>
          <w:kern w:val="0"/>
          <w:sz w:val="28"/>
          <w:szCs w:val="28"/>
          <w14:textFill>
            <w14:solidFill>
              <w14:schemeClr w14:val="tx1"/>
            </w14:solidFill>
          </w14:textFill>
        </w:rPr>
        <w:t>响应人名称</w:t>
      </w:r>
      <w:r>
        <w:rPr>
          <w:rFonts w:hint="eastAsia" w:ascii="宋体" w:hAnsi="宋体" w:eastAsia="宋体" w:cs="Calibri"/>
          <w:bCs/>
          <w:kern w:val="0"/>
          <w:sz w:val="28"/>
          <w:szCs w:val="28"/>
        </w:rPr>
        <w:t>与营业执照、资质证书一致</w:t>
      </w:r>
      <w:r>
        <w:rPr>
          <w:rFonts w:hint="eastAsia" w:ascii="宋体" w:hAnsi="宋体" w:cs="Calibri"/>
          <w:bCs/>
          <w:kern w:val="0"/>
          <w:sz w:val="28"/>
          <w:szCs w:val="28"/>
          <w:lang w:eastAsia="zh-CN"/>
        </w:rPr>
        <w:t>。</w:t>
      </w:r>
    </w:p>
    <w:p>
      <w:pPr>
        <w:pStyle w:val="41"/>
        <w:keepNext w:val="0"/>
        <w:keepLines w:val="0"/>
        <w:pageBreakBefore w:val="0"/>
        <w:widowControl/>
        <w:numPr>
          <w:ilvl w:val="0"/>
          <w:numId w:val="10"/>
        </w:numPr>
        <w:kinsoku/>
        <w:wordWrap/>
        <w:overflowPunct w:val="0"/>
        <w:topLinePunct w:val="0"/>
        <w:autoSpaceDE w:val="0"/>
        <w:autoSpaceDN w:val="0"/>
        <w:bidi w:val="0"/>
        <w:adjustRightInd w:val="0"/>
        <w:snapToGrid/>
        <w:spacing w:before="120" w:line="360" w:lineRule="auto"/>
        <w:ind w:firstLine="420" w:firstLineChars="0"/>
        <w:jc w:val="both"/>
        <w:textAlignment w:val="baseline"/>
        <w:outlineLvl w:val="0"/>
        <w:rPr>
          <w:rFonts w:hint="eastAsia" w:ascii="宋体" w:hAnsi="宋体" w:cs="Calibri"/>
          <w:bCs/>
          <w:kern w:val="0"/>
          <w:sz w:val="28"/>
          <w:szCs w:val="28"/>
          <w:lang w:val="en-US" w:eastAsia="zh-CN"/>
        </w:rPr>
      </w:pPr>
      <w:r>
        <w:rPr>
          <w:rFonts w:hint="eastAsia" w:ascii="宋体" w:hAnsi="宋体" w:eastAsia="宋体" w:cs="Calibri"/>
          <w:bCs/>
          <w:color w:val="000000" w:themeColor="text1"/>
          <w:kern w:val="0"/>
          <w:sz w:val="28"/>
          <w:szCs w:val="28"/>
          <w14:textFill>
            <w14:solidFill>
              <w14:schemeClr w14:val="tx1"/>
            </w14:solidFill>
          </w14:textFill>
        </w:rPr>
        <w:t>报价有效期</w:t>
      </w:r>
      <w:r>
        <w:rPr>
          <w:rFonts w:hint="eastAsia" w:ascii="宋体" w:hAnsi="宋体" w:cs="Calibri"/>
          <w:bCs/>
          <w:color w:val="000000" w:themeColor="text1"/>
          <w:kern w:val="0"/>
          <w:sz w:val="28"/>
          <w:szCs w:val="28"/>
          <w:lang w:eastAsia="zh-CN"/>
          <w14:textFill>
            <w14:solidFill>
              <w14:schemeClr w14:val="tx1"/>
            </w14:solidFill>
          </w14:textFill>
        </w:rPr>
        <w:t>：</w:t>
      </w:r>
      <w:r>
        <w:rPr>
          <w:rFonts w:hint="eastAsia" w:ascii="宋体" w:hAnsi="宋体" w:eastAsia="宋体" w:cs="Calibri"/>
          <w:bCs/>
          <w:kern w:val="0"/>
          <w:sz w:val="28"/>
          <w:szCs w:val="28"/>
        </w:rPr>
        <w:t>报价截止之日起</w:t>
      </w:r>
      <w:r>
        <w:rPr>
          <w:rFonts w:ascii="宋体" w:hAnsi="宋体" w:eastAsia="宋体" w:cs="Calibri"/>
          <w:bCs/>
          <w:kern w:val="0"/>
          <w:sz w:val="28"/>
          <w:szCs w:val="28"/>
        </w:rPr>
        <w:t>90</w:t>
      </w:r>
      <w:r>
        <w:rPr>
          <w:rFonts w:hint="eastAsia" w:ascii="宋体" w:hAnsi="宋体" w:eastAsia="宋体" w:cs="Calibri"/>
          <w:bCs/>
          <w:kern w:val="0"/>
          <w:sz w:val="28"/>
          <w:szCs w:val="28"/>
        </w:rPr>
        <w:t>天内保持有效</w:t>
      </w:r>
      <w:r>
        <w:rPr>
          <w:rFonts w:hint="eastAsia" w:ascii="宋体" w:hAnsi="宋体" w:cs="Calibri"/>
          <w:bCs/>
          <w:kern w:val="0"/>
          <w:sz w:val="28"/>
          <w:szCs w:val="28"/>
          <w:lang w:eastAsia="zh-CN"/>
        </w:rPr>
        <w:t>。</w:t>
      </w:r>
    </w:p>
    <w:p>
      <w:pPr>
        <w:pStyle w:val="41"/>
        <w:keepNext w:val="0"/>
        <w:keepLines w:val="0"/>
        <w:pageBreakBefore w:val="0"/>
        <w:widowControl/>
        <w:numPr>
          <w:ilvl w:val="0"/>
          <w:numId w:val="10"/>
        </w:numPr>
        <w:kinsoku/>
        <w:wordWrap/>
        <w:overflowPunct w:val="0"/>
        <w:topLinePunct w:val="0"/>
        <w:autoSpaceDE w:val="0"/>
        <w:autoSpaceDN w:val="0"/>
        <w:bidi w:val="0"/>
        <w:adjustRightInd w:val="0"/>
        <w:snapToGrid/>
        <w:spacing w:before="120" w:line="360" w:lineRule="auto"/>
        <w:ind w:firstLine="420" w:firstLineChars="0"/>
        <w:jc w:val="both"/>
        <w:textAlignment w:val="baseline"/>
        <w:outlineLvl w:val="0"/>
        <w:rPr>
          <w:rFonts w:hint="eastAsia" w:ascii="宋体" w:hAnsi="宋体" w:cs="Calibri"/>
          <w:bCs/>
          <w:kern w:val="0"/>
          <w:sz w:val="28"/>
          <w:szCs w:val="28"/>
          <w:lang w:val="en-US" w:eastAsia="zh-CN"/>
        </w:rPr>
      </w:pPr>
      <w:r>
        <w:rPr>
          <w:rFonts w:hint="eastAsia" w:ascii="宋体" w:hAnsi="宋体" w:eastAsia="宋体" w:cs="Calibri"/>
          <w:bCs/>
          <w:color w:val="000000" w:themeColor="text1"/>
          <w:kern w:val="0"/>
          <w:sz w:val="28"/>
          <w:szCs w:val="28"/>
          <w14:textFill>
            <w14:solidFill>
              <w14:schemeClr w14:val="tx1"/>
            </w14:solidFill>
          </w14:textFill>
        </w:rPr>
        <w:t>资质要求</w:t>
      </w:r>
      <w:r>
        <w:rPr>
          <w:rFonts w:hint="eastAsia" w:ascii="宋体" w:hAnsi="宋体" w:cs="Calibri"/>
          <w:bCs/>
          <w:color w:val="000000" w:themeColor="text1"/>
          <w:kern w:val="0"/>
          <w:sz w:val="28"/>
          <w:szCs w:val="28"/>
          <w:lang w:eastAsia="zh-CN"/>
          <w14:textFill>
            <w14:solidFill>
              <w14:schemeClr w14:val="tx1"/>
            </w14:solidFill>
          </w14:textFill>
        </w:rPr>
        <w:t>：</w:t>
      </w:r>
    </w:p>
    <w:p>
      <w:pPr>
        <w:keepNext w:val="0"/>
        <w:keepLines w:val="0"/>
        <w:pageBreakBefore w:val="0"/>
        <w:widowControl/>
        <w:kinsoku/>
        <w:wordWrap/>
        <w:overflowPunct w:val="0"/>
        <w:topLinePunct w:val="0"/>
        <w:autoSpaceDE w:val="0"/>
        <w:autoSpaceDN w:val="0"/>
        <w:bidi w:val="0"/>
        <w:adjustRightInd w:val="0"/>
        <w:snapToGrid/>
        <w:spacing w:line="360" w:lineRule="auto"/>
        <w:ind w:left="797" w:leftChars="200" w:hanging="397" w:hangingChars="142"/>
        <w:textAlignment w:val="baseline"/>
        <w:rPr>
          <w:rFonts w:ascii="宋体" w:hAnsi="宋体" w:eastAsia="宋体" w:cs="Calibri"/>
          <w:bCs/>
          <w:kern w:val="0"/>
          <w:sz w:val="28"/>
          <w:szCs w:val="28"/>
        </w:rPr>
      </w:pPr>
      <w:r>
        <w:rPr>
          <w:rFonts w:ascii="宋体" w:hAnsi="宋体" w:eastAsia="宋体" w:cs="Calibri"/>
          <w:bCs/>
          <w:kern w:val="0"/>
          <w:sz w:val="28"/>
          <w:szCs w:val="28"/>
        </w:rPr>
        <w:t>1</w:t>
      </w:r>
      <w:r>
        <w:rPr>
          <w:rFonts w:hint="eastAsia" w:ascii="宋体" w:hAnsi="宋体" w:eastAsia="宋体" w:cs="Calibri"/>
          <w:bCs/>
          <w:kern w:val="0"/>
          <w:sz w:val="28"/>
          <w:szCs w:val="28"/>
        </w:rPr>
        <w:t>）响应人须是依法登记注册的法人或其他组织；</w:t>
      </w:r>
    </w:p>
    <w:p>
      <w:pPr>
        <w:keepNext w:val="0"/>
        <w:keepLines w:val="0"/>
        <w:pageBreakBefore w:val="0"/>
        <w:widowControl/>
        <w:kinsoku/>
        <w:wordWrap/>
        <w:overflowPunct w:val="0"/>
        <w:topLinePunct w:val="0"/>
        <w:autoSpaceDE w:val="0"/>
        <w:autoSpaceDN w:val="0"/>
        <w:bidi w:val="0"/>
        <w:adjustRightInd w:val="0"/>
        <w:snapToGrid/>
        <w:spacing w:line="360" w:lineRule="auto"/>
        <w:ind w:left="797" w:leftChars="200" w:hanging="397" w:hangingChars="142"/>
        <w:textAlignment w:val="baseline"/>
        <w:rPr>
          <w:rFonts w:ascii="宋体" w:hAnsi="宋体" w:eastAsia="宋体" w:cs="Calibri"/>
          <w:bCs/>
          <w:kern w:val="0"/>
          <w:sz w:val="28"/>
          <w:szCs w:val="28"/>
        </w:rPr>
      </w:pPr>
      <w:r>
        <w:rPr>
          <w:rFonts w:hint="eastAsia" w:ascii="宋体" w:hAnsi="宋体" w:eastAsia="宋体" w:cs="Calibri"/>
          <w:bCs/>
          <w:kern w:val="0"/>
          <w:sz w:val="28"/>
          <w:szCs w:val="28"/>
        </w:rPr>
        <w:t>2）响应人存在如下情形的，报价文件将被按不合格处理：</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响应人所投产品制造商自</w:t>
      </w:r>
      <w:r>
        <w:rPr>
          <w:rFonts w:ascii="宋体" w:hAnsi="宋体" w:eastAsia="宋体" w:cs="Calibri"/>
          <w:bCs/>
          <w:kern w:val="0"/>
          <w:sz w:val="28"/>
          <w:szCs w:val="28"/>
        </w:rPr>
        <w:t>20</w:t>
      </w:r>
      <w:r>
        <w:rPr>
          <w:rFonts w:hint="eastAsia" w:ascii="宋体" w:hAnsi="宋体" w:cs="Calibri"/>
          <w:bCs/>
          <w:kern w:val="0"/>
          <w:sz w:val="28"/>
          <w:szCs w:val="28"/>
          <w:lang w:val="en-US" w:eastAsia="zh-CN"/>
        </w:rPr>
        <w:t>21</w:t>
      </w:r>
      <w:r>
        <w:rPr>
          <w:rFonts w:ascii="宋体" w:hAnsi="宋体" w:eastAsia="宋体" w:cs="Calibri"/>
          <w:bCs/>
          <w:kern w:val="0"/>
          <w:sz w:val="28"/>
          <w:szCs w:val="28"/>
        </w:rPr>
        <w:t>年1月1日起至报价截止时间止，出现重大质量问题（以问题书面认定材料出具时间为准），且经过官方机构或第三方权威机构调查并出具了明确的书面证据，认定应由响应人承担重大质量问题责任并对响应人进行处理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响应人或响应人与本次采购相关的某类产品</w:t>
      </w:r>
      <w:r>
        <w:rPr>
          <w:rFonts w:ascii="宋体" w:hAnsi="宋体" w:eastAsia="宋体" w:cs="Calibri"/>
          <w:bCs/>
          <w:kern w:val="0"/>
          <w:sz w:val="28"/>
          <w:szCs w:val="28"/>
        </w:rPr>
        <w:t>/业务范围被中国海洋石油集团有限公司或</w:t>
      </w:r>
      <w:r>
        <w:rPr>
          <w:rFonts w:hint="eastAsia" w:ascii="宋体" w:hAnsi="宋体" w:eastAsia="宋体" w:cs="Calibri"/>
          <w:bCs/>
          <w:kern w:val="0"/>
          <w:sz w:val="28"/>
          <w:szCs w:val="28"/>
        </w:rPr>
        <w:t>询价人</w:t>
      </w:r>
      <w:r>
        <w:rPr>
          <w:rFonts w:ascii="宋体" w:hAnsi="宋体" w:eastAsia="宋体" w:cs="Calibri"/>
          <w:bCs/>
          <w:kern w:val="0"/>
          <w:sz w:val="28"/>
          <w:szCs w:val="28"/>
        </w:rPr>
        <w:t>禁用的；在处罚期内或处罚期满但在系统中的供应商档案中的“档案状态”为“采购冻结”或“业务状态”为“冻结”的；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响应人处于责令整顿、停业或财产已被接管、冻结或处于破产状态的；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响应人在“信用中国”网站（</w:t>
      </w:r>
      <w:r>
        <w:rPr>
          <w:rFonts w:ascii="宋体" w:hAnsi="宋体" w:eastAsia="宋体" w:cs="Calibri"/>
          <w:bCs/>
          <w:kern w:val="0"/>
          <w:sz w:val="28"/>
          <w:szCs w:val="28"/>
        </w:rPr>
        <w:t xml:space="preserve">https://www.creditchina.gov.cn /）被列入严重失信主体名单； </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响应人在全国企业信用信息公示系统（</w:t>
      </w:r>
      <w:r>
        <w:rPr>
          <w:rFonts w:ascii="宋体" w:hAnsi="宋体" w:eastAsia="宋体" w:cs="Calibri"/>
          <w:bCs/>
          <w:kern w:val="0"/>
          <w:sz w:val="28"/>
          <w:szCs w:val="28"/>
        </w:rPr>
        <w:t>http://www.gsxt.go v.cn）被列入严重违法失信名单（黑名单）信息或营业执照登记状态为吊销或注销的；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响应人在“中国执行信息公开网”网站（</w:t>
      </w:r>
      <w:r>
        <w:rPr>
          <w:rFonts w:ascii="宋体" w:hAnsi="宋体" w:eastAsia="宋体" w:cs="Calibri"/>
          <w:bCs/>
          <w:kern w:val="0"/>
          <w:sz w:val="28"/>
          <w:szCs w:val="28"/>
        </w:rPr>
        <w:t>http://zxgk.court.g ov.cn/）被列入失信被执行人名单；</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响应人与本采购项目其他响应人单位负责人为同一人或存在控股、管理关系的；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响应人与询价人有利害关系且可能影响采购公正性的；</w:t>
      </w:r>
    </w:p>
    <w:p>
      <w:pPr>
        <w:keepNext w:val="0"/>
        <w:keepLines w:val="0"/>
        <w:pageBreakBefore w:val="0"/>
        <w:widowControl/>
        <w:numPr>
          <w:ilvl w:val="0"/>
          <w:numId w:val="11"/>
        </w:numPr>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ascii="宋体" w:hAnsi="宋体" w:eastAsia="宋体" w:cs="Calibri"/>
          <w:bCs/>
          <w:kern w:val="0"/>
          <w:sz w:val="28"/>
          <w:szCs w:val="28"/>
        </w:rPr>
      </w:pPr>
      <w:r>
        <w:rPr>
          <w:rFonts w:hint="eastAsia" w:ascii="宋体" w:hAnsi="宋体" w:eastAsia="宋体" w:cs="Calibri"/>
          <w:bCs/>
          <w:kern w:val="0"/>
          <w:sz w:val="28"/>
          <w:szCs w:val="28"/>
        </w:rPr>
        <w:t>响应人存在危害国家安全和损害中国海油合法权益的情形，在涉及国家机密或商业秘密的项目中存在不遵守相关法律法规及政府主管部门要求的情形。</w:t>
      </w:r>
    </w:p>
    <w:p>
      <w:pPr>
        <w:keepNext w:val="0"/>
        <w:keepLines w:val="0"/>
        <w:pageBreakBefore w:val="0"/>
        <w:widowControl/>
        <w:kinsoku/>
        <w:wordWrap/>
        <w:overflowPunct w:val="0"/>
        <w:topLinePunct w:val="0"/>
        <w:autoSpaceDE w:val="0"/>
        <w:autoSpaceDN w:val="0"/>
        <w:bidi w:val="0"/>
        <w:adjustRightInd w:val="0"/>
        <w:snapToGrid/>
        <w:spacing w:line="360" w:lineRule="auto"/>
        <w:ind w:left="400" w:leftChars="200" w:firstLine="560" w:firstLineChars="200"/>
        <w:textAlignment w:val="baseline"/>
        <w:rPr>
          <w:rFonts w:hint="eastAsia" w:ascii="宋体" w:hAnsi="宋体" w:eastAsia="宋体" w:cs="Calibri"/>
          <w:bCs/>
          <w:kern w:val="0"/>
          <w:sz w:val="28"/>
          <w:szCs w:val="28"/>
        </w:rPr>
      </w:pPr>
      <w:r>
        <w:rPr>
          <w:rFonts w:hint="eastAsia" w:ascii="宋体" w:hAnsi="宋体" w:eastAsia="宋体" w:cs="Calibri"/>
          <w:bCs/>
          <w:kern w:val="0"/>
          <w:sz w:val="28"/>
          <w:szCs w:val="28"/>
        </w:rPr>
        <w:t>以上所述响应人，包括联合体成员以及代理报价情形下的制造商。</w:t>
      </w:r>
    </w:p>
    <w:p>
      <w:pPr>
        <w:pStyle w:val="41"/>
        <w:numPr>
          <w:ilvl w:val="0"/>
          <w:numId w:val="9"/>
        </w:numPr>
        <w:spacing w:before="120" w:line="400" w:lineRule="atLeast"/>
        <w:ind w:left="0" w:leftChars="0" w:firstLine="0" w:firstLineChars="0"/>
        <w:jc w:val="both"/>
        <w:outlineLvl w:val="0"/>
        <w:rPr>
          <w:rStyle w:val="40"/>
          <w:rFonts w:hint="eastAsia"/>
          <w:sz w:val="32"/>
          <w:szCs w:val="32"/>
          <w:lang w:val="en-US" w:eastAsia="zh-CN"/>
        </w:rPr>
      </w:pPr>
      <w:r>
        <w:rPr>
          <w:rStyle w:val="40"/>
          <w:rFonts w:hint="eastAsia"/>
          <w:sz w:val="32"/>
          <w:szCs w:val="32"/>
          <w:lang w:val="en-US" w:eastAsia="zh-CN"/>
        </w:rPr>
        <w:t>技术要求</w:t>
      </w:r>
    </w:p>
    <w:p>
      <w:pPr>
        <w:pStyle w:val="41"/>
        <w:keepNext w:val="0"/>
        <w:keepLines w:val="0"/>
        <w:pageBreakBefore w:val="0"/>
        <w:widowControl/>
        <w:numPr>
          <w:ilvl w:val="0"/>
          <w:numId w:val="12"/>
        </w:numPr>
        <w:kinsoku/>
        <w:wordWrap/>
        <w:overflowPunct w:val="0"/>
        <w:topLinePunct w:val="0"/>
        <w:autoSpaceDE w:val="0"/>
        <w:autoSpaceDN w:val="0"/>
        <w:bidi w:val="0"/>
        <w:adjustRightInd w:val="0"/>
        <w:snapToGrid/>
        <w:spacing w:before="120" w:line="360" w:lineRule="auto"/>
        <w:ind w:left="425" w:leftChars="0" w:hanging="425" w:firstLineChars="0"/>
        <w:jc w:val="both"/>
        <w:textAlignment w:val="baseline"/>
        <w:outlineLvl w:val="0"/>
        <w:rPr>
          <w:rFonts w:hint="default" w:ascii="宋体" w:hAnsi="宋体" w:eastAsia="宋体" w:cs="Calibri"/>
          <w:bCs/>
          <w:color w:val="000000" w:themeColor="text1"/>
          <w:kern w:val="0"/>
          <w:sz w:val="28"/>
          <w:szCs w:val="28"/>
          <w:lang w:val="en-US" w:eastAsia="zh-CN"/>
          <w14:textFill>
            <w14:solidFill>
              <w14:schemeClr w14:val="tx1"/>
            </w14:solidFill>
          </w14:textFill>
        </w:rPr>
      </w:pPr>
      <w:r>
        <w:rPr>
          <w:rFonts w:hint="eastAsia" w:ascii="宋体" w:hAnsi="宋体" w:eastAsia="宋体" w:cs="Calibri"/>
          <w:bCs/>
          <w:color w:val="000000" w:themeColor="text1"/>
          <w:kern w:val="0"/>
          <w:sz w:val="28"/>
          <w:szCs w:val="28"/>
          <w:lang w:val="en-US" w:eastAsia="zh-CN"/>
          <w14:textFill>
            <w14:solidFill>
              <w14:schemeClr w14:val="tx1"/>
            </w14:solidFill>
          </w14:textFill>
        </w:rPr>
        <w:t>软件：SMTX OS 超融合软件</w:t>
      </w:r>
    </w:p>
    <w:p>
      <w:pPr>
        <w:pStyle w:val="41"/>
        <w:keepNext w:val="0"/>
        <w:keepLines w:val="0"/>
        <w:pageBreakBefore w:val="0"/>
        <w:widowControl/>
        <w:numPr>
          <w:ilvl w:val="0"/>
          <w:numId w:val="12"/>
        </w:numPr>
        <w:kinsoku/>
        <w:wordWrap/>
        <w:overflowPunct w:val="0"/>
        <w:topLinePunct w:val="0"/>
        <w:autoSpaceDE w:val="0"/>
        <w:autoSpaceDN w:val="0"/>
        <w:bidi w:val="0"/>
        <w:adjustRightInd w:val="0"/>
        <w:snapToGrid/>
        <w:spacing w:before="120" w:line="360" w:lineRule="auto"/>
        <w:ind w:left="425" w:leftChars="0" w:hanging="425" w:firstLineChars="0"/>
        <w:jc w:val="both"/>
        <w:textAlignment w:val="baseline"/>
        <w:outlineLvl w:val="0"/>
        <w:rPr>
          <w:rFonts w:hint="default" w:ascii="宋体" w:hAnsi="宋体" w:eastAsia="宋体" w:cs="Calibri"/>
          <w:bCs/>
          <w:color w:val="000000" w:themeColor="text1"/>
          <w:kern w:val="0"/>
          <w:sz w:val="28"/>
          <w:szCs w:val="28"/>
          <w:lang w:val="en-US" w:eastAsia="zh-CN"/>
          <w14:textFill>
            <w14:solidFill>
              <w14:schemeClr w14:val="tx1"/>
            </w14:solidFill>
          </w14:textFill>
        </w:rPr>
      </w:pPr>
      <w:r>
        <w:rPr>
          <w:rFonts w:hint="eastAsia" w:ascii="宋体" w:hAnsi="宋体" w:eastAsia="宋体" w:cs="Calibri"/>
          <w:bCs/>
          <w:color w:val="000000" w:themeColor="text1"/>
          <w:kern w:val="0"/>
          <w:sz w:val="28"/>
          <w:szCs w:val="28"/>
          <w:lang w:val="en-US" w:eastAsia="zh-CN"/>
          <w14:textFill>
            <w14:solidFill>
              <w14:schemeClr w14:val="tx1"/>
            </w14:solidFill>
          </w14:textFill>
        </w:rPr>
        <w:t>软件硬件分离：要求软硬件分离，国产虚拟化软件能较好的兼容并稳定运行在国产化X86、C86和ARM技术架构的标准化服务器上，不与特定设备强绑定。</w:t>
      </w:r>
    </w:p>
    <w:p>
      <w:pPr>
        <w:pStyle w:val="41"/>
        <w:keepNext w:val="0"/>
        <w:keepLines w:val="0"/>
        <w:pageBreakBefore w:val="0"/>
        <w:widowControl/>
        <w:numPr>
          <w:ilvl w:val="0"/>
          <w:numId w:val="12"/>
        </w:numPr>
        <w:kinsoku/>
        <w:wordWrap/>
        <w:overflowPunct w:val="0"/>
        <w:topLinePunct w:val="0"/>
        <w:autoSpaceDE w:val="0"/>
        <w:autoSpaceDN w:val="0"/>
        <w:bidi w:val="0"/>
        <w:adjustRightInd w:val="0"/>
        <w:snapToGrid/>
        <w:spacing w:before="120" w:line="360" w:lineRule="auto"/>
        <w:ind w:left="425" w:leftChars="0" w:hanging="425" w:firstLineChars="0"/>
        <w:jc w:val="both"/>
        <w:textAlignment w:val="baseline"/>
        <w:outlineLvl w:val="0"/>
        <w:rPr>
          <w:rFonts w:hint="default" w:ascii="宋体" w:hAnsi="宋体" w:eastAsia="宋体" w:cs="Calibri"/>
          <w:bCs/>
          <w:color w:val="000000" w:themeColor="text1"/>
          <w:kern w:val="0"/>
          <w:sz w:val="28"/>
          <w:szCs w:val="28"/>
          <w:lang w:val="en-US" w:eastAsia="zh-CN"/>
          <w14:textFill>
            <w14:solidFill>
              <w14:schemeClr w14:val="tx1"/>
            </w14:solidFill>
          </w14:textFill>
        </w:rPr>
      </w:pPr>
      <w:r>
        <w:rPr>
          <w:rFonts w:hint="eastAsia" w:ascii="宋体" w:hAnsi="宋体" w:eastAsia="宋体" w:cs="Calibri"/>
          <w:bCs/>
          <w:color w:val="000000" w:themeColor="text1"/>
          <w:kern w:val="0"/>
          <w:sz w:val="28"/>
          <w:szCs w:val="28"/>
          <w:lang w:val="en-US" w:eastAsia="zh-CN"/>
          <w14:textFill>
            <w14:solidFill>
              <w14:schemeClr w14:val="tx1"/>
            </w14:solidFill>
          </w14:textFill>
        </w:rPr>
        <w:t>系统迁移支持：参考VMware vSan 或 Nutanix 公司技术产品，提供从VMware到新的虚拟化平台上的迁移工具或迁移实施能力，如能提供双向迁移和热迁移技术更佳。</w:t>
      </w:r>
    </w:p>
    <w:p>
      <w:pPr>
        <w:pStyle w:val="41"/>
        <w:keepNext w:val="0"/>
        <w:keepLines w:val="0"/>
        <w:pageBreakBefore w:val="0"/>
        <w:widowControl/>
        <w:numPr>
          <w:ilvl w:val="0"/>
          <w:numId w:val="12"/>
        </w:numPr>
        <w:kinsoku/>
        <w:wordWrap/>
        <w:overflowPunct w:val="0"/>
        <w:topLinePunct w:val="0"/>
        <w:autoSpaceDE w:val="0"/>
        <w:autoSpaceDN w:val="0"/>
        <w:bidi w:val="0"/>
        <w:adjustRightInd w:val="0"/>
        <w:snapToGrid/>
        <w:spacing w:before="120" w:line="360" w:lineRule="auto"/>
        <w:ind w:left="425" w:leftChars="0" w:hanging="425" w:firstLineChars="0"/>
        <w:jc w:val="both"/>
        <w:textAlignment w:val="baseline"/>
        <w:outlineLvl w:val="0"/>
        <w:rPr>
          <w:rFonts w:hint="default" w:ascii="宋体" w:hAnsi="宋体" w:eastAsia="宋体" w:cs="Calibri"/>
          <w:bCs/>
          <w:color w:val="000000" w:themeColor="text1"/>
          <w:kern w:val="0"/>
          <w:sz w:val="28"/>
          <w:szCs w:val="28"/>
          <w:lang w:val="en-US" w:eastAsia="zh-CN"/>
          <w14:textFill>
            <w14:solidFill>
              <w14:schemeClr w14:val="tx1"/>
            </w14:solidFill>
          </w14:textFill>
        </w:rPr>
      </w:pPr>
      <w:r>
        <w:rPr>
          <w:rFonts w:hint="eastAsia" w:ascii="宋体" w:hAnsi="宋体" w:eastAsia="宋体" w:cs="Calibri"/>
          <w:bCs/>
          <w:color w:val="000000" w:themeColor="text1"/>
          <w:kern w:val="0"/>
          <w:sz w:val="28"/>
          <w:szCs w:val="28"/>
          <w:lang w:val="en-US" w:eastAsia="zh-CN"/>
          <w14:textFill>
            <w14:solidFill>
              <w14:schemeClr w14:val="tx1"/>
            </w14:solidFill>
          </w14:textFill>
        </w:rPr>
        <w:t>采购数量：3 （服务器节点授权）</w:t>
      </w:r>
    </w:p>
    <w:p>
      <w:pPr>
        <w:pStyle w:val="5"/>
        <w:bidi w:val="0"/>
        <w:rPr>
          <w:rFonts w:hint="eastAsia"/>
          <w:lang w:val="en-US" w:eastAsia="zh-CN"/>
        </w:rPr>
      </w:pPr>
      <w:r>
        <w:rPr>
          <w:rFonts w:hint="eastAsia"/>
          <w:lang w:val="en-US" w:eastAsia="zh-CN"/>
        </w:rPr>
        <w:t>具体要求和功能需求：</w:t>
      </w:r>
    </w:p>
    <w:tbl>
      <w:tblPr>
        <w:tblStyle w:val="19"/>
        <w:tblW w:w="821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7" w:type="dxa"/>
          <w:bottom w:w="17" w:type="dxa"/>
          <w:right w:w="17" w:type="dxa"/>
        </w:tblCellMar>
      </w:tblPr>
      <w:tblGrid>
        <w:gridCol w:w="854"/>
        <w:gridCol w:w="1462"/>
        <w:gridCol w:w="5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trPr>
        <w:tc>
          <w:tcPr>
            <w:tcW w:w="854" w:type="dxa"/>
            <w:vMerge w:val="restart"/>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软件总体要求</w:t>
            </w:r>
          </w:p>
          <w:p>
            <w:pPr>
              <w:widowControl/>
              <w:jc w:val="left"/>
              <w:textAlignment w:val="bottom"/>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CPU兼容性</w:t>
            </w:r>
          </w:p>
        </w:tc>
        <w:tc>
          <w:tcPr>
            <w:tcW w:w="146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软件授权</w:t>
            </w:r>
          </w:p>
        </w:tc>
        <w:tc>
          <w:tcPr>
            <w:tcW w:w="590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软件授权</w:t>
            </w:r>
            <w:r>
              <w:rPr>
                <w:rFonts w:hint="eastAsia" w:asciiTheme="minorEastAsia" w:hAnsiTheme="minorEastAsia" w:eastAsiaTheme="minorEastAsia" w:cstheme="minorEastAsia"/>
                <w:color w:val="000000"/>
                <w:kern w:val="0"/>
                <w:sz w:val="21"/>
                <w:szCs w:val="21"/>
                <w:lang w:eastAsia="zh-CN"/>
              </w:rPr>
              <w:t>应</w:t>
            </w:r>
            <w:r>
              <w:rPr>
                <w:rFonts w:hint="eastAsia" w:asciiTheme="minorEastAsia" w:hAnsiTheme="minorEastAsia" w:eastAsiaTheme="minorEastAsia" w:cstheme="minorEastAsia"/>
                <w:color w:val="000000"/>
                <w:kern w:val="0"/>
                <w:sz w:val="21"/>
                <w:szCs w:val="21"/>
              </w:rPr>
              <w:t>为永久授权，</w:t>
            </w:r>
            <w:r>
              <w:rPr>
                <w:rFonts w:hint="eastAsia" w:asciiTheme="minorEastAsia" w:hAnsiTheme="minorEastAsia" w:eastAsiaTheme="minorEastAsia" w:cstheme="minorEastAsia"/>
                <w:color w:val="000000"/>
                <w:kern w:val="0"/>
                <w:sz w:val="21"/>
                <w:szCs w:val="21"/>
                <w:lang w:eastAsia="zh-CN"/>
              </w:rPr>
              <w:t>授权</w:t>
            </w:r>
            <w:r>
              <w:rPr>
                <w:rFonts w:hint="eastAsia" w:asciiTheme="minorEastAsia" w:hAnsiTheme="minorEastAsia" w:eastAsiaTheme="minorEastAsia" w:cstheme="minorEastAsia"/>
                <w:color w:val="000000"/>
                <w:kern w:val="0"/>
                <w:sz w:val="21"/>
                <w:szCs w:val="21"/>
              </w:rPr>
              <w:t>包括计算虚拟化</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分布式存储</w:t>
            </w:r>
            <w:r>
              <w:rPr>
                <w:rFonts w:hint="eastAsia" w:asciiTheme="minorEastAsia" w:hAnsiTheme="minorEastAsia" w:eastAsiaTheme="minorEastAsia" w:cstheme="minorEastAsia"/>
                <w:color w:val="000000"/>
                <w:kern w:val="0"/>
                <w:sz w:val="21"/>
                <w:szCs w:val="21"/>
                <w:lang w:eastAsia="zh-CN"/>
              </w:rPr>
              <w:t>和网络、</w:t>
            </w:r>
            <w:r>
              <w:rPr>
                <w:rFonts w:hint="eastAsia" w:asciiTheme="minorEastAsia" w:hAnsiTheme="minorEastAsia" w:eastAsiaTheme="minorEastAsia" w:cstheme="minorEastAsia"/>
                <w:color w:val="000000"/>
                <w:kern w:val="0"/>
                <w:sz w:val="21"/>
                <w:szCs w:val="21"/>
              </w:rPr>
              <w:t>WEB管理等组件，且需支持2、3副本存储策略，支持</w:t>
            </w:r>
            <w:r>
              <w:rPr>
                <w:rFonts w:hint="eastAsia" w:asciiTheme="minorEastAsia" w:hAnsiTheme="minorEastAsia" w:eastAsiaTheme="minorEastAsia" w:cstheme="minorEastAsia"/>
                <w:color w:val="000000"/>
                <w:kern w:val="0"/>
                <w:sz w:val="21"/>
                <w:szCs w:val="21"/>
                <w:lang w:eastAsia="zh-CN"/>
              </w:rPr>
              <w:t>磁盘的</w:t>
            </w:r>
            <w:r>
              <w:rPr>
                <w:rFonts w:hint="eastAsia" w:asciiTheme="minorEastAsia" w:hAnsiTheme="minorEastAsia" w:eastAsiaTheme="minorEastAsia" w:cstheme="minorEastAsia"/>
                <w:color w:val="000000"/>
                <w:kern w:val="0"/>
                <w:sz w:val="21"/>
                <w:szCs w:val="21"/>
              </w:rPr>
              <w:t>全闪、混闪</w:t>
            </w:r>
            <w:r>
              <w:rPr>
                <w:rFonts w:hint="eastAsia" w:asciiTheme="minorEastAsia" w:hAnsiTheme="minorEastAsia" w:eastAsiaTheme="minorEastAsia" w:cstheme="minorEastAsia"/>
                <w:color w:val="000000"/>
                <w:kern w:val="0"/>
                <w:sz w:val="21"/>
                <w:szCs w:val="21"/>
                <w:lang w:eastAsia="zh-CN"/>
              </w:rPr>
              <w:t>的混合</w:t>
            </w:r>
            <w:r>
              <w:rPr>
                <w:rFonts w:hint="eastAsia" w:asciiTheme="minorEastAsia" w:hAnsiTheme="minorEastAsia" w:eastAsiaTheme="minorEastAsia" w:cstheme="minorEastAsia"/>
                <w:color w:val="000000"/>
                <w:kern w:val="0"/>
                <w:sz w:val="21"/>
                <w:szCs w:val="21"/>
              </w:rPr>
              <w:t>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426" w:hRule="atLeast"/>
        </w:trPr>
        <w:tc>
          <w:tcPr>
            <w:tcW w:w="854" w:type="dxa"/>
            <w:vMerge w:val="continue"/>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p>
        </w:tc>
        <w:tc>
          <w:tcPr>
            <w:tcW w:w="146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架构要求</w:t>
            </w:r>
          </w:p>
        </w:tc>
        <w:tc>
          <w:tcPr>
            <w:tcW w:w="590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符合超融合特性的分布式架构。将所有节点的存储空间无缝融合为单一的存储池，并支持单一存储池内横向扩展。</w:t>
            </w:r>
          </w:p>
          <w:p>
            <w:pPr>
              <w:widowControl/>
              <w:jc w:val="left"/>
              <w:textAlignment w:val="bottom"/>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节点间无主次之分，无计算、存储、管理节点之分，每个节点</w:t>
            </w:r>
            <w:r>
              <w:rPr>
                <w:rFonts w:hint="eastAsia" w:asciiTheme="minorEastAsia" w:hAnsiTheme="minorEastAsia" w:eastAsiaTheme="minorEastAsia" w:cstheme="minorEastAsia"/>
                <w:color w:val="000000"/>
                <w:kern w:val="0"/>
                <w:sz w:val="21"/>
                <w:szCs w:val="21"/>
                <w:lang w:eastAsia="zh-CN"/>
              </w:rPr>
              <w:t>可</w:t>
            </w:r>
            <w:r>
              <w:rPr>
                <w:rFonts w:hint="eastAsia" w:asciiTheme="minorEastAsia" w:hAnsiTheme="minorEastAsia" w:eastAsiaTheme="minorEastAsia" w:cstheme="minorEastAsia"/>
                <w:color w:val="000000"/>
                <w:kern w:val="0"/>
                <w:sz w:val="21"/>
                <w:szCs w:val="21"/>
              </w:rPr>
              <w:t>同时提供计算和存储服务，无专用SAN存储</w:t>
            </w:r>
            <w:r>
              <w:rPr>
                <w:rFonts w:hint="eastAsia" w:asciiTheme="minorEastAsia" w:hAnsiTheme="minorEastAsia" w:eastAsiaTheme="minorEastAsia" w:cstheme="minorEastAsia"/>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continue"/>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p>
        </w:tc>
        <w:tc>
          <w:tcPr>
            <w:tcW w:w="146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集群规模</w:t>
            </w:r>
          </w:p>
        </w:tc>
        <w:tc>
          <w:tcPr>
            <w:tcW w:w="590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单个集群最小支持3节点部署。</w:t>
            </w:r>
          </w:p>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单个集群所支持节点数不少于16个节点。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585" w:hRule="atLeast"/>
        </w:trPr>
        <w:tc>
          <w:tcPr>
            <w:tcW w:w="854" w:type="dxa"/>
            <w:vMerge w:val="continue"/>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p>
        </w:tc>
        <w:tc>
          <w:tcPr>
            <w:tcW w:w="146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服务器异构</w:t>
            </w:r>
          </w:p>
        </w:tc>
        <w:tc>
          <w:tcPr>
            <w:tcW w:w="590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支持混合部署方式，如提供不同品牌(相同CPU类型)</w:t>
            </w:r>
            <w:r>
              <w:rPr>
                <w:rFonts w:hint="eastAsia" w:asciiTheme="minorEastAsia" w:hAnsiTheme="minorEastAsia" w:eastAsiaTheme="minorEastAsia" w:cstheme="minorEastAsia"/>
                <w:color w:val="000000"/>
                <w:kern w:val="0"/>
                <w:sz w:val="21"/>
                <w:szCs w:val="21"/>
                <w:lang w:eastAsia="zh-CN"/>
              </w:rPr>
              <w:t>主流</w:t>
            </w:r>
            <w:r>
              <w:rPr>
                <w:rFonts w:hint="eastAsia" w:asciiTheme="minorEastAsia" w:hAnsiTheme="minorEastAsia" w:eastAsiaTheme="minorEastAsia" w:cstheme="minorEastAsia"/>
                <w:color w:val="000000"/>
                <w:kern w:val="0"/>
                <w:sz w:val="21"/>
                <w:szCs w:val="21"/>
              </w:rPr>
              <w:t>服务器，超融合系统支持其加入超融合集群中，且正常平稳运行。</w:t>
            </w:r>
            <w:r>
              <w:rPr>
                <w:rFonts w:hint="eastAsia" w:asciiTheme="minorEastAsia" w:hAnsiTheme="minorEastAsia" w:eastAsiaTheme="minorEastAsia" w:cstheme="minorEastAsia"/>
                <w:color w:val="000000"/>
                <w:kern w:val="0"/>
                <w:sz w:val="21"/>
                <w:szCs w:val="21"/>
                <w:lang w:eastAsia="zh-CN"/>
              </w:rPr>
              <w:t>建议</w:t>
            </w:r>
            <w:r>
              <w:rPr>
                <w:rFonts w:hint="eastAsia" w:asciiTheme="minorEastAsia" w:hAnsiTheme="minorEastAsia" w:eastAsiaTheme="minorEastAsia" w:cstheme="minorEastAsia"/>
                <w:color w:val="000000"/>
                <w:kern w:val="0"/>
                <w:sz w:val="21"/>
                <w:szCs w:val="21"/>
              </w:rPr>
              <w:t>提供至少3个案例证明并说明详细的场景说明、服务器配置等信息。</w:t>
            </w:r>
          </w:p>
          <w:p>
            <w:pPr>
              <w:widowControl/>
              <w:jc w:val="left"/>
              <w:textAlignment w:val="bottom"/>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支持同一资源池内服务器硬盘类型异构。</w:t>
            </w:r>
            <w:r>
              <w:rPr>
                <w:rFonts w:hint="eastAsia" w:asciiTheme="minorEastAsia" w:hAnsiTheme="minorEastAsia" w:eastAsiaTheme="minorEastAsia" w:cstheme="minorEastAsia"/>
                <w:color w:val="000000"/>
                <w:kern w:val="0"/>
                <w:sz w:val="21"/>
                <w:szCs w:val="21"/>
                <w:lang w:eastAsia="zh-CN"/>
              </w:rPr>
              <w:t>建议</w:t>
            </w:r>
            <w:r>
              <w:rPr>
                <w:rFonts w:hint="eastAsia" w:asciiTheme="minorEastAsia" w:hAnsiTheme="minorEastAsia" w:eastAsiaTheme="minorEastAsia" w:cstheme="minorEastAsia"/>
                <w:color w:val="000000"/>
                <w:kern w:val="0"/>
                <w:sz w:val="21"/>
                <w:szCs w:val="21"/>
              </w:rPr>
              <w:t>提供至少3个案例证明。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continue"/>
            <w:tcBorders>
              <w:tl2br w:val="nil"/>
              <w:tr2bl w:val="nil"/>
            </w:tcBorders>
            <w:shd w:val="clear" w:color="auto" w:fill="auto"/>
            <w:vAlign w:val="center"/>
          </w:tcPr>
          <w:p>
            <w:pPr>
              <w:widowControl/>
              <w:jc w:val="left"/>
              <w:textAlignment w:val="bottom"/>
              <w:rPr>
                <w:rFonts w:hint="default" w:asciiTheme="minorEastAsia" w:hAnsiTheme="minorEastAsia" w:eastAsiaTheme="minorEastAsia" w:cstheme="minorEastAsia"/>
                <w:color w:val="000000"/>
                <w:kern w:val="0"/>
                <w:sz w:val="21"/>
                <w:szCs w:val="21"/>
                <w:lang w:val="en-US" w:eastAsia="zh-CN"/>
              </w:rPr>
            </w:pPr>
          </w:p>
        </w:tc>
        <w:tc>
          <w:tcPr>
            <w:tcW w:w="146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CPU支持</w:t>
            </w:r>
          </w:p>
        </w:tc>
        <w:tc>
          <w:tcPr>
            <w:tcW w:w="5902" w:type="dxa"/>
            <w:tcBorders>
              <w:tl2br w:val="nil"/>
              <w:tr2bl w:val="nil"/>
            </w:tcBorders>
            <w:shd w:val="clear" w:color="auto" w:fill="auto"/>
            <w:vAlign w:val="center"/>
          </w:tcPr>
          <w:p>
            <w:pPr>
              <w:widowControl/>
              <w:jc w:val="left"/>
              <w:textAlignment w:val="bottom"/>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lang w:eastAsia="zh-CN"/>
              </w:rPr>
              <w:t>支持Intel</w:t>
            </w:r>
            <w:r>
              <w:rPr>
                <w:rFonts w:hint="eastAsia" w:asciiTheme="minorEastAsia" w:hAnsiTheme="minorEastAsia" w:cstheme="minorEastAsia"/>
                <w:color w:val="000000"/>
                <w:kern w:val="0"/>
                <w:sz w:val="21"/>
                <w:szCs w:val="21"/>
                <w:lang w:val="en-US" w:eastAsia="zh-CN"/>
              </w:rPr>
              <w:t>/AMD</w:t>
            </w:r>
            <w:r>
              <w:rPr>
                <w:rFonts w:hint="eastAsia" w:asciiTheme="minorEastAsia" w:hAnsiTheme="minorEastAsia" w:eastAsiaTheme="minorEastAsia" w:cstheme="minorEastAsia"/>
                <w:color w:val="000000"/>
                <w:kern w:val="0"/>
                <w:sz w:val="21"/>
                <w:szCs w:val="21"/>
                <w:lang w:eastAsia="zh-CN"/>
              </w:rPr>
              <w:t>、鲲鹏、海光、飞腾主流型号CPU。提供原厂证明文件更优。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393" w:hRule="atLeast"/>
        </w:trPr>
        <w:tc>
          <w:tcPr>
            <w:tcW w:w="854" w:type="dxa"/>
            <w:vMerge w:val="restart"/>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虚拟化平台</w:t>
            </w: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HA</w:t>
            </w:r>
            <w:r>
              <w:rPr>
                <w:rFonts w:hint="eastAsia" w:asciiTheme="minorEastAsia" w:hAnsiTheme="minorEastAsia" w:eastAsiaTheme="minorEastAsia" w:cstheme="minorEastAsia"/>
                <w:kern w:val="0"/>
                <w:sz w:val="21"/>
                <w:szCs w:val="21"/>
                <w:lang w:eastAsia="zh-CN"/>
              </w:rPr>
              <w:t>和</w:t>
            </w:r>
            <w:r>
              <w:rPr>
                <w:rFonts w:hint="eastAsia" w:asciiTheme="minorEastAsia" w:hAnsiTheme="minorEastAsia" w:eastAsiaTheme="minorEastAsia" w:cstheme="minorEastAsia"/>
                <w:kern w:val="0"/>
                <w:sz w:val="21"/>
                <w:szCs w:val="21"/>
              </w:rPr>
              <w:t>热迁移</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支持HA功能，当单一节点主机或网络故障时，自动触发HA，该节点上的虚拟机自动迁移至其他节点并启动运行。</w:t>
            </w:r>
          </w:p>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支持将主机上的虚拟机热迁移至集群内其他主机上，迁移过程中业务不中断。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多</w:t>
            </w:r>
            <w:r>
              <w:rPr>
                <w:rFonts w:hint="eastAsia" w:asciiTheme="minorEastAsia" w:hAnsiTheme="minorEastAsia" w:eastAsiaTheme="minorEastAsia" w:cstheme="minorEastAsia"/>
                <w:kern w:val="0"/>
                <w:sz w:val="21"/>
                <w:szCs w:val="21"/>
              </w:rPr>
              <w:t>虚拟化平台</w:t>
            </w:r>
            <w:r>
              <w:rPr>
                <w:rFonts w:hint="eastAsia" w:asciiTheme="minorEastAsia" w:hAnsiTheme="minorEastAsia" w:eastAsiaTheme="minorEastAsia" w:cstheme="minorEastAsia"/>
                <w:kern w:val="0"/>
                <w:sz w:val="21"/>
                <w:szCs w:val="21"/>
                <w:lang w:eastAsia="zh-Hans"/>
              </w:rPr>
              <w:t>兼容性</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rPr>
              <w:t>采用超融合方式，根据业务快速部署、灵活转换的弹性需求，该平台</w:t>
            </w:r>
            <w:r>
              <w:rPr>
                <w:rFonts w:hint="eastAsia" w:asciiTheme="minorEastAsia" w:hAnsiTheme="minorEastAsia" w:eastAsiaTheme="minorEastAsia" w:cstheme="minorEastAsia"/>
                <w:kern w:val="0"/>
                <w:sz w:val="21"/>
                <w:szCs w:val="21"/>
                <w:lang w:eastAsia="zh-CN"/>
              </w:rPr>
              <w:t>必须支持</w:t>
            </w:r>
            <w:r>
              <w:rPr>
                <w:rFonts w:hint="eastAsia" w:asciiTheme="minorEastAsia" w:hAnsiTheme="minorEastAsia" w:eastAsiaTheme="minorEastAsia" w:cstheme="minorEastAsia"/>
                <w:b w:val="0"/>
                <w:bCs w:val="0"/>
                <w:kern w:val="0"/>
                <w:sz w:val="21"/>
                <w:szCs w:val="21"/>
              </w:rPr>
              <w:t xml:space="preserve">VMware vSphere </w:t>
            </w:r>
            <w:r>
              <w:rPr>
                <w:rFonts w:hint="eastAsia" w:asciiTheme="minorEastAsia" w:hAnsiTheme="minorEastAsia" w:eastAsiaTheme="minorEastAsia" w:cstheme="minorEastAsia"/>
                <w:b w:val="0"/>
                <w:bCs w:val="0"/>
                <w:kern w:val="0"/>
                <w:sz w:val="21"/>
                <w:szCs w:val="21"/>
                <w:lang w:val="en-US" w:eastAsia="zh-CN"/>
              </w:rPr>
              <w:t>6.7或</w:t>
            </w:r>
            <w:r>
              <w:rPr>
                <w:rFonts w:hint="eastAsia" w:asciiTheme="minorEastAsia" w:hAnsiTheme="minorEastAsia" w:eastAsiaTheme="minorEastAsia" w:cstheme="minorEastAsia"/>
                <w:b w:val="0"/>
                <w:bCs w:val="0"/>
                <w:kern w:val="0"/>
                <w:sz w:val="21"/>
                <w:szCs w:val="21"/>
              </w:rPr>
              <w:t>7.0</w:t>
            </w:r>
            <w:r>
              <w:rPr>
                <w:rFonts w:hint="eastAsia" w:asciiTheme="minorEastAsia" w:hAnsiTheme="minorEastAsia" w:eastAsiaTheme="minorEastAsia" w:cstheme="minorEastAsia"/>
                <w:b w:val="0"/>
                <w:bCs w:val="0"/>
                <w:kern w:val="0"/>
                <w:sz w:val="21"/>
                <w:szCs w:val="21"/>
                <w:lang w:eastAsia="zh-CN"/>
              </w:rPr>
              <w:t>（能</w:t>
            </w:r>
            <w:r>
              <w:rPr>
                <w:rFonts w:hint="eastAsia" w:asciiTheme="minorEastAsia" w:hAnsiTheme="minorEastAsia" w:eastAsiaTheme="minorEastAsia" w:cstheme="minorEastAsia"/>
                <w:b w:val="0"/>
                <w:bCs w:val="0"/>
                <w:kern w:val="0"/>
                <w:sz w:val="21"/>
                <w:szCs w:val="21"/>
                <w:lang w:eastAsia="zh-Hans"/>
              </w:rPr>
              <w:t>提供</w:t>
            </w:r>
            <w:r>
              <w:rPr>
                <w:rFonts w:hint="eastAsia" w:asciiTheme="minorEastAsia" w:hAnsiTheme="minorEastAsia" w:eastAsiaTheme="minorEastAsia" w:cstheme="minorEastAsia"/>
                <w:b w:val="0"/>
                <w:bCs w:val="0"/>
                <w:kern w:val="0"/>
                <w:sz w:val="21"/>
                <w:szCs w:val="21"/>
                <w:lang w:eastAsia="zh-CN"/>
              </w:rPr>
              <w:t>VMware官网证明并加盖公章更优）</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restart"/>
            <w:tcBorders>
              <w:tl2br w:val="nil"/>
              <w:tr2bl w:val="nil"/>
            </w:tcBorders>
            <w:shd w:val="clear" w:color="auto" w:fill="auto"/>
            <w:vAlign w:val="center"/>
          </w:tcPr>
          <w:p>
            <w:pPr>
              <w:widowControl/>
              <w:jc w:val="left"/>
              <w:rPr>
                <w:rFonts w:hint="eastAsia" w:asciiTheme="minorEastAsia" w:hAnsiTheme="minorEastAsia" w:eastAsiaTheme="minorEastAsia" w:cstheme="minorEastAsia"/>
                <w:sz w:val="21"/>
                <w:szCs w:val="21"/>
              </w:rPr>
            </w:pPr>
          </w:p>
          <w:p>
            <w:pPr>
              <w:jc w:val="center"/>
              <w:rPr>
                <w:rFonts w:hint="eastAsia" w:asciiTheme="minorEastAsia" w:hAnsiTheme="minorEastAsia" w:eastAsiaTheme="minorEastAsia" w:cstheme="minorEastAsia"/>
                <w:sz w:val="21"/>
                <w:szCs w:val="21"/>
                <w:lang w:eastAsia="zh-Hans"/>
              </w:rPr>
            </w:pPr>
            <w:r>
              <w:rPr>
                <w:rFonts w:hint="eastAsia" w:asciiTheme="minorEastAsia" w:hAnsiTheme="minorEastAsia" w:eastAsiaTheme="minorEastAsia" w:cstheme="minorEastAsia"/>
                <w:sz w:val="21"/>
                <w:szCs w:val="21"/>
                <w:lang w:eastAsia="zh-Hans"/>
              </w:rPr>
              <w:t>虚拟机管理</w:t>
            </w:r>
          </w:p>
        </w:tc>
        <w:tc>
          <w:tcPr>
            <w:tcW w:w="1462" w:type="dxa"/>
            <w:vMerge w:val="restart"/>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虚拟机资源管理</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rPr>
              <w:t>所有软件授权版本均支持虚拟机CPU、内存、虚拟磁盘和虚拟网卡热添加，且无需重启虚拟机即可生效</w:t>
            </w:r>
            <w:r>
              <w:rPr>
                <w:rFonts w:hint="eastAsia" w:asciiTheme="minorEastAsia" w:hAnsiTheme="minorEastAsia" w:eastAsiaTheme="minorEastAsia" w:cstheme="minorEastAsia"/>
                <w:kern w:val="0"/>
                <w:sz w:val="21"/>
                <w:szCs w:val="21"/>
                <w:lang w:eastAsia="zh-Hans"/>
              </w:rPr>
              <w:t>，提供产品截图证明。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rPr>
              <w:t>支持运行中的虚拟机删除虚拟磁盘和虚拟网卡，且无需重启虚拟机即可生效</w:t>
            </w:r>
            <w:r>
              <w:rPr>
                <w:rFonts w:hint="eastAsia" w:asciiTheme="minorEastAsia" w:hAnsiTheme="minorEastAsia" w:eastAsiaTheme="minorEastAsia" w:cstheme="minorEastAsia"/>
                <w:kern w:val="0"/>
                <w:sz w:val="21"/>
                <w:szCs w:val="21"/>
                <w:lang w:eastAsia="zh-Hans"/>
              </w:rPr>
              <w:t>，提供产品录屏证明。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rPr>
              <w:t>支持在WebConsole自定义设置虚拟磁盘总线类型，包括Virtio，SCSI、IDE</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虚拟机运行时Guest OS配置自定义</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CN"/>
              </w:rPr>
              <w:t>产品原生虚拟化支持</w:t>
            </w:r>
            <w:r>
              <w:rPr>
                <w:rFonts w:hint="eastAsia" w:asciiTheme="minorEastAsia" w:hAnsiTheme="minorEastAsia" w:eastAsiaTheme="minorEastAsia" w:cstheme="minorEastAsia"/>
                <w:kern w:val="0"/>
                <w:sz w:val="21"/>
                <w:szCs w:val="21"/>
              </w:rPr>
              <w:t>WebConsole（不进入Guest OS内部）自定义设置虚拟机主机名、DNS、NTP、密码等信息</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bidi="ar"/>
              </w:rPr>
              <w:t>虚拟机模版</w:t>
            </w:r>
          </w:p>
        </w:tc>
        <w:tc>
          <w:tcPr>
            <w:tcW w:w="5902" w:type="dxa"/>
            <w:tcBorders>
              <w:tl2br w:val="nil"/>
              <w:tr2bl w:val="nil"/>
            </w:tcBorders>
            <w:shd w:val="clear" w:color="auto" w:fill="auto"/>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bidi="ar"/>
              </w:rPr>
              <w:t>可创建虚拟机模版，并通过虚拟机模版批量创建虚拟机。相关管理界面截图证明。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restart"/>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分布式存储</w:t>
            </w: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实现技术</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cstheme="minorEastAsia"/>
                <w:kern w:val="0"/>
                <w:sz w:val="21"/>
                <w:szCs w:val="21"/>
                <w:lang w:eastAsia="zh-CN"/>
              </w:rPr>
              <w:t>要求为</w:t>
            </w:r>
            <w:r>
              <w:rPr>
                <w:rFonts w:hint="eastAsia" w:asciiTheme="minorEastAsia" w:hAnsiTheme="minorEastAsia" w:eastAsiaTheme="minorEastAsia" w:cstheme="minorEastAsia"/>
                <w:kern w:val="0"/>
                <w:sz w:val="21"/>
                <w:szCs w:val="21"/>
              </w:rPr>
              <w:t>自主研发的企业级分布式存储软件，不</w:t>
            </w:r>
            <w:r>
              <w:rPr>
                <w:rFonts w:hint="eastAsia" w:asciiTheme="minorEastAsia" w:hAnsiTheme="minorEastAsia" w:cstheme="minorEastAsia"/>
                <w:kern w:val="0"/>
                <w:sz w:val="21"/>
                <w:szCs w:val="21"/>
                <w:lang w:eastAsia="zh-CN"/>
              </w:rPr>
              <w:t>得</w:t>
            </w:r>
            <w:r>
              <w:rPr>
                <w:rFonts w:hint="eastAsia" w:asciiTheme="minorEastAsia" w:hAnsiTheme="minorEastAsia" w:eastAsiaTheme="minorEastAsia" w:cstheme="minorEastAsia"/>
                <w:kern w:val="0"/>
                <w:sz w:val="21"/>
                <w:szCs w:val="21"/>
              </w:rPr>
              <w:t>采用开源产品（例如GlusterFS、Ceph等）进行二次开发。数据分配基于元数据服务实现。提供第三方专业机构代码自主率检测报告</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智能数据分层</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cstheme="minorEastAsia"/>
                <w:kern w:val="0"/>
                <w:sz w:val="21"/>
                <w:szCs w:val="21"/>
                <w:lang w:eastAsia="zh-CN"/>
              </w:rPr>
              <w:t>支持</w:t>
            </w:r>
            <w:r>
              <w:rPr>
                <w:rFonts w:hint="eastAsia" w:asciiTheme="minorEastAsia" w:hAnsiTheme="minorEastAsia" w:eastAsiaTheme="minorEastAsia" w:cstheme="minorEastAsia"/>
                <w:kern w:val="0"/>
                <w:sz w:val="21"/>
                <w:szCs w:val="21"/>
              </w:rPr>
              <w:t>使用SSD硬盘非PCI-E SSD卡进行数据缓存。支持 SSD 热插拔，拔出任一 SSD 不影响节点正常工作，同时不影响集群存储空间可用容量</w:t>
            </w:r>
            <w:r>
              <w:rPr>
                <w:rFonts w:hint="eastAsia" w:asciiTheme="minorEastAsia" w:hAnsiTheme="minorEastAsia" w:eastAsiaTheme="minorEastAsia" w:cstheme="minorEastAsia"/>
                <w:kern w:val="0"/>
                <w:sz w:val="21"/>
                <w:szCs w:val="21"/>
                <w:lang w:eastAsia="zh-Hans"/>
              </w:rPr>
              <w:t>，提供产品截图证明。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灵活存储策略</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存储策略的颗粒度可以管理到虚拟磁盘，单一集群内，支持单虚拟机可同时挂载不同副本策略（2副本，3副本）的虚拟磁盘，提升存储资源分配的灵活性。相关管理界面截图证明。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097"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横向扩展</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可以在不中断业务的情况下通过控制台将新节点加入现有集群中，实现存储资源的无缝扩展，并将数据重新自动分布至均衡状态。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65"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数据恢复速率动态调节</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rPr>
              <w:t>支持根据业务工作负载IO压力，动态调节数据恢复速率</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存储协议</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提供标准的</w:t>
            </w:r>
            <w:r>
              <w:rPr>
                <w:rFonts w:hint="eastAsia" w:asciiTheme="minorEastAsia" w:hAnsiTheme="minorEastAsia" w:eastAsiaTheme="minorEastAsia" w:cstheme="minorEastAsia"/>
                <w:kern w:val="0"/>
                <w:sz w:val="21"/>
                <w:szCs w:val="21"/>
                <w:lang w:eastAsia="zh-CN"/>
              </w:rPr>
              <w:t xml:space="preserve"> </w:t>
            </w:r>
            <w:r>
              <w:rPr>
                <w:rFonts w:hint="eastAsia" w:asciiTheme="minorEastAsia" w:hAnsiTheme="minorEastAsia" w:eastAsiaTheme="minorEastAsia" w:cstheme="minorEastAsia"/>
                <w:kern w:val="0"/>
                <w:sz w:val="21"/>
                <w:szCs w:val="21"/>
              </w:rPr>
              <w:t>NFS</w:t>
            </w:r>
            <w:r>
              <w:rPr>
                <w:rFonts w:hint="eastAsia" w:asciiTheme="minorEastAsia" w:hAnsiTheme="minorEastAsia" w:eastAsiaTheme="minorEastAsia" w:cstheme="minorEastAsia"/>
                <w:kern w:val="0"/>
                <w:sz w:val="21"/>
                <w:szCs w:val="21"/>
                <w:lang w:eastAsia="zh-CN"/>
              </w:rPr>
              <w:t xml:space="preserve"> </w:t>
            </w:r>
            <w:r>
              <w:rPr>
                <w:rFonts w:hint="eastAsia" w:asciiTheme="minorEastAsia" w:hAnsiTheme="minorEastAsia" w:eastAsiaTheme="minorEastAsia" w:cstheme="minorEastAsia"/>
                <w:kern w:val="0"/>
                <w:sz w:val="21"/>
                <w:szCs w:val="21"/>
              </w:rPr>
              <w:t>或</w:t>
            </w:r>
            <w:r>
              <w:rPr>
                <w:rFonts w:hint="eastAsia" w:asciiTheme="minorEastAsia" w:hAnsiTheme="minorEastAsia" w:eastAsiaTheme="minorEastAsia" w:cstheme="minorEastAsia"/>
                <w:kern w:val="0"/>
                <w:sz w:val="21"/>
                <w:szCs w:val="21"/>
                <w:lang w:eastAsia="zh-CN"/>
              </w:rPr>
              <w:t xml:space="preserve"> </w:t>
            </w:r>
            <w:r>
              <w:rPr>
                <w:rFonts w:hint="eastAsia" w:asciiTheme="minorEastAsia" w:hAnsiTheme="minorEastAsia" w:eastAsiaTheme="minorEastAsia" w:cstheme="minorEastAsia"/>
                <w:kern w:val="0"/>
                <w:sz w:val="21"/>
                <w:szCs w:val="21"/>
              </w:rPr>
              <w:t>iSCSI 存储访问协议。可将超融合集群的存储资源作为共享存储挂载给外部的物理机或者虚拟机使用。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bidi="ar"/>
              </w:rPr>
              <w:t>RDMA协议支持</w:t>
            </w:r>
          </w:p>
        </w:tc>
        <w:tc>
          <w:tcPr>
            <w:tcW w:w="5902" w:type="dxa"/>
            <w:tcBorders>
              <w:tl2br w:val="nil"/>
              <w:tr2bl w:val="nil"/>
            </w:tcBorders>
            <w:shd w:val="clear" w:color="auto" w:fill="auto"/>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bidi="ar"/>
              </w:rPr>
              <w:t>节点间副本传递，支持RDMA协议，提升IO读写速率并降低IO延迟，并提供官方证明材料。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restart"/>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网络管理</w:t>
            </w: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分布式虚拟交换机</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支持创建分布式交换机，统一配置集群间不同物理机节点的网卡设备，并支持网卡故障切换以及负载均衡功能。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VLAN 支持</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支持虚拟网络 VLAN</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USB 直通</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USB 跨主机直通及支持 AArch64 CPU 架构，虚拟机在集群内迁移后也能保证与 USB 设备的连接。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网卡直通</w:t>
            </w:r>
          </w:p>
          <w:p>
            <w:pPr>
              <w:widowControl/>
              <w:jc w:val="left"/>
              <w:rPr>
                <w:rFonts w:hint="eastAsia" w:asciiTheme="minorEastAsia" w:hAnsiTheme="minorEastAsia" w:eastAsiaTheme="minorEastAsia" w:cstheme="minorEastAsia"/>
                <w:kern w:val="0"/>
                <w:sz w:val="21"/>
                <w:szCs w:val="21"/>
                <w:lang w:eastAsia="zh-CN"/>
              </w:rPr>
            </w:pP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支持将网卡设备通过直通的方式透传给虚拟机使用，包括PCI 直通网卡、SR-IOV 直通网卡。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GPU 支持</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支持将 GPU 设备通过直通或 vGPU 的方式透传给虚拟机使用。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bidi="ar"/>
              </w:rPr>
              <w:t>网络拓扑展示</w:t>
            </w:r>
          </w:p>
        </w:tc>
        <w:tc>
          <w:tcPr>
            <w:tcW w:w="5902" w:type="dxa"/>
            <w:tcBorders>
              <w:tl2br w:val="nil"/>
              <w:tr2bl w:val="nil"/>
            </w:tcBorders>
            <w:shd w:val="clear" w:color="auto" w:fill="auto"/>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bidi="ar"/>
              </w:rPr>
              <w:t>支持以拓扑图方式展示虚拟机与分布式交换机及网络链路之间的关系。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数据保护</w:t>
            </w: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虚拟机备份</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支持原生虚拟机备份功能，备份恢复 RPO 时间要求为15分钟。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restart"/>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运维监控</w:t>
            </w: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SSD寿命监控</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支持对SSD的使用寿命告警，支持慢盘检测功能。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日志导出</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rPr>
              <w:t>支持在WebConsole按照集群，主机，服务等粒度一键收集日志</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管理界面语言</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支持全中文管理界面，方便运维管理。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65"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自定义监控视图</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支持自定义监控视图，能够针对集群、主机、虚拟机等监控对象，以及CPU、内存的使用情况等监控指标创建监控视图，满足不同运维团队的监控需要。</w:t>
            </w:r>
            <w:r>
              <w:rPr>
                <w:rFonts w:hint="eastAsia" w:asciiTheme="minorEastAsia" w:hAnsiTheme="minorEastAsia" w:eastAsiaTheme="minorEastAsia" w:cstheme="minorEastAsia"/>
                <w:kern w:val="0"/>
                <w:sz w:val="21"/>
                <w:szCs w:val="21"/>
                <w:lang w:eastAsia="zh-CN"/>
              </w:rPr>
              <w:t>监控视图支持通过Top</w:t>
            </w:r>
            <w:r>
              <w:rPr>
                <w:rFonts w:hint="eastAsia" w:asciiTheme="minorEastAsia" w:hAnsiTheme="minorEastAsia" w:eastAsiaTheme="minorEastAsia" w:cstheme="minorEastAsia"/>
                <w:kern w:val="0"/>
                <w:sz w:val="21"/>
                <w:szCs w:val="21"/>
              </w:rPr>
              <w:t>N</w:t>
            </w:r>
            <w:r>
              <w:rPr>
                <w:rFonts w:hint="eastAsia" w:asciiTheme="minorEastAsia" w:hAnsiTheme="minorEastAsia" w:eastAsiaTheme="minorEastAsia" w:cstheme="minorEastAsia"/>
                <w:kern w:val="0"/>
                <w:sz w:val="21"/>
                <w:szCs w:val="21"/>
                <w:lang w:eastAsia="zh-CN"/>
              </w:rPr>
              <w:t>的形式展示。</w:t>
            </w:r>
            <w:r>
              <w:rPr>
                <w:rFonts w:hint="eastAsia" w:asciiTheme="minorEastAsia" w:hAnsiTheme="minorEastAsia" w:eastAsiaTheme="minorEastAsia" w:cstheme="minorEastAsia"/>
                <w:kern w:val="0"/>
                <w:sz w:val="21"/>
                <w:szCs w:val="21"/>
              </w:rPr>
              <w:t>同时支持监控数据导出。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65"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虚拟机资源智能诊断和优化</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支持通过智能化的方式筛选集群中的长期关机虚拟机、僵尸虚拟机、资源过剩虚拟机、资源紧张虚拟机，提供产品配置截图并加盖原厂公章。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65"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智能报警</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能够主动地对事件进行提醒、通知支持 Email 和 SNMP 协议报警通知。报警包括硬件故障警告及资源使用过高警告和软件异常通知。可以通过标准SNMP接口实现和现有监控系统的整合，并且支持多种告警方式，包括邮件告警等</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开放接口</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能够提供REST API接口方便进行定制开发以及与第三方厂商产品进行结合</w:t>
            </w:r>
            <w:r>
              <w:rPr>
                <w:rFonts w:hint="eastAsia" w:asciiTheme="minorEastAsia" w:hAnsiTheme="minorEastAsia" w:eastAsiaTheme="minorEastAsia" w:cstheme="minorEastAsia"/>
                <w:kern w:val="0"/>
                <w:sz w:val="21"/>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硬件异常告警</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当存储控制器或内存发生异常时，系统将匹配异常日志从而触发集群报警。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LDAP/AD 集成</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 xml:space="preserve">支持 LDAP/AD 用户登录管理平台，用户仅需要维护在 </w:t>
            </w:r>
          </w:p>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LDAP/AD 服务器上的一套账号密码。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8"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双因子认证</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满足安全监管，具备双因子认证功能。开启该功能，使用用户名和密码进行身份验证，还需要进一步填写验证邮件中的验证码，两步认证均通过后才能登录管理平台。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57" w:hRule="atLeast"/>
        </w:trPr>
        <w:tc>
          <w:tcPr>
            <w:tcW w:w="854" w:type="dxa"/>
            <w:vMerge w:val="restart"/>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服务</w:t>
            </w: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在线升级</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eastAsia="zh-CN"/>
              </w:rPr>
              <w:t>在服务周期内提供免费的在线升级服务，超融合平台须支持无业务中断的一键升级功能。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371" w:hRule="atLeast"/>
        </w:trPr>
        <w:tc>
          <w:tcPr>
            <w:tcW w:w="854" w:type="dxa"/>
            <w:vMerge w:val="continue"/>
            <w:tcBorders>
              <w:tl2br w:val="nil"/>
              <w:tr2bl w:val="nil"/>
            </w:tcBorders>
            <w:shd w:val="clear" w:color="4285F4" w:fill="4285F4"/>
            <w:vAlign w:val="center"/>
          </w:tcPr>
          <w:p>
            <w:pPr>
              <w:widowControl/>
              <w:jc w:val="left"/>
              <w:rPr>
                <w:rFonts w:hint="eastAsia" w:asciiTheme="minorEastAsia" w:hAnsiTheme="minorEastAsia" w:eastAsiaTheme="minorEastAsia" w:cstheme="minorEastAsia"/>
                <w:kern w:val="0"/>
                <w:sz w:val="21"/>
                <w:szCs w:val="21"/>
                <w:lang w:eastAsia="zh-CN"/>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原厂</w:t>
            </w:r>
            <w:r>
              <w:rPr>
                <w:rFonts w:hint="eastAsia" w:asciiTheme="minorEastAsia" w:hAnsiTheme="minorEastAsia" w:cstheme="minorEastAsia"/>
                <w:color w:val="000000" w:themeColor="text1"/>
                <w:kern w:val="0"/>
                <w:sz w:val="21"/>
                <w:szCs w:val="21"/>
                <w:lang w:eastAsia="zh-CN"/>
                <w14:textFill>
                  <w14:solidFill>
                    <w14:schemeClr w14:val="tx1"/>
                  </w14:solidFill>
                </w14:textFill>
              </w:rPr>
              <w:t>服务和</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健康巡检</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3年原厂7*24维保服务，全服务期内提供原厂安装，原厂</w:t>
            </w:r>
            <w:r>
              <w:rPr>
                <w:rFonts w:hint="eastAsia" w:asciiTheme="minorEastAsia" w:hAnsiTheme="minorEastAsia" w:eastAsiaTheme="minorEastAsia" w:cstheme="minorEastAsia"/>
                <w:color w:val="000000" w:themeColor="text1"/>
                <w:kern w:val="0"/>
                <w:sz w:val="21"/>
                <w:szCs w:val="21"/>
                <w:lang w:eastAsia="zh-Hans"/>
                <w14:textFill>
                  <w14:solidFill>
                    <w14:schemeClr w14:val="tx1"/>
                  </w14:solidFill>
                </w14:textFill>
              </w:rPr>
              <w:t>维保</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服务。提供原厂盖章的售后服务承诺函</w:t>
            </w:r>
            <w:r>
              <w:rPr>
                <w:rFonts w:hint="eastAsia" w:asciiTheme="minorEastAsia" w:hAnsiTheme="minorEastAsia" w:eastAsiaTheme="minorEastAsia" w:cstheme="minorEastAsia"/>
                <w:color w:val="000000" w:themeColor="text1"/>
                <w:kern w:val="0"/>
                <w:sz w:val="21"/>
                <w:szCs w:val="21"/>
                <w:lang w:eastAsia="zh-Hans"/>
                <w14:textFill>
                  <w14:solidFill>
                    <w14:schemeClr w14:val="tx1"/>
                  </w14:solidFill>
                </w14:textFill>
              </w:rPr>
              <w:t>。</w:t>
            </w:r>
          </w:p>
          <w:p>
            <w:pPr>
              <w:widowControl/>
              <w:jc w:val="left"/>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pPr>
            <w:r>
              <w:rPr>
                <w:rFonts w:hint="eastAsia" w:asciiTheme="minorEastAsia" w:hAnsiTheme="minorEastAsia" w:cstheme="minorEastAsia"/>
                <w:color w:val="000000" w:themeColor="text1"/>
                <w:kern w:val="0"/>
                <w:sz w:val="21"/>
                <w:szCs w:val="21"/>
                <w:lang w:eastAsia="zh-CN"/>
                <w14:textFill>
                  <w14:solidFill>
                    <w14:schemeClr w14:val="tx1"/>
                  </w14:solidFill>
                </w14:textFill>
              </w:rPr>
              <w:t>原厂或经原厂认证的服务商</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提供</w:t>
            </w:r>
            <w:r>
              <w:rPr>
                <w:rFonts w:hint="eastAsia" w:asciiTheme="minorEastAsia" w:hAnsiTheme="minorEastAsia" w:eastAsiaTheme="minorEastAsia" w:cstheme="minorEastAsia"/>
                <w:color w:val="000000" w:themeColor="text1"/>
                <w:kern w:val="0"/>
                <w:sz w:val="21"/>
                <w:szCs w:val="21"/>
                <w:lang w:eastAsia="zh-Hans"/>
                <w14:textFill>
                  <w14:solidFill>
                    <w14:schemeClr w14:val="tx1"/>
                  </w14:solidFill>
                </w14:textFill>
              </w:rPr>
              <w:t>定期</w:t>
            </w:r>
            <w:r>
              <w:rPr>
                <w:rFonts w:hint="eastAsia" w:asciiTheme="minorEastAsia" w:hAnsiTheme="minorEastAsia" w:eastAsiaTheme="minorEastAsia" w:cstheme="minorEastAsia"/>
                <w:color w:val="000000" w:themeColor="text1"/>
                <w:kern w:val="0"/>
                <w:sz w:val="21"/>
                <w:szCs w:val="21"/>
                <w:lang w:eastAsia="zh-CN"/>
                <w14:textFill>
                  <w14:solidFill>
                    <w14:schemeClr w14:val="tx1"/>
                  </w14:solidFill>
                </w14:textFill>
              </w:rPr>
              <w:t>巡检服务，及时获取集群的运行及健康状态，并在每次巡检完成后提供巡检报告。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66" w:hRule="atLeast"/>
        </w:trPr>
        <w:tc>
          <w:tcPr>
            <w:tcW w:w="854" w:type="dxa"/>
            <w:vMerge w:val="restart"/>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客户案例</w:t>
            </w: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cstheme="minorEastAsia"/>
                <w:kern w:val="0"/>
                <w:sz w:val="21"/>
                <w:szCs w:val="21"/>
                <w:lang w:eastAsia="zh-CN"/>
              </w:rPr>
              <w:t>信托和</w:t>
            </w:r>
            <w:r>
              <w:rPr>
                <w:rFonts w:hint="eastAsia" w:asciiTheme="minorEastAsia" w:hAnsiTheme="minorEastAsia" w:eastAsiaTheme="minorEastAsia" w:cstheme="minorEastAsia"/>
                <w:kern w:val="0"/>
                <w:sz w:val="21"/>
                <w:szCs w:val="21"/>
                <w:lang w:eastAsia="zh-CN"/>
              </w:rPr>
              <w:t>基金</w:t>
            </w:r>
            <w:r>
              <w:rPr>
                <w:rFonts w:hint="eastAsia" w:asciiTheme="minorEastAsia" w:hAnsiTheme="minorEastAsia" w:cstheme="minorEastAsia"/>
                <w:kern w:val="0"/>
                <w:sz w:val="21"/>
                <w:szCs w:val="21"/>
                <w:lang w:eastAsia="zh-CN"/>
              </w:rPr>
              <w:t>公司</w:t>
            </w:r>
            <w:r>
              <w:rPr>
                <w:rFonts w:hint="eastAsia" w:asciiTheme="minorEastAsia" w:hAnsiTheme="minorEastAsia" w:eastAsiaTheme="minorEastAsia" w:cstheme="minorEastAsia"/>
                <w:kern w:val="0"/>
                <w:sz w:val="21"/>
                <w:szCs w:val="21"/>
                <w:lang w:eastAsia="zh-Hans"/>
              </w:rPr>
              <w:t>案例</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提供不少于</w:t>
            </w:r>
            <w:r>
              <w:rPr>
                <w:rFonts w:hint="eastAsia" w:asciiTheme="minorEastAsia" w:hAnsiTheme="minorEastAsia" w:cstheme="minorEastAsia"/>
                <w:kern w:val="0"/>
                <w:sz w:val="21"/>
                <w:szCs w:val="21"/>
                <w:lang w:val="en-US" w:eastAsia="zh-CN"/>
              </w:rPr>
              <w:t>20</w:t>
            </w:r>
            <w:r>
              <w:rPr>
                <w:rFonts w:hint="eastAsia" w:asciiTheme="minorEastAsia" w:hAnsiTheme="minorEastAsia" w:eastAsiaTheme="minorEastAsia" w:cstheme="minorEastAsia"/>
                <w:kern w:val="0"/>
                <w:sz w:val="21"/>
                <w:szCs w:val="21"/>
                <w:lang w:eastAsia="zh-Hans"/>
              </w:rPr>
              <w:t>家</w:t>
            </w:r>
            <w:r>
              <w:rPr>
                <w:rFonts w:hint="eastAsia" w:asciiTheme="minorEastAsia" w:hAnsiTheme="minorEastAsia" w:cstheme="minorEastAsia"/>
                <w:kern w:val="0"/>
                <w:sz w:val="21"/>
                <w:szCs w:val="21"/>
                <w:lang w:eastAsia="zh-CN"/>
              </w:rPr>
              <w:t>信托和</w:t>
            </w:r>
            <w:r>
              <w:rPr>
                <w:rFonts w:hint="eastAsia" w:asciiTheme="minorEastAsia" w:hAnsiTheme="minorEastAsia" w:eastAsiaTheme="minorEastAsia" w:cstheme="minorEastAsia"/>
                <w:kern w:val="0"/>
                <w:sz w:val="21"/>
                <w:szCs w:val="21"/>
                <w:lang w:eastAsia="zh-CN"/>
              </w:rPr>
              <w:t>基金行业超融合非桌面云</w:t>
            </w:r>
            <w:r>
              <w:rPr>
                <w:rFonts w:hint="eastAsia" w:asciiTheme="minorEastAsia" w:hAnsiTheme="minorEastAsia" w:eastAsiaTheme="minorEastAsia" w:cstheme="minorEastAsia"/>
                <w:kern w:val="0"/>
                <w:sz w:val="21"/>
                <w:szCs w:val="21"/>
                <w:lang w:eastAsia="zh-Hans"/>
              </w:rPr>
              <w:t>案例</w:t>
            </w:r>
            <w:r>
              <w:rPr>
                <w:rFonts w:hint="eastAsia" w:asciiTheme="minorEastAsia" w:hAnsiTheme="minorEastAsia" w:eastAsiaTheme="minorEastAsia" w:cstheme="minorEastAsia"/>
                <w:kern w:val="0"/>
                <w:sz w:val="21"/>
                <w:szCs w:val="21"/>
                <w:lang w:eastAsia="zh-CN"/>
              </w:rPr>
              <w:t>的</w:t>
            </w:r>
            <w:r>
              <w:rPr>
                <w:rFonts w:hint="eastAsia" w:asciiTheme="minorEastAsia" w:hAnsiTheme="minorEastAsia" w:eastAsiaTheme="minorEastAsia" w:cstheme="minorEastAsia"/>
                <w:kern w:val="0"/>
                <w:sz w:val="21"/>
                <w:szCs w:val="21"/>
                <w:lang w:eastAsia="zh-Hans"/>
              </w:rPr>
              <w:t>合同扫描件加盖原厂公章，并提供案例客户联系人以供核实。</w:t>
            </w:r>
            <w:r>
              <w:rPr>
                <w:rFonts w:hint="eastAsia" w:asciiTheme="minorEastAsia" w:hAnsiTheme="minorEastAsia" w:cstheme="minorEastAsia"/>
                <w:kern w:val="0"/>
                <w:sz w:val="21"/>
                <w:szCs w:val="21"/>
                <w:lang w:eastAsia="zh-CN"/>
              </w:rPr>
              <w:t>银行、证券的案例作为参考项目，不计入</w:t>
            </w:r>
            <w:r>
              <w:rPr>
                <w:rFonts w:hint="eastAsia" w:asciiTheme="minorEastAsia" w:hAnsiTheme="minorEastAsia" w:cstheme="minorEastAsia"/>
                <w:kern w:val="0"/>
                <w:sz w:val="21"/>
                <w:szCs w:val="21"/>
                <w:lang w:val="en-US" w:eastAsia="zh-CN"/>
              </w:rPr>
              <w:t>20家案例内</w:t>
            </w:r>
            <w:r>
              <w:rPr>
                <w:rFonts w:hint="eastAsia" w:asciiTheme="minorEastAsia" w:hAnsiTheme="minorEastAsia" w:cstheme="minorEastAsia"/>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66" w:hRule="atLeast"/>
        </w:trPr>
        <w:tc>
          <w:tcPr>
            <w:tcW w:w="854" w:type="dxa"/>
            <w:vMerge w:val="continue"/>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p>
        </w:tc>
        <w:tc>
          <w:tcPr>
            <w:tcW w:w="146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金融行业大规模部署案例</w:t>
            </w:r>
          </w:p>
        </w:tc>
        <w:tc>
          <w:tcPr>
            <w:tcW w:w="5902" w:type="dxa"/>
            <w:tcBorders>
              <w:tl2br w:val="nil"/>
              <w:tr2bl w:val="nil"/>
            </w:tcBorders>
            <w:shd w:val="clear" w:color="auto" w:fill="auto"/>
            <w:vAlign w:val="center"/>
          </w:tcPr>
          <w:p>
            <w:pPr>
              <w:widowControl/>
              <w:jc w:val="left"/>
              <w:rPr>
                <w:rFonts w:hint="eastAsia" w:asciiTheme="minorEastAsia" w:hAnsiTheme="minorEastAsia" w:eastAsiaTheme="minorEastAsia" w:cstheme="minorEastAsia"/>
                <w:kern w:val="0"/>
                <w:sz w:val="21"/>
                <w:szCs w:val="21"/>
                <w:lang w:eastAsia="zh-Hans"/>
              </w:rPr>
            </w:pPr>
            <w:r>
              <w:rPr>
                <w:rFonts w:hint="eastAsia" w:asciiTheme="minorEastAsia" w:hAnsiTheme="minorEastAsia" w:eastAsiaTheme="minorEastAsia" w:cstheme="minorEastAsia"/>
                <w:kern w:val="0"/>
                <w:sz w:val="21"/>
                <w:szCs w:val="21"/>
                <w:lang w:eastAsia="zh-Hans"/>
              </w:rPr>
              <w:t>超融合平台至少在3家金融用户有超过100个节点的部署规模，提供合同扫描件加盖原厂公章。</w:t>
            </w:r>
          </w:p>
        </w:tc>
      </w:tr>
    </w:tbl>
    <w:p>
      <w:pPr>
        <w:pStyle w:val="4"/>
        <w:rPr>
          <w:rFonts w:hint="eastAsia" w:ascii="宋体" w:hAnsi="宋体" w:eastAsia="宋体" w:cs="Calibri"/>
          <w:bCs/>
          <w:kern w:val="0"/>
          <w:sz w:val="28"/>
          <w:szCs w:val="28"/>
        </w:rPr>
      </w:pPr>
    </w:p>
    <w:p>
      <w:pPr>
        <w:rPr>
          <w:rFonts w:hint="eastAsia" w:ascii="宋体" w:hAnsi="宋体" w:eastAsia="宋体" w:cs="Calibri"/>
          <w:bCs/>
          <w:kern w:val="0"/>
          <w:sz w:val="28"/>
          <w:szCs w:val="28"/>
        </w:rPr>
      </w:pPr>
    </w:p>
    <w:p>
      <w:pPr>
        <w:pStyle w:val="41"/>
        <w:numPr>
          <w:ilvl w:val="0"/>
          <w:numId w:val="0"/>
        </w:numPr>
        <w:overflowPunct w:val="0"/>
        <w:autoSpaceDE w:val="0"/>
        <w:autoSpaceDN w:val="0"/>
        <w:adjustRightInd w:val="0"/>
        <w:spacing w:before="120" w:line="400" w:lineRule="atLeast"/>
        <w:jc w:val="both"/>
        <w:textAlignment w:val="baseline"/>
        <w:outlineLvl w:val="0"/>
        <w:rPr>
          <w:rStyle w:val="40"/>
          <w:sz w:val="36"/>
          <w:szCs w:val="36"/>
          <w:lang w:eastAsia="zh-CN"/>
        </w:rPr>
      </w:pPr>
    </w:p>
    <w:p>
      <w:pPr>
        <w:pStyle w:val="41"/>
        <w:numPr>
          <w:ilvl w:val="0"/>
          <w:numId w:val="0"/>
        </w:numPr>
        <w:overflowPunct w:val="0"/>
        <w:autoSpaceDE w:val="0"/>
        <w:autoSpaceDN w:val="0"/>
        <w:adjustRightInd w:val="0"/>
        <w:spacing w:before="120" w:line="400" w:lineRule="atLeast"/>
        <w:jc w:val="both"/>
        <w:textAlignment w:val="baseline"/>
        <w:outlineLvl w:val="0"/>
        <w:rPr>
          <w:rStyle w:val="40"/>
          <w:sz w:val="36"/>
          <w:szCs w:val="36"/>
          <w:lang w:eastAsia="zh-CN"/>
        </w:rPr>
      </w:pPr>
    </w:p>
    <w:p>
      <w:pPr>
        <w:pStyle w:val="41"/>
        <w:numPr>
          <w:ilvl w:val="0"/>
          <w:numId w:val="0"/>
        </w:numPr>
        <w:overflowPunct w:val="0"/>
        <w:autoSpaceDE w:val="0"/>
        <w:autoSpaceDN w:val="0"/>
        <w:adjustRightInd w:val="0"/>
        <w:spacing w:before="120" w:line="400" w:lineRule="atLeast"/>
        <w:jc w:val="both"/>
        <w:textAlignment w:val="baseline"/>
        <w:outlineLvl w:val="0"/>
        <w:rPr>
          <w:rStyle w:val="40"/>
          <w:sz w:val="36"/>
          <w:szCs w:val="36"/>
          <w:lang w:eastAsia="zh-CN"/>
        </w:rPr>
      </w:pPr>
    </w:p>
    <w:p>
      <w:pPr>
        <w:pStyle w:val="41"/>
        <w:numPr>
          <w:ilvl w:val="0"/>
          <w:numId w:val="0"/>
        </w:numPr>
        <w:overflowPunct w:val="0"/>
        <w:autoSpaceDE w:val="0"/>
        <w:autoSpaceDN w:val="0"/>
        <w:adjustRightInd w:val="0"/>
        <w:spacing w:before="120" w:line="400" w:lineRule="atLeast"/>
        <w:jc w:val="both"/>
        <w:textAlignment w:val="baseline"/>
        <w:outlineLvl w:val="0"/>
        <w:rPr>
          <w:rStyle w:val="40"/>
          <w:sz w:val="36"/>
          <w:szCs w:val="36"/>
          <w:lang w:eastAsia="zh-CN"/>
        </w:rPr>
      </w:pPr>
    </w:p>
    <w:p>
      <w:pPr>
        <w:pStyle w:val="41"/>
        <w:numPr>
          <w:ilvl w:val="0"/>
          <w:numId w:val="0"/>
        </w:numPr>
        <w:overflowPunct w:val="0"/>
        <w:autoSpaceDE w:val="0"/>
        <w:autoSpaceDN w:val="0"/>
        <w:adjustRightInd w:val="0"/>
        <w:spacing w:before="120" w:line="400" w:lineRule="atLeast"/>
        <w:jc w:val="both"/>
        <w:textAlignment w:val="baseline"/>
        <w:outlineLvl w:val="0"/>
        <w:rPr>
          <w:rStyle w:val="40"/>
          <w:sz w:val="36"/>
          <w:szCs w:val="36"/>
          <w:lang w:eastAsia="zh-CN"/>
        </w:rPr>
      </w:pPr>
    </w:p>
    <w:p>
      <w:pPr>
        <w:pStyle w:val="41"/>
        <w:numPr>
          <w:ilvl w:val="0"/>
          <w:numId w:val="1"/>
        </w:numPr>
        <w:spacing w:before="120" w:line="400" w:lineRule="atLeast"/>
        <w:ind w:left="1021" w:firstLineChars="0"/>
        <w:jc w:val="center"/>
        <w:outlineLvl w:val="0"/>
        <w:rPr>
          <w:rStyle w:val="40"/>
          <w:sz w:val="36"/>
          <w:szCs w:val="36"/>
          <w:lang w:eastAsia="zh-CN"/>
        </w:rPr>
      </w:pPr>
      <w:r>
        <w:rPr>
          <w:rStyle w:val="40"/>
          <w:rFonts w:hint="eastAsia"/>
          <w:sz w:val="36"/>
          <w:szCs w:val="36"/>
          <w:lang w:eastAsia="zh-CN"/>
        </w:rPr>
        <w:t>合同条款和格式</w:t>
      </w:r>
    </w:p>
    <w:p>
      <w:pPr>
        <w:numPr>
          <w:ilvl w:val="0"/>
          <w:numId w:val="0"/>
        </w:numPr>
        <w:overflowPunct/>
        <w:autoSpaceDE/>
        <w:autoSpaceDN/>
        <w:adjustRightInd/>
        <w:jc w:val="center"/>
        <w:textAlignment w:val="auto"/>
        <w:rPr>
          <w:rStyle w:val="40"/>
          <w:rFonts w:hint="eastAsia"/>
          <w:sz w:val="24"/>
          <w:szCs w:val="24"/>
          <w:lang w:eastAsia="zh-CN"/>
        </w:rPr>
      </w:pPr>
      <w:r>
        <w:rPr>
          <w:rStyle w:val="40"/>
          <w:rFonts w:hint="eastAsia"/>
          <w:sz w:val="24"/>
          <w:szCs w:val="24"/>
          <w:lang w:eastAsia="zh-CN"/>
        </w:rPr>
        <w:t>（</w:t>
      </w:r>
      <w:r>
        <w:rPr>
          <w:rStyle w:val="40"/>
          <w:rFonts w:hint="eastAsia"/>
          <w:sz w:val="24"/>
          <w:szCs w:val="24"/>
          <w:lang w:val="en-US" w:eastAsia="zh-CN"/>
        </w:rPr>
        <w:t>合同需采用中国海洋石油集团有限公司标准合同模版。若所附版本不适用，可联系选择使用其他中国海洋石油集团有限公司标准合同模版</w:t>
      </w:r>
      <w:r>
        <w:rPr>
          <w:rStyle w:val="40"/>
          <w:rFonts w:hint="eastAsia"/>
          <w:sz w:val="24"/>
          <w:szCs w:val="24"/>
          <w:lang w:eastAsia="zh-CN"/>
        </w:rPr>
        <w:t>）</w:t>
      </w:r>
    </w:p>
    <w:p>
      <w:pPr>
        <w:jc w:val="center"/>
        <w:rPr>
          <w:b/>
          <w:bCs/>
          <w:sz w:val="52"/>
          <w:szCs w:val="52"/>
          <w:highlight w:val="none"/>
        </w:rPr>
      </w:pPr>
      <w:r>
        <w:rPr>
          <w:rFonts w:hint="eastAsia" w:hAnsi="宋体"/>
          <w:b/>
          <w:bCs/>
          <w:sz w:val="52"/>
          <w:szCs w:val="52"/>
          <w:highlight w:val="none"/>
        </w:rPr>
        <w:t>IT类软件产品</w:t>
      </w:r>
      <w:r>
        <w:rPr>
          <w:rFonts w:hint="eastAsia" w:hAnsi="宋体"/>
          <w:b/>
          <w:bCs/>
          <w:sz w:val="52"/>
          <w:szCs w:val="52"/>
          <w:highlight w:val="none"/>
          <w:u w:val="single"/>
        </w:rPr>
        <w:t xml:space="preserve">    </w:t>
      </w:r>
      <w:r>
        <w:rPr>
          <w:rFonts w:hAnsi="宋体"/>
          <w:b/>
          <w:bCs/>
          <w:sz w:val="52"/>
          <w:szCs w:val="52"/>
          <w:highlight w:val="none"/>
        </w:rPr>
        <w:t>合同</w:t>
      </w:r>
    </w:p>
    <w:p>
      <w:pPr>
        <w:jc w:val="center"/>
        <w:rPr>
          <w:b/>
          <w:sz w:val="24"/>
          <w:highlight w:val="none"/>
        </w:rPr>
      </w:pPr>
    </w:p>
    <w:p>
      <w:pPr>
        <w:jc w:val="center"/>
        <w:rPr>
          <w:b/>
          <w:sz w:val="24"/>
          <w:highlight w:val="none"/>
        </w:rPr>
      </w:pPr>
    </w:p>
    <w:p>
      <w:pPr>
        <w:jc w:val="center"/>
        <w:rPr>
          <w:b/>
          <w:sz w:val="24"/>
          <w:highlight w:val="none"/>
        </w:rPr>
      </w:pPr>
    </w:p>
    <w:p>
      <w:pPr>
        <w:jc w:val="center"/>
        <w:rPr>
          <w:b/>
          <w:sz w:val="24"/>
          <w:highlight w:val="none"/>
        </w:rPr>
      </w:pPr>
    </w:p>
    <w:p>
      <w:pPr>
        <w:jc w:val="center"/>
        <w:rPr>
          <w:b/>
          <w:sz w:val="24"/>
          <w:highlight w:val="none"/>
        </w:rPr>
      </w:pPr>
    </w:p>
    <w:p>
      <w:pPr>
        <w:jc w:val="center"/>
        <w:rPr>
          <w:b/>
          <w:sz w:val="24"/>
          <w:highlight w:val="none"/>
        </w:rPr>
      </w:pPr>
    </w:p>
    <w:p>
      <w:pPr>
        <w:jc w:val="center"/>
        <w:rPr>
          <w:b/>
          <w:sz w:val="28"/>
          <w:szCs w:val="28"/>
          <w:highlight w:val="none"/>
        </w:rPr>
      </w:pPr>
    </w:p>
    <w:p>
      <w:pPr>
        <w:jc w:val="center"/>
        <w:rPr>
          <w:b/>
          <w:sz w:val="30"/>
          <w:szCs w:val="30"/>
          <w:highlight w:val="none"/>
          <w:u w:val="single"/>
        </w:rPr>
      </w:pPr>
      <w:r>
        <w:rPr>
          <w:rFonts w:hAnsi="宋体"/>
          <w:b/>
          <w:sz w:val="30"/>
          <w:szCs w:val="30"/>
          <w:highlight w:val="none"/>
        </w:rPr>
        <w:t>（合同编号：</w:t>
      </w:r>
      <w:r>
        <w:rPr>
          <w:b/>
          <w:sz w:val="30"/>
          <w:szCs w:val="30"/>
          <w:highlight w:val="none"/>
          <w:u w:val="single"/>
        </w:rPr>
        <w:t xml:space="preserve">            </w:t>
      </w:r>
      <w:r>
        <w:rPr>
          <w:rFonts w:hAnsi="宋体"/>
          <w:b/>
          <w:sz w:val="30"/>
          <w:szCs w:val="30"/>
          <w:highlight w:val="none"/>
        </w:rPr>
        <w:t>）</w:t>
      </w:r>
    </w:p>
    <w:p>
      <w:pPr>
        <w:ind w:firstLine="3931" w:firstLineChars="756"/>
        <w:rPr>
          <w:b/>
          <w:bCs/>
          <w:sz w:val="52"/>
          <w:szCs w:val="52"/>
          <w:highlight w:val="none"/>
        </w:rPr>
      </w:pPr>
    </w:p>
    <w:p>
      <w:pPr>
        <w:pStyle w:val="9"/>
        <w:ind w:firstLine="494"/>
        <w:rPr>
          <w:b/>
          <w:highlight w:val="none"/>
        </w:rPr>
      </w:pPr>
    </w:p>
    <w:p>
      <w:pPr>
        <w:rPr>
          <w:b/>
          <w:sz w:val="36"/>
          <w:szCs w:val="36"/>
          <w:highlight w:val="none"/>
        </w:rPr>
      </w:pPr>
    </w:p>
    <w:p>
      <w:pPr>
        <w:jc w:val="center"/>
        <w:rPr>
          <w:b/>
          <w:sz w:val="28"/>
          <w:szCs w:val="28"/>
          <w:highlight w:val="none"/>
        </w:rPr>
      </w:pPr>
    </w:p>
    <w:p>
      <w:pPr>
        <w:spacing w:line="360" w:lineRule="auto"/>
        <w:ind w:firstLine="1433" w:firstLineChars="512"/>
        <w:rPr>
          <w:b/>
          <w:sz w:val="28"/>
          <w:szCs w:val="28"/>
          <w:highlight w:val="none"/>
          <w:u w:val="single"/>
        </w:rPr>
      </w:pPr>
      <w:r>
        <w:rPr>
          <w:rFonts w:hint="eastAsia" w:hAnsi="宋体"/>
          <w:b/>
          <w:sz w:val="28"/>
          <w:szCs w:val="28"/>
          <w:highlight w:val="none"/>
        </w:rPr>
        <w:t>买方</w:t>
      </w:r>
      <w:r>
        <w:rPr>
          <w:rFonts w:hAnsi="宋体"/>
          <w:b/>
          <w:sz w:val="28"/>
          <w:szCs w:val="28"/>
          <w:highlight w:val="none"/>
        </w:rPr>
        <w:t>：</w:t>
      </w:r>
      <w:r>
        <w:rPr>
          <w:b/>
          <w:sz w:val="28"/>
          <w:szCs w:val="28"/>
          <w:highlight w:val="none"/>
          <w:u w:val="single"/>
        </w:rPr>
        <w:t xml:space="preserve">                                 </w:t>
      </w:r>
    </w:p>
    <w:p>
      <w:pPr>
        <w:spacing w:line="360" w:lineRule="auto"/>
        <w:ind w:firstLine="1433" w:firstLineChars="512"/>
        <w:rPr>
          <w:b/>
          <w:sz w:val="28"/>
          <w:szCs w:val="28"/>
          <w:highlight w:val="none"/>
        </w:rPr>
      </w:pPr>
      <w:r>
        <w:rPr>
          <w:rFonts w:hint="eastAsia" w:hAnsi="宋体"/>
          <w:b/>
          <w:sz w:val="28"/>
          <w:szCs w:val="28"/>
          <w:highlight w:val="none"/>
        </w:rPr>
        <w:t>卖</w:t>
      </w:r>
      <w:r>
        <w:rPr>
          <w:rFonts w:hAnsi="宋体"/>
          <w:b/>
          <w:sz w:val="28"/>
          <w:szCs w:val="28"/>
          <w:highlight w:val="none"/>
        </w:rPr>
        <w:t>方：</w:t>
      </w:r>
      <w:r>
        <w:rPr>
          <w:b/>
          <w:sz w:val="28"/>
          <w:szCs w:val="28"/>
          <w:highlight w:val="none"/>
          <w:u w:val="single"/>
        </w:rPr>
        <w:t xml:space="preserve">                                 </w:t>
      </w:r>
    </w:p>
    <w:p>
      <w:pPr>
        <w:rPr>
          <w:b/>
          <w:sz w:val="24"/>
          <w:highlight w:val="none"/>
        </w:rPr>
      </w:pPr>
    </w:p>
    <w:p>
      <w:pPr>
        <w:jc w:val="center"/>
        <w:rPr>
          <w:b/>
          <w:sz w:val="24"/>
          <w:highlight w:val="none"/>
        </w:rPr>
      </w:pPr>
    </w:p>
    <w:p>
      <w:pPr>
        <w:jc w:val="center"/>
        <w:rPr>
          <w:b/>
          <w:sz w:val="24"/>
          <w:highlight w:val="none"/>
        </w:rPr>
      </w:pPr>
    </w:p>
    <w:p>
      <w:pPr>
        <w:rPr>
          <w:b/>
          <w:sz w:val="24"/>
          <w:highlight w:val="none"/>
        </w:rPr>
      </w:pPr>
    </w:p>
    <w:p>
      <w:pPr>
        <w:rPr>
          <w:b/>
          <w:sz w:val="24"/>
          <w:highlight w:val="none"/>
        </w:rPr>
      </w:pPr>
    </w:p>
    <w:p>
      <w:pPr>
        <w:spacing w:line="360" w:lineRule="auto"/>
        <w:ind w:firstLine="1980" w:firstLineChars="825"/>
        <w:rPr>
          <w:b/>
          <w:sz w:val="24"/>
          <w:highlight w:val="none"/>
        </w:rPr>
      </w:pPr>
      <w:r>
        <w:rPr>
          <w:rFonts w:hAnsi="宋体"/>
          <w:sz w:val="24"/>
          <w:highlight w:val="none"/>
        </w:rPr>
        <w:t>签订地点：</w:t>
      </w:r>
      <w:r>
        <w:rPr>
          <w:sz w:val="24"/>
          <w:highlight w:val="none"/>
          <w:u w:val="single"/>
        </w:rPr>
        <w:t xml:space="preserve">                               </w:t>
      </w:r>
    </w:p>
    <w:p>
      <w:pPr>
        <w:spacing w:line="360" w:lineRule="auto"/>
        <w:ind w:firstLine="1980" w:firstLineChars="825"/>
        <w:rPr>
          <w:sz w:val="24"/>
          <w:highlight w:val="none"/>
        </w:rPr>
      </w:pPr>
      <w:r>
        <w:rPr>
          <w:rFonts w:hAnsi="宋体"/>
          <w:sz w:val="24"/>
          <w:highlight w:val="none"/>
        </w:rPr>
        <w:t>签订时间：</w:t>
      </w:r>
      <w:r>
        <w:rPr>
          <w:sz w:val="24"/>
          <w:highlight w:val="none"/>
          <w:u w:val="single"/>
        </w:rPr>
        <w:t xml:space="preserve">                               </w:t>
      </w:r>
    </w:p>
    <w:p>
      <w:pPr>
        <w:jc w:val="center"/>
        <w:rPr>
          <w:sz w:val="24"/>
          <w:highlight w:val="none"/>
        </w:rPr>
      </w:pPr>
    </w:p>
    <w:p>
      <w:pPr>
        <w:jc w:val="center"/>
        <w:rPr>
          <w:sz w:val="24"/>
          <w:highlight w:val="none"/>
        </w:rPr>
      </w:pPr>
    </w:p>
    <w:p>
      <w:pPr>
        <w:tabs>
          <w:tab w:val="left" w:pos="1418"/>
        </w:tabs>
        <w:spacing w:line="360" w:lineRule="auto"/>
        <w:ind w:firstLine="480" w:firstLineChars="200"/>
        <w:jc w:val="center"/>
        <w:rPr>
          <w:sz w:val="24"/>
          <w:highlight w:val="none"/>
        </w:rPr>
      </w:pPr>
    </w:p>
    <w:p>
      <w:pPr>
        <w:tabs>
          <w:tab w:val="left" w:pos="1418"/>
        </w:tabs>
        <w:spacing w:line="360" w:lineRule="auto"/>
        <w:ind w:firstLine="480" w:firstLineChars="200"/>
        <w:jc w:val="center"/>
        <w:rPr>
          <w:sz w:val="24"/>
          <w:highlight w:val="none"/>
        </w:rPr>
      </w:pPr>
    </w:p>
    <w:p>
      <w:pPr>
        <w:tabs>
          <w:tab w:val="left" w:pos="1418"/>
        </w:tabs>
        <w:spacing w:line="360" w:lineRule="auto"/>
        <w:ind w:firstLine="480" w:firstLineChars="200"/>
        <w:jc w:val="center"/>
        <w:rPr>
          <w:sz w:val="24"/>
          <w:highlight w:val="none"/>
        </w:rPr>
      </w:pPr>
    </w:p>
    <w:p>
      <w:pPr>
        <w:tabs>
          <w:tab w:val="left" w:pos="1418"/>
        </w:tabs>
        <w:spacing w:line="360" w:lineRule="auto"/>
        <w:ind w:firstLine="480" w:firstLineChars="200"/>
        <w:jc w:val="center"/>
        <w:rPr>
          <w:sz w:val="24"/>
          <w:highlight w:val="none"/>
        </w:rPr>
      </w:pPr>
    </w:p>
    <w:p>
      <w:pPr>
        <w:tabs>
          <w:tab w:val="left" w:pos="1418"/>
        </w:tabs>
        <w:spacing w:line="360" w:lineRule="auto"/>
        <w:ind w:firstLine="480" w:firstLineChars="200"/>
        <w:jc w:val="center"/>
        <w:rPr>
          <w:sz w:val="24"/>
          <w:highlight w:val="none"/>
        </w:rPr>
      </w:pPr>
    </w:p>
    <w:p>
      <w:pPr>
        <w:tabs>
          <w:tab w:val="left" w:pos="1418"/>
        </w:tabs>
        <w:spacing w:line="360" w:lineRule="auto"/>
        <w:ind w:firstLine="480" w:firstLineChars="200"/>
        <w:jc w:val="center"/>
        <w:rPr>
          <w:sz w:val="24"/>
          <w:highlight w:val="none"/>
        </w:rPr>
      </w:pPr>
    </w:p>
    <w:p>
      <w:pPr>
        <w:tabs>
          <w:tab w:val="left" w:pos="1418"/>
        </w:tabs>
        <w:spacing w:line="360" w:lineRule="auto"/>
        <w:jc w:val="center"/>
        <w:rPr>
          <w:b/>
          <w:sz w:val="36"/>
          <w:szCs w:val="36"/>
          <w:highlight w:val="none"/>
        </w:rPr>
      </w:pPr>
      <w:r>
        <w:rPr>
          <w:rFonts w:hint="eastAsia"/>
          <w:b/>
          <w:sz w:val="36"/>
          <w:szCs w:val="36"/>
          <w:highlight w:val="none"/>
        </w:rPr>
        <w:t>目  录</w:t>
      </w:r>
    </w:p>
    <w:p>
      <w:pPr>
        <w:tabs>
          <w:tab w:val="left" w:pos="1418"/>
          <w:tab w:val="left" w:pos="1560"/>
        </w:tabs>
        <w:spacing w:line="360" w:lineRule="auto"/>
        <w:ind w:firstLine="480" w:firstLineChars="200"/>
        <w:jc w:val="center"/>
        <w:rPr>
          <w:b/>
          <w:sz w:val="24"/>
          <w:highlight w:val="none"/>
        </w:rPr>
      </w:pP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highlight w:val="none"/>
        </w:rPr>
        <w:instrText xml:space="preserve"> TOC \o "1-1" \h \z \u </w:instrText>
      </w:r>
      <w:r>
        <w:rPr>
          <w:highlight w:val="none"/>
        </w:rPr>
        <w:fldChar w:fldCharType="separate"/>
      </w:r>
      <w:r>
        <w:rPr>
          <w:highlight w:val="none"/>
        </w:rPr>
        <w:fldChar w:fldCharType="begin"/>
      </w:r>
      <w:r>
        <w:rPr>
          <w:rStyle w:val="30"/>
          <w:highlight w:val="none"/>
        </w:rPr>
        <w:instrText xml:space="preserve"> </w:instrText>
      </w:r>
      <w:r>
        <w:rPr>
          <w:highlight w:val="none"/>
        </w:rPr>
        <w:instrText xml:space="preserve">HYPERLINK \l "_Toc378163283"</w:instrText>
      </w:r>
      <w:r>
        <w:rPr>
          <w:rStyle w:val="30"/>
          <w:highlight w:val="none"/>
        </w:rPr>
        <w:instrText xml:space="preserve"> </w:instrText>
      </w:r>
      <w:r>
        <w:rPr>
          <w:highlight w:val="none"/>
        </w:rPr>
        <w:fldChar w:fldCharType="separate"/>
      </w:r>
      <w:r>
        <w:rPr>
          <w:rStyle w:val="30"/>
          <w:rFonts w:hint="eastAsia"/>
          <w:highlight w:val="none"/>
        </w:rPr>
        <w:t>第一条</w:t>
      </w:r>
      <w:r>
        <w:rPr>
          <w:rFonts w:ascii="Calibri" w:hAnsi="Calibri"/>
          <w:sz w:val="21"/>
          <w:szCs w:val="22"/>
          <w:highlight w:val="none"/>
        </w:rPr>
        <w:tab/>
      </w:r>
      <w:r>
        <w:rPr>
          <w:rStyle w:val="30"/>
          <w:rFonts w:hint="eastAsia"/>
          <w:highlight w:val="none"/>
        </w:rPr>
        <w:t>定义</w:t>
      </w:r>
      <w:r>
        <w:rPr>
          <w:highlight w:val="none"/>
        </w:rPr>
        <w:tab/>
      </w:r>
      <w:r>
        <w:rPr>
          <w:highlight w:val="none"/>
        </w:rPr>
        <w:fldChar w:fldCharType="begin"/>
      </w:r>
      <w:r>
        <w:rPr>
          <w:highlight w:val="none"/>
        </w:rPr>
        <w:instrText xml:space="preserve"> PAGEREF _Toc378163283 \h </w:instrText>
      </w:r>
      <w:r>
        <w:rPr>
          <w:highlight w:val="none"/>
        </w:rPr>
        <w:fldChar w:fldCharType="separate"/>
      </w:r>
      <w:r>
        <w:rPr>
          <w:highlight w:val="none"/>
        </w:rPr>
        <w:t>1</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"_Toc378163284"</w:instrText>
      </w:r>
      <w:r>
        <w:rPr>
          <w:rStyle w:val="30"/>
          <w:highlight w:val="none"/>
        </w:rPr>
        <w:instrText xml:space="preserve"> </w:instrText>
      </w:r>
      <w:r>
        <w:rPr>
          <w:highlight w:val="none"/>
        </w:rPr>
        <w:fldChar w:fldCharType="separate"/>
      </w:r>
      <w:r>
        <w:rPr>
          <w:rStyle w:val="30"/>
          <w:rFonts w:hint="eastAsia"/>
          <w:highlight w:val="none"/>
        </w:rPr>
        <w:t>第二条</w:t>
      </w:r>
      <w:r>
        <w:rPr>
          <w:rFonts w:ascii="Calibri" w:hAnsi="Calibri"/>
          <w:sz w:val="21"/>
          <w:szCs w:val="22"/>
          <w:highlight w:val="none"/>
        </w:rPr>
        <w:tab/>
      </w:r>
      <w:r>
        <w:rPr>
          <w:rStyle w:val="30"/>
          <w:rFonts w:hint="eastAsia"/>
          <w:highlight w:val="none"/>
        </w:rPr>
        <w:t>合同标的</w:t>
      </w:r>
      <w:r>
        <w:rPr>
          <w:highlight w:val="none"/>
        </w:rPr>
        <w:tab/>
      </w:r>
      <w:r>
        <w:rPr>
          <w:highlight w:val="none"/>
        </w:rPr>
        <w:fldChar w:fldCharType="begin"/>
      </w:r>
      <w:r>
        <w:rPr>
          <w:highlight w:val="none"/>
        </w:rPr>
        <w:instrText xml:space="preserve"> PAGEREF _Toc378163284 \h </w:instrText>
      </w:r>
      <w:r>
        <w:rPr>
          <w:highlight w:val="none"/>
        </w:rPr>
        <w:fldChar w:fldCharType="separate"/>
      </w:r>
      <w:r>
        <w:rPr>
          <w:highlight w:val="none"/>
        </w:rPr>
        <w:t>2</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"_Toc378163285"</w:instrText>
      </w:r>
      <w:r>
        <w:rPr>
          <w:rStyle w:val="30"/>
          <w:highlight w:val="none"/>
        </w:rPr>
        <w:instrText xml:space="preserve"> </w:instrText>
      </w:r>
      <w:r>
        <w:rPr>
          <w:highlight w:val="none"/>
        </w:rPr>
        <w:fldChar w:fldCharType="separate"/>
      </w:r>
      <w:r>
        <w:rPr>
          <w:rStyle w:val="30"/>
          <w:rFonts w:hint="eastAsia" w:hAnsi="宋体"/>
          <w:highlight w:val="none"/>
        </w:rPr>
        <w:t>第三条</w:t>
      </w:r>
      <w:r>
        <w:rPr>
          <w:rFonts w:ascii="Calibri" w:hAnsi="Calibri"/>
          <w:sz w:val="21"/>
          <w:szCs w:val="22"/>
          <w:highlight w:val="none"/>
        </w:rPr>
        <w:tab/>
      </w:r>
      <w:r>
        <w:rPr>
          <w:rStyle w:val="30"/>
          <w:rFonts w:hint="eastAsia" w:hAnsi="宋体"/>
          <w:highlight w:val="none"/>
        </w:rPr>
        <w:t>合同</w:t>
      </w:r>
      <w:r>
        <w:rPr>
          <w:rStyle w:val="30"/>
          <w:rFonts w:hint="eastAsia"/>
          <w:highlight w:val="none"/>
        </w:rPr>
        <w:t>总价和付款</w:t>
      </w:r>
      <w:r>
        <w:rPr>
          <w:highlight w:val="none"/>
        </w:rPr>
        <w:tab/>
      </w:r>
      <w:r>
        <w:rPr>
          <w:highlight w:val="none"/>
        </w:rPr>
        <w:fldChar w:fldCharType="begin"/>
      </w:r>
      <w:r>
        <w:rPr>
          <w:highlight w:val="none"/>
        </w:rPr>
        <w:instrText xml:space="preserve"> PAGEREF _Toc378163285 \h </w:instrText>
      </w:r>
      <w:r>
        <w:rPr>
          <w:highlight w:val="none"/>
        </w:rPr>
        <w:fldChar w:fldCharType="separate"/>
      </w:r>
      <w:r>
        <w:rPr>
          <w:highlight w:val="none"/>
        </w:rPr>
        <w:t>3</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"_Toc378163286"</w:instrText>
      </w:r>
      <w:r>
        <w:rPr>
          <w:rStyle w:val="30"/>
          <w:highlight w:val="none"/>
        </w:rPr>
        <w:instrText xml:space="preserve"> </w:instrText>
      </w:r>
      <w:r>
        <w:rPr>
          <w:highlight w:val="none"/>
        </w:rPr>
        <w:fldChar w:fldCharType="separate"/>
      </w:r>
      <w:r>
        <w:rPr>
          <w:rStyle w:val="30"/>
          <w:rFonts w:hint="eastAsia"/>
          <w:highlight w:val="none"/>
        </w:rPr>
        <w:t>第四条</w:t>
      </w:r>
      <w:r>
        <w:rPr>
          <w:rFonts w:ascii="Calibri" w:hAnsi="Calibri"/>
          <w:sz w:val="21"/>
          <w:szCs w:val="22"/>
          <w:highlight w:val="none"/>
        </w:rPr>
        <w:tab/>
      </w:r>
      <w:r>
        <w:rPr>
          <w:rStyle w:val="30"/>
          <w:rFonts w:hint="eastAsia"/>
          <w:highlight w:val="none"/>
        </w:rPr>
        <w:t>软件产品的交付</w:t>
      </w:r>
      <w:r>
        <w:rPr>
          <w:highlight w:val="none"/>
        </w:rPr>
        <w:tab/>
      </w:r>
      <w:r>
        <w:rPr>
          <w:highlight w:val="none"/>
        </w:rPr>
        <w:fldChar w:fldCharType="begin"/>
      </w:r>
      <w:r>
        <w:rPr>
          <w:highlight w:val="none"/>
        </w:rPr>
        <w:instrText xml:space="preserve"> PAGEREF _Toc378163286 \h </w:instrText>
      </w:r>
      <w:r>
        <w:rPr>
          <w:highlight w:val="none"/>
        </w:rPr>
        <w:fldChar w:fldCharType="separate"/>
      </w:r>
      <w:r>
        <w:rPr>
          <w:highlight w:val="none"/>
        </w:rPr>
        <w:t>4</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"_Toc378163287"</w:instrText>
      </w:r>
      <w:r>
        <w:rPr>
          <w:rStyle w:val="30"/>
          <w:highlight w:val="none"/>
        </w:rPr>
        <w:instrText xml:space="preserve"> </w:instrText>
      </w:r>
      <w:r>
        <w:rPr>
          <w:highlight w:val="none"/>
        </w:rPr>
        <w:fldChar w:fldCharType="separate"/>
      </w:r>
      <w:r>
        <w:rPr>
          <w:rStyle w:val="30"/>
          <w:rFonts w:hint="eastAsia" w:hAnsi="宋体"/>
          <w:highlight w:val="none"/>
        </w:rPr>
        <w:t>第五条</w:t>
      </w:r>
      <w:r>
        <w:rPr>
          <w:rFonts w:ascii="Calibri" w:hAnsi="Calibri"/>
          <w:sz w:val="21"/>
          <w:szCs w:val="22"/>
          <w:highlight w:val="none"/>
        </w:rPr>
        <w:tab/>
      </w:r>
      <w:r>
        <w:rPr>
          <w:rStyle w:val="30"/>
          <w:rFonts w:hint="eastAsia" w:hAnsi="宋体"/>
          <w:highlight w:val="none"/>
        </w:rPr>
        <w:t>软件产品的要求</w:t>
      </w:r>
      <w:r>
        <w:rPr>
          <w:highlight w:val="none"/>
        </w:rPr>
        <w:tab/>
      </w:r>
      <w:r>
        <w:rPr>
          <w:highlight w:val="none"/>
        </w:rPr>
        <w:fldChar w:fldCharType="begin"/>
      </w:r>
      <w:r>
        <w:rPr>
          <w:highlight w:val="none"/>
        </w:rPr>
        <w:instrText xml:space="preserve"> PAGEREF _Toc378163287 \h </w:instrText>
      </w:r>
      <w:r>
        <w:rPr>
          <w:highlight w:val="none"/>
        </w:rPr>
        <w:fldChar w:fldCharType="separate"/>
      </w:r>
      <w:r>
        <w:rPr>
          <w:highlight w:val="none"/>
        </w:rPr>
        <w:t>5</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"_Toc378163288"</w:instrText>
      </w:r>
      <w:r>
        <w:rPr>
          <w:rStyle w:val="30"/>
          <w:highlight w:val="none"/>
        </w:rPr>
        <w:instrText xml:space="preserve"> </w:instrText>
      </w:r>
      <w:r>
        <w:rPr>
          <w:highlight w:val="none"/>
        </w:rPr>
        <w:fldChar w:fldCharType="separate"/>
      </w:r>
      <w:r>
        <w:rPr>
          <w:rStyle w:val="30"/>
          <w:rFonts w:hint="eastAsia" w:hAnsi="宋体"/>
          <w:highlight w:val="none"/>
        </w:rPr>
        <w:t>第六条</w:t>
      </w:r>
      <w:r>
        <w:rPr>
          <w:rFonts w:ascii="Calibri" w:hAnsi="Calibri"/>
          <w:sz w:val="21"/>
          <w:szCs w:val="22"/>
          <w:highlight w:val="none"/>
        </w:rPr>
        <w:tab/>
      </w:r>
      <w:r>
        <w:rPr>
          <w:rStyle w:val="30"/>
          <w:rFonts w:hint="eastAsia" w:hAnsi="宋体"/>
          <w:highlight w:val="none"/>
        </w:rPr>
        <w:t>运输和保险</w:t>
      </w:r>
      <w:r>
        <w:rPr>
          <w:highlight w:val="none"/>
        </w:rPr>
        <w:tab/>
      </w:r>
      <w:r>
        <w:rPr>
          <w:highlight w:val="none"/>
        </w:rPr>
        <w:fldChar w:fldCharType="begin"/>
      </w:r>
      <w:r>
        <w:rPr>
          <w:highlight w:val="none"/>
        </w:rPr>
        <w:instrText xml:space="preserve"> PAGEREF _Toc378163288 \h </w:instrText>
      </w:r>
      <w:r>
        <w:rPr>
          <w:highlight w:val="none"/>
        </w:rPr>
        <w:fldChar w:fldCharType="separate"/>
      </w:r>
      <w:r>
        <w:rPr>
          <w:highlight w:val="none"/>
        </w:rPr>
        <w:t>5</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"_Toc378163289"</w:instrText>
      </w:r>
      <w:r>
        <w:rPr>
          <w:rStyle w:val="30"/>
          <w:highlight w:val="none"/>
        </w:rPr>
        <w:instrText xml:space="preserve"> </w:instrText>
      </w:r>
      <w:r>
        <w:rPr>
          <w:highlight w:val="none"/>
        </w:rPr>
        <w:fldChar w:fldCharType="separate"/>
      </w:r>
      <w:r>
        <w:rPr>
          <w:rStyle w:val="30"/>
          <w:rFonts w:hint="eastAsia"/>
          <w:highlight w:val="none"/>
        </w:rPr>
        <w:t>第七条</w:t>
      </w:r>
      <w:r>
        <w:rPr>
          <w:rFonts w:ascii="Calibri" w:hAnsi="Calibri"/>
          <w:sz w:val="21"/>
          <w:szCs w:val="22"/>
          <w:highlight w:val="none"/>
        </w:rPr>
        <w:tab/>
      </w:r>
      <w:r>
        <w:rPr>
          <w:rStyle w:val="30"/>
          <w:rFonts w:hint="eastAsia"/>
          <w:highlight w:val="none"/>
        </w:rPr>
        <w:t>包装</w:t>
      </w:r>
      <w:r>
        <w:rPr>
          <w:highlight w:val="none"/>
        </w:rPr>
        <w:tab/>
      </w:r>
      <w:r>
        <w:rPr>
          <w:highlight w:val="none"/>
        </w:rPr>
        <w:fldChar w:fldCharType="begin"/>
      </w:r>
      <w:r>
        <w:rPr>
          <w:highlight w:val="none"/>
        </w:rPr>
        <w:instrText xml:space="preserve"> PAGEREF _Toc378163289 \h </w:instrText>
      </w:r>
      <w:r>
        <w:rPr>
          <w:highlight w:val="none"/>
        </w:rPr>
        <w:fldChar w:fldCharType="separate"/>
      </w:r>
      <w:r>
        <w:rPr>
          <w:highlight w:val="none"/>
        </w:rPr>
        <w:t>5</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"_Toc378163290"</w:instrText>
      </w:r>
      <w:r>
        <w:rPr>
          <w:rStyle w:val="30"/>
          <w:highlight w:val="none"/>
        </w:rPr>
        <w:instrText xml:space="preserve"> </w:instrText>
      </w:r>
      <w:r>
        <w:rPr>
          <w:highlight w:val="none"/>
        </w:rPr>
        <w:fldChar w:fldCharType="separate"/>
      </w:r>
      <w:r>
        <w:rPr>
          <w:rStyle w:val="30"/>
          <w:rFonts w:hint="eastAsia" w:hAnsi="宋体"/>
          <w:highlight w:val="none"/>
        </w:rPr>
        <w:t>第八条</w:t>
      </w:r>
      <w:r>
        <w:rPr>
          <w:rFonts w:ascii="Calibri" w:hAnsi="Calibri"/>
          <w:sz w:val="21"/>
          <w:szCs w:val="22"/>
          <w:highlight w:val="none"/>
        </w:rPr>
        <w:tab/>
      </w:r>
      <w:r>
        <w:rPr>
          <w:rStyle w:val="30"/>
          <w:rFonts w:hint="eastAsia" w:hAnsi="宋体"/>
          <w:highlight w:val="none"/>
        </w:rPr>
        <w:t>安装、调试及验收</w:t>
      </w:r>
      <w:r>
        <w:rPr>
          <w:highlight w:val="none"/>
        </w:rPr>
        <w:tab/>
      </w:r>
      <w:r>
        <w:rPr>
          <w:highlight w:val="none"/>
        </w:rPr>
        <w:fldChar w:fldCharType="begin"/>
      </w:r>
      <w:r>
        <w:rPr>
          <w:highlight w:val="none"/>
        </w:rPr>
        <w:instrText xml:space="preserve"> PAGEREF _Toc378163290 \h </w:instrText>
      </w:r>
      <w:r>
        <w:rPr>
          <w:highlight w:val="none"/>
        </w:rPr>
        <w:fldChar w:fldCharType="separate"/>
      </w:r>
      <w:r>
        <w:rPr>
          <w:highlight w:val="none"/>
        </w:rPr>
        <w:t>6</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"_Toc378163291"</w:instrText>
      </w:r>
      <w:r>
        <w:rPr>
          <w:rStyle w:val="30"/>
          <w:highlight w:val="none"/>
        </w:rPr>
        <w:instrText xml:space="preserve"> </w:instrText>
      </w:r>
      <w:r>
        <w:rPr>
          <w:highlight w:val="none"/>
        </w:rPr>
        <w:fldChar w:fldCharType="separate"/>
      </w:r>
      <w:r>
        <w:rPr>
          <w:rStyle w:val="30"/>
          <w:rFonts w:hint="eastAsia"/>
          <w:highlight w:val="none"/>
        </w:rPr>
        <w:t>第九条</w:t>
      </w:r>
      <w:r>
        <w:rPr>
          <w:rFonts w:ascii="Calibri" w:hAnsi="Calibri"/>
          <w:sz w:val="21"/>
          <w:szCs w:val="22"/>
          <w:highlight w:val="none"/>
        </w:rPr>
        <w:tab/>
      </w:r>
      <w:r>
        <w:rPr>
          <w:rStyle w:val="30"/>
          <w:rFonts w:hint="eastAsia"/>
          <w:highlight w:val="none"/>
        </w:rPr>
        <w:t>风险和所有权的转移</w:t>
      </w:r>
      <w:r>
        <w:rPr>
          <w:highlight w:val="none"/>
        </w:rPr>
        <w:tab/>
      </w:r>
      <w:r>
        <w:rPr>
          <w:highlight w:val="none"/>
        </w:rPr>
        <w:fldChar w:fldCharType="begin"/>
      </w:r>
      <w:r>
        <w:rPr>
          <w:highlight w:val="none"/>
        </w:rPr>
        <w:instrText xml:space="preserve"> PAGEREF _Toc378163291 \h </w:instrText>
      </w:r>
      <w:r>
        <w:rPr>
          <w:highlight w:val="none"/>
        </w:rPr>
        <w:fldChar w:fldCharType="separate"/>
      </w:r>
      <w:r>
        <w:rPr>
          <w:highlight w:val="none"/>
        </w:rPr>
        <w:t>6</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"_Toc378163292"</w:instrText>
      </w:r>
      <w:r>
        <w:rPr>
          <w:rStyle w:val="30"/>
          <w:highlight w:val="none"/>
        </w:rPr>
        <w:instrText xml:space="preserve"> </w:instrText>
      </w:r>
      <w:r>
        <w:rPr>
          <w:highlight w:val="none"/>
        </w:rPr>
        <w:fldChar w:fldCharType="separate"/>
      </w:r>
      <w:r>
        <w:rPr>
          <w:rStyle w:val="30"/>
          <w:rFonts w:hint="eastAsia"/>
          <w:highlight w:val="none"/>
        </w:rPr>
        <w:t>第十条</w:t>
      </w:r>
      <w:r>
        <w:rPr>
          <w:rFonts w:ascii="Calibri" w:hAnsi="Calibri"/>
          <w:sz w:val="21"/>
          <w:szCs w:val="22"/>
          <w:highlight w:val="none"/>
        </w:rPr>
        <w:tab/>
      </w:r>
      <w:r>
        <w:rPr>
          <w:rStyle w:val="30"/>
          <w:rFonts w:hint="eastAsia"/>
          <w:highlight w:val="none"/>
        </w:rPr>
        <w:t>权利保证</w:t>
      </w:r>
      <w:r>
        <w:rPr>
          <w:highlight w:val="none"/>
        </w:rPr>
        <w:tab/>
      </w:r>
      <w:r>
        <w:rPr>
          <w:highlight w:val="none"/>
        </w:rPr>
        <w:fldChar w:fldCharType="begin"/>
      </w:r>
      <w:r>
        <w:rPr>
          <w:highlight w:val="none"/>
        </w:rPr>
        <w:instrText xml:space="preserve"> PAGEREF _Toc378163292 \h </w:instrText>
      </w:r>
      <w:r>
        <w:rPr>
          <w:highlight w:val="none"/>
        </w:rPr>
        <w:fldChar w:fldCharType="separate"/>
      </w:r>
      <w:r>
        <w:rPr>
          <w:highlight w:val="none"/>
        </w:rPr>
        <w:t>6</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"_Toc378163293"</w:instrText>
      </w:r>
      <w:r>
        <w:rPr>
          <w:rStyle w:val="30"/>
          <w:highlight w:val="none"/>
        </w:rPr>
        <w:instrText xml:space="preserve"> </w:instrText>
      </w:r>
      <w:r>
        <w:rPr>
          <w:highlight w:val="none"/>
        </w:rPr>
        <w:fldChar w:fldCharType="separate"/>
      </w:r>
      <w:r>
        <w:rPr>
          <w:rStyle w:val="30"/>
          <w:rFonts w:hint="eastAsia" w:hAnsi="宋体"/>
          <w:highlight w:val="none"/>
        </w:rPr>
        <w:t>第十一条</w:t>
      </w:r>
      <w:r>
        <w:rPr>
          <w:rFonts w:ascii="Calibri" w:hAnsi="Calibri"/>
          <w:sz w:val="21"/>
          <w:szCs w:val="22"/>
          <w:highlight w:val="none"/>
        </w:rPr>
        <w:tab/>
      </w:r>
      <w:r>
        <w:rPr>
          <w:rStyle w:val="30"/>
          <w:rFonts w:hint="eastAsia" w:hAnsi="宋体"/>
          <w:highlight w:val="none"/>
        </w:rPr>
        <w:t>使用许可</w:t>
      </w:r>
      <w:r>
        <w:rPr>
          <w:highlight w:val="none"/>
        </w:rPr>
        <w:tab/>
      </w:r>
      <w:r>
        <w:rPr>
          <w:highlight w:val="none"/>
        </w:rPr>
        <w:fldChar w:fldCharType="begin"/>
      </w:r>
      <w:r>
        <w:rPr>
          <w:highlight w:val="none"/>
        </w:rPr>
        <w:instrText xml:space="preserve"> PAGEREF _Toc378163293 \h </w:instrText>
      </w:r>
      <w:r>
        <w:rPr>
          <w:highlight w:val="none"/>
        </w:rPr>
        <w:fldChar w:fldCharType="separate"/>
      </w:r>
      <w:r>
        <w:rPr>
          <w:highlight w:val="none"/>
        </w:rPr>
        <w:t>7</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"_Toc378163294"</w:instrText>
      </w:r>
      <w:r>
        <w:rPr>
          <w:rStyle w:val="30"/>
          <w:highlight w:val="none"/>
        </w:rPr>
        <w:instrText xml:space="preserve"> </w:instrText>
      </w:r>
      <w:r>
        <w:rPr>
          <w:highlight w:val="none"/>
        </w:rPr>
        <w:fldChar w:fldCharType="separate"/>
      </w:r>
      <w:r>
        <w:rPr>
          <w:rStyle w:val="30"/>
          <w:rFonts w:hint="eastAsia" w:hAnsi="宋体"/>
          <w:highlight w:val="none"/>
        </w:rPr>
        <w:t>第十二条</w:t>
      </w:r>
      <w:r>
        <w:rPr>
          <w:rFonts w:ascii="Calibri" w:hAnsi="Calibri"/>
          <w:sz w:val="21"/>
          <w:szCs w:val="22"/>
          <w:highlight w:val="none"/>
        </w:rPr>
        <w:tab/>
      </w:r>
      <w:r>
        <w:rPr>
          <w:rStyle w:val="30"/>
          <w:rFonts w:hint="eastAsia" w:hAnsi="宋体"/>
          <w:highlight w:val="none"/>
        </w:rPr>
        <w:t>升级</w:t>
      </w:r>
      <w:r>
        <w:rPr>
          <w:highlight w:val="none"/>
        </w:rPr>
        <w:tab/>
      </w:r>
      <w:r>
        <w:rPr>
          <w:highlight w:val="none"/>
        </w:rPr>
        <w:fldChar w:fldCharType="begin"/>
      </w:r>
      <w:r>
        <w:rPr>
          <w:highlight w:val="none"/>
        </w:rPr>
        <w:instrText xml:space="preserve"> PAGEREF _Toc378163294 \h </w:instrText>
      </w:r>
      <w:r>
        <w:rPr>
          <w:highlight w:val="none"/>
        </w:rPr>
        <w:fldChar w:fldCharType="separate"/>
      </w:r>
      <w:r>
        <w:rPr>
          <w:highlight w:val="none"/>
        </w:rPr>
        <w:t>8</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"_Toc378163295"</w:instrText>
      </w:r>
      <w:r>
        <w:rPr>
          <w:rStyle w:val="30"/>
          <w:highlight w:val="none"/>
        </w:rPr>
        <w:instrText xml:space="preserve"> </w:instrText>
      </w:r>
      <w:r>
        <w:rPr>
          <w:highlight w:val="none"/>
        </w:rPr>
        <w:fldChar w:fldCharType="separate"/>
      </w:r>
      <w:r>
        <w:rPr>
          <w:rStyle w:val="30"/>
          <w:rFonts w:hint="eastAsia" w:hAnsi="宋体"/>
          <w:highlight w:val="none"/>
        </w:rPr>
        <w:t>第十三条</w:t>
      </w:r>
      <w:r>
        <w:rPr>
          <w:rFonts w:ascii="Calibri" w:hAnsi="Calibri"/>
          <w:sz w:val="21"/>
          <w:szCs w:val="22"/>
          <w:highlight w:val="none"/>
        </w:rPr>
        <w:tab/>
      </w:r>
      <w:r>
        <w:rPr>
          <w:rStyle w:val="30"/>
          <w:rFonts w:hint="eastAsia" w:hAnsi="宋体"/>
          <w:highlight w:val="none"/>
        </w:rPr>
        <w:t>质量保证和售后服务</w:t>
      </w:r>
      <w:r>
        <w:rPr>
          <w:highlight w:val="none"/>
        </w:rPr>
        <w:tab/>
      </w:r>
      <w:r>
        <w:rPr>
          <w:highlight w:val="none"/>
        </w:rPr>
        <w:fldChar w:fldCharType="begin"/>
      </w:r>
      <w:r>
        <w:rPr>
          <w:highlight w:val="none"/>
        </w:rPr>
        <w:instrText xml:space="preserve"> PAGEREF _Toc378163295 \h </w:instrText>
      </w:r>
      <w:r>
        <w:rPr>
          <w:highlight w:val="none"/>
        </w:rPr>
        <w:fldChar w:fldCharType="separate"/>
      </w:r>
      <w:r>
        <w:rPr>
          <w:highlight w:val="none"/>
        </w:rPr>
        <w:t>9</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"_Toc378163296"</w:instrText>
      </w:r>
      <w:r>
        <w:rPr>
          <w:rStyle w:val="30"/>
          <w:highlight w:val="none"/>
        </w:rPr>
        <w:instrText xml:space="preserve"> </w:instrText>
      </w:r>
      <w:r>
        <w:rPr>
          <w:highlight w:val="none"/>
        </w:rPr>
        <w:fldChar w:fldCharType="separate"/>
      </w:r>
      <w:r>
        <w:rPr>
          <w:rStyle w:val="30"/>
          <w:rFonts w:hint="eastAsia"/>
          <w:highlight w:val="none"/>
        </w:rPr>
        <w:t>第十四条</w:t>
      </w:r>
      <w:r>
        <w:rPr>
          <w:rFonts w:ascii="Calibri" w:hAnsi="Calibri"/>
          <w:sz w:val="21"/>
          <w:szCs w:val="22"/>
          <w:highlight w:val="none"/>
        </w:rPr>
        <w:tab/>
      </w:r>
      <w:r>
        <w:rPr>
          <w:rStyle w:val="30"/>
          <w:rFonts w:hint="eastAsia"/>
          <w:highlight w:val="none"/>
        </w:rPr>
        <w:t>培训及技术服务</w:t>
      </w:r>
      <w:r>
        <w:rPr>
          <w:highlight w:val="none"/>
        </w:rPr>
        <w:tab/>
      </w:r>
      <w:r>
        <w:rPr>
          <w:highlight w:val="none"/>
        </w:rPr>
        <w:fldChar w:fldCharType="begin"/>
      </w:r>
      <w:r>
        <w:rPr>
          <w:highlight w:val="none"/>
        </w:rPr>
        <w:instrText xml:space="preserve"> PAGEREF _Toc378163296 \h </w:instrText>
      </w:r>
      <w:r>
        <w:rPr>
          <w:highlight w:val="none"/>
        </w:rPr>
        <w:fldChar w:fldCharType="separate"/>
      </w:r>
      <w:r>
        <w:rPr>
          <w:highlight w:val="none"/>
        </w:rPr>
        <w:t>9</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"_Toc378163297"</w:instrText>
      </w:r>
      <w:r>
        <w:rPr>
          <w:rStyle w:val="30"/>
          <w:highlight w:val="none"/>
        </w:rPr>
        <w:instrText xml:space="preserve"> </w:instrText>
      </w:r>
      <w:r>
        <w:rPr>
          <w:highlight w:val="none"/>
        </w:rPr>
        <w:fldChar w:fldCharType="separate"/>
      </w:r>
      <w:r>
        <w:rPr>
          <w:rStyle w:val="30"/>
          <w:rFonts w:hint="eastAsia"/>
          <w:highlight w:val="none"/>
        </w:rPr>
        <w:t>第十五条</w:t>
      </w:r>
      <w:r>
        <w:rPr>
          <w:rFonts w:ascii="Calibri" w:hAnsi="Calibri"/>
          <w:sz w:val="21"/>
          <w:szCs w:val="22"/>
          <w:highlight w:val="none"/>
        </w:rPr>
        <w:tab/>
      </w:r>
      <w:r>
        <w:rPr>
          <w:rStyle w:val="30"/>
          <w:rFonts w:hint="eastAsia"/>
          <w:highlight w:val="none"/>
        </w:rPr>
        <w:t>违约责任</w:t>
      </w:r>
      <w:r>
        <w:rPr>
          <w:highlight w:val="none"/>
        </w:rPr>
        <w:tab/>
      </w:r>
      <w:r>
        <w:rPr>
          <w:highlight w:val="none"/>
        </w:rPr>
        <w:fldChar w:fldCharType="begin"/>
      </w:r>
      <w:r>
        <w:rPr>
          <w:highlight w:val="none"/>
        </w:rPr>
        <w:instrText xml:space="preserve"> PAGEREF _Toc378163297 \h </w:instrText>
      </w:r>
      <w:r>
        <w:rPr>
          <w:highlight w:val="none"/>
        </w:rPr>
        <w:fldChar w:fldCharType="separate"/>
      </w:r>
      <w:r>
        <w:rPr>
          <w:highlight w:val="none"/>
        </w:rPr>
        <w:t>10</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"_Toc378163298"</w:instrText>
      </w:r>
      <w:r>
        <w:rPr>
          <w:rStyle w:val="30"/>
          <w:highlight w:val="none"/>
        </w:rPr>
        <w:instrText xml:space="preserve"> </w:instrText>
      </w:r>
      <w:r>
        <w:rPr>
          <w:highlight w:val="none"/>
        </w:rPr>
        <w:fldChar w:fldCharType="separate"/>
      </w:r>
      <w:r>
        <w:rPr>
          <w:rStyle w:val="30"/>
          <w:rFonts w:hint="eastAsia" w:hAnsi="宋体"/>
          <w:highlight w:val="none"/>
        </w:rPr>
        <w:t>第十六条</w:t>
      </w:r>
      <w:r>
        <w:rPr>
          <w:rFonts w:ascii="Calibri" w:hAnsi="Calibri"/>
          <w:sz w:val="21"/>
          <w:szCs w:val="22"/>
          <w:highlight w:val="none"/>
        </w:rPr>
        <w:tab/>
      </w:r>
      <w:r>
        <w:rPr>
          <w:rStyle w:val="30"/>
          <w:rFonts w:hint="eastAsia" w:hAnsi="宋体"/>
          <w:highlight w:val="none"/>
        </w:rPr>
        <w:t>合同的解除和终止</w:t>
      </w:r>
      <w:r>
        <w:rPr>
          <w:highlight w:val="none"/>
        </w:rPr>
        <w:tab/>
      </w:r>
      <w:r>
        <w:rPr>
          <w:highlight w:val="none"/>
        </w:rPr>
        <w:fldChar w:fldCharType="begin"/>
      </w:r>
      <w:r>
        <w:rPr>
          <w:highlight w:val="none"/>
        </w:rPr>
        <w:instrText xml:space="preserve"> PAGEREF _Toc378163298 \h </w:instrText>
      </w:r>
      <w:r>
        <w:rPr>
          <w:highlight w:val="none"/>
        </w:rPr>
        <w:fldChar w:fldCharType="separate"/>
      </w:r>
      <w:r>
        <w:rPr>
          <w:highlight w:val="none"/>
        </w:rPr>
        <w:t>10</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"_Toc378163299"</w:instrText>
      </w:r>
      <w:r>
        <w:rPr>
          <w:rStyle w:val="30"/>
          <w:highlight w:val="none"/>
        </w:rPr>
        <w:instrText xml:space="preserve"> </w:instrText>
      </w:r>
      <w:r>
        <w:rPr>
          <w:highlight w:val="none"/>
        </w:rPr>
        <w:fldChar w:fldCharType="separate"/>
      </w:r>
      <w:r>
        <w:rPr>
          <w:rStyle w:val="30"/>
          <w:rFonts w:hint="eastAsia"/>
          <w:highlight w:val="none"/>
        </w:rPr>
        <w:t>第十七条</w:t>
      </w:r>
      <w:r>
        <w:rPr>
          <w:rFonts w:ascii="Calibri" w:hAnsi="Calibri"/>
          <w:sz w:val="21"/>
          <w:szCs w:val="22"/>
          <w:highlight w:val="none"/>
        </w:rPr>
        <w:tab/>
      </w:r>
      <w:r>
        <w:rPr>
          <w:rStyle w:val="30"/>
          <w:rFonts w:hint="eastAsia"/>
          <w:highlight w:val="none"/>
        </w:rPr>
        <w:t>健康、安全和环保</w:t>
      </w:r>
      <w:r>
        <w:rPr>
          <w:highlight w:val="none"/>
        </w:rPr>
        <w:tab/>
      </w:r>
      <w:r>
        <w:rPr>
          <w:highlight w:val="none"/>
        </w:rPr>
        <w:fldChar w:fldCharType="begin"/>
      </w:r>
      <w:r>
        <w:rPr>
          <w:highlight w:val="none"/>
        </w:rPr>
        <w:instrText xml:space="preserve"> PAGEREF _Toc378163299 \h </w:instrText>
      </w:r>
      <w:r>
        <w:rPr>
          <w:highlight w:val="none"/>
        </w:rPr>
        <w:fldChar w:fldCharType="separate"/>
      </w:r>
      <w:r>
        <w:rPr>
          <w:highlight w:val="none"/>
        </w:rPr>
        <w:t>11</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"_Toc378163300"</w:instrText>
      </w:r>
      <w:r>
        <w:rPr>
          <w:rStyle w:val="30"/>
          <w:highlight w:val="none"/>
        </w:rPr>
        <w:instrText xml:space="preserve"> </w:instrText>
      </w:r>
      <w:r>
        <w:rPr>
          <w:highlight w:val="none"/>
        </w:rPr>
        <w:fldChar w:fldCharType="separate"/>
      </w:r>
      <w:r>
        <w:rPr>
          <w:rStyle w:val="30"/>
          <w:rFonts w:hint="eastAsia"/>
          <w:highlight w:val="none"/>
        </w:rPr>
        <w:t>第十八条</w:t>
      </w:r>
      <w:r>
        <w:rPr>
          <w:rFonts w:ascii="Calibri" w:hAnsi="Calibri"/>
          <w:sz w:val="21"/>
          <w:szCs w:val="22"/>
          <w:highlight w:val="none"/>
        </w:rPr>
        <w:tab/>
      </w:r>
      <w:r>
        <w:rPr>
          <w:rStyle w:val="30"/>
          <w:rFonts w:hint="eastAsia"/>
          <w:highlight w:val="none"/>
        </w:rPr>
        <w:t>转让和分包</w:t>
      </w:r>
      <w:r>
        <w:rPr>
          <w:highlight w:val="none"/>
        </w:rPr>
        <w:tab/>
      </w:r>
      <w:r>
        <w:rPr>
          <w:highlight w:val="none"/>
        </w:rPr>
        <w:fldChar w:fldCharType="begin"/>
      </w:r>
      <w:r>
        <w:rPr>
          <w:highlight w:val="none"/>
        </w:rPr>
        <w:instrText xml:space="preserve"> PAGEREF _Toc378163300 \h </w:instrText>
      </w:r>
      <w:r>
        <w:rPr>
          <w:highlight w:val="none"/>
        </w:rPr>
        <w:fldChar w:fldCharType="separate"/>
      </w:r>
      <w:r>
        <w:rPr>
          <w:highlight w:val="none"/>
        </w:rPr>
        <w:t>11</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"_Toc378163301"</w:instrText>
      </w:r>
      <w:r>
        <w:rPr>
          <w:rStyle w:val="30"/>
          <w:highlight w:val="none"/>
        </w:rPr>
        <w:instrText xml:space="preserve"> </w:instrText>
      </w:r>
      <w:r>
        <w:rPr>
          <w:highlight w:val="none"/>
        </w:rPr>
        <w:fldChar w:fldCharType="separate"/>
      </w:r>
      <w:r>
        <w:rPr>
          <w:rStyle w:val="30"/>
          <w:rFonts w:hint="eastAsia"/>
          <w:spacing w:val="-2"/>
          <w:highlight w:val="none"/>
        </w:rPr>
        <w:t>第十九条</w:t>
      </w:r>
      <w:r>
        <w:rPr>
          <w:rFonts w:ascii="Calibri" w:hAnsi="Calibri"/>
          <w:sz w:val="21"/>
          <w:szCs w:val="22"/>
          <w:highlight w:val="none"/>
        </w:rPr>
        <w:tab/>
      </w:r>
      <w:r>
        <w:rPr>
          <w:rStyle w:val="30"/>
          <w:rFonts w:hint="eastAsia"/>
          <w:spacing w:val="-2"/>
          <w:highlight w:val="none"/>
        </w:rPr>
        <w:t>不可抗力</w:t>
      </w:r>
      <w:r>
        <w:rPr>
          <w:highlight w:val="none"/>
        </w:rPr>
        <w:tab/>
      </w:r>
      <w:r>
        <w:rPr>
          <w:highlight w:val="none"/>
        </w:rPr>
        <w:fldChar w:fldCharType="begin"/>
      </w:r>
      <w:r>
        <w:rPr>
          <w:highlight w:val="none"/>
        </w:rPr>
        <w:instrText xml:space="preserve"> PAGEREF _Toc378163301 \h </w:instrText>
      </w:r>
      <w:r>
        <w:rPr>
          <w:highlight w:val="none"/>
        </w:rPr>
        <w:fldChar w:fldCharType="separate"/>
      </w:r>
      <w:r>
        <w:rPr>
          <w:highlight w:val="none"/>
        </w:rPr>
        <w:t>12</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"_Toc378163302"</w:instrText>
      </w:r>
      <w:r>
        <w:rPr>
          <w:rStyle w:val="30"/>
          <w:highlight w:val="none"/>
        </w:rPr>
        <w:instrText xml:space="preserve"> </w:instrText>
      </w:r>
      <w:r>
        <w:rPr>
          <w:highlight w:val="none"/>
        </w:rPr>
        <w:fldChar w:fldCharType="separate"/>
      </w:r>
      <w:r>
        <w:rPr>
          <w:rStyle w:val="30"/>
          <w:rFonts w:hint="eastAsia"/>
          <w:highlight w:val="none"/>
        </w:rPr>
        <w:t>第二十条</w:t>
      </w:r>
      <w:r>
        <w:rPr>
          <w:rFonts w:ascii="Calibri" w:hAnsi="Calibri"/>
          <w:sz w:val="21"/>
          <w:szCs w:val="22"/>
          <w:highlight w:val="none"/>
        </w:rPr>
        <w:tab/>
      </w:r>
      <w:r>
        <w:rPr>
          <w:rStyle w:val="30"/>
          <w:rFonts w:hint="eastAsia"/>
          <w:highlight w:val="none"/>
        </w:rPr>
        <w:t>保障</w:t>
      </w:r>
      <w:r>
        <w:rPr>
          <w:highlight w:val="none"/>
        </w:rPr>
        <w:tab/>
      </w:r>
      <w:r>
        <w:rPr>
          <w:highlight w:val="none"/>
        </w:rPr>
        <w:fldChar w:fldCharType="begin"/>
      </w:r>
      <w:r>
        <w:rPr>
          <w:highlight w:val="none"/>
        </w:rPr>
        <w:instrText xml:space="preserve"> PAGEREF _Toc378163302 \h </w:instrText>
      </w:r>
      <w:r>
        <w:rPr>
          <w:highlight w:val="none"/>
        </w:rPr>
        <w:fldChar w:fldCharType="separate"/>
      </w:r>
      <w:r>
        <w:rPr>
          <w:highlight w:val="none"/>
        </w:rPr>
        <w:t>12</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"_Toc378163303"</w:instrText>
      </w:r>
      <w:r>
        <w:rPr>
          <w:rStyle w:val="30"/>
          <w:highlight w:val="none"/>
        </w:rPr>
        <w:instrText xml:space="preserve"> </w:instrText>
      </w:r>
      <w:r>
        <w:rPr>
          <w:highlight w:val="none"/>
        </w:rPr>
        <w:fldChar w:fldCharType="separate"/>
      </w:r>
      <w:r>
        <w:rPr>
          <w:rStyle w:val="30"/>
          <w:rFonts w:hint="eastAsia"/>
          <w:spacing w:val="-2"/>
          <w:highlight w:val="none"/>
        </w:rPr>
        <w:t>第二十一条</w:t>
      </w:r>
      <w:r>
        <w:rPr>
          <w:rFonts w:ascii="Calibri" w:hAnsi="Calibri"/>
          <w:sz w:val="21"/>
          <w:szCs w:val="22"/>
          <w:highlight w:val="none"/>
        </w:rPr>
        <w:tab/>
      </w:r>
      <w:r>
        <w:rPr>
          <w:rStyle w:val="30"/>
          <w:rFonts w:hint="eastAsia"/>
          <w:spacing w:val="-2"/>
          <w:highlight w:val="none"/>
        </w:rPr>
        <w:t>信息安全和保密</w:t>
      </w:r>
      <w:bookmarkStart w:id="2" w:name="_Hlt66087977"/>
      <w:r>
        <w:rPr>
          <w:highlight w:val="none"/>
        </w:rPr>
        <w:tab/>
      </w:r>
      <w:bookmarkEnd w:id="2"/>
      <w:r>
        <w:rPr>
          <w:highlight w:val="none"/>
        </w:rPr>
        <w:fldChar w:fldCharType="begin"/>
      </w:r>
      <w:r>
        <w:rPr>
          <w:highlight w:val="none"/>
        </w:rPr>
        <w:instrText xml:space="preserve"> PAGEREF _Toc378163303 \h </w:instrText>
      </w:r>
      <w:r>
        <w:rPr>
          <w:highlight w:val="none"/>
        </w:rPr>
        <w:fldChar w:fldCharType="separate"/>
      </w:r>
      <w:r>
        <w:rPr>
          <w:highlight w:val="none"/>
        </w:rPr>
        <w:t>13</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"_Toc378163304"</w:instrText>
      </w:r>
      <w:r>
        <w:rPr>
          <w:rStyle w:val="30"/>
          <w:highlight w:val="none"/>
        </w:rPr>
        <w:instrText xml:space="preserve"> </w:instrText>
      </w:r>
      <w:r>
        <w:rPr>
          <w:highlight w:val="none"/>
        </w:rPr>
        <w:fldChar w:fldCharType="separate"/>
      </w:r>
      <w:r>
        <w:rPr>
          <w:rStyle w:val="30"/>
          <w:rFonts w:hint="eastAsia"/>
          <w:highlight w:val="none"/>
        </w:rPr>
        <w:t>第二十二条</w:t>
      </w:r>
      <w:r>
        <w:rPr>
          <w:rFonts w:ascii="Calibri" w:hAnsi="Calibri"/>
          <w:sz w:val="21"/>
          <w:szCs w:val="22"/>
          <w:highlight w:val="none"/>
        </w:rPr>
        <w:tab/>
      </w:r>
      <w:r>
        <w:rPr>
          <w:rStyle w:val="30"/>
          <w:rFonts w:hint="eastAsia"/>
          <w:highlight w:val="none"/>
        </w:rPr>
        <w:t>审计和记录</w:t>
      </w:r>
      <w:bookmarkStart w:id="3" w:name="_Hlt66087704"/>
      <w:r>
        <w:rPr>
          <w:highlight w:val="none"/>
        </w:rPr>
        <w:tab/>
      </w:r>
      <w:bookmarkEnd w:id="3"/>
      <w:r>
        <w:rPr>
          <w:highlight w:val="none"/>
        </w:rPr>
        <w:fldChar w:fldCharType="begin"/>
      </w:r>
      <w:r>
        <w:rPr>
          <w:highlight w:val="none"/>
        </w:rPr>
        <w:instrText xml:space="preserve"> PAGEREF _Toc378163304 \h </w:instrText>
      </w:r>
      <w:r>
        <w:rPr>
          <w:highlight w:val="none"/>
        </w:rPr>
        <w:fldChar w:fldCharType="separate"/>
      </w:r>
      <w:r>
        <w:rPr>
          <w:highlight w:val="none"/>
        </w:rPr>
        <w:t>14</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"_Toc378163305"</w:instrText>
      </w:r>
      <w:r>
        <w:rPr>
          <w:rStyle w:val="30"/>
          <w:highlight w:val="none"/>
        </w:rPr>
        <w:instrText xml:space="preserve"> </w:instrText>
      </w:r>
      <w:r>
        <w:rPr>
          <w:highlight w:val="none"/>
        </w:rPr>
        <w:fldChar w:fldCharType="separate"/>
      </w:r>
      <w:r>
        <w:rPr>
          <w:rStyle w:val="30"/>
          <w:rFonts w:hint="eastAsia" w:hAnsi="宋体"/>
          <w:highlight w:val="none"/>
        </w:rPr>
        <w:t>第二十三条</w:t>
      </w:r>
      <w:r>
        <w:rPr>
          <w:rFonts w:ascii="Calibri" w:hAnsi="Calibri"/>
          <w:sz w:val="21"/>
          <w:szCs w:val="22"/>
          <w:highlight w:val="none"/>
        </w:rPr>
        <w:tab/>
      </w:r>
      <w:r>
        <w:rPr>
          <w:rStyle w:val="30"/>
          <w:rFonts w:hint="eastAsia" w:hAnsi="宋体"/>
          <w:highlight w:val="none"/>
        </w:rPr>
        <w:t>反商业贿赂</w:t>
      </w:r>
      <w:r>
        <w:rPr>
          <w:highlight w:val="none"/>
        </w:rPr>
        <w:tab/>
      </w:r>
      <w:r>
        <w:rPr>
          <w:highlight w:val="none"/>
        </w:rPr>
        <w:fldChar w:fldCharType="begin"/>
      </w:r>
      <w:r>
        <w:rPr>
          <w:highlight w:val="none"/>
        </w:rPr>
        <w:instrText xml:space="preserve"> PAGEREF _Toc378163305 \h </w:instrText>
      </w:r>
      <w:r>
        <w:rPr>
          <w:highlight w:val="none"/>
        </w:rPr>
        <w:fldChar w:fldCharType="separate"/>
      </w:r>
      <w:r>
        <w:rPr>
          <w:highlight w:val="none"/>
        </w:rPr>
        <w:t>15</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"_Toc378163306"</w:instrText>
      </w:r>
      <w:r>
        <w:rPr>
          <w:rStyle w:val="30"/>
          <w:highlight w:val="none"/>
        </w:rPr>
        <w:instrText xml:space="preserve"> </w:instrText>
      </w:r>
      <w:r>
        <w:rPr>
          <w:highlight w:val="none"/>
        </w:rPr>
        <w:fldChar w:fldCharType="separate"/>
      </w:r>
      <w:r>
        <w:rPr>
          <w:rStyle w:val="30"/>
          <w:rFonts w:hint="eastAsia" w:hAnsi="宋体"/>
          <w:highlight w:val="none"/>
        </w:rPr>
        <w:t>第二十四条</w:t>
      </w:r>
      <w:r>
        <w:rPr>
          <w:rFonts w:ascii="Calibri" w:hAnsi="Calibri"/>
          <w:sz w:val="21"/>
          <w:szCs w:val="22"/>
          <w:highlight w:val="none"/>
        </w:rPr>
        <w:tab/>
      </w:r>
      <w:r>
        <w:rPr>
          <w:rStyle w:val="30"/>
          <w:rFonts w:hint="eastAsia" w:hAnsi="宋体"/>
          <w:highlight w:val="none"/>
        </w:rPr>
        <w:t>通知</w:t>
      </w:r>
      <w:r>
        <w:rPr>
          <w:highlight w:val="none"/>
        </w:rPr>
        <w:tab/>
      </w:r>
      <w:r>
        <w:rPr>
          <w:highlight w:val="none"/>
        </w:rPr>
        <w:fldChar w:fldCharType="begin"/>
      </w:r>
      <w:r>
        <w:rPr>
          <w:highlight w:val="none"/>
        </w:rPr>
        <w:instrText xml:space="preserve"> PAGEREF _Toc378163306 \h </w:instrText>
      </w:r>
      <w:r>
        <w:rPr>
          <w:highlight w:val="none"/>
        </w:rPr>
        <w:fldChar w:fldCharType="separate"/>
      </w:r>
      <w:r>
        <w:rPr>
          <w:highlight w:val="none"/>
        </w:rPr>
        <w:t>15</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"_Toc378163307"</w:instrText>
      </w:r>
      <w:r>
        <w:rPr>
          <w:rStyle w:val="30"/>
          <w:highlight w:val="none"/>
        </w:rPr>
        <w:instrText xml:space="preserve"> </w:instrText>
      </w:r>
      <w:r>
        <w:rPr>
          <w:highlight w:val="none"/>
        </w:rPr>
        <w:fldChar w:fldCharType="separate"/>
      </w:r>
      <w:r>
        <w:rPr>
          <w:rStyle w:val="30"/>
          <w:rFonts w:hint="eastAsia" w:hAnsi="宋体"/>
          <w:highlight w:val="none"/>
        </w:rPr>
        <w:t>第二十五条</w:t>
      </w:r>
      <w:r>
        <w:rPr>
          <w:rFonts w:ascii="Calibri" w:hAnsi="Calibri"/>
          <w:sz w:val="21"/>
          <w:szCs w:val="22"/>
          <w:highlight w:val="none"/>
        </w:rPr>
        <w:tab/>
      </w:r>
      <w:r>
        <w:rPr>
          <w:rStyle w:val="30"/>
          <w:rFonts w:hint="eastAsia" w:hAnsi="宋体"/>
          <w:highlight w:val="none"/>
        </w:rPr>
        <w:t>法律适用和争议解决</w:t>
      </w:r>
      <w:r>
        <w:rPr>
          <w:highlight w:val="none"/>
        </w:rPr>
        <w:tab/>
      </w:r>
      <w:r>
        <w:rPr>
          <w:highlight w:val="none"/>
        </w:rPr>
        <w:fldChar w:fldCharType="begin"/>
      </w:r>
      <w:r>
        <w:rPr>
          <w:highlight w:val="none"/>
        </w:rPr>
        <w:instrText xml:space="preserve"> PAGEREF _Toc378163307 \h </w:instrText>
      </w:r>
      <w:r>
        <w:rPr>
          <w:highlight w:val="none"/>
        </w:rPr>
        <w:fldChar w:fldCharType="separate"/>
      </w:r>
      <w:r>
        <w:rPr>
          <w:highlight w:val="none"/>
        </w:rPr>
        <w:t>16</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"_Toc378163308"</w:instrText>
      </w:r>
      <w:r>
        <w:rPr>
          <w:rStyle w:val="30"/>
          <w:highlight w:val="none"/>
        </w:rPr>
        <w:instrText xml:space="preserve"> </w:instrText>
      </w:r>
      <w:r>
        <w:rPr>
          <w:highlight w:val="none"/>
        </w:rPr>
        <w:fldChar w:fldCharType="separate"/>
      </w:r>
      <w:r>
        <w:rPr>
          <w:rStyle w:val="30"/>
          <w:rFonts w:hint="eastAsia" w:hAnsi="宋体"/>
          <w:highlight w:val="none"/>
        </w:rPr>
        <w:t>第二十六条</w:t>
      </w:r>
      <w:r>
        <w:rPr>
          <w:rFonts w:ascii="Calibri" w:hAnsi="Calibri"/>
          <w:sz w:val="21"/>
          <w:szCs w:val="22"/>
          <w:highlight w:val="none"/>
        </w:rPr>
        <w:tab/>
      </w:r>
      <w:r>
        <w:rPr>
          <w:rStyle w:val="30"/>
          <w:rFonts w:hint="eastAsia" w:hAnsi="宋体"/>
          <w:highlight w:val="none"/>
        </w:rPr>
        <w:t>其它</w:t>
      </w:r>
      <w:r>
        <w:rPr>
          <w:highlight w:val="none"/>
        </w:rPr>
        <w:tab/>
      </w:r>
      <w:r>
        <w:rPr>
          <w:highlight w:val="none"/>
        </w:rPr>
        <w:fldChar w:fldCharType="begin"/>
      </w:r>
      <w:r>
        <w:rPr>
          <w:highlight w:val="none"/>
        </w:rPr>
        <w:instrText xml:space="preserve"> PAGEREF _Toc378163308 \h </w:instrText>
      </w:r>
      <w:r>
        <w:rPr>
          <w:highlight w:val="none"/>
        </w:rPr>
        <w:fldChar w:fldCharType="separate"/>
      </w:r>
      <w:r>
        <w:rPr>
          <w:highlight w:val="none"/>
        </w:rPr>
        <w:t>16</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"_Toc378163309"</w:instrText>
      </w:r>
      <w:r>
        <w:rPr>
          <w:rStyle w:val="30"/>
          <w:highlight w:val="none"/>
        </w:rPr>
        <w:instrText xml:space="preserve"> </w:instrText>
      </w:r>
      <w:r>
        <w:rPr>
          <w:highlight w:val="none"/>
        </w:rPr>
        <w:fldChar w:fldCharType="separate"/>
      </w:r>
      <w:r>
        <w:rPr>
          <w:rStyle w:val="30"/>
          <w:rFonts w:hint="eastAsia" w:hAnsi="宋体"/>
          <w:spacing w:val="20"/>
          <w:highlight w:val="none"/>
        </w:rPr>
        <w:t>附件一：软件产品说明、要求</w:t>
      </w:r>
      <w:r>
        <w:rPr>
          <w:highlight w:val="none"/>
        </w:rPr>
        <w:tab/>
      </w:r>
      <w:r>
        <w:rPr>
          <w:highlight w:val="none"/>
        </w:rPr>
        <w:fldChar w:fldCharType="begin"/>
      </w:r>
      <w:r>
        <w:rPr>
          <w:highlight w:val="none"/>
        </w:rPr>
        <w:instrText xml:space="preserve"> PAGEREF _Toc378163309 \h </w:instrText>
      </w:r>
      <w:r>
        <w:rPr>
          <w:highlight w:val="none"/>
        </w:rPr>
        <w:fldChar w:fldCharType="separate"/>
      </w:r>
      <w:r>
        <w:rPr>
          <w:highlight w:val="none"/>
        </w:rPr>
        <w:t>19</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"_Toc378163310"</w:instrText>
      </w:r>
      <w:r>
        <w:rPr>
          <w:rStyle w:val="30"/>
          <w:highlight w:val="none"/>
        </w:rPr>
        <w:instrText xml:space="preserve"> </w:instrText>
      </w:r>
      <w:r>
        <w:rPr>
          <w:highlight w:val="none"/>
        </w:rPr>
        <w:fldChar w:fldCharType="separate"/>
      </w:r>
      <w:r>
        <w:rPr>
          <w:rStyle w:val="30"/>
          <w:rFonts w:hint="eastAsia" w:hAnsi="宋体"/>
          <w:spacing w:val="20"/>
          <w:highlight w:val="none"/>
        </w:rPr>
        <w:t>附件二：软件产品资料的范围、要求</w:t>
      </w:r>
      <w:r>
        <w:rPr>
          <w:highlight w:val="none"/>
        </w:rPr>
        <w:tab/>
      </w:r>
      <w:r>
        <w:rPr>
          <w:highlight w:val="none"/>
        </w:rPr>
        <w:fldChar w:fldCharType="begin"/>
      </w:r>
      <w:r>
        <w:rPr>
          <w:highlight w:val="none"/>
        </w:rPr>
        <w:instrText xml:space="preserve"> PAGEREF _Toc378163310 \h </w:instrText>
      </w:r>
      <w:r>
        <w:rPr>
          <w:highlight w:val="none"/>
        </w:rPr>
        <w:fldChar w:fldCharType="separate"/>
      </w:r>
      <w:r>
        <w:rPr>
          <w:highlight w:val="none"/>
        </w:rPr>
        <w:t>20</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"_Toc378163311"</w:instrText>
      </w:r>
      <w:r>
        <w:rPr>
          <w:rStyle w:val="30"/>
          <w:highlight w:val="none"/>
        </w:rPr>
        <w:instrText xml:space="preserve"> </w:instrText>
      </w:r>
      <w:r>
        <w:rPr>
          <w:highlight w:val="none"/>
        </w:rPr>
        <w:fldChar w:fldCharType="separate"/>
      </w:r>
      <w:r>
        <w:rPr>
          <w:rStyle w:val="30"/>
          <w:rFonts w:hint="eastAsia" w:hAnsi="宋体"/>
          <w:spacing w:val="20"/>
          <w:highlight w:val="none"/>
        </w:rPr>
        <w:t>附件三：合同总价的各分项价格和组成</w:t>
      </w:r>
      <w:r>
        <w:rPr>
          <w:highlight w:val="none"/>
        </w:rPr>
        <w:tab/>
      </w:r>
      <w:r>
        <w:rPr>
          <w:highlight w:val="none"/>
        </w:rPr>
        <w:fldChar w:fldCharType="begin"/>
      </w:r>
      <w:r>
        <w:rPr>
          <w:highlight w:val="none"/>
        </w:rPr>
        <w:instrText xml:space="preserve"> PAGEREF _Toc378163311 \h </w:instrText>
      </w:r>
      <w:r>
        <w:rPr>
          <w:highlight w:val="none"/>
        </w:rPr>
        <w:fldChar w:fldCharType="separate"/>
      </w:r>
      <w:r>
        <w:rPr>
          <w:highlight w:val="none"/>
        </w:rPr>
        <w:t>21</w:t>
      </w:r>
      <w:r>
        <w:rPr>
          <w:highlight w:val="none"/>
        </w:rPr>
        <w:fldChar w:fldCharType="end"/>
      </w:r>
      <w:r>
        <w:rPr>
          <w:highlight w:val="none"/>
        </w:rPr>
        <w:fldChar w:fldCharType="end"/>
      </w:r>
    </w:p>
    <w:p>
      <w:pPr>
        <w:pStyle w:val="15"/>
        <w:tabs>
          <w:tab w:val="left" w:pos="1418"/>
          <w:tab w:val="left" w:pos="1680"/>
          <w:tab w:val="right" w:leader="dot" w:pos="8302"/>
          <w:tab w:val="clear" w:pos="8608"/>
        </w:tabs>
        <w:rPr>
          <w:rFonts w:ascii="Calibri" w:hAnsi="Calibri"/>
          <w:sz w:val="21"/>
          <w:szCs w:val="22"/>
          <w:highlight w:val="none"/>
        </w:rPr>
      </w:pPr>
      <w:r>
        <w:rPr>
          <w:highlight w:val="none"/>
        </w:rPr>
        <w:fldChar w:fldCharType="begin"/>
      </w:r>
      <w:r>
        <w:rPr>
          <w:rStyle w:val="30"/>
          <w:highlight w:val="none"/>
        </w:rPr>
        <w:instrText xml:space="preserve"> </w:instrText>
      </w:r>
      <w:r>
        <w:rPr>
          <w:highlight w:val="none"/>
        </w:rPr>
        <w:instrText xml:space="preserve">HYPERLINK \l "_Toc378163312"</w:instrText>
      </w:r>
      <w:r>
        <w:rPr>
          <w:rStyle w:val="30"/>
          <w:highlight w:val="none"/>
        </w:rPr>
        <w:instrText xml:space="preserve"> </w:instrText>
      </w:r>
      <w:r>
        <w:rPr>
          <w:highlight w:val="none"/>
        </w:rPr>
        <w:fldChar w:fldCharType="separate"/>
      </w:r>
      <w:r>
        <w:rPr>
          <w:rStyle w:val="30"/>
          <w:rFonts w:hint="eastAsia" w:hAnsi="宋体"/>
          <w:spacing w:val="20"/>
          <w:highlight w:val="none"/>
        </w:rPr>
        <w:t>附件四：技术服务</w:t>
      </w:r>
      <w:r>
        <w:rPr>
          <w:highlight w:val="none"/>
        </w:rPr>
        <w:tab/>
      </w:r>
      <w:r>
        <w:rPr>
          <w:highlight w:val="none"/>
        </w:rPr>
        <w:fldChar w:fldCharType="begin"/>
      </w:r>
      <w:r>
        <w:rPr>
          <w:highlight w:val="none"/>
        </w:rPr>
        <w:instrText xml:space="preserve"> PAGEREF _Toc378163312 \h </w:instrText>
      </w:r>
      <w:r>
        <w:rPr>
          <w:highlight w:val="none"/>
        </w:rPr>
        <w:fldChar w:fldCharType="separate"/>
      </w:r>
      <w:r>
        <w:rPr>
          <w:highlight w:val="none"/>
        </w:rPr>
        <w:t>22</w:t>
      </w:r>
      <w:r>
        <w:rPr>
          <w:highlight w:val="none"/>
        </w:rPr>
        <w:fldChar w:fldCharType="end"/>
      </w:r>
      <w:r>
        <w:rPr>
          <w:highlight w:val="none"/>
        </w:rPr>
        <w:fldChar w:fldCharType="end"/>
      </w:r>
    </w:p>
    <w:p>
      <w:pPr>
        <w:tabs>
          <w:tab w:val="left" w:pos="0"/>
        </w:tabs>
        <w:spacing w:line="400" w:lineRule="exact"/>
        <w:ind w:firstLine="480" w:firstLineChars="200"/>
        <w:jc w:val="left"/>
        <w:rPr>
          <w:sz w:val="24"/>
          <w:highlight w:val="none"/>
        </w:rPr>
        <w:sectPr>
          <w:footerReference r:id="rId4" w:type="first"/>
          <w:pgSz w:w="11906" w:h="16838"/>
          <w:pgMar w:top="1440" w:right="1797" w:bottom="1440" w:left="1797" w:header="851" w:footer="992" w:gutter="0"/>
          <w:pgNumType w:start="1"/>
          <w:cols w:space="720" w:num="1"/>
          <w:titlePg/>
          <w:docGrid w:type="linesAndChars" w:linePitch="312" w:charSpace="0"/>
        </w:sectPr>
      </w:pPr>
      <w:r>
        <w:rPr>
          <w:sz w:val="24"/>
          <w:highlight w:val="none"/>
        </w:rPr>
        <w:fldChar w:fldCharType="end"/>
      </w:r>
    </w:p>
    <w:p>
      <w:pPr>
        <w:tabs>
          <w:tab w:val="left" w:pos="0"/>
        </w:tabs>
        <w:spacing w:line="360" w:lineRule="auto"/>
        <w:ind w:firstLine="480" w:firstLineChars="200"/>
        <w:jc w:val="left"/>
        <w:rPr>
          <w:rFonts w:hAnsi="宋体"/>
          <w:sz w:val="24"/>
          <w:highlight w:val="none"/>
        </w:rPr>
      </w:pPr>
      <w:r>
        <w:rPr>
          <w:rFonts w:hint="eastAsia"/>
          <w:sz w:val="24"/>
          <w:highlight w:val="none"/>
        </w:rPr>
        <w:t>本软件产品</w:t>
      </w:r>
      <w:r>
        <w:rPr>
          <w:rFonts w:hint="eastAsia"/>
          <w:sz w:val="24"/>
          <w:highlight w:val="none"/>
          <w:u w:val="single"/>
        </w:rPr>
        <w:t xml:space="preserve">    </w:t>
      </w:r>
      <w:r>
        <w:rPr>
          <w:rFonts w:hint="eastAsia"/>
          <w:sz w:val="24"/>
          <w:highlight w:val="none"/>
        </w:rPr>
        <w:t>合同（以下称</w:t>
      </w:r>
      <w:r>
        <w:rPr>
          <w:rFonts w:hint="eastAsia" w:ascii="宋体" w:hAnsi="宋体"/>
          <w:sz w:val="24"/>
          <w:highlight w:val="none"/>
        </w:rPr>
        <w:t>“合同”或“本合同”）</w:t>
      </w:r>
      <w:r>
        <w:rPr>
          <w:rFonts w:hAnsi="宋体"/>
          <w:sz w:val="24"/>
          <w:highlight w:val="none"/>
        </w:rPr>
        <w:t xml:space="preserve"> </w:t>
      </w:r>
      <w:r>
        <w:rPr>
          <w:rFonts w:hint="eastAsia" w:hAnsi="宋体"/>
          <w:sz w:val="24"/>
          <w:highlight w:val="none"/>
        </w:rPr>
        <w:t>由以下双方签署：</w:t>
      </w:r>
    </w:p>
    <w:p>
      <w:pPr>
        <w:spacing w:line="360" w:lineRule="auto"/>
        <w:ind w:firstLine="482"/>
        <w:rPr>
          <w:rFonts w:hAnsi="宋体"/>
          <w:sz w:val="24"/>
          <w:highlight w:val="none"/>
        </w:rPr>
      </w:pPr>
    </w:p>
    <w:p>
      <w:pPr>
        <w:tabs>
          <w:tab w:val="left" w:pos="3060"/>
        </w:tabs>
        <w:spacing w:line="360" w:lineRule="auto"/>
        <w:ind w:right="3596" w:rightChars="1798" w:firstLine="472" w:firstLineChars="196"/>
        <w:rPr>
          <w:b/>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p>
    <w:p>
      <w:pPr>
        <w:tabs>
          <w:tab w:val="left" w:pos="3060"/>
        </w:tabs>
        <w:spacing w:line="360" w:lineRule="auto"/>
        <w:ind w:right="3596" w:rightChars="1798" w:firstLine="480" w:firstLineChars="200"/>
        <w:rPr>
          <w:sz w:val="24"/>
          <w:highlight w:val="none"/>
          <w:u w:val="single"/>
        </w:rPr>
      </w:pPr>
      <w:r>
        <w:rPr>
          <w:rFonts w:hint="eastAsia"/>
          <w:sz w:val="24"/>
          <w:highlight w:val="none"/>
        </w:rPr>
        <w:t>注册地址/住址：</w:t>
      </w:r>
      <w:r>
        <w:rPr>
          <w:sz w:val="24"/>
          <w:highlight w:val="none"/>
          <w:u w:val="single"/>
        </w:rPr>
        <w:t xml:space="preserve">                    </w:t>
      </w:r>
    </w:p>
    <w:p>
      <w:pPr>
        <w:tabs>
          <w:tab w:val="left" w:pos="3060"/>
        </w:tabs>
        <w:spacing w:line="360" w:lineRule="auto"/>
        <w:ind w:right="3596" w:rightChars="1798" w:firstLine="472" w:firstLineChars="196"/>
        <w:rPr>
          <w:b/>
          <w:sz w:val="24"/>
          <w:highlight w:val="none"/>
        </w:rPr>
      </w:pPr>
    </w:p>
    <w:p>
      <w:pPr>
        <w:tabs>
          <w:tab w:val="left" w:pos="3060"/>
        </w:tabs>
        <w:spacing w:line="360" w:lineRule="auto"/>
        <w:ind w:right="3596" w:rightChars="1798" w:firstLine="472" w:firstLineChars="196"/>
        <w:rPr>
          <w:sz w:val="24"/>
          <w:highlight w:val="none"/>
        </w:rPr>
      </w:pPr>
      <w:r>
        <w:rPr>
          <w:rFonts w:hint="eastAsia"/>
          <w:b/>
          <w:sz w:val="24"/>
          <w:highlight w:val="none"/>
        </w:rPr>
        <w:t>卖</w:t>
      </w:r>
      <w:r>
        <w:rPr>
          <w:b/>
          <w:sz w:val="24"/>
          <w:highlight w:val="none"/>
        </w:rPr>
        <w:t xml:space="preserve">  </w:t>
      </w:r>
      <w:r>
        <w:rPr>
          <w:rFonts w:hint="eastAsia"/>
          <w:b/>
          <w:sz w:val="24"/>
          <w:highlight w:val="none"/>
        </w:rPr>
        <w:t>方：</w:t>
      </w:r>
      <w:r>
        <w:rPr>
          <w:sz w:val="24"/>
          <w:highlight w:val="none"/>
          <w:u w:val="single"/>
        </w:rPr>
        <w:t xml:space="preserve">                           </w:t>
      </w:r>
    </w:p>
    <w:p>
      <w:pPr>
        <w:tabs>
          <w:tab w:val="left" w:pos="3060"/>
        </w:tabs>
        <w:spacing w:line="360" w:lineRule="auto"/>
        <w:ind w:right="3596" w:rightChars="1798" w:firstLine="480" w:firstLineChars="200"/>
        <w:rPr>
          <w:sz w:val="24"/>
          <w:highlight w:val="none"/>
          <w:u w:val="single"/>
        </w:rPr>
      </w:pPr>
      <w:r>
        <w:rPr>
          <w:rFonts w:hint="eastAsia"/>
          <w:sz w:val="24"/>
          <w:highlight w:val="none"/>
        </w:rPr>
        <w:t>注册地址/住址：</w:t>
      </w:r>
      <w:r>
        <w:rPr>
          <w:sz w:val="24"/>
          <w:highlight w:val="none"/>
          <w:u w:val="single"/>
        </w:rPr>
        <w:t xml:space="preserve">                    </w:t>
      </w:r>
    </w:p>
    <w:p>
      <w:pPr>
        <w:spacing w:line="360" w:lineRule="auto"/>
        <w:ind w:firstLine="482"/>
        <w:rPr>
          <w:rFonts w:hAnsi="宋体"/>
          <w:sz w:val="24"/>
          <w:highlight w:val="none"/>
        </w:rPr>
      </w:pPr>
    </w:p>
    <w:p>
      <w:pPr>
        <w:tabs>
          <w:tab w:val="left" w:pos="1418"/>
        </w:tabs>
        <w:snapToGrid w:val="0"/>
        <w:spacing w:line="360" w:lineRule="auto"/>
        <w:ind w:left="2" w:leftChars="1" w:right="-20" w:rightChars="-10" w:firstLine="480" w:firstLineChars="200"/>
        <w:rPr>
          <w:rFonts w:ascii="宋体" w:hAnsi="宋体"/>
          <w:sz w:val="24"/>
          <w:highlight w:val="none"/>
        </w:rPr>
      </w:pPr>
      <w:r>
        <w:rPr>
          <w:rFonts w:hint="eastAsia" w:hAnsi="宋体"/>
          <w:sz w:val="24"/>
          <w:highlight w:val="none"/>
        </w:rPr>
        <w:t>（</w:t>
      </w:r>
      <w:r>
        <w:rPr>
          <w:rFonts w:hint="eastAsia" w:ascii="宋体" w:hAnsi="宋体"/>
          <w:sz w:val="24"/>
          <w:highlight w:val="none"/>
        </w:rPr>
        <w:t>“买方”和“卖方”单独称为“一方”，合称为“双方”）。</w:t>
      </w:r>
      <w:r>
        <w:rPr>
          <w:rFonts w:ascii="宋体" w:hAnsi="宋体"/>
          <w:sz w:val="24"/>
          <w:highlight w:val="none"/>
        </w:rPr>
        <w:t xml:space="preserve"> </w:t>
      </w:r>
    </w:p>
    <w:p>
      <w:pPr>
        <w:tabs>
          <w:tab w:val="left" w:pos="1418"/>
          <w:tab w:val="left" w:pos="1755"/>
        </w:tabs>
        <w:snapToGrid w:val="0"/>
        <w:spacing w:line="360" w:lineRule="auto"/>
        <w:ind w:left="2" w:leftChars="1" w:right="-20" w:rightChars="-10" w:firstLine="480" w:firstLineChars="200"/>
        <w:rPr>
          <w:sz w:val="24"/>
          <w:highlight w:val="none"/>
        </w:rPr>
      </w:pPr>
      <w:r>
        <w:rPr>
          <w:sz w:val="24"/>
          <w:highlight w:val="none"/>
        </w:rPr>
        <w:tab/>
      </w:r>
    </w:p>
    <w:p>
      <w:pPr>
        <w:spacing w:line="360" w:lineRule="auto"/>
        <w:ind w:firstLine="482"/>
        <w:rPr>
          <w:sz w:val="24"/>
          <w:highlight w:val="none"/>
        </w:rPr>
      </w:pPr>
      <w:r>
        <w:rPr>
          <w:sz w:val="24"/>
          <w:highlight w:val="none"/>
        </w:rPr>
        <w:t>鉴于</w:t>
      </w:r>
      <w:r>
        <w:rPr>
          <w:rFonts w:hint="eastAsia"/>
          <w:sz w:val="24"/>
          <w:highlight w:val="none"/>
        </w:rPr>
        <w:t>，</w:t>
      </w:r>
      <w:r>
        <w:rPr>
          <w:sz w:val="24"/>
          <w:highlight w:val="none"/>
        </w:rPr>
        <w:t>买方</w:t>
      </w:r>
      <w:r>
        <w:rPr>
          <w:rFonts w:hint="eastAsia"/>
          <w:sz w:val="24"/>
          <w:highlight w:val="none"/>
        </w:rPr>
        <w:t>有意向</w:t>
      </w:r>
      <w:r>
        <w:rPr>
          <w:sz w:val="24"/>
          <w:highlight w:val="none"/>
        </w:rPr>
        <w:t>卖方</w:t>
      </w:r>
      <w:r>
        <w:rPr>
          <w:rFonts w:hint="eastAsia"/>
          <w:sz w:val="24"/>
          <w:highlight w:val="none"/>
        </w:rPr>
        <w:t>购买</w:t>
      </w:r>
      <w:r>
        <w:rPr>
          <w:rFonts w:hint="eastAsia" w:ascii="宋体" w:hAnsi="宋体"/>
          <w:sz w:val="24"/>
          <w:highlight w:val="none"/>
        </w:rPr>
        <w:t>【</w:t>
      </w:r>
      <w:r>
        <w:rPr>
          <w:rFonts w:hint="eastAsia" w:ascii="宋体" w:hAnsi="宋体"/>
          <w:i/>
          <w:sz w:val="24"/>
          <w:highlight w:val="none"/>
        </w:rPr>
        <w:t>填入软件产品名称</w:t>
      </w:r>
      <w:r>
        <w:rPr>
          <w:rFonts w:hint="eastAsia" w:ascii="宋体" w:hAnsi="宋体"/>
          <w:sz w:val="24"/>
          <w:highlight w:val="none"/>
        </w:rPr>
        <w:t>】（以下简称“软件产品”）；</w:t>
      </w:r>
    </w:p>
    <w:p>
      <w:pPr>
        <w:tabs>
          <w:tab w:val="left" w:pos="1418"/>
        </w:tabs>
        <w:spacing w:line="360" w:lineRule="auto"/>
        <w:ind w:left="2" w:leftChars="1" w:right="-20" w:rightChars="-10" w:firstLine="480" w:firstLineChars="200"/>
        <w:rPr>
          <w:sz w:val="24"/>
          <w:highlight w:val="none"/>
        </w:rPr>
      </w:pPr>
      <w:r>
        <w:rPr>
          <w:sz w:val="24"/>
          <w:highlight w:val="none"/>
        </w:rPr>
        <w:t>鉴于，卖方</w:t>
      </w:r>
      <w:r>
        <w:rPr>
          <w:rFonts w:hint="eastAsia"/>
          <w:sz w:val="24"/>
          <w:highlight w:val="none"/>
        </w:rPr>
        <w:t>已经获得</w:t>
      </w:r>
      <w:r>
        <w:rPr>
          <w:sz w:val="24"/>
          <w:highlight w:val="none"/>
        </w:rPr>
        <w:t>在中</w:t>
      </w:r>
      <w:r>
        <w:rPr>
          <w:rFonts w:hint="eastAsia"/>
          <w:sz w:val="24"/>
          <w:highlight w:val="none"/>
        </w:rPr>
        <w:t>华人民共和</w:t>
      </w:r>
      <w:r>
        <w:rPr>
          <w:sz w:val="24"/>
          <w:highlight w:val="none"/>
        </w:rPr>
        <w:t>国大陆地区销售</w:t>
      </w:r>
      <w:r>
        <w:rPr>
          <w:rFonts w:hint="eastAsia" w:ascii="宋体" w:hAnsi="宋体"/>
          <w:sz w:val="24"/>
          <w:highlight w:val="none"/>
        </w:rPr>
        <w:t>软件产品的</w:t>
      </w:r>
      <w:r>
        <w:rPr>
          <w:sz w:val="24"/>
          <w:highlight w:val="none"/>
        </w:rPr>
        <w:t>原</w:t>
      </w:r>
      <w:r>
        <w:rPr>
          <w:rFonts w:hint="eastAsia"/>
          <w:sz w:val="24"/>
          <w:highlight w:val="none"/>
        </w:rPr>
        <w:t>产</w:t>
      </w:r>
      <w:r>
        <w:rPr>
          <w:sz w:val="24"/>
          <w:highlight w:val="none"/>
        </w:rPr>
        <w:t>商的授权或许可，</w:t>
      </w:r>
      <w:r>
        <w:rPr>
          <w:rFonts w:hint="eastAsia"/>
          <w:sz w:val="24"/>
          <w:highlight w:val="none"/>
        </w:rPr>
        <w:t>并</w:t>
      </w:r>
      <w:r>
        <w:rPr>
          <w:sz w:val="24"/>
          <w:highlight w:val="none"/>
        </w:rPr>
        <w:t>同意根据本合同规定向买方销售</w:t>
      </w:r>
      <w:r>
        <w:rPr>
          <w:rFonts w:hint="eastAsia" w:ascii="宋体" w:hAnsi="宋体"/>
          <w:sz w:val="24"/>
          <w:highlight w:val="none"/>
        </w:rPr>
        <w:t>软件产品</w:t>
      </w:r>
      <w:r>
        <w:rPr>
          <w:sz w:val="24"/>
          <w:highlight w:val="none"/>
        </w:rPr>
        <w:t>。</w:t>
      </w:r>
    </w:p>
    <w:p>
      <w:pPr>
        <w:tabs>
          <w:tab w:val="left" w:pos="1418"/>
        </w:tabs>
        <w:spacing w:line="360" w:lineRule="auto"/>
        <w:ind w:left="2" w:leftChars="1" w:right="-20" w:rightChars="-10" w:firstLine="480" w:firstLineChars="200"/>
        <w:rPr>
          <w:sz w:val="24"/>
          <w:highlight w:val="none"/>
        </w:rPr>
      </w:pPr>
      <w:bookmarkStart w:id="4" w:name="OLE_LINK45"/>
      <w:bookmarkStart w:id="5" w:name="OLE_LINK38"/>
      <w:r>
        <w:rPr>
          <w:rFonts w:hint="eastAsia"/>
          <w:sz w:val="24"/>
          <w:highlight w:val="none"/>
        </w:rPr>
        <w:t>鉴于，【</w:t>
      </w:r>
      <w:r>
        <w:rPr>
          <w:rFonts w:hint="eastAsia"/>
          <w:i/>
          <w:sz w:val="24"/>
          <w:highlight w:val="none"/>
        </w:rPr>
        <w:t>根据实际情况填入其他鉴于情况</w:t>
      </w:r>
      <w:r>
        <w:rPr>
          <w:rFonts w:hint="eastAsia"/>
          <w:sz w:val="24"/>
          <w:highlight w:val="none"/>
        </w:rPr>
        <w:t>】。</w:t>
      </w:r>
      <w:bookmarkEnd w:id="4"/>
      <w:bookmarkEnd w:id="5"/>
    </w:p>
    <w:p>
      <w:pPr>
        <w:tabs>
          <w:tab w:val="left" w:pos="1418"/>
        </w:tabs>
        <w:spacing w:line="360" w:lineRule="auto"/>
        <w:ind w:left="2" w:leftChars="1" w:right="-20" w:rightChars="-10" w:firstLine="480" w:firstLineChars="200"/>
        <w:rPr>
          <w:sz w:val="24"/>
          <w:highlight w:val="none"/>
        </w:rPr>
      </w:pPr>
    </w:p>
    <w:p>
      <w:pPr>
        <w:tabs>
          <w:tab w:val="left" w:pos="1418"/>
        </w:tabs>
        <w:spacing w:line="360" w:lineRule="auto"/>
        <w:ind w:left="2" w:leftChars="1" w:right="-20" w:rightChars="-10" w:firstLine="480" w:firstLineChars="200"/>
        <w:rPr>
          <w:sz w:val="24"/>
          <w:highlight w:val="none"/>
        </w:rPr>
      </w:pPr>
      <w:r>
        <w:rPr>
          <w:rFonts w:hint="eastAsia"/>
          <w:sz w:val="24"/>
          <w:highlight w:val="none"/>
        </w:rPr>
        <w:t>根据</w:t>
      </w:r>
      <w:r>
        <w:rPr>
          <w:rFonts w:hint="eastAsia" w:hAnsi="宋体"/>
          <w:sz w:val="24"/>
          <w:highlight w:val="none"/>
        </w:rPr>
        <w:t>《中华人民共和国民法典》</w:t>
      </w:r>
      <w:r>
        <w:rPr>
          <w:rFonts w:hint="eastAsia"/>
          <w:sz w:val="24"/>
          <w:highlight w:val="none"/>
        </w:rPr>
        <w:t>及相关法律法规，双方在遵循</w:t>
      </w:r>
      <w:r>
        <w:rPr>
          <w:sz w:val="24"/>
          <w:highlight w:val="none"/>
        </w:rPr>
        <w:t>平等</w:t>
      </w:r>
      <w:r>
        <w:rPr>
          <w:rFonts w:hint="eastAsia"/>
          <w:sz w:val="24"/>
          <w:highlight w:val="none"/>
        </w:rPr>
        <w:t>、自愿、公平和诚实信用原则基础上，经</w:t>
      </w:r>
      <w:r>
        <w:rPr>
          <w:sz w:val="24"/>
          <w:highlight w:val="none"/>
        </w:rPr>
        <w:t>一致</w:t>
      </w:r>
      <w:r>
        <w:rPr>
          <w:rFonts w:hint="eastAsia"/>
          <w:sz w:val="24"/>
          <w:highlight w:val="none"/>
        </w:rPr>
        <w:t>，订立本合同。</w:t>
      </w:r>
    </w:p>
    <w:p>
      <w:pPr>
        <w:pStyle w:val="17"/>
        <w:numPr>
          <w:ilvl w:val="0"/>
          <w:numId w:val="13"/>
        </w:numPr>
        <w:tabs>
          <w:tab w:val="left" w:pos="0"/>
        </w:tabs>
        <w:spacing w:before="360" w:after="360" w:line="360" w:lineRule="auto"/>
        <w:ind w:left="0" w:firstLine="0"/>
        <w:rPr>
          <w:sz w:val="24"/>
          <w:szCs w:val="24"/>
          <w:highlight w:val="none"/>
        </w:rPr>
      </w:pPr>
      <w:bookmarkStart w:id="6" w:name="_Toc378163283"/>
      <w:bookmarkStart w:id="7" w:name="_Toc269307517"/>
      <w:bookmarkStart w:id="8" w:name="_Toc269301064"/>
      <w:r>
        <w:rPr>
          <w:sz w:val="24"/>
          <w:szCs w:val="24"/>
          <w:highlight w:val="none"/>
        </w:rPr>
        <w:t>定义</w:t>
      </w:r>
      <w:bookmarkEnd w:id="6"/>
      <w:bookmarkEnd w:id="7"/>
      <w:bookmarkEnd w:id="8"/>
    </w:p>
    <w:p>
      <w:pPr>
        <w:numPr>
          <w:ilvl w:val="0"/>
          <w:numId w:val="14"/>
        </w:numPr>
        <w:tabs>
          <w:tab w:val="left" w:pos="709"/>
        </w:tabs>
        <w:snapToGrid w:val="0"/>
        <w:spacing w:line="360" w:lineRule="auto"/>
        <w:ind w:left="709" w:hanging="709"/>
        <w:rPr>
          <w:sz w:val="24"/>
          <w:highlight w:val="none"/>
        </w:rPr>
      </w:pPr>
      <w:r>
        <w:rPr>
          <w:sz w:val="24"/>
          <w:highlight w:val="none"/>
        </w:rPr>
        <w:t>本合同相关词语的定义如下</w:t>
      </w:r>
      <w:r>
        <w:rPr>
          <w:rFonts w:hint="eastAsia"/>
          <w:sz w:val="24"/>
          <w:highlight w:val="none"/>
        </w:rPr>
        <w:t>：</w:t>
      </w:r>
    </w:p>
    <w:p>
      <w:pPr>
        <w:numPr>
          <w:ilvl w:val="2"/>
          <w:numId w:val="15"/>
        </w:numPr>
        <w:tabs>
          <w:tab w:val="left" w:pos="1276"/>
        </w:tabs>
        <w:snapToGrid w:val="0"/>
        <w:spacing w:line="360" w:lineRule="auto"/>
        <w:ind w:left="1276" w:hanging="551"/>
        <w:rPr>
          <w:spacing w:val="-2"/>
          <w:sz w:val="24"/>
          <w:highlight w:val="none"/>
        </w:rPr>
      </w:pPr>
      <w:r>
        <w:rPr>
          <w:rFonts w:hint="eastAsia"/>
          <w:b/>
          <w:spacing w:val="-2"/>
          <w:sz w:val="24"/>
          <w:highlight w:val="none"/>
        </w:rPr>
        <w:t>“</w:t>
      </w:r>
      <w:r>
        <w:rPr>
          <w:b/>
          <w:spacing w:val="-2"/>
          <w:sz w:val="24"/>
          <w:highlight w:val="none"/>
        </w:rPr>
        <w:t>法律法规</w:t>
      </w:r>
      <w:r>
        <w:rPr>
          <w:rFonts w:hint="eastAsia"/>
          <w:b/>
          <w:spacing w:val="-2"/>
          <w:sz w:val="24"/>
          <w:highlight w:val="none"/>
        </w:rPr>
        <w:t>”</w:t>
      </w:r>
      <w:r>
        <w:rPr>
          <w:spacing w:val="-2"/>
          <w:sz w:val="24"/>
          <w:highlight w:val="none"/>
        </w:rPr>
        <w:t>指中华人民共和国各级立法、行政机</w:t>
      </w:r>
      <w:r>
        <w:rPr>
          <w:rFonts w:hint="eastAsia"/>
          <w:spacing w:val="-2"/>
          <w:sz w:val="24"/>
          <w:highlight w:val="none"/>
        </w:rPr>
        <w:t>关不时</w:t>
      </w:r>
      <w:r>
        <w:rPr>
          <w:spacing w:val="-2"/>
          <w:sz w:val="24"/>
          <w:highlight w:val="none"/>
        </w:rPr>
        <w:t>颁布并生效的法律、法规、规章及其它</w:t>
      </w:r>
      <w:r>
        <w:rPr>
          <w:rFonts w:hint="eastAsia"/>
          <w:spacing w:val="-2"/>
          <w:sz w:val="24"/>
          <w:highlight w:val="none"/>
        </w:rPr>
        <w:t>规范性</w:t>
      </w:r>
      <w:r>
        <w:rPr>
          <w:spacing w:val="-2"/>
          <w:sz w:val="24"/>
          <w:highlight w:val="none"/>
        </w:rPr>
        <w:t>文件。</w:t>
      </w:r>
    </w:p>
    <w:p>
      <w:pPr>
        <w:numPr>
          <w:ilvl w:val="2"/>
          <w:numId w:val="15"/>
        </w:numPr>
        <w:tabs>
          <w:tab w:val="left" w:pos="1276"/>
        </w:tabs>
        <w:snapToGrid w:val="0"/>
        <w:spacing w:line="360" w:lineRule="auto"/>
        <w:ind w:left="1276" w:hanging="551"/>
        <w:rPr>
          <w:spacing w:val="-2"/>
          <w:sz w:val="24"/>
          <w:highlight w:val="none"/>
        </w:rPr>
      </w:pPr>
      <w:r>
        <w:rPr>
          <w:rFonts w:ascii="宋体" w:hAnsi="宋体"/>
          <w:b/>
          <w:sz w:val="24"/>
          <w:highlight w:val="none"/>
        </w:rPr>
        <w:t>“工作日”</w:t>
      </w:r>
      <w:r>
        <w:rPr>
          <w:spacing w:val="-2"/>
          <w:sz w:val="24"/>
          <w:highlight w:val="none"/>
        </w:rPr>
        <w:t>指</w:t>
      </w:r>
      <w:r>
        <w:rPr>
          <w:rFonts w:hint="eastAsia"/>
          <w:spacing w:val="-2"/>
          <w:sz w:val="24"/>
          <w:highlight w:val="none"/>
        </w:rPr>
        <w:t>除星期六、星期日和</w:t>
      </w:r>
      <w:r>
        <w:rPr>
          <w:spacing w:val="-2"/>
          <w:sz w:val="24"/>
          <w:highlight w:val="none"/>
        </w:rPr>
        <w:t>中华人民共和国法定节假日外的</w:t>
      </w:r>
      <w:r>
        <w:rPr>
          <w:rFonts w:hint="eastAsia"/>
          <w:spacing w:val="-2"/>
          <w:sz w:val="24"/>
          <w:highlight w:val="none"/>
        </w:rPr>
        <w:t>日</w:t>
      </w:r>
      <w:r>
        <w:rPr>
          <w:spacing w:val="-2"/>
          <w:sz w:val="24"/>
          <w:highlight w:val="none"/>
        </w:rPr>
        <w:t>历日。</w:t>
      </w:r>
    </w:p>
    <w:p>
      <w:pPr>
        <w:numPr>
          <w:ilvl w:val="2"/>
          <w:numId w:val="15"/>
        </w:numPr>
        <w:tabs>
          <w:tab w:val="left" w:pos="1276"/>
        </w:tabs>
        <w:snapToGrid w:val="0"/>
        <w:spacing w:line="360" w:lineRule="auto"/>
        <w:ind w:left="1276" w:hanging="551"/>
        <w:rPr>
          <w:rFonts w:ascii="宋体" w:hAnsi="宋体"/>
          <w:color w:val="000000"/>
          <w:sz w:val="24"/>
          <w:highlight w:val="none"/>
        </w:rPr>
      </w:pPr>
      <w:r>
        <w:rPr>
          <w:rFonts w:hint="eastAsia"/>
          <w:b/>
          <w:spacing w:val="-2"/>
          <w:sz w:val="24"/>
          <w:highlight w:val="none"/>
        </w:rPr>
        <w:t>“</w:t>
      </w:r>
      <w:r>
        <w:rPr>
          <w:b/>
          <w:spacing w:val="-2"/>
          <w:sz w:val="24"/>
          <w:highlight w:val="none"/>
        </w:rPr>
        <w:t>关联</w:t>
      </w:r>
      <w:r>
        <w:rPr>
          <w:rFonts w:hint="eastAsia"/>
          <w:b/>
          <w:spacing w:val="-2"/>
          <w:sz w:val="24"/>
          <w:highlight w:val="none"/>
        </w:rPr>
        <w:t>企</w:t>
      </w:r>
      <w:r>
        <w:rPr>
          <w:rFonts w:hint="eastAsia" w:ascii="宋体" w:hAnsi="宋体"/>
          <w:b/>
          <w:spacing w:val="-2"/>
          <w:sz w:val="24"/>
          <w:highlight w:val="none"/>
        </w:rPr>
        <w:t>业”</w:t>
      </w:r>
      <w:r>
        <w:rPr>
          <w:rFonts w:hint="eastAsia" w:ascii="宋体" w:hAnsi="宋体"/>
          <w:color w:val="000000"/>
          <w:sz w:val="24"/>
          <w:highlight w:val="none"/>
        </w:rPr>
        <w:t>对</w:t>
      </w:r>
      <w:r>
        <w:rPr>
          <w:rFonts w:hint="eastAsia" w:ascii="宋体" w:hAnsi="宋体"/>
          <w:sz w:val="24"/>
          <w:highlight w:val="none"/>
        </w:rPr>
        <w:t xml:space="preserve">任何一方而言指，指 </w:t>
      </w:r>
      <w:r>
        <w:rPr>
          <w:sz w:val="24"/>
          <w:highlight w:val="none"/>
        </w:rPr>
        <w:t>(i)</w:t>
      </w:r>
      <w:r>
        <w:rPr>
          <w:rFonts w:hint="eastAsia" w:ascii="宋体" w:hAnsi="宋体"/>
          <w:sz w:val="24"/>
          <w:highlight w:val="none"/>
        </w:rPr>
        <w:t xml:space="preserve"> </w:t>
      </w:r>
      <w:r>
        <w:rPr>
          <w:rFonts w:ascii="宋体" w:hAnsi="宋体"/>
          <w:sz w:val="24"/>
          <w:highlight w:val="none"/>
        </w:rPr>
        <w:t>控制</w:t>
      </w:r>
      <w:r>
        <w:rPr>
          <w:rFonts w:hint="eastAsia" w:ascii="宋体" w:hAnsi="宋体"/>
          <w:sz w:val="24"/>
          <w:highlight w:val="none"/>
        </w:rPr>
        <w:t>该方的公司、企业或实体</w:t>
      </w:r>
      <w:r>
        <w:rPr>
          <w:rFonts w:ascii="宋体" w:hAnsi="宋体"/>
          <w:sz w:val="24"/>
          <w:highlight w:val="none"/>
        </w:rPr>
        <w:t>；</w:t>
      </w:r>
      <w:r>
        <w:rPr>
          <w:rFonts w:hint="eastAsia"/>
          <w:sz w:val="24"/>
          <w:highlight w:val="none"/>
        </w:rPr>
        <w:t xml:space="preserve">(ii) </w:t>
      </w:r>
      <w:r>
        <w:rPr>
          <w:rFonts w:ascii="宋体" w:hAnsi="宋体"/>
          <w:sz w:val="24"/>
          <w:highlight w:val="none"/>
        </w:rPr>
        <w:t>该</w:t>
      </w:r>
      <w:r>
        <w:rPr>
          <w:rFonts w:hint="eastAsia" w:ascii="宋体" w:hAnsi="宋体"/>
          <w:sz w:val="24"/>
          <w:highlight w:val="none"/>
        </w:rPr>
        <w:t>方</w:t>
      </w:r>
      <w:r>
        <w:rPr>
          <w:rFonts w:ascii="宋体" w:hAnsi="宋体"/>
          <w:sz w:val="24"/>
          <w:highlight w:val="none"/>
        </w:rPr>
        <w:t>控制</w:t>
      </w:r>
      <w:r>
        <w:rPr>
          <w:rFonts w:hint="eastAsia" w:ascii="宋体" w:hAnsi="宋体"/>
          <w:sz w:val="24"/>
          <w:highlight w:val="none"/>
        </w:rPr>
        <w:t>的公司、企业或实体</w:t>
      </w:r>
      <w:r>
        <w:rPr>
          <w:rFonts w:ascii="宋体" w:hAnsi="宋体"/>
          <w:sz w:val="24"/>
          <w:highlight w:val="none"/>
        </w:rPr>
        <w:t>；或</w:t>
      </w:r>
      <w:r>
        <w:rPr>
          <w:rFonts w:hint="eastAsia" w:ascii="宋体" w:hAnsi="宋体"/>
          <w:sz w:val="24"/>
          <w:highlight w:val="none"/>
        </w:rPr>
        <w:t xml:space="preserve"> </w:t>
      </w:r>
      <w:r>
        <w:rPr>
          <w:rFonts w:hint="eastAsia"/>
          <w:sz w:val="24"/>
          <w:highlight w:val="none"/>
        </w:rPr>
        <w:t xml:space="preserve">(iii) </w:t>
      </w:r>
      <w:r>
        <w:rPr>
          <w:rFonts w:hint="eastAsia" w:ascii="宋体" w:hAnsi="宋体"/>
          <w:sz w:val="24"/>
          <w:highlight w:val="none"/>
        </w:rPr>
        <w:t>与该方共</w:t>
      </w:r>
      <w:r>
        <w:rPr>
          <w:rFonts w:ascii="宋体" w:hAnsi="宋体"/>
          <w:sz w:val="24"/>
          <w:highlight w:val="none"/>
        </w:rPr>
        <w:t>受同</w:t>
      </w:r>
      <w:r>
        <w:rPr>
          <w:rFonts w:hint="eastAsia" w:ascii="宋体" w:hAnsi="宋体"/>
          <w:sz w:val="24"/>
          <w:highlight w:val="none"/>
        </w:rPr>
        <w:t>一主体</w:t>
      </w:r>
      <w:r>
        <w:rPr>
          <w:rFonts w:ascii="宋体" w:hAnsi="宋体"/>
          <w:sz w:val="24"/>
          <w:highlight w:val="none"/>
        </w:rPr>
        <w:t>控制</w:t>
      </w:r>
      <w:r>
        <w:rPr>
          <w:rFonts w:hint="eastAsia" w:ascii="宋体" w:hAnsi="宋体"/>
          <w:sz w:val="24"/>
          <w:highlight w:val="none"/>
        </w:rPr>
        <w:t>的公司、企业或实体。“控制”指</w:t>
      </w:r>
      <w:r>
        <w:rPr>
          <w:rFonts w:ascii="宋体" w:hAnsi="宋体"/>
          <w:sz w:val="24"/>
          <w:highlight w:val="none"/>
        </w:rPr>
        <w:t>直接或间接</w:t>
      </w:r>
      <w:r>
        <w:rPr>
          <w:rFonts w:hint="eastAsia" w:ascii="宋体" w:hAnsi="宋体"/>
          <w:sz w:val="24"/>
          <w:highlight w:val="none"/>
        </w:rPr>
        <w:t>拥有</w:t>
      </w:r>
      <w:r>
        <w:rPr>
          <w:sz w:val="24"/>
          <w:highlight w:val="none"/>
        </w:rPr>
        <w:t>50%</w:t>
      </w:r>
      <w:r>
        <w:rPr>
          <w:rFonts w:hint="eastAsia" w:ascii="宋体" w:hAnsi="宋体"/>
          <w:sz w:val="24"/>
          <w:highlight w:val="none"/>
        </w:rPr>
        <w:t>以上股份，或</w:t>
      </w:r>
      <w:r>
        <w:rPr>
          <w:rFonts w:ascii="宋体" w:hAnsi="宋体"/>
          <w:sz w:val="24"/>
          <w:highlight w:val="none"/>
        </w:rPr>
        <w:t>有权直接或间接委派董事会或类似管理</w:t>
      </w:r>
      <w:r>
        <w:rPr>
          <w:rFonts w:hint="eastAsia" w:ascii="宋体" w:hAnsi="宋体"/>
          <w:sz w:val="24"/>
          <w:highlight w:val="none"/>
        </w:rPr>
        <w:t>机构</w:t>
      </w:r>
      <w:r>
        <w:rPr>
          <w:sz w:val="24"/>
          <w:highlight w:val="none"/>
        </w:rPr>
        <w:t>1/2</w:t>
      </w:r>
      <w:r>
        <w:rPr>
          <w:rFonts w:ascii="宋体" w:hAnsi="宋体"/>
          <w:sz w:val="24"/>
          <w:highlight w:val="none"/>
        </w:rPr>
        <w:t>以上成员</w:t>
      </w:r>
      <w:r>
        <w:rPr>
          <w:rFonts w:hint="eastAsia" w:ascii="宋体" w:hAnsi="宋体"/>
          <w:sz w:val="24"/>
          <w:highlight w:val="none"/>
        </w:rPr>
        <w:t>，或通过其它方式决定其经营管理和决策</w:t>
      </w:r>
      <w:r>
        <w:rPr>
          <w:rFonts w:ascii="宋体" w:hAnsi="宋体"/>
          <w:color w:val="000000"/>
          <w:sz w:val="24"/>
          <w:highlight w:val="none"/>
        </w:rPr>
        <w:t>。</w:t>
      </w:r>
    </w:p>
    <w:p>
      <w:pPr>
        <w:numPr>
          <w:ilvl w:val="2"/>
          <w:numId w:val="15"/>
        </w:numPr>
        <w:tabs>
          <w:tab w:val="left" w:pos="1276"/>
        </w:tabs>
        <w:snapToGrid w:val="0"/>
        <w:spacing w:line="360" w:lineRule="auto"/>
        <w:ind w:left="1276" w:hanging="551"/>
        <w:rPr>
          <w:sz w:val="24"/>
          <w:highlight w:val="none"/>
        </w:rPr>
      </w:pPr>
      <w:r>
        <w:rPr>
          <w:rFonts w:hint="eastAsia" w:hAnsi="宋体"/>
          <w:b/>
          <w:sz w:val="24"/>
          <w:highlight w:val="none"/>
        </w:rPr>
        <w:t>“</w:t>
      </w:r>
      <w:r>
        <w:rPr>
          <w:rFonts w:hAnsi="宋体"/>
          <w:b/>
          <w:sz w:val="24"/>
          <w:highlight w:val="none"/>
        </w:rPr>
        <w:t>合同总价</w:t>
      </w:r>
      <w:r>
        <w:rPr>
          <w:rFonts w:hint="eastAsia" w:hAnsi="宋体"/>
          <w:b/>
          <w:sz w:val="24"/>
          <w:highlight w:val="none"/>
        </w:rPr>
        <w:t>”</w:t>
      </w:r>
      <w:r>
        <w:rPr>
          <w:rFonts w:hAnsi="宋体"/>
          <w:sz w:val="24"/>
          <w:highlight w:val="none"/>
        </w:rPr>
        <w:t>指根据合同第三条，卖方正确、完整</w:t>
      </w:r>
      <w:r>
        <w:rPr>
          <w:rFonts w:hint="eastAsia" w:hAnsi="宋体"/>
          <w:sz w:val="24"/>
          <w:highlight w:val="none"/>
        </w:rPr>
        <w:t>地</w:t>
      </w:r>
      <w:r>
        <w:rPr>
          <w:rFonts w:hAnsi="宋体"/>
          <w:sz w:val="24"/>
          <w:highlight w:val="none"/>
        </w:rPr>
        <w:t>履行</w:t>
      </w:r>
      <w:r>
        <w:rPr>
          <w:rFonts w:hint="eastAsia" w:hAnsi="宋体"/>
          <w:sz w:val="24"/>
          <w:highlight w:val="none"/>
        </w:rPr>
        <w:t>本</w:t>
      </w:r>
      <w:r>
        <w:rPr>
          <w:rFonts w:hAnsi="宋体"/>
          <w:sz w:val="24"/>
          <w:highlight w:val="none"/>
        </w:rPr>
        <w:t>合同</w:t>
      </w:r>
      <w:r>
        <w:rPr>
          <w:rFonts w:hint="eastAsia" w:hAnsi="宋体"/>
          <w:sz w:val="24"/>
          <w:highlight w:val="none"/>
        </w:rPr>
        <w:t>规定的</w:t>
      </w:r>
      <w:r>
        <w:rPr>
          <w:rFonts w:hAnsi="宋体"/>
          <w:sz w:val="24"/>
          <w:highlight w:val="none"/>
        </w:rPr>
        <w:t>义务后，买方应向卖方支付的全部价款，包括卖方履行合同发生的全部费用、成本和利润。</w:t>
      </w:r>
    </w:p>
    <w:p>
      <w:pPr>
        <w:numPr>
          <w:ilvl w:val="2"/>
          <w:numId w:val="15"/>
        </w:numPr>
        <w:tabs>
          <w:tab w:val="left" w:pos="1276"/>
        </w:tabs>
        <w:snapToGrid w:val="0"/>
        <w:spacing w:line="360" w:lineRule="auto"/>
        <w:ind w:left="1276" w:hanging="551"/>
        <w:rPr>
          <w:rFonts w:hAnsi="宋体"/>
          <w:sz w:val="24"/>
          <w:highlight w:val="none"/>
        </w:rPr>
      </w:pPr>
      <w:r>
        <w:rPr>
          <w:rFonts w:hint="eastAsia" w:hAnsi="宋体"/>
          <w:b/>
          <w:sz w:val="24"/>
          <w:highlight w:val="none"/>
        </w:rPr>
        <w:t>“</w:t>
      </w:r>
      <w:r>
        <w:rPr>
          <w:rFonts w:hAnsi="宋体"/>
          <w:b/>
          <w:sz w:val="24"/>
          <w:highlight w:val="none"/>
        </w:rPr>
        <w:t>软件产品</w:t>
      </w:r>
      <w:r>
        <w:rPr>
          <w:rFonts w:hint="eastAsia" w:hAnsi="宋体"/>
          <w:b/>
          <w:sz w:val="24"/>
          <w:highlight w:val="none"/>
        </w:rPr>
        <w:t>”</w:t>
      </w:r>
      <w:r>
        <w:rPr>
          <w:rFonts w:hAnsi="宋体"/>
          <w:sz w:val="24"/>
          <w:highlight w:val="none"/>
        </w:rPr>
        <w:t>指根据合同规定，卖方应销售并交付、买方应购买并接收的</w:t>
      </w:r>
      <w:r>
        <w:rPr>
          <w:rFonts w:hint="eastAsia" w:hAnsi="宋体"/>
          <w:sz w:val="24"/>
          <w:highlight w:val="none"/>
        </w:rPr>
        <w:t>【</w:t>
      </w:r>
      <w:r>
        <w:rPr>
          <w:rFonts w:hint="eastAsia" w:hAnsi="宋体"/>
          <w:i/>
          <w:sz w:val="24"/>
          <w:highlight w:val="none"/>
        </w:rPr>
        <w:t>填入软件产品名称</w:t>
      </w:r>
      <w:r>
        <w:rPr>
          <w:rFonts w:hint="eastAsia" w:hAnsi="宋体"/>
          <w:sz w:val="24"/>
          <w:highlight w:val="none"/>
        </w:rPr>
        <w:t>】。</w:t>
      </w:r>
    </w:p>
    <w:p>
      <w:pPr>
        <w:numPr>
          <w:ilvl w:val="2"/>
          <w:numId w:val="15"/>
        </w:numPr>
        <w:tabs>
          <w:tab w:val="left" w:pos="1276"/>
        </w:tabs>
        <w:snapToGrid w:val="0"/>
        <w:spacing w:line="360" w:lineRule="auto"/>
        <w:ind w:left="1276" w:hanging="551"/>
        <w:rPr>
          <w:sz w:val="24"/>
          <w:highlight w:val="none"/>
        </w:rPr>
      </w:pPr>
      <w:r>
        <w:rPr>
          <w:rFonts w:hint="eastAsia"/>
          <w:b/>
          <w:spacing w:val="-2"/>
          <w:sz w:val="24"/>
          <w:highlight w:val="none"/>
        </w:rPr>
        <w:t>“</w:t>
      </w:r>
      <w:r>
        <w:rPr>
          <w:b/>
          <w:spacing w:val="-2"/>
          <w:sz w:val="24"/>
          <w:highlight w:val="none"/>
        </w:rPr>
        <w:t>软件产品资料</w:t>
      </w:r>
      <w:r>
        <w:rPr>
          <w:rFonts w:hint="eastAsia"/>
          <w:b/>
          <w:spacing w:val="-2"/>
          <w:sz w:val="24"/>
          <w:highlight w:val="none"/>
        </w:rPr>
        <w:t>”</w:t>
      </w:r>
      <w:r>
        <w:rPr>
          <w:spacing w:val="-2"/>
          <w:sz w:val="24"/>
          <w:highlight w:val="none"/>
        </w:rPr>
        <w:t>指根据</w:t>
      </w:r>
      <w:r>
        <w:rPr>
          <w:sz w:val="24"/>
          <w:highlight w:val="none"/>
        </w:rPr>
        <w:t>合同第</w:t>
      </w:r>
      <w:r>
        <w:rPr>
          <w:rFonts w:hint="eastAsia"/>
          <w:sz w:val="24"/>
          <w:highlight w:val="none"/>
        </w:rPr>
        <w:t>2.3</w:t>
      </w:r>
      <w:r>
        <w:rPr>
          <w:sz w:val="24"/>
          <w:highlight w:val="none"/>
        </w:rPr>
        <w:t>款，卖方应向买方提供的、有关软件产品的说明、图纸、材料、文件、维护手册、操作手册、使用说明等。</w:t>
      </w:r>
    </w:p>
    <w:p>
      <w:pPr>
        <w:numPr>
          <w:ilvl w:val="2"/>
          <w:numId w:val="15"/>
        </w:numPr>
        <w:tabs>
          <w:tab w:val="left" w:pos="1276"/>
        </w:tabs>
        <w:snapToGrid w:val="0"/>
        <w:spacing w:line="360" w:lineRule="auto"/>
        <w:ind w:left="1276" w:hanging="551"/>
        <w:rPr>
          <w:sz w:val="24"/>
          <w:highlight w:val="none"/>
        </w:rPr>
      </w:pPr>
      <w:r>
        <w:rPr>
          <w:rFonts w:hint="eastAsia" w:hAnsi="宋体"/>
          <w:b/>
          <w:sz w:val="24"/>
          <w:highlight w:val="none"/>
        </w:rPr>
        <w:t>“</w:t>
      </w:r>
      <w:r>
        <w:rPr>
          <w:rFonts w:hAnsi="宋体"/>
          <w:b/>
          <w:sz w:val="24"/>
          <w:highlight w:val="none"/>
        </w:rPr>
        <w:t>原产商</w:t>
      </w:r>
      <w:r>
        <w:rPr>
          <w:rFonts w:hint="eastAsia" w:hAnsi="宋体"/>
          <w:b/>
          <w:sz w:val="24"/>
          <w:highlight w:val="none"/>
        </w:rPr>
        <w:t>”</w:t>
      </w:r>
      <w:r>
        <w:rPr>
          <w:rFonts w:hAnsi="宋体"/>
          <w:sz w:val="24"/>
          <w:highlight w:val="none"/>
        </w:rPr>
        <w:t>指软件产品的实际生产商，即</w:t>
      </w:r>
      <w:r>
        <w:rPr>
          <w:rFonts w:hint="eastAsia"/>
          <w:sz w:val="24"/>
          <w:highlight w:val="none"/>
        </w:rPr>
        <w:t>【</w:t>
      </w:r>
      <w:r>
        <w:rPr>
          <w:rFonts w:hint="eastAsia"/>
          <w:i/>
          <w:sz w:val="24"/>
          <w:highlight w:val="none"/>
        </w:rPr>
        <w:t>填入实际生产商名称</w:t>
      </w:r>
      <w:r>
        <w:rPr>
          <w:rFonts w:hint="eastAsia"/>
          <w:sz w:val="24"/>
          <w:highlight w:val="none"/>
        </w:rPr>
        <w:t>】</w:t>
      </w:r>
      <w:r>
        <w:rPr>
          <w:rFonts w:hAnsi="宋体"/>
          <w:sz w:val="24"/>
          <w:highlight w:val="none"/>
        </w:rPr>
        <w:t>。</w:t>
      </w:r>
    </w:p>
    <w:p>
      <w:pPr>
        <w:numPr>
          <w:ilvl w:val="2"/>
          <w:numId w:val="15"/>
        </w:numPr>
        <w:tabs>
          <w:tab w:val="left" w:pos="1276"/>
        </w:tabs>
        <w:spacing w:line="360" w:lineRule="auto"/>
        <w:ind w:left="1276" w:hanging="551"/>
        <w:rPr>
          <w:sz w:val="24"/>
          <w:highlight w:val="none"/>
        </w:rPr>
      </w:pPr>
      <w:r>
        <w:rPr>
          <w:rFonts w:ascii="宋体" w:hAnsi="宋体"/>
          <w:b/>
          <w:sz w:val="24"/>
          <w:highlight w:val="none"/>
        </w:rPr>
        <w:t>“质保期”</w:t>
      </w:r>
      <w:r>
        <w:rPr>
          <w:sz w:val="24"/>
          <w:highlight w:val="none"/>
        </w:rPr>
        <w:t>指根据合同第12.4款，卖方向买方提供的质量保证期限。</w:t>
      </w:r>
    </w:p>
    <w:p>
      <w:pPr>
        <w:numPr>
          <w:ilvl w:val="2"/>
          <w:numId w:val="15"/>
        </w:numPr>
        <w:tabs>
          <w:tab w:val="left" w:pos="1276"/>
        </w:tabs>
        <w:spacing w:line="360" w:lineRule="auto"/>
        <w:ind w:left="1276" w:hanging="551"/>
        <w:rPr>
          <w:sz w:val="24"/>
          <w:highlight w:val="none"/>
        </w:rPr>
      </w:pPr>
      <w:r>
        <w:rPr>
          <w:rFonts w:hint="eastAsia"/>
          <w:b/>
          <w:sz w:val="24"/>
          <w:highlight w:val="none"/>
        </w:rPr>
        <w:t>“日、周、月”</w:t>
      </w:r>
      <w:r>
        <w:rPr>
          <w:rFonts w:hint="eastAsia"/>
          <w:sz w:val="24"/>
          <w:highlight w:val="none"/>
        </w:rPr>
        <w:t>分别指日历日、日历周、日历月。</w:t>
      </w:r>
    </w:p>
    <w:p>
      <w:pPr>
        <w:numPr>
          <w:ilvl w:val="2"/>
          <w:numId w:val="15"/>
        </w:numPr>
        <w:tabs>
          <w:tab w:val="left" w:pos="1276"/>
        </w:tabs>
        <w:spacing w:line="360" w:lineRule="auto"/>
        <w:ind w:left="1276" w:hanging="551"/>
        <w:rPr>
          <w:sz w:val="24"/>
          <w:highlight w:val="none"/>
        </w:rPr>
      </w:pPr>
      <w:r>
        <w:rPr>
          <w:rFonts w:hint="eastAsia"/>
          <w:b/>
          <w:sz w:val="24"/>
          <w:highlight w:val="none"/>
        </w:rPr>
        <w:t>“有效税务发票”</w:t>
      </w:r>
      <w:r>
        <w:rPr>
          <w:rFonts w:hint="eastAsia"/>
          <w:sz w:val="24"/>
          <w:highlight w:val="none"/>
        </w:rPr>
        <w:t>指符合中国法律法规要求的发票。</w:t>
      </w:r>
    </w:p>
    <w:p>
      <w:pPr>
        <w:numPr>
          <w:ilvl w:val="2"/>
          <w:numId w:val="15"/>
        </w:numPr>
        <w:tabs>
          <w:tab w:val="left" w:pos="1276"/>
        </w:tabs>
        <w:spacing w:line="360" w:lineRule="auto"/>
        <w:ind w:left="1276" w:hanging="551"/>
        <w:rPr>
          <w:sz w:val="24"/>
          <w:highlight w:val="none"/>
        </w:rPr>
      </w:pPr>
      <w:r>
        <w:rPr>
          <w:rFonts w:ascii="宋体" w:hAnsi="宋体"/>
          <w:b/>
          <w:sz w:val="24"/>
          <w:highlight w:val="none"/>
        </w:rPr>
        <w:t>“知识产权”</w:t>
      </w:r>
      <w:r>
        <w:rPr>
          <w:sz w:val="24"/>
          <w:highlight w:val="none"/>
        </w:rPr>
        <w:t>指任何著作权、专利权、商标专用权</w:t>
      </w:r>
      <w:r>
        <w:rPr>
          <w:rFonts w:hint="eastAsia"/>
          <w:sz w:val="24"/>
          <w:highlight w:val="none"/>
        </w:rPr>
        <w:t>，</w:t>
      </w:r>
      <w:r>
        <w:rPr>
          <w:sz w:val="24"/>
          <w:highlight w:val="none"/>
        </w:rPr>
        <w:t>以及有关设计新型、商业秘密、服务标记、厂商名称、产地标记、原产地名称等其它知识产权。</w:t>
      </w:r>
    </w:p>
    <w:p>
      <w:pPr>
        <w:numPr>
          <w:ilvl w:val="2"/>
          <w:numId w:val="15"/>
        </w:numPr>
        <w:tabs>
          <w:tab w:val="left" w:pos="1276"/>
        </w:tabs>
        <w:spacing w:line="360" w:lineRule="auto"/>
        <w:ind w:left="1276" w:hanging="551"/>
        <w:rPr>
          <w:sz w:val="24"/>
          <w:highlight w:val="none"/>
        </w:rPr>
      </w:pPr>
      <w:r>
        <w:rPr>
          <w:rFonts w:ascii="宋体" w:hAnsi="宋体"/>
          <w:b/>
          <w:sz w:val="24"/>
          <w:highlight w:val="none"/>
        </w:rPr>
        <w:t>“中国”</w:t>
      </w:r>
      <w:r>
        <w:rPr>
          <w:sz w:val="24"/>
          <w:highlight w:val="none"/>
        </w:rPr>
        <w:t>指中华人民共和国，为本合同之目的，不包括香港特别行政区、澳门特别行政区和台湾地区。</w:t>
      </w:r>
    </w:p>
    <w:p>
      <w:pPr>
        <w:numPr>
          <w:ilvl w:val="2"/>
          <w:numId w:val="15"/>
        </w:numPr>
        <w:tabs>
          <w:tab w:val="left" w:pos="1276"/>
        </w:tabs>
        <w:spacing w:line="360" w:lineRule="auto"/>
        <w:ind w:left="1276" w:hanging="551"/>
        <w:rPr>
          <w:sz w:val="24"/>
          <w:highlight w:val="none"/>
        </w:rPr>
      </w:pPr>
      <w:r>
        <w:rPr>
          <w:rFonts w:hint="eastAsia" w:ascii="宋体" w:hAnsi="宋体"/>
          <w:b/>
          <w:sz w:val="24"/>
          <w:highlight w:val="none"/>
        </w:rPr>
        <w:t>“最终验收报告”</w:t>
      </w:r>
      <w:r>
        <w:rPr>
          <w:sz w:val="24"/>
          <w:highlight w:val="none"/>
        </w:rPr>
        <w:t>指</w:t>
      </w:r>
      <w:r>
        <w:rPr>
          <w:rFonts w:hint="eastAsia"/>
          <w:sz w:val="24"/>
          <w:highlight w:val="none"/>
        </w:rPr>
        <w:t>软件产品</w:t>
      </w:r>
      <w:r>
        <w:rPr>
          <w:sz w:val="24"/>
          <w:highlight w:val="none"/>
        </w:rPr>
        <w:t>质保期</w:t>
      </w:r>
      <w:r>
        <w:rPr>
          <w:rFonts w:hint="eastAsia"/>
          <w:sz w:val="24"/>
          <w:highlight w:val="none"/>
        </w:rPr>
        <w:t>届满</w:t>
      </w:r>
      <w:r>
        <w:rPr>
          <w:sz w:val="24"/>
          <w:highlight w:val="none"/>
        </w:rPr>
        <w:t>后</w:t>
      </w:r>
      <w:r>
        <w:rPr>
          <w:rFonts w:hint="eastAsia"/>
          <w:sz w:val="24"/>
          <w:highlight w:val="none"/>
        </w:rPr>
        <w:t>双方签署的旨在表明软件产品符合本合同相关要求的文件。</w:t>
      </w:r>
    </w:p>
    <w:p>
      <w:pPr>
        <w:pStyle w:val="17"/>
        <w:numPr>
          <w:ilvl w:val="0"/>
          <w:numId w:val="13"/>
        </w:numPr>
        <w:tabs>
          <w:tab w:val="left" w:pos="0"/>
        </w:tabs>
        <w:spacing w:before="360" w:after="360" w:line="360" w:lineRule="auto"/>
        <w:ind w:left="0" w:firstLine="0"/>
        <w:rPr>
          <w:sz w:val="24"/>
          <w:highlight w:val="none"/>
        </w:rPr>
      </w:pPr>
      <w:bookmarkStart w:id="9" w:name="_Toc269307518"/>
      <w:bookmarkStart w:id="10" w:name="_Toc269301065"/>
      <w:bookmarkStart w:id="11" w:name="_Toc378163284"/>
      <w:r>
        <w:rPr>
          <w:rFonts w:hint="eastAsia"/>
          <w:sz w:val="24"/>
          <w:highlight w:val="none"/>
        </w:rPr>
        <w:t>合同标的</w:t>
      </w:r>
      <w:bookmarkEnd w:id="9"/>
      <w:bookmarkEnd w:id="10"/>
      <w:bookmarkEnd w:id="11"/>
    </w:p>
    <w:p>
      <w:pPr>
        <w:numPr>
          <w:ilvl w:val="1"/>
          <w:numId w:val="16"/>
        </w:numPr>
        <w:tabs>
          <w:tab w:val="left" w:pos="709"/>
          <w:tab w:val="clear" w:pos="562"/>
        </w:tabs>
        <w:spacing w:line="360" w:lineRule="auto"/>
        <w:ind w:left="709" w:hanging="709"/>
        <w:rPr>
          <w:sz w:val="24"/>
          <w:highlight w:val="none"/>
        </w:rPr>
      </w:pPr>
      <w:r>
        <w:rPr>
          <w:rFonts w:hint="eastAsia"/>
          <w:sz w:val="24"/>
          <w:highlight w:val="none"/>
        </w:rPr>
        <w:t>卖方应根据本合同的规定向买方销售软件产品，且就软件产品提供培训、售后等相关服务。</w:t>
      </w:r>
    </w:p>
    <w:p>
      <w:pPr>
        <w:numPr>
          <w:ilvl w:val="1"/>
          <w:numId w:val="16"/>
        </w:numPr>
        <w:tabs>
          <w:tab w:val="left" w:pos="709"/>
          <w:tab w:val="clear" w:pos="562"/>
        </w:tabs>
        <w:spacing w:line="360" w:lineRule="auto"/>
        <w:ind w:left="709" w:hanging="709"/>
        <w:rPr>
          <w:sz w:val="24"/>
          <w:highlight w:val="none"/>
        </w:rPr>
      </w:pPr>
      <w:r>
        <w:rPr>
          <w:rFonts w:hAnsi="宋体"/>
          <w:sz w:val="24"/>
          <w:highlight w:val="none"/>
        </w:rPr>
        <w:t>软件产品的品牌、原产商、产地、型号、规格、数量</w:t>
      </w:r>
      <w:r>
        <w:rPr>
          <w:rFonts w:hint="eastAsia" w:hAnsi="宋体"/>
          <w:sz w:val="24"/>
          <w:highlight w:val="none"/>
        </w:rPr>
        <w:t>、</w:t>
      </w:r>
      <w:r>
        <w:rPr>
          <w:rFonts w:hAnsi="宋体"/>
          <w:sz w:val="24"/>
          <w:highlight w:val="none"/>
        </w:rPr>
        <w:t>详细配置及版本</w:t>
      </w:r>
      <w:r>
        <w:rPr>
          <w:rFonts w:hint="eastAsia" w:hAnsi="宋体"/>
          <w:sz w:val="24"/>
          <w:highlight w:val="none"/>
        </w:rPr>
        <w:t>【</w:t>
      </w:r>
      <w:r>
        <w:rPr>
          <w:rFonts w:hAnsi="宋体"/>
          <w:i/>
          <w:sz w:val="24"/>
          <w:highlight w:val="none"/>
        </w:rPr>
        <w:t>详见本合同附件</w:t>
      </w:r>
      <w:r>
        <w:rPr>
          <w:rFonts w:hint="eastAsia" w:ascii="宋体" w:hAnsi="宋体"/>
          <w:i/>
          <w:sz w:val="24"/>
          <w:highlight w:val="none"/>
        </w:rPr>
        <w:t>一</w:t>
      </w:r>
      <w:r>
        <w:rPr>
          <w:rFonts w:hint="eastAsia" w:ascii="宋体" w:hAnsi="宋体"/>
          <w:sz w:val="24"/>
          <w:highlight w:val="none"/>
        </w:rPr>
        <w:t>】</w:t>
      </w:r>
      <w:r>
        <w:rPr>
          <w:rFonts w:hAnsi="宋体"/>
          <w:sz w:val="24"/>
          <w:highlight w:val="none"/>
        </w:rPr>
        <w:t>。</w:t>
      </w:r>
    </w:p>
    <w:p>
      <w:pPr>
        <w:numPr>
          <w:ilvl w:val="1"/>
          <w:numId w:val="16"/>
        </w:numPr>
        <w:tabs>
          <w:tab w:val="left" w:pos="709"/>
          <w:tab w:val="clear" w:pos="562"/>
        </w:tabs>
        <w:spacing w:line="360" w:lineRule="auto"/>
        <w:ind w:left="709" w:hanging="709"/>
        <w:rPr>
          <w:sz w:val="24"/>
          <w:highlight w:val="none"/>
        </w:rPr>
      </w:pPr>
      <w:r>
        <w:rPr>
          <w:rFonts w:hint="eastAsia"/>
          <w:sz w:val="24"/>
          <w:highlight w:val="none"/>
        </w:rPr>
        <w:t>卖方提供的软件产品资料【</w:t>
      </w:r>
      <w:r>
        <w:rPr>
          <w:rFonts w:hint="eastAsia"/>
          <w:i/>
          <w:sz w:val="24"/>
          <w:highlight w:val="none"/>
        </w:rPr>
        <w:t>详见本合同附件二</w:t>
      </w:r>
      <w:r>
        <w:rPr>
          <w:rFonts w:hint="eastAsia"/>
          <w:sz w:val="24"/>
          <w:highlight w:val="none"/>
        </w:rPr>
        <w:t>】</w:t>
      </w:r>
      <w:r>
        <w:rPr>
          <w:rFonts w:hint="eastAsia" w:hAnsi="宋体"/>
          <w:spacing w:val="20"/>
          <w:sz w:val="24"/>
          <w:highlight w:val="none"/>
        </w:rPr>
        <w:t>。</w:t>
      </w:r>
    </w:p>
    <w:p>
      <w:pPr>
        <w:tabs>
          <w:tab w:val="left" w:pos="709"/>
        </w:tabs>
        <w:spacing w:line="360" w:lineRule="auto"/>
        <w:ind w:left="709"/>
        <w:rPr>
          <w:sz w:val="24"/>
          <w:highlight w:val="none"/>
        </w:rPr>
      </w:pPr>
    </w:p>
    <w:p>
      <w:pPr>
        <w:pStyle w:val="17"/>
        <w:numPr>
          <w:ilvl w:val="0"/>
          <w:numId w:val="13"/>
        </w:numPr>
        <w:tabs>
          <w:tab w:val="left" w:pos="0"/>
        </w:tabs>
        <w:spacing w:before="360" w:after="360" w:line="360" w:lineRule="auto"/>
        <w:ind w:left="0" w:firstLine="0"/>
        <w:rPr>
          <w:rFonts w:hAnsi="宋体"/>
          <w:sz w:val="24"/>
          <w:highlight w:val="none"/>
        </w:rPr>
      </w:pPr>
      <w:bookmarkStart w:id="12" w:name="_Toc269301066"/>
      <w:bookmarkStart w:id="13" w:name="_Toc269307519"/>
      <w:bookmarkStart w:id="14" w:name="_Toc378163285"/>
      <w:r>
        <w:rPr>
          <w:rFonts w:hAnsi="宋体"/>
          <w:sz w:val="24"/>
          <w:highlight w:val="none"/>
        </w:rPr>
        <w:t>合同</w:t>
      </w:r>
      <w:r>
        <w:rPr>
          <w:sz w:val="24"/>
          <w:highlight w:val="none"/>
        </w:rPr>
        <w:t>总</w:t>
      </w:r>
      <w:r>
        <w:rPr>
          <w:rFonts w:hint="eastAsia"/>
          <w:sz w:val="24"/>
          <w:highlight w:val="none"/>
        </w:rPr>
        <w:t>价</w:t>
      </w:r>
      <w:bookmarkEnd w:id="12"/>
      <w:bookmarkEnd w:id="13"/>
      <w:r>
        <w:rPr>
          <w:rFonts w:hint="eastAsia"/>
          <w:sz w:val="24"/>
          <w:highlight w:val="none"/>
        </w:rPr>
        <w:t>和付款</w:t>
      </w:r>
      <w:bookmarkEnd w:id="14"/>
    </w:p>
    <w:p>
      <w:pPr>
        <w:numPr>
          <w:ilvl w:val="0"/>
          <w:numId w:val="17"/>
        </w:numPr>
        <w:tabs>
          <w:tab w:val="left" w:pos="709"/>
          <w:tab w:val="clear" w:pos="840"/>
        </w:tabs>
        <w:spacing w:line="360" w:lineRule="auto"/>
        <w:ind w:left="709" w:hanging="709"/>
        <w:rPr>
          <w:sz w:val="24"/>
          <w:highlight w:val="none"/>
        </w:rPr>
      </w:pPr>
      <w:r>
        <w:rPr>
          <w:rFonts w:hint="eastAsia"/>
          <w:sz w:val="24"/>
          <w:highlight w:val="none"/>
        </w:rPr>
        <w:t>双方经协商一致，最终确定合同总价为</w:t>
      </w:r>
      <w:r>
        <w:rPr>
          <w:rFonts w:hAnsi="宋体"/>
          <w:sz w:val="24"/>
          <w:highlight w:val="none"/>
        </w:rPr>
        <w:t>【</w:t>
      </w:r>
      <w:r>
        <w:rPr>
          <w:rFonts w:hint="eastAsia" w:hAnsi="宋体"/>
          <w:i/>
          <w:sz w:val="24"/>
          <w:highlight w:val="none"/>
        </w:rPr>
        <w:t>填入币种英文简写，如</w:t>
      </w:r>
      <w:r>
        <w:rPr>
          <w:rFonts w:hAnsi="宋体"/>
          <w:i/>
          <w:sz w:val="24"/>
          <w:highlight w:val="none"/>
        </w:rPr>
        <w:t>RMB</w:t>
      </w:r>
      <w:r>
        <w:rPr>
          <w:rFonts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】（大写：</w:t>
      </w:r>
      <w:r>
        <w:rPr>
          <w:rFonts w:hAnsi="宋体"/>
          <w:sz w:val="24"/>
          <w:highlight w:val="none"/>
        </w:rPr>
        <w:t>【</w:t>
      </w:r>
      <w:r>
        <w:rPr>
          <w:rFonts w:hint="eastAsia" w:hAnsi="宋体"/>
          <w:i/>
          <w:sz w:val="24"/>
          <w:highlight w:val="none"/>
        </w:rPr>
        <w:t>填入币种中文名称，如人民币</w:t>
      </w:r>
      <w:r>
        <w:rPr>
          <w:rFonts w:hAnsi="宋体"/>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】）。合同总价的各分项价格和组成【</w:t>
      </w:r>
      <w:r>
        <w:rPr>
          <w:rFonts w:hint="eastAsia"/>
          <w:i/>
          <w:sz w:val="24"/>
          <w:highlight w:val="none"/>
        </w:rPr>
        <w:t>详见本合同附件三</w:t>
      </w:r>
      <w:r>
        <w:rPr>
          <w:rFonts w:hint="eastAsia"/>
          <w:sz w:val="24"/>
          <w:highlight w:val="none"/>
        </w:rPr>
        <w:t>】。合同总价系卖方完整履行本合同，买方应当支付的全部对价和报酬。合同总价为无条件最终封顶价格，不受通货膨胀、利率、汇率、税费、成本及市场等因素变化的影响。</w:t>
      </w:r>
    </w:p>
    <w:p>
      <w:pPr>
        <w:numPr>
          <w:ilvl w:val="0"/>
          <w:numId w:val="17"/>
        </w:numPr>
        <w:tabs>
          <w:tab w:val="left" w:pos="709"/>
          <w:tab w:val="clear" w:pos="840"/>
        </w:tabs>
        <w:spacing w:line="360" w:lineRule="auto"/>
        <w:ind w:left="709" w:hanging="709"/>
        <w:rPr>
          <w:rFonts w:hint="eastAsia"/>
          <w:sz w:val="24"/>
          <w:highlight w:val="none"/>
        </w:rPr>
      </w:pPr>
      <w:r>
        <w:rPr>
          <w:rFonts w:hint="eastAsia"/>
          <w:sz w:val="24"/>
          <w:highlight w:val="none"/>
        </w:rPr>
        <w:t>合同总价包括软件产品成本、易耗品和易耗材料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等。除买方同意某项费用属于额外的工作项目需另行支付费用外，买方不向卖方支付任何超出合同总价的款项。</w:t>
      </w:r>
    </w:p>
    <w:p>
      <w:pPr>
        <w:numPr>
          <w:ilvl w:val="0"/>
          <w:numId w:val="17"/>
        </w:numPr>
        <w:tabs>
          <w:tab w:val="left" w:pos="709"/>
          <w:tab w:val="clear" w:pos="840"/>
        </w:tabs>
        <w:spacing w:line="360" w:lineRule="auto"/>
        <w:ind w:left="709" w:hanging="709"/>
        <w:rPr>
          <w:sz w:val="24"/>
          <w:highlight w:val="none"/>
        </w:rPr>
      </w:pPr>
      <w:r>
        <w:rPr>
          <w:rFonts w:hint="eastAsia"/>
          <w:sz w:val="24"/>
          <w:highlight w:val="none"/>
        </w:rPr>
        <w:t>双方应根据法律法规各自承担其应承担的与本合同有关的所有税费。买方有权根据法律法规和本合同的规定从应支付给卖方的合同价款中扣除应由买方代扣、代缴的卖方应付税费，但应向卖方提供完税证明。</w:t>
      </w:r>
    </w:p>
    <w:p>
      <w:pPr>
        <w:numPr>
          <w:ilvl w:val="0"/>
          <w:numId w:val="17"/>
        </w:numPr>
        <w:tabs>
          <w:tab w:val="left" w:pos="709"/>
          <w:tab w:val="clear" w:pos="840"/>
        </w:tabs>
        <w:spacing w:line="360" w:lineRule="auto"/>
        <w:ind w:left="709" w:hanging="709"/>
        <w:rPr>
          <w:sz w:val="24"/>
          <w:highlight w:val="none"/>
        </w:rPr>
      </w:pPr>
      <w:r>
        <w:rPr>
          <w:rFonts w:hint="eastAsia"/>
          <w:sz w:val="24"/>
          <w:highlight w:val="none"/>
        </w:rPr>
        <w:t>本合同项下的</w:t>
      </w:r>
      <w:r>
        <w:rPr>
          <w:sz w:val="24"/>
          <w:highlight w:val="none"/>
        </w:rPr>
        <w:t>付款方式</w:t>
      </w:r>
      <w:r>
        <w:rPr>
          <w:rFonts w:hint="eastAsia"/>
          <w:sz w:val="24"/>
          <w:highlight w:val="none"/>
        </w:rPr>
        <w:t>为</w:t>
      </w:r>
      <w:r>
        <w:rPr>
          <w:sz w:val="24"/>
          <w:highlight w:val="none"/>
        </w:rPr>
        <w:t>：</w:t>
      </w:r>
      <w:r>
        <w:rPr>
          <w:rFonts w:hint="eastAsia" w:hAnsi="宋体"/>
          <w:sz w:val="24"/>
          <w:highlight w:val="none"/>
        </w:rPr>
        <w:t>【</w:t>
      </w:r>
      <w:r>
        <w:rPr>
          <w:rFonts w:hint="eastAsia"/>
          <w:color w:val="000000"/>
          <w:sz w:val="24"/>
          <w:highlight w:val="none"/>
        </w:rPr>
        <w:t>□银行电汇；□</w:t>
      </w:r>
      <w:r>
        <w:rPr>
          <w:rFonts w:hint="eastAsia" w:hAnsi="宋体"/>
          <w:sz w:val="24"/>
          <w:highlight w:val="none"/>
        </w:rPr>
        <w:t>其他</w:t>
      </w:r>
      <w:r>
        <w:rPr>
          <w:rFonts w:hint="eastAsia" w:hAnsi="宋体"/>
          <w:sz w:val="24"/>
          <w:highlight w:val="none"/>
          <w:u w:val="single"/>
        </w:rPr>
        <w:t xml:space="preserve">   </w:t>
      </w:r>
      <w:r>
        <w:rPr>
          <w:rFonts w:hint="eastAsia" w:hAnsi="宋体"/>
          <w:sz w:val="24"/>
          <w:highlight w:val="none"/>
        </w:rPr>
        <w:t>】</w:t>
      </w:r>
      <w:r>
        <w:rPr>
          <w:rFonts w:hint="eastAsia"/>
          <w:sz w:val="24"/>
          <w:highlight w:val="none"/>
        </w:rPr>
        <w:t>。</w:t>
      </w:r>
      <w:r>
        <w:rPr>
          <w:sz w:val="24"/>
          <w:highlight w:val="none"/>
        </w:rPr>
        <w:t xml:space="preserve"> </w:t>
      </w:r>
      <w:r>
        <w:rPr>
          <w:rFonts w:hint="eastAsia"/>
          <w:sz w:val="24"/>
          <w:highlight w:val="none"/>
        </w:rPr>
        <w:t xml:space="preserve">   </w:t>
      </w:r>
      <w:r>
        <w:rPr>
          <w:sz w:val="24"/>
          <w:highlight w:val="none"/>
        </w:rPr>
        <w:t xml:space="preserve">      </w:t>
      </w:r>
    </w:p>
    <w:p>
      <w:pPr>
        <w:numPr>
          <w:ilvl w:val="0"/>
          <w:numId w:val="17"/>
        </w:numPr>
        <w:tabs>
          <w:tab w:val="left" w:pos="709"/>
          <w:tab w:val="clear" w:pos="840"/>
        </w:tabs>
        <w:spacing w:line="360" w:lineRule="auto"/>
        <w:ind w:left="709" w:hanging="709"/>
        <w:rPr>
          <w:rFonts w:hAnsi="宋体"/>
          <w:sz w:val="24"/>
          <w:highlight w:val="none"/>
        </w:rPr>
      </w:pPr>
      <w:r>
        <w:rPr>
          <w:rFonts w:hAnsi="宋体"/>
          <w:sz w:val="24"/>
          <w:highlight w:val="none"/>
        </w:rPr>
        <w:t>买方收到卖方提供的软件产品，经验收合格</w:t>
      </w:r>
      <w:r>
        <w:rPr>
          <w:rFonts w:hint="eastAsia" w:hAnsi="宋体"/>
          <w:sz w:val="24"/>
          <w:highlight w:val="none"/>
        </w:rPr>
        <w:t>后</w:t>
      </w:r>
      <w:r>
        <w:rPr>
          <w:rFonts w:hAnsi="宋体"/>
          <w:sz w:val="24"/>
          <w:highlight w:val="none"/>
        </w:rPr>
        <w:t>向卖方支付合同</w:t>
      </w:r>
      <w:r>
        <w:rPr>
          <w:rFonts w:hint="eastAsia" w:hAnsi="宋体"/>
          <w:sz w:val="24"/>
          <w:highlight w:val="none"/>
        </w:rPr>
        <w:t>总价</w:t>
      </w:r>
      <w:r>
        <w:rPr>
          <w:rFonts w:hAnsi="宋体"/>
          <w:sz w:val="24"/>
          <w:highlight w:val="none"/>
        </w:rPr>
        <w:t>的</w:t>
      </w:r>
      <w:r>
        <w:rPr>
          <w:rFonts w:hint="eastAsia" w:hAnsi="宋体"/>
          <w:sz w:val="24"/>
          <w:highlight w:val="none"/>
        </w:rPr>
        <w:t>【</w:t>
      </w:r>
      <w:r>
        <w:rPr>
          <w:rFonts w:hint="eastAsia"/>
          <w:i/>
          <w:sz w:val="24"/>
          <w:highlight w:val="none"/>
        </w:rPr>
        <w:t>100</w:t>
      </w:r>
      <w:r>
        <w:rPr>
          <w:i/>
          <w:sz w:val="24"/>
          <w:highlight w:val="none"/>
        </w:rPr>
        <w:t>%</w:t>
      </w:r>
      <w:r>
        <w:rPr>
          <w:rFonts w:hint="eastAsia"/>
          <w:sz w:val="24"/>
          <w:highlight w:val="none"/>
        </w:rPr>
        <w:t>】，</w:t>
      </w:r>
      <w:r>
        <w:rPr>
          <w:rFonts w:hAnsi="宋体"/>
          <w:sz w:val="24"/>
          <w:highlight w:val="none"/>
        </w:rPr>
        <w:t>即【</w:t>
      </w:r>
      <w:r>
        <w:rPr>
          <w:rFonts w:hint="eastAsia" w:hAnsi="宋体"/>
          <w:i/>
          <w:sz w:val="24"/>
          <w:highlight w:val="none"/>
        </w:rPr>
        <w:t>填入币种英文简写，如</w:t>
      </w:r>
      <w:r>
        <w:rPr>
          <w:rFonts w:hAnsi="宋体"/>
          <w:i/>
          <w:sz w:val="24"/>
          <w:highlight w:val="none"/>
        </w:rPr>
        <w:t>RMB</w:t>
      </w:r>
      <w:r>
        <w:rPr>
          <w:rFonts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Ansi="宋体"/>
          <w:sz w:val="24"/>
          <w:highlight w:val="none"/>
        </w:rPr>
        <w:t>（大写：【</w:t>
      </w:r>
      <w:r>
        <w:rPr>
          <w:rFonts w:hint="eastAsia" w:hAnsi="宋体"/>
          <w:i/>
          <w:sz w:val="24"/>
          <w:highlight w:val="none"/>
        </w:rPr>
        <w:t>填入币种中文名称，如人民币</w:t>
      </w:r>
      <w:r>
        <w:rPr>
          <w:rFonts w:hAnsi="宋体"/>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pPr>
        <w:numPr>
          <w:ilvl w:val="0"/>
          <w:numId w:val="17"/>
        </w:numPr>
        <w:tabs>
          <w:tab w:val="left" w:pos="709"/>
          <w:tab w:val="clear" w:pos="840"/>
        </w:tabs>
        <w:spacing w:line="360" w:lineRule="auto"/>
        <w:ind w:left="709" w:hanging="709"/>
        <w:rPr>
          <w:sz w:val="24"/>
          <w:highlight w:val="none"/>
        </w:rPr>
      </w:pPr>
      <w:r>
        <w:rPr>
          <w:rFonts w:hint="eastAsia"/>
          <w:sz w:val="24"/>
          <w:highlight w:val="none"/>
        </w:rPr>
        <w:t>卖方应</w:t>
      </w:r>
      <w:r>
        <w:rPr>
          <w:rFonts w:hint="eastAsia"/>
          <w:color w:val="000000"/>
          <w:sz w:val="24"/>
          <w:highlight w:val="none"/>
        </w:rPr>
        <w:t>根据</w:t>
      </w:r>
      <w:r>
        <w:rPr>
          <w:rFonts w:hint="eastAsia"/>
          <w:sz w:val="24"/>
          <w:highlight w:val="none"/>
        </w:rPr>
        <w:t>合同规定的付款条件和进度，提前向买方开具有效税务发票并提供相关支持文件。如卖方提供的服务属于增值税应税范围，卖方应为买方开具增值税专用发票。如卖方未开具有效税务发票并提供相关支持文件，买方有权拒付相关合同价款。如果买方对卖方出具的有效税务发票和提供的相关支持文件无异议，应于收到该等发票和相关支持文件之日起【</w:t>
      </w:r>
      <w:r>
        <w:rPr>
          <w:rFonts w:hint="eastAsia"/>
          <w:i/>
          <w:sz w:val="24"/>
          <w:highlight w:val="none"/>
        </w:rPr>
        <w:t>填入天数，如四十五（45）</w:t>
      </w:r>
      <w:r>
        <w:rPr>
          <w:rFonts w:hint="eastAsia"/>
          <w:sz w:val="24"/>
          <w:highlight w:val="none"/>
        </w:rPr>
        <w:t>】日内向卖方付款。如买方对卖方开具的该等发票和相关支持文件有异议，应于收到发票及相关支持文件后合理期限内通知卖方，卖方应重新开具发票和相关支持文件，买方应于收到卖方重新开具的发票和相关支持文件后【</w:t>
      </w:r>
      <w:r>
        <w:rPr>
          <w:rFonts w:hint="eastAsia"/>
          <w:i/>
          <w:sz w:val="24"/>
          <w:highlight w:val="none"/>
        </w:rPr>
        <w:t>填入天数，如四十五（</w:t>
      </w:r>
      <w:r>
        <w:rPr>
          <w:i/>
          <w:sz w:val="24"/>
          <w:highlight w:val="none"/>
        </w:rPr>
        <w:t>45</w:t>
      </w:r>
      <w:r>
        <w:rPr>
          <w:rFonts w:hint="eastAsia"/>
          <w:i/>
          <w:sz w:val="24"/>
          <w:highlight w:val="none"/>
        </w:rPr>
        <w:t>）</w:t>
      </w:r>
      <w:r>
        <w:rPr>
          <w:rFonts w:hint="eastAsia"/>
          <w:sz w:val="24"/>
          <w:highlight w:val="none"/>
        </w:rPr>
        <w:t>】日内向卖方付款。</w:t>
      </w:r>
    </w:p>
    <w:p>
      <w:pPr>
        <w:numPr>
          <w:ilvl w:val="0"/>
          <w:numId w:val="17"/>
        </w:numPr>
        <w:tabs>
          <w:tab w:val="left" w:pos="709"/>
          <w:tab w:val="clear" w:pos="840"/>
        </w:tabs>
        <w:spacing w:line="360" w:lineRule="auto"/>
        <w:ind w:left="709" w:hanging="709"/>
        <w:rPr>
          <w:sz w:val="24"/>
          <w:highlight w:val="none"/>
        </w:rPr>
      </w:pPr>
      <w:r>
        <w:rPr>
          <w:rFonts w:hint="eastAsia" w:hAnsi="宋体"/>
          <w:sz w:val="24"/>
          <w:highlight w:val="none"/>
        </w:rPr>
        <w:t>卖方</w:t>
      </w:r>
      <w:r>
        <w:rPr>
          <w:rFonts w:hAnsi="宋体"/>
          <w:sz w:val="24"/>
          <w:highlight w:val="none"/>
        </w:rPr>
        <w:t>账户</w:t>
      </w:r>
    </w:p>
    <w:p>
      <w:pPr>
        <w:tabs>
          <w:tab w:val="left" w:pos="709"/>
          <w:tab w:val="left" w:pos="1418"/>
        </w:tabs>
        <w:spacing w:line="360" w:lineRule="auto"/>
        <w:ind w:left="674" w:leftChars="337"/>
        <w:rPr>
          <w:sz w:val="24"/>
          <w:highlight w:val="none"/>
        </w:rPr>
      </w:pPr>
      <w:r>
        <w:rPr>
          <w:sz w:val="24"/>
          <w:highlight w:val="none"/>
        </w:rPr>
        <w:t>卖方应通过如下账户收取合同总价及其它款项，并通过该账户向买方支付与合同有关的任何款项：</w:t>
      </w:r>
    </w:p>
    <w:p>
      <w:pPr>
        <w:tabs>
          <w:tab w:val="left" w:pos="709"/>
          <w:tab w:val="left" w:pos="1418"/>
        </w:tabs>
        <w:spacing w:line="360" w:lineRule="auto"/>
        <w:ind w:left="674" w:leftChars="337" w:right="3460" w:rightChars="1730"/>
        <w:rPr>
          <w:sz w:val="24"/>
          <w:highlight w:val="none"/>
        </w:rPr>
      </w:pPr>
      <w:r>
        <w:rPr>
          <w:sz w:val="24"/>
          <w:highlight w:val="none"/>
        </w:rPr>
        <w:t>卖方名称：</w:t>
      </w:r>
      <w:r>
        <w:rPr>
          <w:rFonts w:hint="eastAsia"/>
          <w:sz w:val="24"/>
          <w:highlight w:val="none"/>
          <w:u w:val="single"/>
        </w:rPr>
        <w:t xml:space="preserve">                            </w:t>
      </w:r>
    </w:p>
    <w:p>
      <w:pPr>
        <w:tabs>
          <w:tab w:val="left" w:pos="709"/>
          <w:tab w:val="left" w:pos="1418"/>
        </w:tabs>
        <w:spacing w:line="360" w:lineRule="auto"/>
        <w:ind w:left="674" w:leftChars="337" w:right="3460" w:rightChars="1730"/>
        <w:rPr>
          <w:sz w:val="24"/>
          <w:highlight w:val="none"/>
        </w:rPr>
      </w:pPr>
      <w:r>
        <w:rPr>
          <w:sz w:val="24"/>
          <w:highlight w:val="none"/>
        </w:rPr>
        <w:t>账号：</w:t>
      </w:r>
      <w:r>
        <w:rPr>
          <w:rFonts w:hint="eastAsia"/>
          <w:sz w:val="24"/>
          <w:highlight w:val="none"/>
          <w:u w:val="single"/>
        </w:rPr>
        <w:t xml:space="preserve">                            </w:t>
      </w:r>
    </w:p>
    <w:p>
      <w:pPr>
        <w:tabs>
          <w:tab w:val="left" w:pos="709"/>
          <w:tab w:val="left" w:pos="1418"/>
        </w:tabs>
        <w:spacing w:line="360" w:lineRule="auto"/>
        <w:ind w:left="674" w:leftChars="337" w:right="3460" w:rightChars="1730"/>
        <w:rPr>
          <w:sz w:val="24"/>
          <w:highlight w:val="none"/>
        </w:rPr>
      </w:pPr>
      <w:r>
        <w:rPr>
          <w:sz w:val="24"/>
          <w:highlight w:val="none"/>
        </w:rPr>
        <w:t>开户行名称：</w:t>
      </w:r>
      <w:r>
        <w:rPr>
          <w:rFonts w:hint="eastAsia"/>
          <w:sz w:val="24"/>
          <w:highlight w:val="none"/>
          <w:u w:val="single"/>
        </w:rPr>
        <w:t xml:space="preserve">                          </w:t>
      </w:r>
    </w:p>
    <w:p>
      <w:pPr>
        <w:tabs>
          <w:tab w:val="left" w:pos="709"/>
          <w:tab w:val="left" w:pos="1418"/>
        </w:tabs>
        <w:spacing w:line="360" w:lineRule="auto"/>
        <w:ind w:left="674" w:leftChars="337" w:right="3460" w:rightChars="1730"/>
        <w:rPr>
          <w:sz w:val="24"/>
          <w:highlight w:val="none"/>
        </w:rPr>
      </w:pPr>
      <w:r>
        <w:rPr>
          <w:sz w:val="24"/>
          <w:highlight w:val="none"/>
        </w:rPr>
        <w:t>开户行地址：</w:t>
      </w:r>
      <w:r>
        <w:rPr>
          <w:rFonts w:hint="eastAsia"/>
          <w:sz w:val="24"/>
          <w:highlight w:val="none"/>
          <w:u w:val="single"/>
        </w:rPr>
        <w:t xml:space="preserve">                          </w:t>
      </w:r>
    </w:p>
    <w:p>
      <w:pPr>
        <w:pStyle w:val="17"/>
        <w:numPr>
          <w:ilvl w:val="0"/>
          <w:numId w:val="13"/>
        </w:numPr>
        <w:tabs>
          <w:tab w:val="left" w:pos="0"/>
        </w:tabs>
        <w:spacing w:before="360" w:after="360" w:line="360" w:lineRule="auto"/>
        <w:ind w:left="0" w:firstLine="0"/>
        <w:rPr>
          <w:sz w:val="24"/>
          <w:highlight w:val="none"/>
        </w:rPr>
      </w:pPr>
      <w:bookmarkStart w:id="15" w:name="_Toc378163286"/>
      <w:bookmarkStart w:id="16" w:name="_Toc269307520"/>
      <w:bookmarkStart w:id="17" w:name="_Toc269301067"/>
      <w:r>
        <w:rPr>
          <w:rFonts w:hint="eastAsia"/>
          <w:sz w:val="24"/>
          <w:highlight w:val="none"/>
        </w:rPr>
        <w:t>软件产品的交付</w:t>
      </w:r>
      <w:bookmarkEnd w:id="15"/>
      <w:bookmarkEnd w:id="16"/>
      <w:bookmarkEnd w:id="17"/>
    </w:p>
    <w:p>
      <w:pPr>
        <w:numPr>
          <w:ilvl w:val="0"/>
          <w:numId w:val="18"/>
        </w:numPr>
        <w:tabs>
          <w:tab w:val="left" w:pos="709"/>
          <w:tab w:val="clear" w:pos="562"/>
        </w:tabs>
        <w:spacing w:line="360" w:lineRule="auto"/>
        <w:ind w:left="720" w:hanging="720"/>
        <w:rPr>
          <w:sz w:val="24"/>
          <w:highlight w:val="none"/>
        </w:rPr>
      </w:pPr>
      <w:r>
        <w:rPr>
          <w:rFonts w:hint="eastAsia" w:hAnsi="宋体"/>
          <w:sz w:val="24"/>
          <w:highlight w:val="none"/>
        </w:rPr>
        <w:t>交货日期</w:t>
      </w:r>
    </w:p>
    <w:p>
      <w:pPr>
        <w:numPr>
          <w:ilvl w:val="0"/>
          <w:numId w:val="19"/>
        </w:numPr>
        <w:tabs>
          <w:tab w:val="left" w:pos="1276"/>
        </w:tabs>
        <w:spacing w:line="360" w:lineRule="auto"/>
        <w:ind w:left="1276" w:hanging="567"/>
        <w:rPr>
          <w:sz w:val="24"/>
          <w:highlight w:val="none"/>
        </w:rPr>
      </w:pPr>
      <w:r>
        <w:rPr>
          <w:rFonts w:hAnsi="宋体"/>
          <w:sz w:val="24"/>
          <w:highlight w:val="none"/>
        </w:rPr>
        <w:t>卖方应</w:t>
      </w:r>
      <w:r>
        <w:rPr>
          <w:rFonts w:hint="eastAsia" w:hAnsi="宋体"/>
          <w:sz w:val="24"/>
          <w:highlight w:val="none"/>
        </w:rPr>
        <w:t>于【●】年【●】月【●】日（“交货日期”）前交付软件产品</w:t>
      </w:r>
      <w:r>
        <w:rPr>
          <w:rFonts w:hAnsi="宋体"/>
          <w:sz w:val="24"/>
          <w:highlight w:val="none"/>
        </w:rPr>
        <w:t>。</w:t>
      </w:r>
    </w:p>
    <w:p>
      <w:pPr>
        <w:numPr>
          <w:ilvl w:val="0"/>
          <w:numId w:val="19"/>
        </w:numPr>
        <w:tabs>
          <w:tab w:val="left" w:pos="1276"/>
        </w:tabs>
        <w:spacing w:line="360" w:lineRule="auto"/>
        <w:ind w:left="1276" w:hanging="567"/>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要求卖方延期交付软件产品，但买方应在交货日期前【</w:t>
      </w:r>
      <w:r>
        <w:rPr>
          <w:rFonts w:hint="eastAsia" w:hAnsi="宋体"/>
          <w:i/>
          <w:sz w:val="24"/>
          <w:highlight w:val="none"/>
        </w:rPr>
        <w:t>填入天数</w:t>
      </w:r>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pPr>
        <w:numPr>
          <w:ilvl w:val="0"/>
          <w:numId w:val="18"/>
        </w:numPr>
        <w:tabs>
          <w:tab w:val="left" w:pos="709"/>
          <w:tab w:val="clear" w:pos="562"/>
        </w:tabs>
        <w:spacing w:line="360" w:lineRule="auto"/>
        <w:ind w:left="720" w:hanging="720"/>
        <w:rPr>
          <w:sz w:val="24"/>
          <w:highlight w:val="none"/>
        </w:rPr>
      </w:pPr>
      <w:r>
        <w:rPr>
          <w:rFonts w:hint="eastAsia"/>
          <w:sz w:val="24"/>
          <w:highlight w:val="none"/>
        </w:rPr>
        <w:t>交货地点：【</w:t>
      </w:r>
      <w:r>
        <w:rPr>
          <w:rFonts w:hint="eastAsia"/>
          <w:i/>
          <w:sz w:val="24"/>
          <w:highlight w:val="none"/>
        </w:rPr>
        <w:t>填入交货地点</w:t>
      </w:r>
      <w:r>
        <w:rPr>
          <w:rFonts w:hint="eastAsia"/>
          <w:sz w:val="24"/>
          <w:highlight w:val="none"/>
        </w:rPr>
        <w:t>】。</w:t>
      </w:r>
    </w:p>
    <w:p>
      <w:pPr>
        <w:numPr>
          <w:ilvl w:val="0"/>
          <w:numId w:val="18"/>
        </w:numPr>
        <w:tabs>
          <w:tab w:val="left" w:pos="709"/>
          <w:tab w:val="clear" w:pos="562"/>
        </w:tabs>
        <w:spacing w:line="360" w:lineRule="auto"/>
        <w:ind w:left="720" w:hanging="720"/>
        <w:rPr>
          <w:sz w:val="24"/>
          <w:highlight w:val="none"/>
        </w:rPr>
      </w:pPr>
      <w:r>
        <w:rPr>
          <w:rFonts w:hint="eastAsia"/>
          <w:sz w:val="24"/>
          <w:highlight w:val="none"/>
        </w:rPr>
        <w:t>交付方式：</w:t>
      </w:r>
    </w:p>
    <w:p>
      <w:pPr>
        <w:spacing w:line="360" w:lineRule="auto"/>
        <w:ind w:left="720"/>
        <w:rPr>
          <w:i/>
          <w:sz w:val="24"/>
          <w:highlight w:val="none"/>
          <w:u w:val="single"/>
        </w:rPr>
      </w:pPr>
      <w:r>
        <w:rPr>
          <w:rFonts w:hint="eastAsia"/>
          <w:i/>
          <w:sz w:val="24"/>
          <w:highlight w:val="none"/>
          <w:u w:val="single"/>
        </w:rPr>
        <w:t>从下列选项中选择一项，将不适用的选项删除</w:t>
      </w:r>
    </w:p>
    <w:p>
      <w:pPr>
        <w:spacing w:line="360" w:lineRule="auto"/>
        <w:ind w:left="720"/>
        <w:rPr>
          <w:i/>
          <w:sz w:val="24"/>
          <w:highlight w:val="none"/>
          <w:u w:val="single"/>
        </w:rPr>
      </w:pPr>
      <w:r>
        <w:rPr>
          <w:rFonts w:hint="eastAsia"/>
          <w:i/>
          <w:sz w:val="24"/>
          <w:highlight w:val="none"/>
          <w:u w:val="single"/>
        </w:rPr>
        <w:t>选项一：</w:t>
      </w:r>
    </w:p>
    <w:p>
      <w:pPr>
        <w:spacing w:line="360" w:lineRule="auto"/>
        <w:ind w:left="720"/>
        <w:rPr>
          <w:sz w:val="24"/>
          <w:highlight w:val="none"/>
        </w:rPr>
      </w:pPr>
      <w:r>
        <w:rPr>
          <w:rFonts w:hint="eastAsia"/>
          <w:sz w:val="24"/>
          <w:highlight w:val="none"/>
        </w:rPr>
        <w:t>卖方向买方交付软件产品存储介质。</w:t>
      </w:r>
    </w:p>
    <w:p>
      <w:pPr>
        <w:spacing w:line="360" w:lineRule="auto"/>
        <w:ind w:left="720"/>
        <w:rPr>
          <w:i/>
          <w:sz w:val="24"/>
          <w:highlight w:val="none"/>
          <w:u w:val="single"/>
        </w:rPr>
      </w:pPr>
      <w:r>
        <w:rPr>
          <w:rFonts w:hint="eastAsia"/>
          <w:i/>
          <w:sz w:val="24"/>
          <w:highlight w:val="none"/>
          <w:u w:val="single"/>
        </w:rPr>
        <w:t>选项二：</w:t>
      </w:r>
    </w:p>
    <w:p>
      <w:pPr>
        <w:spacing w:line="360" w:lineRule="auto"/>
        <w:ind w:left="720"/>
        <w:rPr>
          <w:sz w:val="24"/>
          <w:highlight w:val="none"/>
        </w:rPr>
      </w:pPr>
      <w:r>
        <w:rPr>
          <w:rFonts w:hint="eastAsia"/>
          <w:sz w:val="24"/>
          <w:highlight w:val="none"/>
        </w:rPr>
        <w:t>卖方向买方提供软件使用的许可码，软件通过卖方提供的在线软件地址进行网络下载。</w:t>
      </w:r>
    </w:p>
    <w:p>
      <w:pPr>
        <w:spacing w:line="360" w:lineRule="auto"/>
        <w:ind w:left="720"/>
        <w:rPr>
          <w:i/>
          <w:sz w:val="24"/>
          <w:highlight w:val="none"/>
          <w:u w:val="single"/>
        </w:rPr>
      </w:pPr>
      <w:r>
        <w:rPr>
          <w:rFonts w:hint="eastAsia"/>
          <w:i/>
          <w:sz w:val="24"/>
          <w:highlight w:val="none"/>
          <w:u w:val="single"/>
        </w:rPr>
        <w:t>选项三：</w:t>
      </w:r>
    </w:p>
    <w:p>
      <w:pPr>
        <w:spacing w:line="360" w:lineRule="auto"/>
        <w:ind w:left="720"/>
        <w:rPr>
          <w:sz w:val="24"/>
          <w:highlight w:val="none"/>
        </w:rPr>
      </w:pPr>
      <w:r>
        <w:rPr>
          <w:rFonts w:hint="eastAsia" w:hAnsi="宋体"/>
          <w:sz w:val="24"/>
          <w:highlight w:val="none"/>
        </w:rPr>
        <w:t>【</w:t>
      </w:r>
      <w:r>
        <w:rPr>
          <w:rFonts w:hint="eastAsia" w:hAnsi="宋体"/>
          <w:i/>
          <w:sz w:val="24"/>
          <w:highlight w:val="none"/>
        </w:rPr>
        <w:t>填入其它交付方式</w:t>
      </w:r>
      <w:r>
        <w:rPr>
          <w:rFonts w:hint="eastAsia" w:hAnsi="宋体"/>
          <w:sz w:val="24"/>
          <w:highlight w:val="none"/>
        </w:rPr>
        <w:t>】</w:t>
      </w:r>
      <w:r>
        <w:rPr>
          <w:rFonts w:hint="eastAsia"/>
          <w:sz w:val="24"/>
          <w:highlight w:val="none"/>
        </w:rPr>
        <w:t>。</w:t>
      </w:r>
    </w:p>
    <w:p>
      <w:pPr>
        <w:numPr>
          <w:ilvl w:val="0"/>
          <w:numId w:val="18"/>
        </w:numPr>
        <w:tabs>
          <w:tab w:val="left" w:pos="709"/>
          <w:tab w:val="clear" w:pos="562"/>
        </w:tabs>
        <w:spacing w:line="360" w:lineRule="auto"/>
        <w:ind w:left="720" w:hanging="720"/>
        <w:rPr>
          <w:sz w:val="24"/>
          <w:highlight w:val="none"/>
        </w:rPr>
      </w:pPr>
      <w:r>
        <w:rPr>
          <w:sz w:val="24"/>
          <w:highlight w:val="none"/>
        </w:rPr>
        <w:t>卖方应在</w:t>
      </w:r>
      <w:r>
        <w:rPr>
          <w:rFonts w:hint="eastAsia"/>
          <w:sz w:val="24"/>
          <w:highlight w:val="none"/>
        </w:rPr>
        <w:t>交付软件产品</w:t>
      </w:r>
      <w:r>
        <w:rPr>
          <w:sz w:val="24"/>
          <w:highlight w:val="none"/>
        </w:rPr>
        <w:t>的同时向买方交付软件产品资料，软件产品资料的内容、数量等</w:t>
      </w:r>
      <w:r>
        <w:rPr>
          <w:rFonts w:hint="eastAsia"/>
          <w:sz w:val="24"/>
          <w:highlight w:val="none"/>
        </w:rPr>
        <w:t>【</w:t>
      </w:r>
      <w:r>
        <w:rPr>
          <w:i/>
          <w:sz w:val="24"/>
          <w:highlight w:val="none"/>
        </w:rPr>
        <w:t>详见</w:t>
      </w:r>
      <w:r>
        <w:rPr>
          <w:rFonts w:hint="eastAsia"/>
          <w:i/>
          <w:sz w:val="24"/>
          <w:highlight w:val="none"/>
        </w:rPr>
        <w:t>本</w:t>
      </w:r>
      <w:r>
        <w:rPr>
          <w:i/>
          <w:sz w:val="24"/>
          <w:highlight w:val="none"/>
        </w:rPr>
        <w:t>合同附件</w:t>
      </w:r>
      <w:r>
        <w:rPr>
          <w:rFonts w:hint="eastAsia" w:ascii="宋体" w:hAnsi="宋体"/>
          <w:i/>
          <w:sz w:val="24"/>
          <w:highlight w:val="none"/>
        </w:rPr>
        <w:t>二</w:t>
      </w:r>
      <w:r>
        <w:rPr>
          <w:rFonts w:hint="eastAsia" w:ascii="宋体" w:hAnsi="宋体"/>
          <w:sz w:val="24"/>
          <w:highlight w:val="none"/>
        </w:rPr>
        <w:t>】</w:t>
      </w:r>
      <w:r>
        <w:rPr>
          <w:sz w:val="24"/>
          <w:highlight w:val="none"/>
        </w:rPr>
        <w:t>。卖方交付的</w:t>
      </w:r>
      <w:r>
        <w:rPr>
          <w:rFonts w:hint="eastAsia"/>
          <w:sz w:val="24"/>
          <w:highlight w:val="none"/>
        </w:rPr>
        <w:t>软件产品资料</w:t>
      </w:r>
      <w:r>
        <w:rPr>
          <w:sz w:val="24"/>
          <w:highlight w:val="none"/>
        </w:rPr>
        <w:t>应当完整、正确、整洁、书写明确、质量完好。</w:t>
      </w:r>
    </w:p>
    <w:p>
      <w:pPr>
        <w:pStyle w:val="17"/>
        <w:numPr>
          <w:ilvl w:val="0"/>
          <w:numId w:val="13"/>
        </w:numPr>
        <w:tabs>
          <w:tab w:val="left" w:pos="0"/>
        </w:tabs>
        <w:spacing w:before="360" w:after="360" w:line="360" w:lineRule="auto"/>
        <w:ind w:left="0" w:firstLine="0"/>
        <w:rPr>
          <w:rFonts w:hAnsi="宋体"/>
          <w:sz w:val="24"/>
          <w:highlight w:val="none"/>
        </w:rPr>
      </w:pPr>
      <w:bookmarkStart w:id="18" w:name="_Toc378163287"/>
      <w:r>
        <w:rPr>
          <w:rFonts w:hint="eastAsia" w:hAnsi="宋体"/>
          <w:sz w:val="24"/>
          <w:highlight w:val="none"/>
        </w:rPr>
        <w:t>软件产品的要求</w:t>
      </w:r>
      <w:bookmarkEnd w:id="18"/>
    </w:p>
    <w:p>
      <w:pPr>
        <w:numPr>
          <w:ilvl w:val="0"/>
          <w:numId w:val="20"/>
        </w:numPr>
        <w:tabs>
          <w:tab w:val="left" w:pos="709"/>
        </w:tabs>
        <w:spacing w:line="360" w:lineRule="auto"/>
        <w:ind w:left="709" w:hanging="709"/>
        <w:rPr>
          <w:sz w:val="24"/>
          <w:highlight w:val="none"/>
        </w:rPr>
      </w:pPr>
      <w:r>
        <w:rPr>
          <w:rFonts w:hAnsi="宋体"/>
          <w:sz w:val="24"/>
          <w:highlight w:val="none"/>
        </w:rPr>
        <w:t>卖方应根据合同规定</w:t>
      </w:r>
      <w:r>
        <w:rPr>
          <w:rFonts w:hint="eastAsia" w:hAnsi="宋体"/>
          <w:sz w:val="24"/>
          <w:highlight w:val="none"/>
        </w:rPr>
        <w:t>提供软件产品</w:t>
      </w:r>
      <w:r>
        <w:rPr>
          <w:rFonts w:hAnsi="宋体"/>
          <w:sz w:val="24"/>
          <w:highlight w:val="none"/>
        </w:rPr>
        <w:t>，其提供的</w:t>
      </w:r>
      <w:r>
        <w:rPr>
          <w:rFonts w:hint="eastAsia" w:hAnsi="宋体"/>
          <w:sz w:val="24"/>
          <w:highlight w:val="none"/>
        </w:rPr>
        <w:t>软件产品</w:t>
      </w:r>
      <w:r>
        <w:rPr>
          <w:rFonts w:hAnsi="宋体"/>
          <w:sz w:val="24"/>
          <w:highlight w:val="none"/>
        </w:rPr>
        <w:t>应符合合同规定的质量、规格及其它要求。如合同未就</w:t>
      </w:r>
      <w:r>
        <w:rPr>
          <w:rFonts w:hint="eastAsia" w:hAnsi="宋体"/>
          <w:sz w:val="24"/>
          <w:highlight w:val="none"/>
        </w:rPr>
        <w:t>软件产品</w:t>
      </w:r>
      <w:r>
        <w:rPr>
          <w:rFonts w:hAnsi="宋体"/>
          <w:sz w:val="24"/>
          <w:highlight w:val="none"/>
        </w:rPr>
        <w:t>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pPr>
        <w:numPr>
          <w:ilvl w:val="0"/>
          <w:numId w:val="20"/>
        </w:numPr>
        <w:tabs>
          <w:tab w:val="left" w:pos="709"/>
        </w:tabs>
        <w:spacing w:line="360" w:lineRule="auto"/>
        <w:ind w:left="709" w:hanging="709"/>
        <w:rPr>
          <w:sz w:val="24"/>
          <w:highlight w:val="none"/>
        </w:rPr>
      </w:pPr>
      <w:r>
        <w:rPr>
          <w:sz w:val="24"/>
          <w:highlight w:val="none"/>
        </w:rPr>
        <w:t>在履行合同过程中，买方接受卖方有关软件产品的建议和要求或买方的任何批准、认可不得免除卖方</w:t>
      </w:r>
      <w:r>
        <w:rPr>
          <w:rFonts w:hint="eastAsia"/>
          <w:sz w:val="24"/>
          <w:highlight w:val="none"/>
        </w:rPr>
        <w:t>在本合同项下</w:t>
      </w:r>
      <w:r>
        <w:rPr>
          <w:sz w:val="24"/>
          <w:highlight w:val="none"/>
        </w:rPr>
        <w:t>的</w:t>
      </w:r>
      <w:r>
        <w:rPr>
          <w:rFonts w:hint="eastAsia"/>
          <w:sz w:val="24"/>
          <w:highlight w:val="none"/>
        </w:rPr>
        <w:t>任何</w:t>
      </w:r>
      <w:r>
        <w:rPr>
          <w:sz w:val="24"/>
          <w:highlight w:val="none"/>
        </w:rPr>
        <w:t>义务（包括卖方对软件产品应符合本合同</w:t>
      </w:r>
      <w:r>
        <w:rPr>
          <w:rFonts w:hint="eastAsia"/>
          <w:sz w:val="24"/>
          <w:highlight w:val="none"/>
        </w:rPr>
        <w:t>规定的</w:t>
      </w:r>
      <w:r>
        <w:rPr>
          <w:sz w:val="24"/>
          <w:highlight w:val="none"/>
        </w:rPr>
        <w:t>质量和规格</w:t>
      </w:r>
      <w:r>
        <w:rPr>
          <w:rFonts w:hint="eastAsia"/>
          <w:sz w:val="24"/>
          <w:highlight w:val="none"/>
        </w:rPr>
        <w:t>等</w:t>
      </w:r>
      <w:r>
        <w:rPr>
          <w:sz w:val="24"/>
          <w:highlight w:val="none"/>
        </w:rPr>
        <w:t>要求应承担的责任）。</w:t>
      </w:r>
    </w:p>
    <w:p>
      <w:pPr>
        <w:pStyle w:val="17"/>
        <w:numPr>
          <w:ilvl w:val="0"/>
          <w:numId w:val="13"/>
        </w:numPr>
        <w:tabs>
          <w:tab w:val="left" w:pos="0"/>
        </w:tabs>
        <w:spacing w:before="360" w:after="360" w:line="360" w:lineRule="auto"/>
        <w:ind w:left="0" w:firstLine="0"/>
        <w:rPr>
          <w:rFonts w:hAnsi="宋体"/>
          <w:sz w:val="24"/>
          <w:highlight w:val="none"/>
        </w:rPr>
      </w:pPr>
      <w:bookmarkStart w:id="19" w:name="_Toc378163288"/>
      <w:r>
        <w:rPr>
          <w:rFonts w:hint="eastAsia" w:hAnsi="宋体"/>
          <w:sz w:val="24"/>
          <w:highlight w:val="none"/>
        </w:rPr>
        <w:t>运输和保险</w:t>
      </w:r>
      <w:bookmarkEnd w:id="19"/>
    </w:p>
    <w:p>
      <w:pPr>
        <w:numPr>
          <w:ilvl w:val="1"/>
          <w:numId w:val="21"/>
        </w:numPr>
        <w:tabs>
          <w:tab w:val="left" w:pos="709"/>
          <w:tab w:val="clear" w:pos="840"/>
        </w:tabs>
        <w:spacing w:line="360" w:lineRule="auto"/>
        <w:ind w:left="709" w:hanging="709"/>
        <w:rPr>
          <w:sz w:val="24"/>
          <w:highlight w:val="none"/>
          <w:u w:val="single"/>
        </w:rPr>
      </w:pPr>
      <w:r>
        <w:rPr>
          <w:rFonts w:hint="eastAsia"/>
          <w:sz w:val="24"/>
          <w:highlight w:val="none"/>
        </w:rPr>
        <w:t>运输方式：【</w:t>
      </w:r>
      <w:r>
        <w:rPr>
          <w:rFonts w:hint="eastAsia"/>
          <w:i/>
          <w:sz w:val="24"/>
          <w:highlight w:val="none"/>
        </w:rPr>
        <w:t>填入运输方式</w:t>
      </w:r>
      <w:r>
        <w:rPr>
          <w:rFonts w:hint="eastAsia"/>
          <w:sz w:val="24"/>
          <w:highlight w:val="none"/>
        </w:rPr>
        <w:t>】。</w:t>
      </w:r>
    </w:p>
    <w:p>
      <w:pPr>
        <w:numPr>
          <w:ilvl w:val="1"/>
          <w:numId w:val="21"/>
        </w:numPr>
        <w:tabs>
          <w:tab w:val="left" w:pos="709"/>
          <w:tab w:val="clear" w:pos="840"/>
        </w:tabs>
        <w:spacing w:line="360" w:lineRule="auto"/>
        <w:ind w:left="709" w:hanging="709"/>
        <w:rPr>
          <w:rFonts w:hAnsi="宋体"/>
          <w:sz w:val="24"/>
          <w:highlight w:val="none"/>
        </w:rPr>
      </w:pPr>
      <w:r>
        <w:rPr>
          <w:sz w:val="24"/>
          <w:highlight w:val="none"/>
        </w:rPr>
        <w:t>除非</w:t>
      </w:r>
      <w:r>
        <w:rPr>
          <w:rFonts w:hAnsi="宋体"/>
          <w:sz w:val="24"/>
          <w:highlight w:val="none"/>
        </w:rPr>
        <w:t>本合同另有明确规定，卖方负责</w:t>
      </w:r>
      <w:r>
        <w:rPr>
          <w:rFonts w:hint="eastAsia" w:hAnsi="宋体"/>
          <w:sz w:val="24"/>
          <w:highlight w:val="none"/>
        </w:rPr>
        <w:t>软件产品和软件产品资料</w:t>
      </w:r>
      <w:r>
        <w:rPr>
          <w:rFonts w:hAnsi="宋体"/>
          <w:sz w:val="24"/>
          <w:highlight w:val="none"/>
        </w:rPr>
        <w:t>的运输，并承担全部运输费用</w:t>
      </w:r>
      <w:r>
        <w:rPr>
          <w:rFonts w:hint="eastAsia" w:hAnsi="宋体"/>
          <w:sz w:val="24"/>
          <w:highlight w:val="none"/>
        </w:rPr>
        <w:t>。</w:t>
      </w:r>
      <w:r>
        <w:rPr>
          <w:rFonts w:hAnsi="宋体"/>
          <w:sz w:val="24"/>
          <w:highlight w:val="none"/>
        </w:rPr>
        <w:t>如卖方需改变本合同规定的运输方式，卖方应提前通知买方，并获得买方的书面认可。</w:t>
      </w:r>
    </w:p>
    <w:p>
      <w:pPr>
        <w:numPr>
          <w:ilvl w:val="1"/>
          <w:numId w:val="21"/>
        </w:numPr>
        <w:tabs>
          <w:tab w:val="left" w:pos="709"/>
          <w:tab w:val="clear" w:pos="840"/>
        </w:tabs>
        <w:spacing w:line="360" w:lineRule="auto"/>
        <w:ind w:left="709" w:hanging="709"/>
        <w:rPr>
          <w:rFonts w:hAnsi="宋体"/>
          <w:sz w:val="24"/>
          <w:highlight w:val="none"/>
        </w:rPr>
      </w:pPr>
      <w:r>
        <w:rPr>
          <w:rFonts w:hAnsi="宋体"/>
          <w:sz w:val="24"/>
          <w:highlight w:val="none"/>
        </w:rPr>
        <w:t>卖方承担与软件产品</w:t>
      </w:r>
      <w:r>
        <w:rPr>
          <w:rFonts w:hint="eastAsia" w:hAnsi="宋体"/>
          <w:sz w:val="24"/>
          <w:highlight w:val="none"/>
        </w:rPr>
        <w:t>和软件产品资料</w:t>
      </w:r>
      <w:r>
        <w:rPr>
          <w:rFonts w:hAnsi="宋体"/>
          <w:sz w:val="24"/>
          <w:highlight w:val="none"/>
        </w:rPr>
        <w:t>运输相关的全部费用，该等费用已包含于合同总价中。</w:t>
      </w:r>
    </w:p>
    <w:p>
      <w:pPr>
        <w:numPr>
          <w:ilvl w:val="1"/>
          <w:numId w:val="21"/>
        </w:numPr>
        <w:tabs>
          <w:tab w:val="left" w:pos="709"/>
          <w:tab w:val="clear" w:pos="840"/>
        </w:tabs>
        <w:spacing w:line="360" w:lineRule="auto"/>
        <w:ind w:left="709" w:hanging="709"/>
        <w:rPr>
          <w:rFonts w:hAnsi="宋体"/>
          <w:bCs/>
          <w:sz w:val="24"/>
          <w:highlight w:val="none"/>
        </w:rPr>
      </w:pPr>
      <w:r>
        <w:rPr>
          <w:rFonts w:hAnsi="宋体"/>
          <w:sz w:val="24"/>
          <w:highlight w:val="none"/>
        </w:rPr>
        <w:t>卖方应</w:t>
      </w:r>
      <w:r>
        <w:rPr>
          <w:rFonts w:hAnsi="宋体"/>
          <w:bCs/>
          <w:sz w:val="24"/>
          <w:highlight w:val="none"/>
        </w:rPr>
        <w:t>根据运输方式，向国内一流保险公司投保</w:t>
      </w:r>
      <w:r>
        <w:rPr>
          <w:rFonts w:hint="eastAsia" w:hAnsi="宋体"/>
          <w:bCs/>
          <w:sz w:val="24"/>
          <w:highlight w:val="none"/>
        </w:rPr>
        <w:t>，</w:t>
      </w:r>
      <w:r>
        <w:rPr>
          <w:rFonts w:hAnsi="宋体"/>
          <w:bCs/>
          <w:sz w:val="24"/>
          <w:highlight w:val="none"/>
        </w:rPr>
        <w:t>保险费由卖方负担，投保种类为国内货物运输险，</w:t>
      </w:r>
      <w:r>
        <w:rPr>
          <w:rFonts w:hint="eastAsia" w:hAnsi="宋体"/>
          <w:bCs/>
          <w:sz w:val="24"/>
          <w:highlight w:val="none"/>
        </w:rPr>
        <w:t>保险</w:t>
      </w:r>
      <w:r>
        <w:rPr>
          <w:rFonts w:hAnsi="宋体"/>
          <w:bCs/>
          <w:sz w:val="24"/>
          <w:highlight w:val="none"/>
        </w:rPr>
        <w:t>金额不低于合同</w:t>
      </w:r>
      <w:r>
        <w:rPr>
          <w:rFonts w:hint="eastAsia" w:hAnsi="宋体"/>
          <w:bCs/>
          <w:sz w:val="24"/>
          <w:highlight w:val="none"/>
        </w:rPr>
        <w:t>总价</w:t>
      </w:r>
      <w:r>
        <w:rPr>
          <w:rFonts w:hAnsi="宋体"/>
          <w:bCs/>
          <w:sz w:val="24"/>
          <w:highlight w:val="none"/>
        </w:rPr>
        <w:t>，</w:t>
      </w:r>
      <w:r>
        <w:rPr>
          <w:rFonts w:hint="eastAsia" w:hAnsi="宋体"/>
          <w:bCs/>
          <w:sz w:val="24"/>
          <w:highlight w:val="none"/>
        </w:rPr>
        <w:t>保障</w:t>
      </w:r>
      <w:r>
        <w:rPr>
          <w:rFonts w:hAnsi="宋体"/>
          <w:bCs/>
          <w:sz w:val="24"/>
          <w:highlight w:val="none"/>
        </w:rPr>
        <w:t>区段为卖方存储软件产品的仓库到</w:t>
      </w:r>
      <w:r>
        <w:rPr>
          <w:rFonts w:hint="eastAsia" w:hAnsi="宋体"/>
          <w:bCs/>
          <w:sz w:val="24"/>
          <w:highlight w:val="none"/>
        </w:rPr>
        <w:t>买方</w:t>
      </w:r>
      <w:r>
        <w:rPr>
          <w:rFonts w:hAnsi="宋体"/>
          <w:bCs/>
          <w:sz w:val="24"/>
          <w:highlight w:val="none"/>
        </w:rPr>
        <w:t>用于存储软件产品的仓库</w:t>
      </w:r>
      <w:r>
        <w:rPr>
          <w:rFonts w:hint="eastAsia" w:hAnsi="宋体"/>
          <w:bCs/>
          <w:sz w:val="24"/>
          <w:highlight w:val="none"/>
        </w:rPr>
        <w:t>或办公场所</w:t>
      </w:r>
      <w:r>
        <w:rPr>
          <w:rFonts w:hAnsi="宋体"/>
          <w:bCs/>
          <w:sz w:val="24"/>
          <w:highlight w:val="none"/>
        </w:rPr>
        <w:t>，</w:t>
      </w:r>
      <w:r>
        <w:rPr>
          <w:rFonts w:hint="eastAsia" w:hAnsi="宋体"/>
          <w:bCs/>
          <w:sz w:val="24"/>
          <w:highlight w:val="none"/>
        </w:rPr>
        <w:t>保险期限为：【</w:t>
      </w:r>
      <w:r>
        <w:rPr>
          <w:rFonts w:hint="eastAsia" w:hAnsi="宋体"/>
          <w:bCs/>
          <w:i/>
          <w:sz w:val="24"/>
          <w:highlight w:val="none"/>
        </w:rPr>
        <w:t>填入保险期限，如</w:t>
      </w:r>
      <w:r>
        <w:rPr>
          <w:rFonts w:hAnsi="宋体"/>
          <w:bCs/>
          <w:i/>
          <w:sz w:val="24"/>
          <w:highlight w:val="none"/>
        </w:rPr>
        <w:t>始于装货（含装货）止于卸货后</w:t>
      </w:r>
      <w:r>
        <w:rPr>
          <w:rFonts w:hint="eastAsia" w:hAnsi="宋体"/>
          <w:bCs/>
          <w:i/>
          <w:sz w:val="24"/>
          <w:highlight w:val="none"/>
        </w:rPr>
        <w:t>三十（</w:t>
      </w:r>
      <w:r>
        <w:rPr>
          <w:bCs/>
          <w:i/>
          <w:sz w:val="24"/>
          <w:highlight w:val="none"/>
        </w:rPr>
        <w:t>30</w:t>
      </w:r>
      <w:r>
        <w:rPr>
          <w:rFonts w:hint="eastAsia"/>
          <w:bCs/>
          <w:i/>
          <w:sz w:val="24"/>
          <w:highlight w:val="none"/>
        </w:rPr>
        <w:t>）</w:t>
      </w:r>
      <w:r>
        <w:rPr>
          <w:rFonts w:hAnsi="宋体"/>
          <w:bCs/>
          <w:i/>
          <w:sz w:val="24"/>
          <w:highlight w:val="none"/>
        </w:rPr>
        <w:t>日</w:t>
      </w:r>
      <w:r>
        <w:rPr>
          <w:rFonts w:hint="eastAsia" w:hAnsi="宋体"/>
          <w:bCs/>
          <w:sz w:val="24"/>
          <w:highlight w:val="none"/>
        </w:rPr>
        <w:t>】</w:t>
      </w:r>
      <w:r>
        <w:rPr>
          <w:rFonts w:hAnsi="宋体"/>
          <w:bCs/>
          <w:sz w:val="24"/>
          <w:highlight w:val="none"/>
        </w:rPr>
        <w:t>。</w:t>
      </w:r>
    </w:p>
    <w:p>
      <w:pPr>
        <w:pStyle w:val="17"/>
        <w:numPr>
          <w:ilvl w:val="0"/>
          <w:numId w:val="13"/>
        </w:numPr>
        <w:tabs>
          <w:tab w:val="left" w:pos="0"/>
        </w:tabs>
        <w:spacing w:before="360" w:after="360" w:line="360" w:lineRule="auto"/>
        <w:ind w:left="0" w:firstLine="0"/>
        <w:rPr>
          <w:sz w:val="24"/>
          <w:highlight w:val="none"/>
        </w:rPr>
      </w:pPr>
      <w:bookmarkStart w:id="20" w:name="_Toc300067339"/>
      <w:bookmarkStart w:id="21" w:name="_Toc378163289"/>
      <w:r>
        <w:rPr>
          <w:rFonts w:hint="eastAsia"/>
          <w:sz w:val="24"/>
          <w:highlight w:val="none"/>
        </w:rPr>
        <w:t>包装</w:t>
      </w:r>
      <w:bookmarkEnd w:id="20"/>
      <w:bookmarkEnd w:id="21"/>
    </w:p>
    <w:p>
      <w:pPr>
        <w:numPr>
          <w:ilvl w:val="0"/>
          <w:numId w:val="22"/>
        </w:numPr>
        <w:tabs>
          <w:tab w:val="left" w:pos="709"/>
          <w:tab w:val="clear" w:pos="1860"/>
        </w:tabs>
        <w:spacing w:line="360" w:lineRule="auto"/>
        <w:ind w:left="709" w:hanging="709"/>
        <w:rPr>
          <w:rFonts w:hAnsi="宋体"/>
          <w:sz w:val="24"/>
          <w:highlight w:val="none"/>
        </w:rPr>
      </w:pPr>
      <w:r>
        <w:rPr>
          <w:rFonts w:hAnsi="宋体"/>
          <w:sz w:val="24"/>
          <w:highlight w:val="none"/>
        </w:rPr>
        <w:t>卖方应提供将</w:t>
      </w:r>
      <w:r>
        <w:rPr>
          <w:rFonts w:hint="eastAsia" w:hAnsi="宋体"/>
          <w:sz w:val="24"/>
          <w:highlight w:val="none"/>
        </w:rPr>
        <w:t>软件产品、软件产品资料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w:t>
      </w:r>
      <w:r>
        <w:rPr>
          <w:rFonts w:hint="eastAsia" w:hAnsi="宋体"/>
          <w:sz w:val="24"/>
          <w:highlight w:val="none"/>
        </w:rPr>
        <w:t>软件产品</w:t>
      </w:r>
      <w:r>
        <w:rPr>
          <w:rFonts w:hAnsi="宋体"/>
          <w:sz w:val="24"/>
          <w:highlight w:val="none"/>
        </w:rPr>
        <w:t>在运输中损坏或变质。</w:t>
      </w:r>
      <w:r>
        <w:rPr>
          <w:rFonts w:hint="eastAsia" w:hAnsi="宋体"/>
          <w:sz w:val="24"/>
          <w:highlight w:val="none"/>
        </w:rPr>
        <w:t>软件产品、软件产品资料</w:t>
      </w:r>
      <w:r>
        <w:rPr>
          <w:rFonts w:hAnsi="宋体"/>
          <w:sz w:val="24"/>
          <w:highlight w:val="none"/>
        </w:rPr>
        <w:t>的包装应采用防潮、防晒、防锈、防腐蚀、防震动、防野蛮装卸及防止其它损坏的必要保护措施，保护</w:t>
      </w:r>
      <w:r>
        <w:rPr>
          <w:rFonts w:hint="eastAsia" w:hAnsi="宋体"/>
          <w:sz w:val="24"/>
          <w:highlight w:val="none"/>
        </w:rPr>
        <w:t>软件产品、软件产品资料</w:t>
      </w:r>
      <w:r>
        <w:rPr>
          <w:rFonts w:hAnsi="宋体"/>
          <w:sz w:val="24"/>
          <w:highlight w:val="none"/>
        </w:rPr>
        <w:t>能够经受多次搬运、装卸及远洋和内陆长途运输。</w:t>
      </w:r>
    </w:p>
    <w:p>
      <w:pPr>
        <w:pStyle w:val="17"/>
        <w:numPr>
          <w:ilvl w:val="0"/>
          <w:numId w:val="13"/>
        </w:numPr>
        <w:tabs>
          <w:tab w:val="left" w:pos="0"/>
        </w:tabs>
        <w:spacing w:before="360" w:after="360" w:line="360" w:lineRule="auto"/>
        <w:ind w:left="0" w:firstLine="0"/>
        <w:rPr>
          <w:rFonts w:hAnsi="宋体"/>
          <w:sz w:val="24"/>
          <w:highlight w:val="none"/>
        </w:rPr>
      </w:pPr>
      <w:bookmarkStart w:id="22" w:name="_Toc378163290"/>
      <w:bookmarkStart w:id="23" w:name="_Toc269301069"/>
      <w:bookmarkStart w:id="24" w:name="_Toc269307522"/>
      <w:r>
        <w:rPr>
          <w:rFonts w:hint="eastAsia" w:hAnsi="宋体"/>
          <w:sz w:val="24"/>
          <w:highlight w:val="none"/>
        </w:rPr>
        <w:t>安装、调试及</w:t>
      </w:r>
      <w:r>
        <w:rPr>
          <w:rFonts w:hAnsi="宋体"/>
          <w:sz w:val="24"/>
          <w:highlight w:val="none"/>
        </w:rPr>
        <w:t>验收</w:t>
      </w:r>
      <w:bookmarkEnd w:id="22"/>
      <w:bookmarkEnd w:id="23"/>
      <w:bookmarkEnd w:id="24"/>
    </w:p>
    <w:p>
      <w:pPr>
        <w:numPr>
          <w:ilvl w:val="1"/>
          <w:numId w:val="23"/>
        </w:numPr>
        <w:tabs>
          <w:tab w:val="left" w:pos="709"/>
          <w:tab w:val="clear" w:pos="840"/>
        </w:tabs>
        <w:spacing w:line="360" w:lineRule="auto"/>
        <w:ind w:left="709" w:hanging="709"/>
        <w:rPr>
          <w:sz w:val="24"/>
          <w:highlight w:val="none"/>
        </w:rPr>
      </w:pPr>
      <w:r>
        <w:rPr>
          <w:sz w:val="24"/>
          <w:highlight w:val="none"/>
        </w:rPr>
        <w:t>软件的安装由</w:t>
      </w:r>
      <w:r>
        <w:rPr>
          <w:rFonts w:hint="eastAsia" w:hAnsi="宋体"/>
          <w:bCs/>
          <w:sz w:val="24"/>
          <w:highlight w:val="none"/>
        </w:rPr>
        <w:t>【□买方；□卖方</w:t>
      </w:r>
      <w:r>
        <w:rPr>
          <w:rFonts w:hint="eastAsia"/>
          <w:bCs/>
          <w:sz w:val="24"/>
          <w:highlight w:val="none"/>
        </w:rPr>
        <w:t>】</w:t>
      </w:r>
      <w:r>
        <w:rPr>
          <w:sz w:val="24"/>
          <w:highlight w:val="none"/>
        </w:rPr>
        <w:t>根据合同约定及技术文件</w:t>
      </w:r>
      <w:r>
        <w:rPr>
          <w:rFonts w:hint="eastAsia"/>
          <w:sz w:val="24"/>
          <w:highlight w:val="none"/>
        </w:rPr>
        <w:t>规定</w:t>
      </w:r>
      <w:r>
        <w:rPr>
          <w:sz w:val="24"/>
          <w:highlight w:val="none"/>
        </w:rPr>
        <w:t>的标准、方法和程序进行。</w:t>
      </w:r>
      <w:r>
        <w:rPr>
          <w:rFonts w:hint="eastAsia"/>
          <w:sz w:val="24"/>
          <w:highlight w:val="none"/>
        </w:rPr>
        <w:t>安装的标准、方法和程序【</w:t>
      </w:r>
      <w:r>
        <w:rPr>
          <w:rFonts w:hint="eastAsia"/>
          <w:i/>
          <w:sz w:val="24"/>
          <w:highlight w:val="none"/>
        </w:rPr>
        <w:t>详见本合同附件一</w:t>
      </w:r>
      <w:r>
        <w:rPr>
          <w:rFonts w:hint="eastAsia"/>
          <w:sz w:val="24"/>
          <w:highlight w:val="none"/>
        </w:rPr>
        <w:t>】。</w:t>
      </w:r>
      <w:r>
        <w:rPr>
          <w:sz w:val="24"/>
          <w:highlight w:val="none"/>
        </w:rPr>
        <w:t>软件安装完毕后，卖方应负责调试。</w:t>
      </w:r>
    </w:p>
    <w:p>
      <w:pPr>
        <w:numPr>
          <w:ilvl w:val="1"/>
          <w:numId w:val="23"/>
        </w:numPr>
        <w:tabs>
          <w:tab w:val="left" w:pos="709"/>
          <w:tab w:val="clear" w:pos="840"/>
        </w:tabs>
        <w:spacing w:line="360" w:lineRule="auto"/>
        <w:ind w:left="709" w:hanging="709"/>
        <w:rPr>
          <w:sz w:val="24"/>
          <w:highlight w:val="none"/>
        </w:rPr>
      </w:pPr>
      <w:r>
        <w:rPr>
          <w:rFonts w:hint="eastAsia"/>
          <w:sz w:val="24"/>
          <w:highlight w:val="none"/>
        </w:rPr>
        <w:t>买方应在软件产品交付后【</w:t>
      </w:r>
      <w:r>
        <w:rPr>
          <w:rFonts w:hint="eastAsia" w:hAnsi="宋体"/>
          <w:i/>
          <w:sz w:val="24"/>
          <w:highlight w:val="none"/>
        </w:rPr>
        <w:t>填入天数</w:t>
      </w:r>
      <w:r>
        <w:rPr>
          <w:rFonts w:hint="eastAsia"/>
          <w:sz w:val="24"/>
          <w:highlight w:val="none"/>
        </w:rPr>
        <w:t>】个工作日内进行验收。验收合格后，双方代表应签署验收报告。</w:t>
      </w:r>
    </w:p>
    <w:p>
      <w:pPr>
        <w:numPr>
          <w:ilvl w:val="1"/>
          <w:numId w:val="23"/>
        </w:numPr>
        <w:tabs>
          <w:tab w:val="left" w:pos="709"/>
          <w:tab w:val="clear" w:pos="840"/>
        </w:tabs>
        <w:spacing w:line="360" w:lineRule="auto"/>
        <w:ind w:left="709" w:hanging="709"/>
        <w:rPr>
          <w:color w:val="000000"/>
          <w:sz w:val="24"/>
          <w:highlight w:val="none"/>
        </w:rPr>
      </w:pPr>
      <w:r>
        <w:rPr>
          <w:rFonts w:hAnsi="宋体"/>
          <w:sz w:val="24"/>
          <w:highlight w:val="none"/>
        </w:rPr>
        <w:t>卖方交付的软件产品在数量和包装上应符合原产商的规定和本合同的要求。</w:t>
      </w:r>
      <w:r>
        <w:rPr>
          <w:rFonts w:hAnsi="宋体"/>
          <w:color w:val="000000"/>
          <w:sz w:val="24"/>
          <w:highlight w:val="none"/>
        </w:rPr>
        <w:t>如因</w:t>
      </w:r>
      <w:r>
        <w:rPr>
          <w:rFonts w:hint="eastAsia" w:hAnsi="宋体"/>
          <w:color w:val="000000"/>
          <w:sz w:val="24"/>
          <w:highlight w:val="none"/>
        </w:rPr>
        <w:t>软件</w:t>
      </w:r>
      <w:r>
        <w:rPr>
          <w:rFonts w:hAnsi="宋体"/>
          <w:color w:val="000000"/>
          <w:sz w:val="24"/>
          <w:highlight w:val="none"/>
        </w:rPr>
        <w:t>产品质量原因致使验收不合格的，卖方应立即予以更换</w:t>
      </w:r>
      <w:r>
        <w:rPr>
          <w:rFonts w:hint="eastAsia" w:hAnsi="宋体"/>
          <w:color w:val="000000"/>
          <w:sz w:val="24"/>
          <w:highlight w:val="none"/>
        </w:rPr>
        <w:t>，</w:t>
      </w:r>
      <w:r>
        <w:rPr>
          <w:rFonts w:hAnsi="宋体"/>
          <w:color w:val="000000"/>
          <w:sz w:val="24"/>
          <w:highlight w:val="none"/>
        </w:rPr>
        <w:t>承担</w:t>
      </w:r>
      <w:r>
        <w:rPr>
          <w:rFonts w:hint="eastAsia" w:hAnsi="宋体"/>
          <w:color w:val="000000"/>
          <w:sz w:val="24"/>
          <w:highlight w:val="none"/>
        </w:rPr>
        <w:t>延期</w:t>
      </w:r>
      <w:r>
        <w:rPr>
          <w:rFonts w:hAnsi="宋体"/>
          <w:color w:val="000000"/>
          <w:sz w:val="24"/>
          <w:highlight w:val="none"/>
        </w:rPr>
        <w:t>交付的责任，</w:t>
      </w:r>
      <w:r>
        <w:rPr>
          <w:rFonts w:hint="eastAsia" w:hAnsi="宋体"/>
          <w:color w:val="000000"/>
          <w:sz w:val="24"/>
          <w:highlight w:val="none"/>
        </w:rPr>
        <w:t>并</w:t>
      </w:r>
      <w:r>
        <w:rPr>
          <w:rFonts w:hAnsi="宋体"/>
          <w:color w:val="000000"/>
          <w:sz w:val="24"/>
          <w:highlight w:val="none"/>
        </w:rPr>
        <w:t>赔偿买方因此而遭受的</w:t>
      </w:r>
      <w:r>
        <w:rPr>
          <w:rFonts w:hint="eastAsia" w:hAnsi="宋体"/>
          <w:color w:val="000000"/>
          <w:sz w:val="24"/>
          <w:highlight w:val="none"/>
        </w:rPr>
        <w:t>全部</w:t>
      </w:r>
      <w:r>
        <w:rPr>
          <w:rFonts w:hAnsi="宋体"/>
          <w:color w:val="000000"/>
          <w:sz w:val="24"/>
          <w:highlight w:val="none"/>
        </w:rPr>
        <w:t>损失。</w:t>
      </w:r>
    </w:p>
    <w:p>
      <w:pPr>
        <w:numPr>
          <w:ilvl w:val="1"/>
          <w:numId w:val="23"/>
        </w:numPr>
        <w:tabs>
          <w:tab w:val="left" w:pos="709"/>
          <w:tab w:val="clear" w:pos="840"/>
        </w:tabs>
        <w:spacing w:line="360" w:lineRule="auto"/>
        <w:ind w:left="709" w:hanging="709"/>
        <w:rPr>
          <w:rFonts w:hAnsi="宋体"/>
          <w:sz w:val="24"/>
          <w:highlight w:val="none"/>
        </w:rPr>
      </w:pPr>
      <w:r>
        <w:rPr>
          <w:rFonts w:hAnsi="宋体"/>
          <w:sz w:val="24"/>
          <w:highlight w:val="none"/>
        </w:rPr>
        <w:t>买方验收软件产品不得减少、免除卖方本合同项下的任何义务（包括卖方对软件产品应符合本合同</w:t>
      </w:r>
      <w:r>
        <w:rPr>
          <w:rFonts w:hint="eastAsia" w:hAnsi="宋体"/>
          <w:sz w:val="24"/>
          <w:highlight w:val="none"/>
        </w:rPr>
        <w:t>规定的</w:t>
      </w:r>
      <w:r>
        <w:rPr>
          <w:rFonts w:hAnsi="宋体"/>
          <w:sz w:val="24"/>
          <w:highlight w:val="none"/>
        </w:rPr>
        <w:t>质量、规格</w:t>
      </w:r>
      <w:r>
        <w:rPr>
          <w:rFonts w:hint="eastAsia" w:hAnsi="宋体"/>
          <w:sz w:val="24"/>
          <w:highlight w:val="none"/>
        </w:rPr>
        <w:t>等</w:t>
      </w:r>
      <w:r>
        <w:rPr>
          <w:rFonts w:hAnsi="宋体"/>
          <w:sz w:val="24"/>
          <w:highlight w:val="none"/>
        </w:rPr>
        <w:t>要求应承担的责任）。</w:t>
      </w:r>
    </w:p>
    <w:p>
      <w:pPr>
        <w:pStyle w:val="17"/>
        <w:numPr>
          <w:ilvl w:val="0"/>
          <w:numId w:val="13"/>
        </w:numPr>
        <w:tabs>
          <w:tab w:val="left" w:pos="0"/>
        </w:tabs>
        <w:spacing w:before="360" w:after="360" w:line="360" w:lineRule="auto"/>
        <w:ind w:left="0" w:firstLine="0"/>
        <w:rPr>
          <w:rFonts w:hAnsi="Times New Roman"/>
          <w:color w:val="000000"/>
          <w:sz w:val="24"/>
          <w:highlight w:val="none"/>
        </w:rPr>
      </w:pPr>
      <w:bookmarkStart w:id="25" w:name="_Toc378163291"/>
      <w:r>
        <w:rPr>
          <w:rFonts w:hint="eastAsia" w:hAnsi="Times New Roman"/>
          <w:color w:val="000000"/>
          <w:sz w:val="24"/>
          <w:highlight w:val="none"/>
        </w:rPr>
        <w:t>风险和所有权的转移</w:t>
      </w:r>
      <w:bookmarkEnd w:id="25"/>
    </w:p>
    <w:p>
      <w:pPr>
        <w:numPr>
          <w:ilvl w:val="0"/>
          <w:numId w:val="24"/>
        </w:numPr>
        <w:tabs>
          <w:tab w:val="left" w:pos="709"/>
          <w:tab w:val="left" w:pos="3060"/>
        </w:tabs>
        <w:spacing w:line="360" w:lineRule="auto"/>
        <w:ind w:left="709" w:hanging="709"/>
        <w:rPr>
          <w:sz w:val="24"/>
          <w:highlight w:val="none"/>
        </w:rPr>
      </w:pPr>
      <w:r>
        <w:rPr>
          <w:sz w:val="24"/>
          <w:highlight w:val="none"/>
        </w:rPr>
        <w:t>除非本合同另有明确规定，</w:t>
      </w:r>
      <w:r>
        <w:rPr>
          <w:rFonts w:hint="eastAsia"/>
          <w:sz w:val="24"/>
          <w:highlight w:val="none"/>
        </w:rPr>
        <w:t>卖方</w:t>
      </w:r>
      <w:r>
        <w:rPr>
          <w:sz w:val="24"/>
          <w:highlight w:val="none"/>
        </w:rPr>
        <w:t>在交货地点</w:t>
      </w:r>
      <w:r>
        <w:rPr>
          <w:rFonts w:hint="eastAsia"/>
          <w:sz w:val="24"/>
          <w:highlight w:val="none"/>
        </w:rPr>
        <w:t>将软件产品交付给买方</w:t>
      </w:r>
      <w:r>
        <w:rPr>
          <w:sz w:val="24"/>
          <w:highlight w:val="none"/>
        </w:rPr>
        <w:t>前</w:t>
      </w:r>
      <w:r>
        <w:rPr>
          <w:rFonts w:hint="eastAsia"/>
          <w:sz w:val="24"/>
          <w:highlight w:val="none"/>
        </w:rPr>
        <w:t>，软件产品的一切</w:t>
      </w:r>
      <w:r>
        <w:rPr>
          <w:sz w:val="24"/>
          <w:highlight w:val="none"/>
        </w:rPr>
        <w:t>风险</w:t>
      </w:r>
      <w:r>
        <w:rPr>
          <w:rFonts w:hint="eastAsia"/>
          <w:sz w:val="24"/>
          <w:highlight w:val="none"/>
        </w:rPr>
        <w:t>（</w:t>
      </w:r>
      <w:r>
        <w:rPr>
          <w:sz w:val="24"/>
          <w:highlight w:val="none"/>
        </w:rPr>
        <w:t>包括</w:t>
      </w:r>
      <w:r>
        <w:rPr>
          <w:rFonts w:hint="eastAsia"/>
          <w:sz w:val="24"/>
          <w:highlight w:val="none"/>
        </w:rPr>
        <w:t>软件产品</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）由卖方承担。卖方在交货地点将软件产品交付买方后，软件产品</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r>
        <w:rPr>
          <w:rFonts w:hint="eastAsia"/>
          <w:sz w:val="24"/>
          <w:highlight w:val="none"/>
        </w:rPr>
        <w:t>未经买方同意，卖方将软件产品留置或自行处置，不得视为软件产品合法、有效地交付买方。未经合法、有效交付，软件产品的风险仍由卖方承担。如果软件产品的风险系因卖方违反合同规定、卖方的过错或者其它可归咎于卖方的原因造成的，软件产品的风险由卖方承担。</w:t>
      </w:r>
    </w:p>
    <w:p>
      <w:pPr>
        <w:numPr>
          <w:ilvl w:val="0"/>
          <w:numId w:val="24"/>
        </w:numPr>
        <w:tabs>
          <w:tab w:val="left" w:pos="709"/>
          <w:tab w:val="left" w:pos="3060"/>
        </w:tabs>
        <w:spacing w:line="360" w:lineRule="auto"/>
        <w:ind w:left="709" w:hanging="709"/>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软件产品</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pPr>
        <w:pStyle w:val="17"/>
        <w:numPr>
          <w:ilvl w:val="0"/>
          <w:numId w:val="13"/>
        </w:numPr>
        <w:tabs>
          <w:tab w:val="left" w:pos="0"/>
        </w:tabs>
        <w:spacing w:before="360" w:after="360" w:line="360" w:lineRule="auto"/>
        <w:ind w:left="0" w:firstLine="0"/>
        <w:rPr>
          <w:sz w:val="24"/>
          <w:szCs w:val="24"/>
          <w:highlight w:val="none"/>
        </w:rPr>
      </w:pPr>
      <w:bookmarkStart w:id="26" w:name="_Toc300067342"/>
      <w:bookmarkStart w:id="27" w:name="_Toc378163292"/>
      <w:r>
        <w:rPr>
          <w:rFonts w:hint="eastAsia"/>
          <w:sz w:val="24"/>
          <w:szCs w:val="24"/>
          <w:highlight w:val="none"/>
        </w:rPr>
        <w:t>权利保证</w:t>
      </w:r>
      <w:bookmarkEnd w:id="26"/>
      <w:bookmarkEnd w:id="27"/>
    </w:p>
    <w:p>
      <w:pPr>
        <w:widowControl/>
        <w:numPr>
          <w:ilvl w:val="0"/>
          <w:numId w:val="25"/>
        </w:numPr>
        <w:tabs>
          <w:tab w:val="left" w:pos="709"/>
        </w:tabs>
        <w:spacing w:line="360" w:lineRule="auto"/>
        <w:ind w:left="709" w:hanging="711"/>
        <w:jc w:val="left"/>
        <w:rPr>
          <w:sz w:val="24"/>
          <w:highlight w:val="none"/>
        </w:rPr>
      </w:pPr>
      <w:r>
        <w:rPr>
          <w:sz w:val="24"/>
          <w:highlight w:val="none"/>
        </w:rPr>
        <w:t>卖方保证，</w:t>
      </w:r>
      <w:r>
        <w:rPr>
          <w:rFonts w:hint="eastAsia"/>
          <w:sz w:val="24"/>
          <w:highlight w:val="none"/>
        </w:rPr>
        <w:t>软件产品未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，软件产品</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pPr>
        <w:widowControl/>
        <w:numPr>
          <w:ilvl w:val="0"/>
          <w:numId w:val="25"/>
        </w:numPr>
        <w:tabs>
          <w:tab w:val="left" w:pos="709"/>
        </w:tabs>
        <w:spacing w:line="360" w:lineRule="auto"/>
        <w:ind w:left="709" w:hanging="711"/>
        <w:jc w:val="left"/>
        <w:rPr>
          <w:sz w:val="24"/>
          <w:highlight w:val="none"/>
        </w:rPr>
      </w:pPr>
      <w:r>
        <w:rPr>
          <w:sz w:val="24"/>
          <w:highlight w:val="none"/>
        </w:rPr>
        <w:t>卖方保证，</w:t>
      </w:r>
      <w:r>
        <w:rPr>
          <w:rFonts w:hint="eastAsia"/>
          <w:sz w:val="24"/>
          <w:highlight w:val="none"/>
        </w:rPr>
        <w:t>软件产品交付前，</w:t>
      </w:r>
      <w:r>
        <w:rPr>
          <w:sz w:val="24"/>
          <w:highlight w:val="none"/>
        </w:rPr>
        <w:t>卖方</w:t>
      </w:r>
      <w:r>
        <w:rPr>
          <w:rFonts w:hint="eastAsia"/>
          <w:sz w:val="24"/>
          <w:highlight w:val="none"/>
        </w:rPr>
        <w:t>对其软件产品享有完整的所有权，且软件产品上不存在任何形式的担保物权及其它任何权利负担，亦未</w:t>
      </w:r>
      <w:r>
        <w:rPr>
          <w:sz w:val="24"/>
          <w:highlight w:val="none"/>
        </w:rPr>
        <w:t>侵犯任何第三方的</w:t>
      </w:r>
      <w:r>
        <w:rPr>
          <w:rFonts w:hint="eastAsia"/>
          <w:sz w:val="24"/>
          <w:highlight w:val="none"/>
        </w:rPr>
        <w:t>权利。</w:t>
      </w:r>
    </w:p>
    <w:p>
      <w:pPr>
        <w:widowControl/>
        <w:numPr>
          <w:ilvl w:val="0"/>
          <w:numId w:val="25"/>
        </w:numPr>
        <w:tabs>
          <w:tab w:val="left" w:pos="709"/>
        </w:tabs>
        <w:spacing w:line="360" w:lineRule="auto"/>
        <w:ind w:left="709" w:hanging="711"/>
        <w:jc w:val="left"/>
        <w:rPr>
          <w:sz w:val="24"/>
          <w:highlight w:val="none"/>
        </w:rPr>
      </w:pPr>
      <w:r>
        <w:rPr>
          <w:rFonts w:hint="eastAsia"/>
          <w:sz w:val="24"/>
          <w:highlight w:val="none"/>
        </w:rPr>
        <w:t>如软件产品侵犯任何第三方的权利（包括</w:t>
      </w:r>
      <w:r>
        <w:rPr>
          <w:sz w:val="24"/>
          <w:highlight w:val="none"/>
        </w:rPr>
        <w:t>知识产权</w:t>
      </w:r>
      <w:r>
        <w:rPr>
          <w:rFonts w:hint="eastAsia"/>
          <w:sz w:val="24"/>
          <w:highlight w:val="none"/>
        </w:rPr>
        <w:t>）</w:t>
      </w:r>
      <w:r>
        <w:rPr>
          <w:sz w:val="24"/>
          <w:highlight w:val="none"/>
        </w:rPr>
        <w:t>，卖方应根据买方要求采取一切措施确保买方获得继续</w:t>
      </w:r>
      <w:r>
        <w:rPr>
          <w:rFonts w:hint="eastAsia"/>
          <w:sz w:val="24"/>
          <w:highlight w:val="none"/>
        </w:rPr>
        <w:t>软件产品</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软件产品的全部权益（包括但不限于知识产权），或采用</w:t>
      </w:r>
      <w:r>
        <w:rPr>
          <w:sz w:val="24"/>
          <w:highlight w:val="none"/>
        </w:rPr>
        <w:t>不侵权的材料、零部件、设计、技术、工艺、方法对</w:t>
      </w:r>
      <w:r>
        <w:rPr>
          <w:rFonts w:hint="eastAsia"/>
          <w:sz w:val="24"/>
          <w:highlight w:val="none"/>
        </w:rPr>
        <w:t>软件产品</w:t>
      </w:r>
      <w:r>
        <w:rPr>
          <w:sz w:val="24"/>
          <w:highlight w:val="none"/>
        </w:rPr>
        <w:t>进行变更，变更后</w:t>
      </w:r>
      <w:r>
        <w:rPr>
          <w:rFonts w:hint="eastAsia"/>
          <w:sz w:val="24"/>
          <w:highlight w:val="none"/>
        </w:rPr>
        <w:t>软件产品</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软件产品</w:t>
      </w:r>
      <w:r>
        <w:rPr>
          <w:sz w:val="24"/>
          <w:highlight w:val="none"/>
        </w:rPr>
        <w:t>。</w:t>
      </w:r>
    </w:p>
    <w:p>
      <w:pPr>
        <w:pStyle w:val="17"/>
        <w:numPr>
          <w:ilvl w:val="0"/>
          <w:numId w:val="13"/>
        </w:numPr>
        <w:tabs>
          <w:tab w:val="left" w:pos="0"/>
        </w:tabs>
        <w:spacing w:before="360" w:after="360" w:line="360" w:lineRule="auto"/>
        <w:ind w:left="0" w:firstLine="0"/>
        <w:rPr>
          <w:rFonts w:hAnsi="宋体"/>
          <w:sz w:val="24"/>
          <w:szCs w:val="24"/>
          <w:highlight w:val="none"/>
        </w:rPr>
      </w:pPr>
      <w:bookmarkStart w:id="28" w:name="_Toc378163293"/>
      <w:r>
        <w:rPr>
          <w:rFonts w:hint="eastAsia" w:hAnsi="宋体"/>
          <w:sz w:val="24"/>
          <w:szCs w:val="24"/>
          <w:highlight w:val="none"/>
        </w:rPr>
        <w:t>使用许可</w:t>
      </w:r>
      <w:bookmarkEnd w:id="28"/>
    </w:p>
    <w:p>
      <w:pPr>
        <w:widowControl/>
        <w:numPr>
          <w:ilvl w:val="0"/>
          <w:numId w:val="26"/>
        </w:numPr>
        <w:tabs>
          <w:tab w:val="left" w:pos="709"/>
        </w:tabs>
        <w:spacing w:line="360" w:lineRule="auto"/>
        <w:ind w:left="709" w:hanging="709"/>
        <w:rPr>
          <w:color w:val="000000"/>
          <w:sz w:val="24"/>
          <w:highlight w:val="none"/>
        </w:rPr>
      </w:pPr>
      <w:r>
        <w:rPr>
          <w:rFonts w:hint="eastAsia"/>
          <w:sz w:val="24"/>
          <w:highlight w:val="none"/>
        </w:rPr>
        <w:t>双方同意，软件产品交付且买方根据本合同规定支付合同总价后，买方</w:t>
      </w:r>
    </w:p>
    <w:p>
      <w:pPr>
        <w:widowControl/>
        <w:tabs>
          <w:tab w:val="left" w:pos="709"/>
        </w:tabs>
        <w:spacing w:line="360" w:lineRule="auto"/>
        <w:ind w:left="709"/>
        <w:rPr>
          <w:i/>
          <w:sz w:val="24"/>
          <w:highlight w:val="none"/>
          <w:u w:val="single"/>
        </w:rPr>
      </w:pPr>
      <w:r>
        <w:rPr>
          <w:rFonts w:hint="eastAsia"/>
          <w:i/>
          <w:sz w:val="24"/>
          <w:highlight w:val="none"/>
          <w:u w:val="single"/>
        </w:rPr>
        <w:t>从下列选项中选择一项，将不适用的选项删除</w:t>
      </w:r>
    </w:p>
    <w:p>
      <w:pPr>
        <w:widowControl/>
        <w:tabs>
          <w:tab w:val="left" w:pos="709"/>
        </w:tabs>
        <w:spacing w:line="360" w:lineRule="auto"/>
        <w:ind w:left="709"/>
        <w:rPr>
          <w:i/>
          <w:color w:val="000000"/>
          <w:sz w:val="24"/>
          <w:highlight w:val="none"/>
          <w:u w:val="single"/>
        </w:rPr>
      </w:pPr>
      <w:r>
        <w:rPr>
          <w:rFonts w:hint="eastAsia"/>
          <w:i/>
          <w:sz w:val="24"/>
          <w:highlight w:val="none"/>
          <w:u w:val="single"/>
        </w:rPr>
        <w:t>选项一</w:t>
      </w:r>
    </w:p>
    <w:p>
      <w:pPr>
        <w:widowControl/>
        <w:tabs>
          <w:tab w:val="left" w:pos="1134"/>
        </w:tabs>
        <w:spacing w:line="360" w:lineRule="auto"/>
        <w:ind w:left="674" w:leftChars="337"/>
        <w:jc w:val="left"/>
        <w:rPr>
          <w:color w:val="000000"/>
          <w:sz w:val="24"/>
          <w:highlight w:val="none"/>
        </w:rPr>
      </w:pPr>
      <w:r>
        <w:rPr>
          <w:rFonts w:hint="eastAsia"/>
          <w:color w:val="000000"/>
          <w:sz w:val="24"/>
          <w:highlight w:val="none"/>
        </w:rPr>
        <w:t>自动获得并拥有软件产品自身附有的和/或为拥有、使用及维护软件产品所需的全部知识产权。</w:t>
      </w:r>
    </w:p>
    <w:p>
      <w:pPr>
        <w:widowControl/>
        <w:tabs>
          <w:tab w:val="left" w:pos="709"/>
        </w:tabs>
        <w:spacing w:line="360" w:lineRule="auto"/>
        <w:ind w:left="709"/>
        <w:rPr>
          <w:i/>
          <w:color w:val="000000"/>
          <w:sz w:val="24"/>
          <w:highlight w:val="none"/>
          <w:u w:val="single"/>
        </w:rPr>
      </w:pPr>
      <w:r>
        <w:rPr>
          <w:rFonts w:hint="eastAsia"/>
          <w:i/>
          <w:color w:val="000000"/>
          <w:sz w:val="24"/>
          <w:highlight w:val="none"/>
          <w:u w:val="single"/>
        </w:rPr>
        <w:t>选项二</w:t>
      </w:r>
    </w:p>
    <w:p>
      <w:pPr>
        <w:widowControl/>
        <w:tabs>
          <w:tab w:val="left" w:pos="1134"/>
        </w:tabs>
        <w:spacing w:line="360" w:lineRule="auto"/>
        <w:ind w:left="674" w:leftChars="337"/>
        <w:jc w:val="left"/>
        <w:rPr>
          <w:color w:val="000000"/>
          <w:sz w:val="24"/>
          <w:highlight w:val="none"/>
        </w:rPr>
      </w:pPr>
      <w:r>
        <w:rPr>
          <w:rFonts w:hint="eastAsia"/>
          <w:color w:val="000000"/>
          <w:sz w:val="24"/>
          <w:highlight w:val="none"/>
        </w:rPr>
        <w:t>自动获得并拥有软件产品自身附有的和/或为拥有、使用及维护软件产品所需的【本合同附件四】规定的知识产权，且卖方同意无偿许可买方使用与软件产品有关的所有知识产权。</w:t>
      </w:r>
    </w:p>
    <w:p>
      <w:pPr>
        <w:widowControl/>
        <w:tabs>
          <w:tab w:val="left" w:pos="709"/>
        </w:tabs>
        <w:spacing w:line="360" w:lineRule="auto"/>
        <w:ind w:left="709"/>
        <w:rPr>
          <w:i/>
          <w:color w:val="000000"/>
          <w:sz w:val="24"/>
          <w:highlight w:val="none"/>
          <w:u w:val="single"/>
        </w:rPr>
      </w:pPr>
      <w:r>
        <w:rPr>
          <w:rFonts w:hint="eastAsia"/>
          <w:i/>
          <w:color w:val="000000"/>
          <w:sz w:val="24"/>
          <w:highlight w:val="none"/>
          <w:u w:val="single"/>
        </w:rPr>
        <w:t>选项三</w:t>
      </w:r>
    </w:p>
    <w:p>
      <w:pPr>
        <w:widowControl/>
        <w:tabs>
          <w:tab w:val="left" w:pos="1134"/>
        </w:tabs>
        <w:spacing w:line="360" w:lineRule="auto"/>
        <w:ind w:left="674" w:leftChars="337"/>
        <w:rPr>
          <w:color w:val="000000"/>
          <w:sz w:val="24"/>
          <w:highlight w:val="none"/>
        </w:rPr>
      </w:pPr>
      <w:r>
        <w:rPr>
          <w:rFonts w:hint="eastAsia"/>
          <w:color w:val="000000"/>
          <w:sz w:val="24"/>
          <w:highlight w:val="none"/>
        </w:rPr>
        <w:t>除非双方另有约定，不自动获得并拥有软件产品自身附有的相关知识产权，但</w:t>
      </w:r>
      <w:r>
        <w:rPr>
          <w:rFonts w:hint="eastAsia" w:cs="Calibri"/>
          <w:sz w:val="24"/>
          <w:highlight w:val="none"/>
        </w:rPr>
        <w:t>卖方同意根据本合同第11.2款无偿许可买方使用与软件产品有关的所有知识产权</w:t>
      </w:r>
      <w:r>
        <w:rPr>
          <w:rFonts w:hint="eastAsia"/>
          <w:color w:val="000000"/>
          <w:sz w:val="24"/>
          <w:highlight w:val="none"/>
        </w:rPr>
        <w:t>。</w:t>
      </w:r>
    </w:p>
    <w:p>
      <w:pPr>
        <w:widowControl/>
        <w:numPr>
          <w:ilvl w:val="0"/>
          <w:numId w:val="26"/>
        </w:numPr>
        <w:tabs>
          <w:tab w:val="left" w:pos="709"/>
        </w:tabs>
        <w:spacing w:line="360" w:lineRule="auto"/>
        <w:ind w:left="709" w:hanging="709"/>
        <w:rPr>
          <w:sz w:val="24"/>
          <w:highlight w:val="none"/>
        </w:rPr>
      </w:pPr>
      <w:r>
        <w:rPr>
          <w:rFonts w:hint="eastAsia"/>
          <w:sz w:val="24"/>
          <w:highlight w:val="none"/>
        </w:rPr>
        <w:t>本合同项下的软件产品使用许可为以下方式：</w:t>
      </w:r>
    </w:p>
    <w:p>
      <w:pPr>
        <w:pStyle w:val="41"/>
        <w:widowControl/>
        <w:tabs>
          <w:tab w:val="left" w:pos="709"/>
        </w:tabs>
        <w:spacing w:line="360" w:lineRule="auto"/>
        <w:ind w:left="420" w:firstLine="288" w:firstLineChars="120"/>
        <w:rPr>
          <w:i/>
          <w:sz w:val="24"/>
          <w:highlight w:val="none"/>
          <w:u w:val="single"/>
        </w:rPr>
      </w:pPr>
      <w:r>
        <w:rPr>
          <w:rFonts w:hint="eastAsia"/>
          <w:i/>
          <w:sz w:val="24"/>
          <w:highlight w:val="none"/>
          <w:u w:val="single"/>
        </w:rPr>
        <w:t>从下列选项中选择一项，将不适用的选项删除</w:t>
      </w:r>
    </w:p>
    <w:p>
      <w:pPr>
        <w:spacing w:line="360" w:lineRule="auto"/>
        <w:ind w:left="674" w:leftChars="337"/>
        <w:rPr>
          <w:rFonts w:hAnsi="宋体"/>
          <w:i/>
          <w:sz w:val="24"/>
          <w:highlight w:val="none"/>
          <w:u w:val="single"/>
        </w:rPr>
      </w:pPr>
      <w:r>
        <w:rPr>
          <w:rFonts w:hint="eastAsia" w:hAnsi="宋体"/>
          <w:i/>
          <w:sz w:val="24"/>
          <w:highlight w:val="none"/>
          <w:u w:val="single"/>
        </w:rPr>
        <w:t>选项一：永久使用许可</w:t>
      </w:r>
    </w:p>
    <w:p>
      <w:pPr>
        <w:spacing w:line="360" w:lineRule="auto"/>
        <w:ind w:left="674" w:leftChars="337"/>
        <w:rPr>
          <w:rFonts w:hAnsi="宋体"/>
          <w:sz w:val="24"/>
          <w:highlight w:val="none"/>
        </w:rPr>
      </w:pPr>
      <w:r>
        <w:rPr>
          <w:rFonts w:hint="eastAsia" w:hAnsi="宋体"/>
          <w:sz w:val="24"/>
          <w:highlight w:val="none"/>
        </w:rPr>
        <w:t>卖方同意授予买方对本合同项下的软件产品非专有的、不可转让的永久使用许可。</w:t>
      </w:r>
    </w:p>
    <w:p>
      <w:pPr>
        <w:spacing w:line="360" w:lineRule="auto"/>
        <w:ind w:left="674" w:leftChars="337"/>
        <w:rPr>
          <w:i/>
          <w:sz w:val="24"/>
          <w:highlight w:val="none"/>
          <w:u w:val="single"/>
        </w:rPr>
      </w:pPr>
      <w:r>
        <w:rPr>
          <w:rFonts w:hint="eastAsia" w:hAnsi="宋体"/>
          <w:i/>
          <w:sz w:val="24"/>
          <w:highlight w:val="none"/>
          <w:u w:val="single"/>
        </w:rPr>
        <w:t>选项二：附期限使用许可</w:t>
      </w:r>
    </w:p>
    <w:p>
      <w:pPr>
        <w:spacing w:line="360" w:lineRule="auto"/>
        <w:ind w:left="674" w:leftChars="337"/>
        <w:rPr>
          <w:sz w:val="24"/>
          <w:highlight w:val="none"/>
        </w:rPr>
      </w:pPr>
      <w:r>
        <w:rPr>
          <w:rFonts w:hint="eastAsia" w:hAnsi="宋体"/>
          <w:sz w:val="24"/>
          <w:highlight w:val="none"/>
        </w:rPr>
        <w:t>卖方同意授予买方对本合同项下的软件产品非专有的、不可转让的使用许可，</w:t>
      </w:r>
      <w:r>
        <w:rPr>
          <w:rFonts w:hint="eastAsia"/>
          <w:sz w:val="24"/>
          <w:highlight w:val="none"/>
        </w:rPr>
        <w:t>使用许可的期限为</w:t>
      </w:r>
      <w:r>
        <w:rPr>
          <w:rFonts w:hint="eastAsia" w:hAnsi="宋体"/>
          <w:sz w:val="24"/>
          <w:highlight w:val="none"/>
        </w:rPr>
        <w:t>【</w:t>
      </w:r>
      <w:r>
        <w:rPr>
          <w:rFonts w:hint="eastAsia" w:hAnsi="宋体"/>
          <w:i/>
          <w:sz w:val="24"/>
          <w:highlight w:val="none"/>
        </w:rPr>
        <w:t>填入年数</w:t>
      </w:r>
      <w:r>
        <w:rPr>
          <w:rFonts w:hint="eastAsia" w:hAnsi="宋体"/>
          <w:sz w:val="24"/>
          <w:highlight w:val="none"/>
        </w:rPr>
        <w:t>】</w:t>
      </w:r>
      <w:r>
        <w:rPr>
          <w:rFonts w:hint="eastAsia"/>
          <w:sz w:val="24"/>
          <w:highlight w:val="none"/>
        </w:rPr>
        <w:t>年。</w:t>
      </w:r>
    </w:p>
    <w:p>
      <w:pPr>
        <w:widowControl/>
        <w:numPr>
          <w:ilvl w:val="0"/>
          <w:numId w:val="26"/>
        </w:numPr>
        <w:tabs>
          <w:tab w:val="left" w:pos="709"/>
        </w:tabs>
        <w:spacing w:line="360" w:lineRule="auto"/>
        <w:ind w:left="709" w:hanging="709"/>
        <w:rPr>
          <w:sz w:val="24"/>
          <w:highlight w:val="none"/>
        </w:rPr>
      </w:pPr>
      <w:r>
        <w:rPr>
          <w:rFonts w:hint="eastAsia"/>
          <w:sz w:val="24"/>
          <w:highlight w:val="none"/>
        </w:rPr>
        <w:t>在上述许可使用期限内，卖方应当保证买方指定的使用软件产品的单位可以延伸使用本许可。卖方需向买方及买方指定的使用软件产品的单位提供许可证。</w:t>
      </w:r>
    </w:p>
    <w:p>
      <w:pPr>
        <w:tabs>
          <w:tab w:val="left" w:pos="709"/>
        </w:tabs>
        <w:spacing w:line="360" w:lineRule="auto"/>
        <w:rPr>
          <w:i/>
          <w:sz w:val="24"/>
          <w:highlight w:val="none"/>
          <w:u w:val="single"/>
        </w:rPr>
      </w:pPr>
      <w:r>
        <w:rPr>
          <w:rFonts w:hint="eastAsia"/>
          <w:i/>
          <w:sz w:val="24"/>
          <w:highlight w:val="none"/>
          <w:u w:val="single"/>
        </w:rPr>
        <w:t>可选择条款—第11.4款网上共享许可</w:t>
      </w:r>
    </w:p>
    <w:p>
      <w:pPr>
        <w:numPr>
          <w:ilvl w:val="0"/>
          <w:numId w:val="27"/>
        </w:numPr>
        <w:tabs>
          <w:tab w:val="left" w:pos="709"/>
        </w:tabs>
        <w:spacing w:line="360" w:lineRule="auto"/>
        <w:ind w:left="709" w:hanging="709"/>
        <w:rPr>
          <w:sz w:val="24"/>
          <w:highlight w:val="none"/>
        </w:rPr>
      </w:pPr>
      <w:r>
        <w:rPr>
          <w:rFonts w:hint="eastAsia"/>
          <w:sz w:val="24"/>
          <w:highlight w:val="none"/>
        </w:rPr>
        <w:t>卖方保证软件产品可在买方及买方指定的使用软件产品的单位范围内实现许可网上共享。</w:t>
      </w:r>
    </w:p>
    <w:p>
      <w:pPr>
        <w:pStyle w:val="17"/>
        <w:numPr>
          <w:ilvl w:val="0"/>
          <w:numId w:val="13"/>
        </w:numPr>
        <w:tabs>
          <w:tab w:val="left" w:pos="0"/>
        </w:tabs>
        <w:spacing w:before="360" w:after="360" w:line="360" w:lineRule="auto"/>
        <w:ind w:left="0" w:firstLine="0"/>
        <w:rPr>
          <w:rFonts w:hAnsi="宋体"/>
          <w:sz w:val="24"/>
          <w:szCs w:val="24"/>
          <w:highlight w:val="none"/>
        </w:rPr>
      </w:pPr>
      <w:bookmarkStart w:id="29" w:name="_Toc378163294"/>
      <w:r>
        <w:rPr>
          <w:rFonts w:hint="eastAsia" w:hAnsi="宋体"/>
          <w:sz w:val="24"/>
          <w:szCs w:val="24"/>
          <w:highlight w:val="none"/>
        </w:rPr>
        <w:t>升级</w:t>
      </w:r>
      <w:bookmarkEnd w:id="29"/>
    </w:p>
    <w:p>
      <w:pPr>
        <w:numPr>
          <w:ilvl w:val="0"/>
          <w:numId w:val="28"/>
        </w:numPr>
        <w:tabs>
          <w:tab w:val="left" w:pos="709"/>
        </w:tabs>
        <w:spacing w:line="360" w:lineRule="auto"/>
        <w:ind w:left="709" w:hanging="709"/>
        <w:rPr>
          <w:sz w:val="24"/>
          <w:highlight w:val="none"/>
        </w:rPr>
      </w:pPr>
      <w:r>
        <w:rPr>
          <w:rFonts w:hint="eastAsia"/>
          <w:sz w:val="24"/>
          <w:highlight w:val="none"/>
        </w:rPr>
        <w:t>软件的免费升级期根据以下第【●】种方式确定：</w:t>
      </w:r>
    </w:p>
    <w:p>
      <w:pPr>
        <w:numPr>
          <w:ilvl w:val="3"/>
          <w:numId w:val="28"/>
        </w:numPr>
        <w:spacing w:line="360" w:lineRule="auto"/>
        <w:ind w:left="1701" w:hanging="992"/>
        <w:rPr>
          <w:rFonts w:hint="eastAsia"/>
          <w:sz w:val="24"/>
          <w:highlight w:val="none"/>
        </w:rPr>
      </w:pPr>
      <w:r>
        <w:rPr>
          <w:rFonts w:hint="eastAsia"/>
          <w:sz w:val="24"/>
          <w:highlight w:val="none"/>
        </w:rPr>
        <w:t>与质保期相同。</w:t>
      </w:r>
    </w:p>
    <w:p>
      <w:pPr>
        <w:numPr>
          <w:ilvl w:val="3"/>
          <w:numId w:val="28"/>
        </w:numPr>
        <w:spacing w:line="360" w:lineRule="auto"/>
        <w:ind w:hanging="971"/>
        <w:rPr>
          <w:sz w:val="24"/>
          <w:highlight w:val="none"/>
        </w:rPr>
      </w:pPr>
      <w:r>
        <w:rPr>
          <w:rFonts w:hint="eastAsia"/>
          <w:sz w:val="24"/>
          <w:highlight w:val="none"/>
        </w:rPr>
        <w:t>最终验收报告签署后【●】个月。</w:t>
      </w:r>
    </w:p>
    <w:p>
      <w:pPr>
        <w:numPr>
          <w:ilvl w:val="3"/>
          <w:numId w:val="28"/>
        </w:numPr>
        <w:spacing w:line="360" w:lineRule="auto"/>
        <w:ind w:hanging="971"/>
        <w:rPr>
          <w:sz w:val="24"/>
          <w:highlight w:val="none"/>
        </w:rPr>
      </w:pPr>
      <w:r>
        <w:rPr>
          <w:rFonts w:hint="eastAsia"/>
          <w:sz w:val="24"/>
          <w:highlight w:val="none"/>
        </w:rPr>
        <w:t>本软件产品无法免费升级，升级服务可由双方另行签订软件升级开</w:t>
      </w:r>
    </w:p>
    <w:p>
      <w:pPr>
        <w:spacing w:line="360" w:lineRule="auto"/>
        <w:ind w:left="1276"/>
        <w:rPr>
          <w:sz w:val="24"/>
          <w:highlight w:val="none"/>
        </w:rPr>
      </w:pPr>
      <w:r>
        <w:rPr>
          <w:rFonts w:hint="eastAsia"/>
          <w:sz w:val="24"/>
          <w:highlight w:val="none"/>
        </w:rPr>
        <w:t>发合同。</w:t>
      </w:r>
    </w:p>
    <w:p>
      <w:pPr>
        <w:numPr>
          <w:ilvl w:val="3"/>
          <w:numId w:val="28"/>
        </w:numPr>
        <w:spacing w:line="360" w:lineRule="auto"/>
        <w:ind w:hanging="971"/>
        <w:rPr>
          <w:sz w:val="24"/>
          <w:highlight w:val="none"/>
        </w:rPr>
      </w:pPr>
      <w:r>
        <w:rPr>
          <w:rFonts w:hint="eastAsia"/>
          <w:sz w:val="24"/>
          <w:highlight w:val="none"/>
        </w:rPr>
        <w:t>【</w:t>
      </w:r>
      <w:r>
        <w:rPr>
          <w:rFonts w:hint="eastAsia"/>
          <w:i/>
          <w:sz w:val="24"/>
          <w:highlight w:val="none"/>
        </w:rPr>
        <w:t>填入其他方式</w:t>
      </w:r>
      <w:r>
        <w:rPr>
          <w:rFonts w:hint="eastAsia"/>
          <w:sz w:val="24"/>
          <w:highlight w:val="none"/>
        </w:rPr>
        <w:t>】。</w:t>
      </w:r>
    </w:p>
    <w:p>
      <w:pPr>
        <w:numPr>
          <w:ilvl w:val="0"/>
          <w:numId w:val="28"/>
        </w:numPr>
        <w:tabs>
          <w:tab w:val="left" w:pos="709"/>
        </w:tabs>
        <w:spacing w:line="360" w:lineRule="auto"/>
        <w:ind w:left="709" w:hanging="709"/>
        <w:rPr>
          <w:sz w:val="24"/>
          <w:highlight w:val="none"/>
        </w:rPr>
      </w:pPr>
      <w:r>
        <w:rPr>
          <w:rFonts w:hint="eastAsia"/>
          <w:sz w:val="24"/>
          <w:highlight w:val="none"/>
        </w:rPr>
        <w:t>卖方保证买方及买方指定的使用软件产品的单位在本合同第12.1款所述升级期内使用软件最新版本。</w:t>
      </w:r>
    </w:p>
    <w:p>
      <w:pPr>
        <w:numPr>
          <w:ilvl w:val="0"/>
          <w:numId w:val="28"/>
        </w:numPr>
        <w:tabs>
          <w:tab w:val="left" w:pos="709"/>
        </w:tabs>
        <w:spacing w:line="360" w:lineRule="auto"/>
        <w:ind w:left="709" w:hanging="709"/>
        <w:rPr>
          <w:sz w:val="24"/>
          <w:highlight w:val="none"/>
        </w:rPr>
      </w:pPr>
      <w:r>
        <w:rPr>
          <w:rFonts w:hint="eastAsia"/>
          <w:sz w:val="24"/>
          <w:highlight w:val="none"/>
        </w:rPr>
        <w:t>在免费升级期内，卖方为买方及买方指定的使用软件产品的单位提供免费升级服务，并免费提供升级期内释放的所有新版本软件及新功能。卖方保证买方及买方指定的使用软件产品的单位拥有的版本能够平稳升级到新版本。</w:t>
      </w:r>
    </w:p>
    <w:p>
      <w:pPr>
        <w:numPr>
          <w:ilvl w:val="0"/>
          <w:numId w:val="28"/>
        </w:numPr>
        <w:tabs>
          <w:tab w:val="left" w:pos="709"/>
        </w:tabs>
        <w:spacing w:line="360" w:lineRule="auto"/>
        <w:ind w:left="709" w:hanging="709"/>
        <w:rPr>
          <w:sz w:val="24"/>
          <w:highlight w:val="none"/>
        </w:rPr>
      </w:pPr>
      <w:r>
        <w:rPr>
          <w:rFonts w:hint="eastAsia"/>
          <w:sz w:val="24"/>
          <w:highlight w:val="none"/>
        </w:rPr>
        <w:t>在本合同12.1条所述的期限结束后，如果卖方对于本合同项下的软件产品进行升级的，卖方应当保证买方能够以卖方向其它第三方提供该升级服务的最低价格向卖方购买该升级服务。</w:t>
      </w:r>
    </w:p>
    <w:p>
      <w:pPr>
        <w:numPr>
          <w:ilvl w:val="0"/>
          <w:numId w:val="28"/>
        </w:numPr>
        <w:tabs>
          <w:tab w:val="left" w:pos="709"/>
        </w:tabs>
        <w:spacing w:line="360" w:lineRule="auto"/>
        <w:ind w:left="709" w:hanging="709"/>
        <w:rPr>
          <w:sz w:val="24"/>
          <w:highlight w:val="none"/>
        </w:rPr>
      </w:pPr>
      <w:r>
        <w:rPr>
          <w:rFonts w:hint="eastAsia"/>
          <w:sz w:val="24"/>
          <w:highlight w:val="none"/>
        </w:rPr>
        <w:t>卖方为使其软件功能加强或运行速度加快而开发的软件或模块，无论其名称是否发生变化，只要其相应的主要功能在买方所购买的软件功能范围内，该软件或模块就属于升级软件，在本合同约定的质保期或免费升级期内，买方应享有该等软件升级的权利。如果由于卖方的原因使买方及买方指定的使用软件的单位未享受到软件版本升级的权利，该权利将顺延，直到卖方履行合同规定的义务为止</w:t>
      </w:r>
      <w:r>
        <w:rPr>
          <w:sz w:val="24"/>
          <w:highlight w:val="none"/>
        </w:rPr>
        <w:t>。</w:t>
      </w:r>
    </w:p>
    <w:p>
      <w:pPr>
        <w:numPr>
          <w:ilvl w:val="0"/>
          <w:numId w:val="28"/>
        </w:numPr>
        <w:tabs>
          <w:tab w:val="left" w:pos="709"/>
        </w:tabs>
        <w:spacing w:line="360" w:lineRule="auto"/>
        <w:ind w:left="709" w:hanging="709"/>
        <w:rPr>
          <w:sz w:val="24"/>
          <w:highlight w:val="none"/>
        </w:rPr>
      </w:pPr>
      <w:r>
        <w:rPr>
          <w:rFonts w:hint="eastAsia"/>
          <w:sz w:val="24"/>
          <w:highlight w:val="none"/>
        </w:rPr>
        <w:t>对于软件升级，卖方应当按照买方及买方指定的使用软件产品的单位的要求应提供免费现场技术培训。</w:t>
      </w:r>
    </w:p>
    <w:p>
      <w:pPr>
        <w:pStyle w:val="17"/>
        <w:numPr>
          <w:ilvl w:val="0"/>
          <w:numId w:val="13"/>
        </w:numPr>
        <w:tabs>
          <w:tab w:val="left" w:pos="0"/>
        </w:tabs>
        <w:spacing w:before="360" w:after="360" w:line="360" w:lineRule="auto"/>
        <w:ind w:left="0" w:firstLine="0"/>
        <w:rPr>
          <w:rFonts w:hAnsi="宋体"/>
          <w:color w:val="000000"/>
          <w:sz w:val="24"/>
          <w:highlight w:val="none"/>
        </w:rPr>
      </w:pPr>
      <w:bookmarkStart w:id="30" w:name="_Toc269301070"/>
      <w:bookmarkStart w:id="31" w:name="_Toc378163295"/>
      <w:bookmarkStart w:id="32" w:name="_Toc269307523"/>
      <w:r>
        <w:rPr>
          <w:rFonts w:hAnsi="宋体"/>
          <w:color w:val="000000"/>
          <w:sz w:val="24"/>
          <w:highlight w:val="none"/>
        </w:rPr>
        <w:t>质量保证和售后服务</w:t>
      </w:r>
      <w:bookmarkEnd w:id="30"/>
      <w:bookmarkEnd w:id="31"/>
      <w:bookmarkEnd w:id="32"/>
    </w:p>
    <w:p>
      <w:pPr>
        <w:numPr>
          <w:ilvl w:val="1"/>
          <w:numId w:val="29"/>
        </w:numPr>
        <w:tabs>
          <w:tab w:val="left" w:pos="709"/>
          <w:tab w:val="clear" w:pos="840"/>
        </w:tabs>
        <w:spacing w:line="360" w:lineRule="auto"/>
        <w:ind w:left="720" w:hanging="720"/>
        <w:rPr>
          <w:sz w:val="24"/>
          <w:highlight w:val="none"/>
        </w:rPr>
      </w:pPr>
      <w:r>
        <w:rPr>
          <w:rFonts w:hAnsi="宋体"/>
          <w:sz w:val="24"/>
          <w:highlight w:val="none"/>
        </w:rPr>
        <w:t>卖方特此保证：</w:t>
      </w:r>
    </w:p>
    <w:p>
      <w:pPr>
        <w:numPr>
          <w:ilvl w:val="1"/>
          <w:numId w:val="30"/>
        </w:numPr>
        <w:tabs>
          <w:tab w:val="left" w:pos="1276"/>
          <w:tab w:val="clear" w:pos="-140"/>
        </w:tabs>
        <w:autoSpaceDE w:val="0"/>
        <w:autoSpaceDN w:val="0"/>
        <w:adjustRightInd w:val="0"/>
        <w:spacing w:line="360" w:lineRule="auto"/>
        <w:ind w:left="1276" w:hanging="567"/>
        <w:jc w:val="left"/>
        <w:rPr>
          <w:rFonts w:ascii="宋体" w:hAnsi="宋体"/>
          <w:sz w:val="24"/>
          <w:highlight w:val="none"/>
        </w:rPr>
      </w:pPr>
      <w:r>
        <w:rPr>
          <w:rFonts w:hint="eastAsia" w:hAnsi="宋体"/>
          <w:sz w:val="24"/>
          <w:highlight w:val="none"/>
        </w:rPr>
        <w:t>软件产品系符合本合同规定的原产商制造的原装正品，</w:t>
      </w:r>
      <w:r>
        <w:rPr>
          <w:rFonts w:hint="eastAsia" w:ascii="宋体" w:hAnsi="宋体"/>
          <w:sz w:val="24"/>
          <w:highlight w:val="none"/>
        </w:rPr>
        <w:t>质量完全符合相关的产品</w:t>
      </w:r>
      <w:r>
        <w:rPr>
          <w:rFonts w:hint="eastAsia" w:ascii="Times" w:hAnsi="Times"/>
          <w:sz w:val="24"/>
          <w:highlight w:val="none"/>
        </w:rPr>
        <w:t>质量标准</w:t>
      </w:r>
      <w:r>
        <w:rPr>
          <w:rFonts w:hint="eastAsia" w:ascii="宋体" w:hAnsi="宋体"/>
          <w:sz w:val="24"/>
          <w:highlight w:val="none"/>
        </w:rPr>
        <w:t>和技术规范，不存在任何缺陷；</w:t>
      </w:r>
    </w:p>
    <w:p>
      <w:pPr>
        <w:numPr>
          <w:ilvl w:val="1"/>
          <w:numId w:val="30"/>
        </w:numPr>
        <w:tabs>
          <w:tab w:val="left" w:pos="1276"/>
          <w:tab w:val="clear" w:pos="-140"/>
        </w:tabs>
        <w:autoSpaceDE w:val="0"/>
        <w:autoSpaceDN w:val="0"/>
        <w:adjustRightInd w:val="0"/>
        <w:spacing w:line="360" w:lineRule="auto"/>
        <w:ind w:left="1276" w:hanging="567"/>
        <w:jc w:val="left"/>
        <w:rPr>
          <w:sz w:val="24"/>
          <w:highlight w:val="none"/>
        </w:rPr>
      </w:pPr>
      <w:r>
        <w:rPr>
          <w:rFonts w:hint="eastAsia" w:hAnsi="宋体"/>
          <w:sz w:val="24"/>
          <w:highlight w:val="none"/>
        </w:rPr>
        <w:t>软件产品</w:t>
      </w:r>
      <w:r>
        <w:rPr>
          <w:rFonts w:hAnsi="宋体"/>
          <w:sz w:val="24"/>
          <w:highlight w:val="none"/>
        </w:rPr>
        <w:t>是崭新、从未使用</w:t>
      </w:r>
      <w:r>
        <w:rPr>
          <w:rFonts w:hint="eastAsia" w:hAnsi="宋体"/>
          <w:sz w:val="24"/>
          <w:highlight w:val="none"/>
        </w:rPr>
        <w:t>且原产商包装未开封</w:t>
      </w:r>
      <w:r>
        <w:rPr>
          <w:rFonts w:hAnsi="宋体"/>
          <w:sz w:val="24"/>
          <w:highlight w:val="none"/>
        </w:rPr>
        <w:t>的</w:t>
      </w:r>
      <w:r>
        <w:rPr>
          <w:rFonts w:hint="eastAsia" w:hAnsi="宋体"/>
          <w:sz w:val="24"/>
          <w:highlight w:val="none"/>
        </w:rPr>
        <w:t>软件</w:t>
      </w:r>
      <w:r>
        <w:rPr>
          <w:rFonts w:hAnsi="宋体"/>
          <w:sz w:val="24"/>
          <w:highlight w:val="none"/>
        </w:rPr>
        <w:t>，其</w:t>
      </w:r>
      <w:r>
        <w:rPr>
          <w:rFonts w:hint="eastAsia" w:hAnsi="宋体"/>
          <w:sz w:val="24"/>
          <w:highlight w:val="none"/>
        </w:rPr>
        <w:t>编写</w:t>
      </w:r>
      <w:r>
        <w:rPr>
          <w:rFonts w:hAnsi="宋体"/>
          <w:sz w:val="24"/>
          <w:highlight w:val="none"/>
        </w:rPr>
        <w:t>不存在任何缺陷。</w:t>
      </w:r>
    </w:p>
    <w:p>
      <w:pPr>
        <w:numPr>
          <w:ilvl w:val="1"/>
          <w:numId w:val="29"/>
        </w:numPr>
        <w:tabs>
          <w:tab w:val="left" w:pos="709"/>
          <w:tab w:val="clear" w:pos="840"/>
        </w:tabs>
        <w:spacing w:line="360" w:lineRule="auto"/>
        <w:ind w:left="709" w:hanging="709"/>
        <w:rPr>
          <w:sz w:val="24"/>
          <w:highlight w:val="none"/>
        </w:rPr>
      </w:pPr>
      <w:r>
        <w:rPr>
          <w:rFonts w:hint="eastAsia"/>
          <w:sz w:val="24"/>
          <w:highlight w:val="none"/>
        </w:rPr>
        <w:t>除双方另有约定外，软件</w:t>
      </w:r>
      <w:r>
        <w:rPr>
          <w:sz w:val="24"/>
          <w:highlight w:val="none"/>
        </w:rPr>
        <w:t>产品的</w:t>
      </w:r>
      <w:r>
        <w:rPr>
          <w:rFonts w:hint="eastAsia"/>
          <w:sz w:val="24"/>
          <w:highlight w:val="none"/>
        </w:rPr>
        <w:t>质保期为</w:t>
      </w:r>
      <w:r>
        <w:rPr>
          <w:sz w:val="24"/>
          <w:highlight w:val="none"/>
        </w:rPr>
        <w:t>自软件产品交付</w:t>
      </w:r>
      <w:r>
        <w:rPr>
          <w:rFonts w:hint="eastAsia"/>
          <w:sz w:val="24"/>
          <w:highlight w:val="none"/>
        </w:rPr>
        <w:t>并经验收合格</w:t>
      </w:r>
      <w:r>
        <w:rPr>
          <w:sz w:val="24"/>
          <w:highlight w:val="none"/>
        </w:rPr>
        <w:t>之日起</w:t>
      </w:r>
      <w:r>
        <w:rPr>
          <w:rFonts w:hint="eastAsia"/>
          <w:sz w:val="24"/>
          <w:highlight w:val="none"/>
        </w:rPr>
        <w:t>【</w:t>
      </w:r>
      <w:r>
        <w:rPr>
          <w:rFonts w:hint="eastAsia"/>
          <w:i/>
          <w:sz w:val="24"/>
          <w:highlight w:val="none"/>
        </w:rPr>
        <w:t>填入天数</w:t>
      </w:r>
      <w:r>
        <w:rPr>
          <w:rFonts w:hint="eastAsia"/>
          <w:sz w:val="24"/>
          <w:highlight w:val="none"/>
        </w:rPr>
        <w:t>】日。</w:t>
      </w:r>
    </w:p>
    <w:p>
      <w:pPr>
        <w:numPr>
          <w:ilvl w:val="1"/>
          <w:numId w:val="29"/>
        </w:numPr>
        <w:tabs>
          <w:tab w:val="left" w:pos="709"/>
          <w:tab w:val="clear" w:pos="840"/>
        </w:tabs>
        <w:spacing w:line="360" w:lineRule="auto"/>
        <w:ind w:left="709" w:hanging="709"/>
        <w:rPr>
          <w:sz w:val="24"/>
          <w:highlight w:val="none"/>
        </w:rPr>
      </w:pPr>
      <w:r>
        <w:rPr>
          <w:sz w:val="24"/>
          <w:highlight w:val="none"/>
        </w:rPr>
        <w:t>卖方保证，全部软件产品资料清晰、完整、准确，能够满足软件产品的使用</w:t>
      </w:r>
      <w:r>
        <w:rPr>
          <w:rFonts w:hint="eastAsia"/>
          <w:sz w:val="24"/>
          <w:highlight w:val="none"/>
        </w:rPr>
        <w:t>、操作</w:t>
      </w:r>
      <w:r>
        <w:rPr>
          <w:sz w:val="24"/>
          <w:highlight w:val="none"/>
        </w:rPr>
        <w:t>和维</w:t>
      </w:r>
      <w:r>
        <w:rPr>
          <w:rFonts w:hint="eastAsia"/>
          <w:sz w:val="24"/>
          <w:highlight w:val="none"/>
        </w:rPr>
        <w:t>护</w:t>
      </w:r>
      <w:r>
        <w:rPr>
          <w:sz w:val="24"/>
          <w:highlight w:val="none"/>
        </w:rPr>
        <w:t>要求，符合本合同的规定。如软件产品资料欠完整、正确、清晰，或不能满足软件产品的使用</w:t>
      </w:r>
      <w:r>
        <w:rPr>
          <w:rFonts w:hint="eastAsia"/>
          <w:sz w:val="24"/>
          <w:highlight w:val="none"/>
        </w:rPr>
        <w:t>、操作</w:t>
      </w:r>
      <w:r>
        <w:rPr>
          <w:sz w:val="24"/>
          <w:highlight w:val="none"/>
        </w:rPr>
        <w:t>和维</w:t>
      </w:r>
      <w:r>
        <w:rPr>
          <w:rFonts w:hint="eastAsia"/>
          <w:sz w:val="24"/>
          <w:highlight w:val="none"/>
        </w:rPr>
        <w:t>护</w:t>
      </w:r>
      <w:r>
        <w:rPr>
          <w:sz w:val="24"/>
          <w:highlight w:val="none"/>
        </w:rPr>
        <w:t>要求，或不符合本合同规定，或存在其它缺陷，卖方应当立即纠正该等缺陷，提供符合要求的软件产品资料，并赔偿买方因此遭受的任何损失。</w:t>
      </w:r>
    </w:p>
    <w:p>
      <w:pPr>
        <w:numPr>
          <w:ilvl w:val="1"/>
          <w:numId w:val="29"/>
        </w:numPr>
        <w:tabs>
          <w:tab w:val="left" w:pos="709"/>
          <w:tab w:val="clear" w:pos="840"/>
        </w:tabs>
        <w:spacing w:line="360" w:lineRule="auto"/>
        <w:ind w:left="709" w:hanging="709"/>
        <w:rPr>
          <w:sz w:val="24"/>
          <w:highlight w:val="none"/>
        </w:rPr>
      </w:pPr>
      <w:r>
        <w:rPr>
          <w:sz w:val="24"/>
          <w:highlight w:val="none"/>
        </w:rPr>
        <w:t>质保期内，</w:t>
      </w:r>
      <w:r>
        <w:rPr>
          <w:rFonts w:hAnsi="宋体"/>
          <w:sz w:val="24"/>
          <w:highlight w:val="none"/>
        </w:rPr>
        <w:t>如卖方</w:t>
      </w:r>
      <w:r>
        <w:rPr>
          <w:sz w:val="24"/>
          <w:highlight w:val="none"/>
        </w:rPr>
        <w:t>违反前述保证，买方有权要求卖方无偿、及时</w:t>
      </w:r>
      <w:r>
        <w:rPr>
          <w:rFonts w:hint="eastAsia"/>
          <w:sz w:val="24"/>
          <w:highlight w:val="none"/>
        </w:rPr>
        <w:t>进行</w:t>
      </w:r>
      <w:r>
        <w:rPr>
          <w:sz w:val="24"/>
          <w:highlight w:val="none"/>
        </w:rPr>
        <w:t>更换。卖方应赔偿买方因</w:t>
      </w:r>
      <w:r>
        <w:rPr>
          <w:rFonts w:hint="eastAsia"/>
          <w:sz w:val="24"/>
          <w:highlight w:val="none"/>
        </w:rPr>
        <w:t>软件产品</w:t>
      </w:r>
      <w:r>
        <w:rPr>
          <w:sz w:val="24"/>
          <w:highlight w:val="none"/>
        </w:rPr>
        <w:t>存在前述缺陷</w:t>
      </w:r>
      <w:r>
        <w:rPr>
          <w:rFonts w:hint="eastAsia"/>
          <w:sz w:val="24"/>
          <w:highlight w:val="none"/>
        </w:rPr>
        <w:t>而</w:t>
      </w:r>
      <w:r>
        <w:rPr>
          <w:sz w:val="24"/>
          <w:highlight w:val="none"/>
        </w:rPr>
        <w:t>遭受的全部损失。</w:t>
      </w:r>
    </w:p>
    <w:p>
      <w:pPr>
        <w:numPr>
          <w:ilvl w:val="1"/>
          <w:numId w:val="29"/>
        </w:numPr>
        <w:tabs>
          <w:tab w:val="left" w:pos="709"/>
          <w:tab w:val="clear" w:pos="840"/>
        </w:tabs>
        <w:spacing w:line="360" w:lineRule="auto"/>
        <w:ind w:left="709" w:hanging="709"/>
        <w:rPr>
          <w:sz w:val="24"/>
          <w:highlight w:val="none"/>
        </w:rPr>
      </w:pPr>
      <w:r>
        <w:rPr>
          <w:rFonts w:hint="eastAsia"/>
          <w:sz w:val="24"/>
          <w:highlight w:val="none"/>
        </w:rPr>
        <w:t>质保期届满</w:t>
      </w:r>
      <w:r>
        <w:rPr>
          <w:sz w:val="24"/>
          <w:highlight w:val="none"/>
        </w:rPr>
        <w:t>后，由</w:t>
      </w:r>
      <w:r>
        <w:rPr>
          <w:rFonts w:hint="eastAsia"/>
          <w:sz w:val="24"/>
          <w:highlight w:val="none"/>
        </w:rPr>
        <w:t>双方</w:t>
      </w:r>
      <w:r>
        <w:rPr>
          <w:sz w:val="24"/>
          <w:highlight w:val="none"/>
        </w:rPr>
        <w:t>共同签署</w:t>
      </w:r>
      <w:r>
        <w:rPr>
          <w:rFonts w:hint="eastAsia"/>
          <w:sz w:val="24"/>
          <w:highlight w:val="none"/>
        </w:rPr>
        <w:t>最终验收报告。</w:t>
      </w:r>
    </w:p>
    <w:p>
      <w:pPr>
        <w:pStyle w:val="17"/>
        <w:numPr>
          <w:ilvl w:val="0"/>
          <w:numId w:val="13"/>
        </w:numPr>
        <w:tabs>
          <w:tab w:val="left" w:pos="0"/>
        </w:tabs>
        <w:spacing w:before="360" w:after="360" w:line="360" w:lineRule="auto"/>
        <w:ind w:left="0" w:firstLine="0"/>
        <w:rPr>
          <w:sz w:val="24"/>
          <w:highlight w:val="none"/>
        </w:rPr>
      </w:pPr>
      <w:bookmarkStart w:id="33" w:name="_Toc269307524"/>
      <w:bookmarkStart w:id="34" w:name="_Toc269301071"/>
      <w:bookmarkStart w:id="35" w:name="_Toc378163296"/>
      <w:r>
        <w:rPr>
          <w:rFonts w:hint="eastAsia"/>
          <w:sz w:val="24"/>
          <w:highlight w:val="none"/>
        </w:rPr>
        <w:t>培训</w:t>
      </w:r>
      <w:bookmarkEnd w:id="33"/>
      <w:bookmarkEnd w:id="34"/>
      <w:r>
        <w:rPr>
          <w:rFonts w:hint="eastAsia"/>
          <w:sz w:val="24"/>
          <w:highlight w:val="none"/>
        </w:rPr>
        <w:t>及技术服务</w:t>
      </w:r>
      <w:bookmarkEnd w:id="35"/>
    </w:p>
    <w:p>
      <w:pPr>
        <w:numPr>
          <w:ilvl w:val="0"/>
          <w:numId w:val="31"/>
        </w:numPr>
        <w:tabs>
          <w:tab w:val="left" w:pos="709"/>
        </w:tabs>
        <w:snapToGrid w:val="0"/>
        <w:spacing w:line="360" w:lineRule="auto"/>
        <w:ind w:left="709" w:hanging="709"/>
        <w:rPr>
          <w:sz w:val="24"/>
          <w:highlight w:val="none"/>
        </w:rPr>
      </w:pPr>
      <w:r>
        <w:rPr>
          <w:rFonts w:hint="eastAsia"/>
          <w:sz w:val="24"/>
          <w:highlight w:val="none"/>
        </w:rPr>
        <w:t>卖方应向买方人员提供充分的培训，确保买方人员能够独立操作、使用软件产品。</w:t>
      </w:r>
    </w:p>
    <w:p>
      <w:pPr>
        <w:numPr>
          <w:ilvl w:val="0"/>
          <w:numId w:val="31"/>
        </w:numPr>
        <w:tabs>
          <w:tab w:val="left" w:pos="709"/>
        </w:tabs>
        <w:snapToGrid w:val="0"/>
        <w:spacing w:line="360" w:lineRule="auto"/>
        <w:ind w:left="709" w:hanging="709"/>
        <w:rPr>
          <w:sz w:val="24"/>
          <w:highlight w:val="none"/>
        </w:rPr>
      </w:pPr>
      <w:r>
        <w:rPr>
          <w:rFonts w:hint="eastAsia"/>
          <w:sz w:val="24"/>
          <w:highlight w:val="none"/>
        </w:rPr>
        <w:t>如因卖方原因，买方人员在培训后仍不能独立操作、使用该软件产品的，卖方需再次为买方人员提供培训，所发生费用由卖方承担。</w:t>
      </w:r>
    </w:p>
    <w:p>
      <w:pPr>
        <w:numPr>
          <w:ilvl w:val="0"/>
          <w:numId w:val="31"/>
        </w:numPr>
        <w:tabs>
          <w:tab w:val="left" w:pos="709"/>
        </w:tabs>
        <w:snapToGrid w:val="0"/>
        <w:spacing w:line="360" w:lineRule="auto"/>
        <w:ind w:left="709" w:hanging="709"/>
        <w:rPr>
          <w:sz w:val="24"/>
          <w:highlight w:val="none"/>
        </w:rPr>
      </w:pPr>
      <w:r>
        <w:rPr>
          <w:sz w:val="24"/>
          <w:highlight w:val="none"/>
        </w:rPr>
        <w:t>卖方</w:t>
      </w:r>
      <w:r>
        <w:rPr>
          <w:rFonts w:hint="eastAsia"/>
          <w:sz w:val="24"/>
          <w:highlight w:val="none"/>
        </w:rPr>
        <w:t>应</w:t>
      </w:r>
      <w:r>
        <w:rPr>
          <w:sz w:val="24"/>
          <w:highlight w:val="none"/>
        </w:rPr>
        <w:t>派</w:t>
      </w:r>
      <w:r>
        <w:rPr>
          <w:rFonts w:hint="eastAsia"/>
          <w:sz w:val="24"/>
          <w:highlight w:val="none"/>
        </w:rPr>
        <w:t>遣</w:t>
      </w:r>
      <w:r>
        <w:rPr>
          <w:sz w:val="24"/>
          <w:highlight w:val="none"/>
        </w:rPr>
        <w:t>有</w:t>
      </w:r>
      <w:r>
        <w:rPr>
          <w:rFonts w:hint="eastAsia"/>
          <w:sz w:val="24"/>
          <w:highlight w:val="none"/>
        </w:rPr>
        <w:t>丰富</w:t>
      </w:r>
      <w:r>
        <w:rPr>
          <w:sz w:val="24"/>
          <w:highlight w:val="none"/>
        </w:rPr>
        <w:t>工作经验、身体健康和称职的技术人员按照合同的相关约定到现场提供</w:t>
      </w:r>
      <w:r>
        <w:rPr>
          <w:rFonts w:hint="eastAsia"/>
          <w:sz w:val="24"/>
          <w:highlight w:val="none"/>
        </w:rPr>
        <w:t>合同软件</w:t>
      </w:r>
      <w:r>
        <w:rPr>
          <w:sz w:val="24"/>
          <w:highlight w:val="none"/>
        </w:rPr>
        <w:t>安装、</w:t>
      </w:r>
      <w:r>
        <w:rPr>
          <w:rFonts w:hint="eastAsia"/>
          <w:sz w:val="24"/>
          <w:highlight w:val="none"/>
        </w:rPr>
        <w:t>调试、</w:t>
      </w:r>
      <w:r>
        <w:rPr>
          <w:sz w:val="24"/>
          <w:highlight w:val="none"/>
        </w:rPr>
        <w:t>测试、运行、维护及</w:t>
      </w:r>
      <w:r>
        <w:rPr>
          <w:rFonts w:hint="eastAsia"/>
          <w:sz w:val="24"/>
          <w:highlight w:val="none"/>
        </w:rPr>
        <w:t>买方人员</w:t>
      </w:r>
      <w:r>
        <w:rPr>
          <w:sz w:val="24"/>
          <w:highlight w:val="none"/>
        </w:rPr>
        <w:t>培训等技术服务</w:t>
      </w:r>
      <w:r>
        <w:rPr>
          <w:rFonts w:hint="eastAsia"/>
          <w:sz w:val="24"/>
          <w:highlight w:val="none"/>
        </w:rPr>
        <w:t>，</w:t>
      </w:r>
      <w:r>
        <w:rPr>
          <w:sz w:val="24"/>
          <w:highlight w:val="none"/>
        </w:rPr>
        <w:t>技术服务详细内容见</w:t>
      </w:r>
      <w:r>
        <w:rPr>
          <w:rFonts w:hint="eastAsia"/>
          <w:sz w:val="24"/>
          <w:highlight w:val="none"/>
        </w:rPr>
        <w:t>【</w:t>
      </w:r>
      <w:r>
        <w:rPr>
          <w:rFonts w:hint="eastAsia"/>
          <w:i/>
          <w:sz w:val="24"/>
          <w:highlight w:val="none"/>
        </w:rPr>
        <w:t>本合同附件四</w:t>
      </w:r>
      <w:r>
        <w:rPr>
          <w:rFonts w:hint="eastAsia"/>
          <w:sz w:val="24"/>
          <w:highlight w:val="none"/>
        </w:rPr>
        <w:t>】。</w:t>
      </w:r>
    </w:p>
    <w:p>
      <w:pPr>
        <w:pStyle w:val="17"/>
        <w:numPr>
          <w:ilvl w:val="0"/>
          <w:numId w:val="13"/>
        </w:numPr>
        <w:tabs>
          <w:tab w:val="left" w:pos="0"/>
        </w:tabs>
        <w:spacing w:before="360" w:after="360" w:line="360" w:lineRule="auto"/>
        <w:ind w:left="0" w:firstLine="0"/>
        <w:rPr>
          <w:sz w:val="24"/>
          <w:highlight w:val="none"/>
        </w:rPr>
      </w:pPr>
      <w:bookmarkStart w:id="36" w:name="_Toc269307525"/>
      <w:bookmarkStart w:id="37" w:name="_Toc378163297"/>
      <w:bookmarkStart w:id="38" w:name="_Toc269301072"/>
      <w:r>
        <w:rPr>
          <w:rFonts w:hint="eastAsia"/>
          <w:sz w:val="24"/>
          <w:highlight w:val="none"/>
        </w:rPr>
        <w:t>违约责任</w:t>
      </w:r>
      <w:bookmarkEnd w:id="36"/>
      <w:bookmarkEnd w:id="37"/>
      <w:bookmarkEnd w:id="38"/>
    </w:p>
    <w:p>
      <w:pPr>
        <w:numPr>
          <w:ilvl w:val="0"/>
          <w:numId w:val="32"/>
        </w:numPr>
        <w:tabs>
          <w:tab w:val="left" w:pos="709"/>
        </w:tabs>
        <w:snapToGrid w:val="0"/>
        <w:spacing w:line="360" w:lineRule="auto"/>
        <w:ind w:left="709" w:hanging="709"/>
        <w:rPr>
          <w:sz w:val="24"/>
          <w:highlight w:val="none"/>
        </w:rPr>
      </w:pPr>
      <w:r>
        <w:rPr>
          <w:rFonts w:hint="eastAsia"/>
          <w:sz w:val="24"/>
          <w:highlight w:val="none"/>
        </w:rPr>
        <w:t>卖方发生下列任一违约行为时，应向买方支付合同总价【</w:t>
      </w:r>
      <w:r>
        <w:rPr>
          <w:rFonts w:hint="eastAsia"/>
          <w:i/>
          <w:sz w:val="24"/>
          <w:highlight w:val="none"/>
        </w:rPr>
        <w:t>填入百分比</w:t>
      </w:r>
      <w:r>
        <w:rPr>
          <w:rFonts w:hint="eastAsia"/>
          <w:sz w:val="24"/>
          <w:highlight w:val="none"/>
        </w:rPr>
        <w:t>】的违约金，并赔偿买方因此遭受的全部损失：</w:t>
      </w:r>
    </w:p>
    <w:p>
      <w:pPr>
        <w:numPr>
          <w:ilvl w:val="1"/>
          <w:numId w:val="33"/>
        </w:numPr>
        <w:tabs>
          <w:tab w:val="left" w:pos="1276"/>
        </w:tabs>
        <w:snapToGrid w:val="0"/>
        <w:spacing w:line="360" w:lineRule="auto"/>
        <w:ind w:left="1276" w:hanging="567"/>
        <w:rPr>
          <w:sz w:val="24"/>
          <w:highlight w:val="none"/>
        </w:rPr>
      </w:pPr>
      <w:r>
        <w:rPr>
          <w:rFonts w:hint="eastAsia"/>
          <w:sz w:val="24"/>
          <w:highlight w:val="none"/>
        </w:rPr>
        <w:t>卖方未按照合同的规定提供软件产品和相关服务；</w:t>
      </w:r>
    </w:p>
    <w:p>
      <w:pPr>
        <w:numPr>
          <w:ilvl w:val="1"/>
          <w:numId w:val="33"/>
        </w:numPr>
        <w:tabs>
          <w:tab w:val="left" w:pos="1276"/>
        </w:tabs>
        <w:snapToGrid w:val="0"/>
        <w:spacing w:line="360" w:lineRule="auto"/>
        <w:ind w:left="1276" w:hanging="567"/>
        <w:rPr>
          <w:sz w:val="24"/>
          <w:highlight w:val="none"/>
        </w:rPr>
      </w:pPr>
      <w:r>
        <w:rPr>
          <w:rFonts w:hint="eastAsia"/>
          <w:sz w:val="24"/>
          <w:highlight w:val="none"/>
        </w:rPr>
        <w:t>卖方提供的软件产品不合格，且卖方未根据合同规定及时更换为合格产品；</w:t>
      </w:r>
    </w:p>
    <w:p>
      <w:pPr>
        <w:numPr>
          <w:ilvl w:val="1"/>
          <w:numId w:val="33"/>
        </w:numPr>
        <w:tabs>
          <w:tab w:val="left" w:pos="1276"/>
        </w:tabs>
        <w:snapToGrid w:val="0"/>
        <w:spacing w:line="360" w:lineRule="auto"/>
        <w:ind w:left="1276" w:hanging="567"/>
        <w:rPr>
          <w:sz w:val="24"/>
          <w:highlight w:val="none"/>
        </w:rPr>
      </w:pPr>
      <w:r>
        <w:rPr>
          <w:rFonts w:hint="eastAsia"/>
          <w:sz w:val="24"/>
          <w:highlight w:val="none"/>
        </w:rPr>
        <w:t>卖方违反本合同规定的承诺、保证或其它义务。</w:t>
      </w:r>
    </w:p>
    <w:p>
      <w:pPr>
        <w:numPr>
          <w:ilvl w:val="0"/>
          <w:numId w:val="32"/>
        </w:numPr>
        <w:tabs>
          <w:tab w:val="left" w:pos="709"/>
        </w:tabs>
        <w:snapToGrid w:val="0"/>
        <w:spacing w:line="360" w:lineRule="auto"/>
        <w:ind w:left="709" w:hanging="709"/>
        <w:rPr>
          <w:rFonts w:hAnsi="宋体"/>
          <w:bCs/>
          <w:sz w:val="24"/>
          <w:highlight w:val="none"/>
        </w:rPr>
      </w:pPr>
      <w:r>
        <w:rPr>
          <w:rFonts w:hint="eastAsia"/>
          <w:sz w:val="24"/>
          <w:highlight w:val="none"/>
        </w:rPr>
        <w:t>如卖方未能在交货日期交付软件产品，每延期交付一日，卖方应向买方支付合同总价的【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int="eastAsia"/>
          <w:sz w:val="24"/>
          <w:highlight w:val="none"/>
        </w:rPr>
        <w:t>【</w:t>
      </w:r>
      <w:r>
        <w:rPr>
          <w:rFonts w:hint="eastAsia"/>
          <w:i/>
          <w:sz w:val="24"/>
          <w:highlight w:val="none"/>
        </w:rPr>
        <w:t>填入天数</w:t>
      </w:r>
      <w:r>
        <w:rPr>
          <w:rFonts w:hint="eastAsia"/>
          <w:sz w:val="24"/>
          <w:highlight w:val="none"/>
        </w:rPr>
        <w:t>】</w:t>
      </w:r>
      <w:r>
        <w:rPr>
          <w:rFonts w:hint="eastAsia" w:hAnsi="宋体"/>
          <w:bCs/>
          <w:sz w:val="24"/>
          <w:highlight w:val="none"/>
        </w:rPr>
        <w:t>日，除要求卖方支付违约金外，买方有权解除本合同，并有权要求卖方赔偿买方因此遭受的全部损失。</w:t>
      </w:r>
    </w:p>
    <w:p>
      <w:pPr>
        <w:numPr>
          <w:ilvl w:val="0"/>
          <w:numId w:val="32"/>
        </w:numPr>
        <w:tabs>
          <w:tab w:val="left" w:pos="709"/>
        </w:tabs>
        <w:snapToGrid w:val="0"/>
        <w:spacing w:line="360" w:lineRule="auto"/>
        <w:ind w:left="709" w:hanging="709"/>
        <w:rPr>
          <w:rFonts w:hAnsi="宋体"/>
          <w:bCs/>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pPr>
        <w:pStyle w:val="17"/>
        <w:numPr>
          <w:ilvl w:val="0"/>
          <w:numId w:val="13"/>
        </w:numPr>
        <w:tabs>
          <w:tab w:val="left" w:pos="0"/>
        </w:tabs>
        <w:spacing w:before="360" w:after="360" w:line="360" w:lineRule="auto"/>
        <w:ind w:left="0" w:firstLine="0"/>
        <w:rPr>
          <w:rFonts w:hAnsi="宋体"/>
          <w:sz w:val="24"/>
          <w:highlight w:val="none"/>
        </w:rPr>
      </w:pPr>
      <w:bookmarkStart w:id="39" w:name="_Toc269301074"/>
      <w:bookmarkStart w:id="40" w:name="_Toc378163298"/>
      <w:bookmarkStart w:id="41" w:name="_Toc269307527"/>
      <w:r>
        <w:rPr>
          <w:rFonts w:hint="eastAsia" w:hAnsi="宋体"/>
          <w:sz w:val="24"/>
          <w:highlight w:val="none"/>
        </w:rPr>
        <w:t>合同的解除和</w:t>
      </w:r>
      <w:r>
        <w:rPr>
          <w:rFonts w:hAnsi="宋体"/>
          <w:sz w:val="24"/>
          <w:highlight w:val="none"/>
        </w:rPr>
        <w:t>终止</w:t>
      </w:r>
      <w:bookmarkEnd w:id="39"/>
      <w:bookmarkEnd w:id="40"/>
      <w:bookmarkEnd w:id="41"/>
    </w:p>
    <w:p>
      <w:pPr>
        <w:numPr>
          <w:ilvl w:val="0"/>
          <w:numId w:val="34"/>
        </w:numPr>
        <w:tabs>
          <w:tab w:val="left" w:pos="709"/>
        </w:tabs>
        <w:spacing w:line="360" w:lineRule="auto"/>
        <w:ind w:left="709" w:hanging="709"/>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pPr>
        <w:widowControl/>
        <w:numPr>
          <w:ilvl w:val="0"/>
          <w:numId w:val="35"/>
        </w:numPr>
        <w:tabs>
          <w:tab w:val="clear" w:pos="840"/>
        </w:tabs>
        <w:spacing w:line="360" w:lineRule="auto"/>
        <w:ind w:left="1324" w:leftChars="338" w:hanging="648" w:hangingChars="270"/>
        <w:jc w:val="left"/>
        <w:rPr>
          <w:sz w:val="24"/>
          <w:highlight w:val="none"/>
        </w:rPr>
      </w:pPr>
      <w:r>
        <w:rPr>
          <w:rFonts w:hint="eastAsia"/>
          <w:sz w:val="24"/>
          <w:highlight w:val="none"/>
        </w:rPr>
        <w:t>本合同明确规定买方有权解除合同的情形；</w:t>
      </w:r>
    </w:p>
    <w:p>
      <w:pPr>
        <w:widowControl/>
        <w:numPr>
          <w:ilvl w:val="0"/>
          <w:numId w:val="35"/>
        </w:numPr>
        <w:tabs>
          <w:tab w:val="clear" w:pos="840"/>
        </w:tabs>
        <w:spacing w:line="360" w:lineRule="auto"/>
        <w:ind w:left="1324" w:leftChars="338" w:hanging="648" w:hangingChars="270"/>
        <w:jc w:val="left"/>
        <w:rPr>
          <w:sz w:val="24"/>
          <w:highlight w:val="none"/>
        </w:rPr>
      </w:pPr>
      <w:r>
        <w:rPr>
          <w:sz w:val="24"/>
          <w:highlight w:val="none"/>
        </w:rPr>
        <w:t>卖方破产、资不抵债、停业清理、解散、被兼并、被查封</w:t>
      </w:r>
      <w:r>
        <w:rPr>
          <w:rFonts w:hint="eastAsia"/>
          <w:sz w:val="24"/>
          <w:highlight w:val="none"/>
        </w:rPr>
        <w:t>；</w:t>
      </w:r>
    </w:p>
    <w:p>
      <w:pPr>
        <w:widowControl/>
        <w:numPr>
          <w:ilvl w:val="0"/>
          <w:numId w:val="35"/>
        </w:numPr>
        <w:tabs>
          <w:tab w:val="clear" w:pos="840"/>
        </w:tabs>
        <w:spacing w:line="360" w:lineRule="auto"/>
        <w:ind w:left="1324" w:leftChars="338" w:hanging="648" w:hangingChars="270"/>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pPr>
        <w:widowControl/>
        <w:numPr>
          <w:ilvl w:val="0"/>
          <w:numId w:val="35"/>
        </w:numPr>
        <w:tabs>
          <w:tab w:val="clear" w:pos="840"/>
        </w:tabs>
        <w:spacing w:line="360" w:lineRule="auto"/>
        <w:ind w:left="1324" w:leftChars="338" w:hanging="648" w:hangingChars="270"/>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pPr>
        <w:numPr>
          <w:ilvl w:val="0"/>
          <w:numId w:val="34"/>
        </w:numPr>
        <w:tabs>
          <w:tab w:val="left" w:pos="709"/>
        </w:tabs>
        <w:spacing w:line="360" w:lineRule="auto"/>
        <w:ind w:left="709" w:hanging="709"/>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购买同等软件产品</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同等软件产品的差额费用</w:t>
      </w:r>
      <w:r>
        <w:rPr>
          <w:rFonts w:hAnsi="宋体"/>
          <w:color w:val="000000"/>
          <w:sz w:val="24"/>
          <w:highlight w:val="none"/>
        </w:rPr>
        <w:t>。</w:t>
      </w:r>
    </w:p>
    <w:p>
      <w:pPr>
        <w:numPr>
          <w:ilvl w:val="0"/>
          <w:numId w:val="34"/>
        </w:numPr>
        <w:tabs>
          <w:tab w:val="left" w:pos="709"/>
        </w:tabs>
        <w:spacing w:line="360" w:lineRule="auto"/>
        <w:ind w:left="709" w:hanging="709"/>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w:t>
      </w:r>
    </w:p>
    <w:p>
      <w:pPr>
        <w:numPr>
          <w:ilvl w:val="0"/>
          <w:numId w:val="34"/>
        </w:numPr>
        <w:tabs>
          <w:tab w:val="left" w:pos="709"/>
        </w:tabs>
        <w:spacing w:line="360" w:lineRule="auto"/>
        <w:ind w:left="709" w:hanging="709"/>
        <w:rPr>
          <w:rFonts w:hAnsi="宋体"/>
          <w:color w:val="000000"/>
          <w:sz w:val="24"/>
          <w:highlight w:val="none"/>
        </w:rPr>
      </w:pPr>
      <w:bookmarkStart w:id="42" w:name="_DV_C932"/>
      <w:r>
        <w:rPr>
          <w:rFonts w:hint="eastAsia" w:hAnsi="宋体"/>
          <w:color w:val="000000"/>
          <w:sz w:val="24"/>
          <w:highlight w:val="none"/>
        </w:rPr>
        <w:t>如果本合同根据第</w:t>
      </w:r>
      <w:r>
        <w:rPr>
          <w:color w:val="000000"/>
          <w:sz w:val="24"/>
          <w:highlight w:val="none"/>
        </w:rPr>
        <w:t>16.3</w:t>
      </w:r>
      <w:r>
        <w:rPr>
          <w:rFonts w:hAnsi="宋体"/>
          <w:color w:val="000000"/>
          <w:sz w:val="24"/>
          <w:highlight w:val="none"/>
        </w:rPr>
        <w:t>款</w:t>
      </w:r>
      <w:r>
        <w:rPr>
          <w:rFonts w:hint="eastAsia" w:hAnsi="宋体"/>
          <w:color w:val="000000"/>
          <w:sz w:val="24"/>
          <w:highlight w:val="none"/>
        </w:rPr>
        <w:t>终止，对于合同终止前买方已经支付合同价款或提供补偿费用的软件产品，卖方应立即移交给买方，买方拥有相关软件产品的全部权益。</w:t>
      </w:r>
      <w:bookmarkEnd w:id="42"/>
    </w:p>
    <w:p>
      <w:pPr>
        <w:pStyle w:val="17"/>
        <w:numPr>
          <w:ilvl w:val="0"/>
          <w:numId w:val="13"/>
        </w:numPr>
        <w:tabs>
          <w:tab w:val="left" w:pos="0"/>
        </w:tabs>
        <w:spacing w:before="360" w:after="360" w:line="360" w:lineRule="auto"/>
        <w:ind w:left="0" w:firstLine="0"/>
        <w:rPr>
          <w:sz w:val="24"/>
          <w:szCs w:val="24"/>
          <w:highlight w:val="none"/>
        </w:rPr>
      </w:pPr>
      <w:bookmarkStart w:id="43" w:name="_Toc378163299"/>
      <w:r>
        <w:rPr>
          <w:sz w:val="24"/>
          <w:szCs w:val="24"/>
          <w:highlight w:val="none"/>
        </w:rPr>
        <w:t>健康、安全</w:t>
      </w:r>
      <w:r>
        <w:rPr>
          <w:rFonts w:hint="eastAsia"/>
          <w:sz w:val="24"/>
          <w:szCs w:val="24"/>
          <w:highlight w:val="none"/>
        </w:rPr>
        <w:t>和</w:t>
      </w:r>
      <w:r>
        <w:rPr>
          <w:sz w:val="24"/>
          <w:szCs w:val="24"/>
          <w:highlight w:val="none"/>
        </w:rPr>
        <w:t>环保</w:t>
      </w:r>
      <w:bookmarkEnd w:id="43"/>
    </w:p>
    <w:p>
      <w:pPr>
        <w:numPr>
          <w:ilvl w:val="1"/>
          <w:numId w:val="36"/>
        </w:numPr>
        <w:spacing w:line="360" w:lineRule="auto"/>
        <w:rPr>
          <w:rFonts w:ascii="宋体" w:hAnsi="宋体"/>
          <w:sz w:val="24"/>
          <w:highlight w:val="none"/>
        </w:rPr>
      </w:pPr>
      <w:r>
        <w:rPr>
          <w:rFonts w:ascii="宋体" w:hAnsi="宋体"/>
          <w:sz w:val="24"/>
          <w:highlight w:val="none"/>
        </w:rPr>
        <w:t>卖方在</w:t>
      </w:r>
      <w:r>
        <w:rPr>
          <w:rFonts w:hint="eastAsia" w:ascii="宋体" w:hAnsi="宋体"/>
          <w:sz w:val="24"/>
          <w:highlight w:val="none"/>
        </w:rPr>
        <w:t>履行</w:t>
      </w:r>
      <w:r>
        <w:rPr>
          <w:rFonts w:ascii="宋体" w:hAnsi="宋体"/>
          <w:sz w:val="24"/>
          <w:highlight w:val="none"/>
        </w:rPr>
        <w:t>合同时，应遵守国家</w:t>
      </w:r>
      <w:r>
        <w:rPr>
          <w:rFonts w:hint="eastAsia" w:ascii="宋体" w:hAnsi="宋体"/>
          <w:sz w:val="24"/>
          <w:highlight w:val="none"/>
        </w:rPr>
        <w:t>相关</w:t>
      </w:r>
      <w:r>
        <w:rPr>
          <w:rFonts w:ascii="宋体" w:hAnsi="宋体"/>
          <w:sz w:val="24"/>
          <w:highlight w:val="none"/>
        </w:rPr>
        <w:t>法律法规及买方关于健康、安全及环保的规定。</w:t>
      </w:r>
    </w:p>
    <w:p>
      <w:pPr>
        <w:numPr>
          <w:ilvl w:val="1"/>
          <w:numId w:val="36"/>
        </w:numPr>
        <w:spacing w:line="360" w:lineRule="auto"/>
        <w:rPr>
          <w:rFonts w:ascii="宋体" w:hAnsi="宋体"/>
          <w:sz w:val="24"/>
          <w:highlight w:val="none"/>
        </w:rPr>
      </w:pPr>
      <w:r>
        <w:rPr>
          <w:rFonts w:ascii="宋体" w:hAnsi="宋体"/>
          <w:sz w:val="24"/>
          <w:highlight w:val="none"/>
        </w:rPr>
        <w:t>买方有权根据需要修订其健康、安全及环保政策并将最新文件发给卖方以遵照执行。</w:t>
      </w:r>
    </w:p>
    <w:p>
      <w:pPr>
        <w:pStyle w:val="17"/>
        <w:numPr>
          <w:ilvl w:val="0"/>
          <w:numId w:val="13"/>
        </w:numPr>
        <w:tabs>
          <w:tab w:val="left" w:pos="0"/>
        </w:tabs>
        <w:spacing w:before="360" w:after="360" w:line="360" w:lineRule="auto"/>
        <w:ind w:left="0" w:firstLine="0"/>
        <w:rPr>
          <w:sz w:val="24"/>
          <w:highlight w:val="none"/>
        </w:rPr>
      </w:pPr>
      <w:bookmarkStart w:id="44" w:name="_Toc378163300"/>
      <w:r>
        <w:rPr>
          <w:rFonts w:hint="eastAsia"/>
          <w:sz w:val="24"/>
          <w:highlight w:val="none"/>
        </w:rPr>
        <w:t>转让和分包</w:t>
      </w:r>
      <w:bookmarkEnd w:id="44"/>
    </w:p>
    <w:p>
      <w:pPr>
        <w:widowControl/>
        <w:numPr>
          <w:ilvl w:val="0"/>
          <w:numId w:val="37"/>
        </w:numPr>
        <w:tabs>
          <w:tab w:val="left" w:pos="709"/>
        </w:tabs>
        <w:spacing w:line="360" w:lineRule="auto"/>
        <w:ind w:left="709" w:hanging="709"/>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pPr>
        <w:widowControl/>
        <w:numPr>
          <w:ilvl w:val="0"/>
          <w:numId w:val="37"/>
        </w:numPr>
        <w:tabs>
          <w:tab w:val="left" w:pos="709"/>
        </w:tabs>
        <w:spacing w:line="360" w:lineRule="auto"/>
        <w:ind w:left="709" w:hanging="709"/>
        <w:rPr>
          <w:sz w:val="24"/>
          <w:highlight w:val="none"/>
        </w:rPr>
      </w:pPr>
      <w:r>
        <w:rPr>
          <w:rFonts w:hint="eastAsia"/>
          <w:sz w:val="24"/>
          <w:highlight w:val="none"/>
        </w:rPr>
        <w:t>未经买方事先书面同意，卖方不得将其在本合同项下的任何义务分包给任何第三方，包括卖方的关联企业。</w:t>
      </w:r>
      <w:bookmarkStart w:id="45" w:name="_DV_C867"/>
      <w:r>
        <w:rPr>
          <w:rFonts w:hint="eastAsia"/>
          <w:sz w:val="24"/>
          <w:highlight w:val="none"/>
        </w:rPr>
        <w:t>卖方不得将本合同转包给任何第三方，包括其关联企业。</w:t>
      </w:r>
      <w:bookmarkEnd w:id="45"/>
    </w:p>
    <w:p>
      <w:pPr>
        <w:widowControl/>
        <w:numPr>
          <w:ilvl w:val="0"/>
          <w:numId w:val="37"/>
        </w:numPr>
        <w:tabs>
          <w:tab w:val="left" w:pos="709"/>
        </w:tabs>
        <w:spacing w:line="360" w:lineRule="auto"/>
        <w:ind w:left="709" w:hanging="709"/>
        <w:rPr>
          <w:sz w:val="24"/>
          <w:highlight w:val="none"/>
        </w:rPr>
      </w:pPr>
      <w:r>
        <w:rPr>
          <w:rFonts w:hint="eastAsia"/>
          <w:sz w:val="24"/>
          <w:highlight w:val="none"/>
        </w:rPr>
        <w:t>即使买方批准卖方将其在本合同项下的任何部分义务分包给第三方，卖方应对分包商工作负责，并承担本合同项下的全部责任和义务，其合同项下责任和义务不因分包而减轻或免除。</w:t>
      </w:r>
    </w:p>
    <w:p>
      <w:pPr>
        <w:pStyle w:val="17"/>
        <w:numPr>
          <w:ilvl w:val="0"/>
          <w:numId w:val="13"/>
        </w:numPr>
        <w:tabs>
          <w:tab w:val="left" w:pos="0"/>
        </w:tabs>
        <w:spacing w:before="360" w:after="360" w:line="360" w:lineRule="auto"/>
        <w:ind w:left="0" w:firstLine="0"/>
        <w:rPr>
          <w:spacing w:val="-2"/>
          <w:sz w:val="24"/>
          <w:highlight w:val="none"/>
        </w:rPr>
      </w:pPr>
      <w:bookmarkStart w:id="46" w:name="_Toc269301076"/>
      <w:bookmarkStart w:id="47" w:name="_Toc269307529"/>
      <w:bookmarkStart w:id="48" w:name="_Toc378163301"/>
      <w:r>
        <w:rPr>
          <w:spacing w:val="-2"/>
          <w:sz w:val="24"/>
          <w:highlight w:val="none"/>
        </w:rPr>
        <w:t>不可抗力</w:t>
      </w:r>
      <w:bookmarkEnd w:id="46"/>
      <w:bookmarkEnd w:id="47"/>
      <w:bookmarkEnd w:id="48"/>
    </w:p>
    <w:p>
      <w:pPr>
        <w:pStyle w:val="8"/>
        <w:widowControl/>
        <w:numPr>
          <w:ilvl w:val="0"/>
          <w:numId w:val="38"/>
        </w:numPr>
        <w:tabs>
          <w:tab w:val="left" w:pos="709"/>
        </w:tabs>
        <w:spacing w:after="0" w:line="360" w:lineRule="auto"/>
        <w:ind w:left="709" w:hanging="709"/>
        <w:rPr>
          <w:sz w:val="24"/>
          <w:highlight w:val="none"/>
        </w:rPr>
      </w:pPr>
      <w:r>
        <w:rPr>
          <w:rFonts w:hint="eastAsia"/>
          <w:sz w:val="24"/>
          <w:highlight w:val="none"/>
        </w:rPr>
        <w:t>不可抗力系指本合同的履行过程中，任何一方经合理努力仍不可预见、不可避免并不能克服的客观情况。</w:t>
      </w:r>
    </w:p>
    <w:p>
      <w:pPr>
        <w:pStyle w:val="8"/>
        <w:widowControl/>
        <w:numPr>
          <w:ilvl w:val="0"/>
          <w:numId w:val="38"/>
        </w:numPr>
        <w:tabs>
          <w:tab w:val="left" w:pos="709"/>
        </w:tabs>
        <w:spacing w:after="0" w:line="360" w:lineRule="auto"/>
        <w:ind w:left="709" w:hanging="709"/>
        <w:rPr>
          <w:sz w:val="24"/>
          <w:highlight w:val="none"/>
        </w:rPr>
      </w:pPr>
      <w:r>
        <w:rPr>
          <w:rFonts w:hint="eastAsia"/>
          <w:sz w:val="24"/>
          <w:highlight w:val="none"/>
        </w:rPr>
        <w:t>任何一方因不可抗力不能或延迟履行本合同，不承担违约责任。</w:t>
      </w:r>
    </w:p>
    <w:p>
      <w:pPr>
        <w:pStyle w:val="8"/>
        <w:widowControl/>
        <w:numPr>
          <w:ilvl w:val="0"/>
          <w:numId w:val="38"/>
        </w:numPr>
        <w:tabs>
          <w:tab w:val="left" w:pos="709"/>
        </w:tabs>
        <w:spacing w:after="0" w:line="360" w:lineRule="auto"/>
        <w:ind w:left="709" w:hanging="709"/>
        <w:rPr>
          <w:sz w:val="24"/>
          <w:highlight w:val="none"/>
        </w:rPr>
      </w:pPr>
      <w:r>
        <w:rPr>
          <w:rFonts w:hint="eastAsia"/>
          <w:sz w:val="24"/>
          <w:highlight w:val="none"/>
        </w:rPr>
        <w:t>如果一方遭受不可抗力，应立即（不迟于</w:t>
      </w:r>
      <w:r>
        <w:rPr>
          <w:sz w:val="24"/>
          <w:highlight w:val="none"/>
        </w:rPr>
        <w:t>24</w:t>
      </w:r>
      <w:r>
        <w:rPr>
          <w:rFonts w:hint="eastAsia"/>
          <w:sz w:val="24"/>
          <w:highlight w:val="none"/>
        </w:rPr>
        <w:t>小时内）通知另一方，并采取一切合理、必要的措施减少损失及不可抗力的影响，恢复合同的履行。不可抗力结束后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8"/>
        <w:widowControl/>
        <w:numPr>
          <w:ilvl w:val="0"/>
          <w:numId w:val="38"/>
        </w:numPr>
        <w:tabs>
          <w:tab w:val="left" w:pos="709"/>
        </w:tabs>
        <w:spacing w:after="0" w:line="360" w:lineRule="auto"/>
        <w:ind w:left="709" w:hanging="709"/>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pPr>
        <w:pStyle w:val="8"/>
        <w:widowControl/>
        <w:numPr>
          <w:ilvl w:val="0"/>
          <w:numId w:val="38"/>
        </w:numPr>
        <w:tabs>
          <w:tab w:val="left" w:pos="709"/>
        </w:tabs>
        <w:spacing w:after="0" w:line="360" w:lineRule="auto"/>
        <w:ind w:left="709" w:hanging="709"/>
        <w:rPr>
          <w:sz w:val="24"/>
          <w:highlight w:val="none"/>
        </w:rPr>
      </w:pPr>
      <w:r>
        <w:rPr>
          <w:rFonts w:hint="eastAsia"/>
          <w:sz w:val="24"/>
          <w:highlight w:val="none"/>
        </w:rPr>
        <w:t>任何一方迟延履行合同后遭受不可抗力的，不得减少、免除该方在本合同项下的任何义务和责任。</w:t>
      </w:r>
    </w:p>
    <w:p>
      <w:pPr>
        <w:pStyle w:val="8"/>
        <w:widowControl/>
        <w:numPr>
          <w:ilvl w:val="0"/>
          <w:numId w:val="38"/>
        </w:numPr>
        <w:tabs>
          <w:tab w:val="left" w:pos="709"/>
        </w:tabs>
        <w:spacing w:after="0" w:line="360" w:lineRule="auto"/>
        <w:ind w:left="709" w:hanging="709"/>
        <w:rPr>
          <w:sz w:val="24"/>
          <w:highlight w:val="none"/>
        </w:rPr>
      </w:pPr>
      <w:r>
        <w:rPr>
          <w:rFonts w:hint="eastAsia"/>
          <w:sz w:val="24"/>
          <w:highlight w:val="none"/>
        </w:rPr>
        <w:t>不可抗力的发生不能造成任何一方支付额外款项、赔偿或其它救济方式，双方放弃对任何此类事项进行索赔的权利。</w:t>
      </w:r>
    </w:p>
    <w:p>
      <w:pPr>
        <w:pStyle w:val="17"/>
        <w:numPr>
          <w:ilvl w:val="0"/>
          <w:numId w:val="13"/>
        </w:numPr>
        <w:tabs>
          <w:tab w:val="left" w:pos="0"/>
        </w:tabs>
        <w:spacing w:before="360" w:after="360" w:line="360" w:lineRule="auto"/>
        <w:ind w:left="0" w:firstLine="0"/>
        <w:rPr>
          <w:sz w:val="24"/>
          <w:szCs w:val="24"/>
          <w:highlight w:val="none"/>
        </w:rPr>
      </w:pPr>
      <w:bookmarkStart w:id="49" w:name="_Toc378163302"/>
      <w:r>
        <w:rPr>
          <w:rFonts w:hint="eastAsia"/>
          <w:sz w:val="24"/>
          <w:szCs w:val="24"/>
          <w:highlight w:val="none"/>
        </w:rPr>
        <w:t>保障</w:t>
      </w:r>
      <w:bookmarkEnd w:id="49"/>
    </w:p>
    <w:p>
      <w:pPr>
        <w:widowControl/>
        <w:numPr>
          <w:ilvl w:val="0"/>
          <w:numId w:val="39"/>
        </w:numPr>
        <w:spacing w:line="360" w:lineRule="auto"/>
        <w:ind w:left="709" w:hanging="709"/>
        <w:rPr>
          <w:rStyle w:val="62"/>
          <w:rFonts w:ascii="宋体" w:cs="宋体"/>
          <w:color w:val="auto"/>
          <w:sz w:val="24"/>
          <w:highlight w:val="none"/>
          <w:u w:val="none"/>
          <w:lang w:val="zh-CN"/>
        </w:rPr>
      </w:pPr>
      <w:bookmarkStart w:id="50" w:name="_DV_C956"/>
      <w:r>
        <w:rPr>
          <w:rStyle w:val="62"/>
          <w:rFonts w:hint="eastAsia" w:ascii="宋体" w:cs="宋体"/>
          <w:color w:val="auto"/>
          <w:sz w:val="24"/>
          <w:highlight w:val="none"/>
          <w:u w:val="none"/>
          <w:lang w:val="zh-CN"/>
        </w:rPr>
        <w:t>卖方因履行本合同或因软件产品存在缺陷造成任何第三方财产损失、损坏、人身伤亡或疾病，卖方应承担全部责任，并</w:t>
      </w:r>
      <w:r>
        <w:rPr>
          <w:rFonts w:hint="eastAsia" w:ascii="Arial" w:hAnsi="Arial" w:cs="Arial"/>
          <w:sz w:val="24"/>
          <w:highlight w:val="none"/>
        </w:rPr>
        <w:t>应确保买方免于所有相关的索赔、损失、损害、费用和责任，包括但不限于在</w:t>
      </w:r>
      <w:r>
        <w:rPr>
          <w:rStyle w:val="62"/>
          <w:rFonts w:hint="eastAsia" w:ascii="宋体" w:cs="宋体"/>
          <w:color w:val="auto"/>
          <w:sz w:val="24"/>
          <w:highlight w:val="none"/>
          <w:u w:val="none"/>
          <w:lang w:val="zh-CN"/>
        </w:rPr>
        <w:t>买方因此需向第三方支付任何赔偿时，卖方均应全额予以补偿。</w:t>
      </w:r>
      <w:bookmarkEnd w:id="50"/>
      <w:bookmarkStart w:id="51" w:name="_DV_C957"/>
    </w:p>
    <w:bookmarkEnd w:id="51"/>
    <w:p>
      <w:pPr>
        <w:widowControl/>
        <w:numPr>
          <w:ilvl w:val="0"/>
          <w:numId w:val="39"/>
        </w:numPr>
        <w:spacing w:line="360" w:lineRule="auto"/>
        <w:ind w:left="709" w:hanging="709"/>
        <w:rPr>
          <w:rStyle w:val="62"/>
          <w:rFonts w:ascii="宋体" w:cs="宋体"/>
          <w:color w:val="auto"/>
          <w:sz w:val="24"/>
          <w:highlight w:val="none"/>
          <w:u w:val="none"/>
          <w:lang w:val="zh-CN"/>
        </w:rPr>
      </w:pPr>
      <w:bookmarkStart w:id="52" w:name="_DV_C958"/>
      <w:r>
        <w:rPr>
          <w:rStyle w:val="62"/>
          <w:rFonts w:hint="eastAsia" w:ascii="宋体" w:cs="宋体"/>
          <w:color w:val="auto"/>
          <w:sz w:val="24"/>
          <w:highlight w:val="none"/>
          <w:u w:val="none"/>
          <w:lang w:val="zh-CN"/>
        </w:rPr>
        <w:t>如因履行本合同，卖方及其人员的任何财产（包括但不限于设备、装置、器材等，且无论该等财产属于自有、租用、租赁或以其它方式提供）发生毁损、灭失或其它损失，除非该等损失系因买方故意或重大过失所致，卖方应自行承担全部损失，并应确保买方免于所有相关的索赔、损失、损害、费用和责任</w:t>
      </w:r>
      <w:bookmarkEnd w:id="52"/>
      <w:bookmarkStart w:id="53" w:name="_DV_C959"/>
      <w:r>
        <w:rPr>
          <w:rStyle w:val="62"/>
          <w:rFonts w:hint="eastAsia" w:ascii="宋体" w:cs="宋体"/>
          <w:color w:val="auto"/>
          <w:sz w:val="24"/>
          <w:highlight w:val="none"/>
          <w:u w:val="none"/>
          <w:lang w:val="zh-CN"/>
        </w:rPr>
        <w:t>。</w:t>
      </w:r>
    </w:p>
    <w:bookmarkEnd w:id="53"/>
    <w:p>
      <w:pPr>
        <w:widowControl/>
        <w:numPr>
          <w:ilvl w:val="0"/>
          <w:numId w:val="39"/>
        </w:numPr>
        <w:spacing w:line="360" w:lineRule="auto"/>
        <w:ind w:left="709" w:hanging="709"/>
        <w:rPr>
          <w:rStyle w:val="62"/>
          <w:rFonts w:ascii="宋体" w:cs="宋体"/>
          <w:color w:val="auto"/>
          <w:sz w:val="24"/>
          <w:highlight w:val="none"/>
          <w:u w:val="none"/>
          <w:lang w:val="zh-CN"/>
        </w:rPr>
      </w:pPr>
      <w:bookmarkStart w:id="54" w:name="_DV_C960"/>
      <w:r>
        <w:rPr>
          <w:rStyle w:val="62"/>
          <w:rFonts w:hint="eastAsia" w:ascii="宋体" w:cs="宋体"/>
          <w:color w:val="auto"/>
          <w:sz w:val="24"/>
          <w:highlight w:val="none"/>
          <w:u w:val="none"/>
          <w:lang w:val="zh-CN"/>
        </w:rPr>
        <w:t>如因履行本合同而发生的或与履行本合同有关的卖方人员发生人身伤亡或疾病，除非该等人身伤亡或疾病系因买方故意或重大过失所致，卖方应对上述人员的人身伤亡或疾病负责，并应确保买方免于所有相关的索赔、损失、损害、费用和责任，包括但不限于在买方因此需要支付任何赔偿时，卖方均应全额予以补偿。</w:t>
      </w:r>
      <w:bookmarkEnd w:id="54"/>
      <w:bookmarkStart w:id="55" w:name="_DV_C961"/>
    </w:p>
    <w:bookmarkEnd w:id="55"/>
    <w:p>
      <w:pPr>
        <w:widowControl/>
        <w:numPr>
          <w:ilvl w:val="0"/>
          <w:numId w:val="39"/>
        </w:numPr>
        <w:spacing w:line="360" w:lineRule="auto"/>
        <w:ind w:left="709" w:hanging="709"/>
        <w:rPr>
          <w:rStyle w:val="62"/>
          <w:rFonts w:ascii="宋体" w:cs="宋体"/>
          <w:color w:val="auto"/>
          <w:sz w:val="24"/>
          <w:highlight w:val="none"/>
          <w:u w:val="none"/>
          <w:lang w:val="zh-CN"/>
        </w:rPr>
      </w:pPr>
      <w:bookmarkStart w:id="56" w:name="_DV_C962"/>
      <w:r>
        <w:rPr>
          <w:rStyle w:val="62"/>
          <w:rFonts w:hint="eastAsia" w:ascii="宋体" w:cs="宋体"/>
          <w:color w:val="auto"/>
          <w:sz w:val="24"/>
          <w:highlight w:val="none"/>
          <w:u w:val="none"/>
          <w:lang w:val="zh-CN"/>
        </w:rPr>
        <w:t>如因履行本合同或因软件产品存在缺陷，卖方造成任何江、河、湖、海、陆地、大气及其它环境污染，卖方应单独承担全部责任，包括消除污染源、赔偿污染造成的损失、承担污染产生的法律责任和污染造成的停工损失等，并应确保买方免于所有相关的索赔、损失、损害、费用和责任，包括但不限于在买方因此需要支付任何赔偿时，卖方均应全额予以补偿。</w:t>
      </w:r>
      <w:bookmarkEnd w:id="56"/>
    </w:p>
    <w:p>
      <w:pPr>
        <w:pStyle w:val="17"/>
        <w:numPr>
          <w:ilvl w:val="0"/>
          <w:numId w:val="13"/>
        </w:numPr>
        <w:tabs>
          <w:tab w:val="left" w:pos="0"/>
        </w:tabs>
        <w:spacing w:before="360" w:after="360" w:line="360" w:lineRule="auto"/>
        <w:ind w:left="0" w:firstLine="0"/>
        <w:rPr>
          <w:spacing w:val="-2"/>
          <w:sz w:val="24"/>
          <w:highlight w:val="none"/>
        </w:rPr>
      </w:pPr>
      <w:r>
        <w:rPr>
          <w:rFonts w:hint="eastAsia"/>
          <w:spacing w:val="-2"/>
          <w:sz w:val="24"/>
          <w:highlight w:val="none"/>
        </w:rPr>
        <w:t xml:space="preserve"> </w:t>
      </w:r>
      <w:bookmarkStart w:id="57" w:name="_Toc378163303"/>
      <w:r>
        <w:rPr>
          <w:rFonts w:hint="eastAsia"/>
          <w:spacing w:val="-2"/>
          <w:sz w:val="24"/>
          <w:highlight w:val="none"/>
        </w:rPr>
        <w:t>信息安全和保密</w:t>
      </w:r>
      <w:bookmarkEnd w:id="57"/>
    </w:p>
    <w:p>
      <w:pPr>
        <w:numPr>
          <w:ilvl w:val="0"/>
          <w:numId w:val="40"/>
        </w:numPr>
        <w:tabs>
          <w:tab w:val="left" w:pos="709"/>
        </w:tabs>
        <w:autoSpaceDE w:val="0"/>
        <w:autoSpaceDN w:val="0"/>
        <w:adjustRightInd w:val="0"/>
        <w:spacing w:line="360" w:lineRule="auto"/>
        <w:ind w:left="709" w:hanging="709"/>
        <w:rPr>
          <w:sz w:val="24"/>
          <w:highlight w:val="none"/>
        </w:rPr>
      </w:pPr>
      <w:r>
        <w:rPr>
          <w:rFonts w:hint="eastAsia"/>
          <w:sz w:val="24"/>
          <w:highlight w:val="none"/>
        </w:rPr>
        <w:t>信息安全</w:t>
      </w:r>
    </w:p>
    <w:p>
      <w:pPr>
        <w:numPr>
          <w:ilvl w:val="3"/>
          <w:numId w:val="28"/>
        </w:numPr>
        <w:tabs>
          <w:tab w:val="left" w:pos="709"/>
        </w:tabs>
        <w:autoSpaceDE w:val="0"/>
        <w:autoSpaceDN w:val="0"/>
        <w:adjustRightInd w:val="0"/>
        <w:spacing w:line="360" w:lineRule="auto"/>
        <w:ind w:left="1276" w:hanging="567"/>
        <w:rPr>
          <w:sz w:val="24"/>
          <w:highlight w:val="none"/>
        </w:rPr>
      </w:pPr>
      <w:r>
        <w:rPr>
          <w:rFonts w:hint="eastAsia"/>
          <w:color w:val="000000"/>
          <w:sz w:val="24"/>
          <w:highlight w:val="none"/>
        </w:rPr>
        <w:t>卖方提供的网络产品、服务应当符合相关国家标准的强制性要求，不得设置恶意程序，不得含有法律、行政法规禁止发布或者传输的信息，应为所提供的产品、服务持续提供安全维护，对所提供的第三方产品或服务的供应链安全负责；如网络产品、服务存在安全缺陷、漏洞等风险，卖方应当及时采取补救措施，并及时向买方报告。</w:t>
      </w:r>
    </w:p>
    <w:p>
      <w:pPr>
        <w:numPr>
          <w:ilvl w:val="3"/>
          <w:numId w:val="28"/>
        </w:numPr>
        <w:tabs>
          <w:tab w:val="left" w:pos="709"/>
        </w:tabs>
        <w:autoSpaceDE w:val="0"/>
        <w:autoSpaceDN w:val="0"/>
        <w:adjustRightInd w:val="0"/>
        <w:spacing w:line="360" w:lineRule="auto"/>
        <w:ind w:left="1276" w:hanging="567"/>
        <w:rPr>
          <w:color w:val="000000"/>
          <w:sz w:val="24"/>
          <w:highlight w:val="none"/>
        </w:rPr>
      </w:pPr>
      <w:r>
        <w:rPr>
          <w:rFonts w:hint="eastAsia"/>
          <w:color w:val="000000"/>
          <w:sz w:val="24"/>
          <w:highlight w:val="none"/>
        </w:rPr>
        <w:t>卖方应按照信息安全同步规划、同步建设、同步使用的原则，在项目实施过程中遵守买方安全管理要求，委派的项目开发人员具备安全技术能力和必要的资质，能够依据安全开发规范开展工作，确保落实信息安全技术措施，并应明确信息安全负责人或联络人，因违反相关要求导致的一切后果，由卖方承担，买方保留进一步的法律追究权力。</w:t>
      </w:r>
    </w:p>
    <w:p>
      <w:pPr>
        <w:numPr>
          <w:ilvl w:val="3"/>
          <w:numId w:val="28"/>
        </w:numPr>
        <w:tabs>
          <w:tab w:val="left" w:pos="709"/>
        </w:tabs>
        <w:autoSpaceDE w:val="0"/>
        <w:autoSpaceDN w:val="0"/>
        <w:adjustRightInd w:val="0"/>
        <w:spacing w:line="360" w:lineRule="auto"/>
        <w:ind w:left="1276" w:hanging="567"/>
        <w:rPr>
          <w:color w:val="000000"/>
          <w:sz w:val="24"/>
          <w:highlight w:val="none"/>
        </w:rPr>
      </w:pPr>
      <w:r>
        <w:rPr>
          <w:rFonts w:hint="eastAsia"/>
          <w:color w:val="000000"/>
          <w:sz w:val="24"/>
          <w:highlight w:val="none"/>
        </w:rPr>
        <w:t>卖方同意并承诺在买方认可或指定的安全开发环境中进行软件开发活动，未经买方同意，不会更换、私自搭建开发环境，不在未经买方许可的情况下将源代码发布至互联网等环境。</w:t>
      </w:r>
    </w:p>
    <w:p>
      <w:pPr>
        <w:numPr>
          <w:ilvl w:val="3"/>
          <w:numId w:val="28"/>
        </w:numPr>
        <w:tabs>
          <w:tab w:val="left" w:pos="709"/>
        </w:tabs>
        <w:autoSpaceDE w:val="0"/>
        <w:autoSpaceDN w:val="0"/>
        <w:adjustRightInd w:val="0"/>
        <w:spacing w:line="360" w:lineRule="auto"/>
        <w:ind w:left="1276" w:hanging="567"/>
        <w:rPr>
          <w:rFonts w:hint="eastAsia"/>
          <w:sz w:val="24"/>
          <w:highlight w:val="none"/>
        </w:rPr>
      </w:pPr>
      <w:r>
        <w:rPr>
          <w:rFonts w:hint="eastAsia"/>
          <w:color w:val="000000"/>
          <w:sz w:val="24"/>
          <w:highlight w:val="none"/>
        </w:rPr>
        <w:t>卖方同意并承诺对服务过程中接触的买方信息及数据进行妥善保管，未经买方授权，不得将买方提供的信息及数据另作他用或在互联网环境发布，信息及数据内容包括但不限于：组织架构信息、网络拓扑信息、软件源代码、配置信息、漏洞信息、安全风险信息、业务数据、工作流程数据等，若因卖方原因造成的信息泄露，由卖方承担责任。</w:t>
      </w:r>
    </w:p>
    <w:p>
      <w:pPr>
        <w:numPr>
          <w:ilvl w:val="0"/>
          <w:numId w:val="40"/>
        </w:numPr>
        <w:tabs>
          <w:tab w:val="left" w:pos="709"/>
        </w:tabs>
        <w:autoSpaceDE w:val="0"/>
        <w:autoSpaceDN w:val="0"/>
        <w:adjustRightInd w:val="0"/>
        <w:spacing w:line="360" w:lineRule="auto"/>
        <w:ind w:hanging="1185"/>
        <w:rPr>
          <w:sz w:val="24"/>
          <w:highlight w:val="none"/>
        </w:rPr>
      </w:pPr>
      <w:r>
        <w:rPr>
          <w:rFonts w:hint="eastAsia"/>
          <w:sz w:val="24"/>
          <w:highlight w:val="none"/>
        </w:rPr>
        <w:t>保密</w:t>
      </w:r>
    </w:p>
    <w:p>
      <w:pPr>
        <w:numPr>
          <w:ilvl w:val="0"/>
          <w:numId w:val="41"/>
        </w:numPr>
        <w:tabs>
          <w:tab w:val="left" w:pos="709"/>
        </w:tabs>
        <w:autoSpaceDE w:val="0"/>
        <w:autoSpaceDN w:val="0"/>
        <w:adjustRightInd w:val="0"/>
        <w:spacing w:line="360" w:lineRule="auto"/>
        <w:ind w:left="1276"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bCs/>
          <w:color w:val="000000"/>
          <w:sz w:val="24"/>
          <w:highlight w:val="none"/>
        </w:rPr>
        <w:t>及其雇员、高级职员和代理人</w:t>
      </w:r>
      <w:r>
        <w:rPr>
          <w:sz w:val="24"/>
          <w:highlight w:val="none"/>
        </w:rPr>
        <w:t>不得将</w:t>
      </w:r>
      <w:r>
        <w:rPr>
          <w:rFonts w:hint="eastAsia"/>
          <w:sz w:val="24"/>
          <w:highlight w:val="none"/>
        </w:rPr>
        <w:t>买方</w:t>
      </w:r>
      <w:r>
        <w:rPr>
          <w:sz w:val="24"/>
          <w:highlight w:val="none"/>
        </w:rPr>
        <w:t>保密信息披露给任何第三方（包括与合同无关的</w:t>
      </w:r>
      <w:r>
        <w:rPr>
          <w:rFonts w:hint="eastAsia"/>
          <w:sz w:val="24"/>
          <w:highlight w:val="none"/>
        </w:rPr>
        <w:t>卖方</w:t>
      </w:r>
      <w:r>
        <w:rPr>
          <w:sz w:val="24"/>
          <w:highlight w:val="none"/>
        </w:rPr>
        <w:t>员工和政府部门），亦不得将该等信息用于与本合同无关的用途。</w:t>
      </w:r>
      <w:r>
        <w:rPr>
          <w:rFonts w:hint="eastAsia"/>
          <w:sz w:val="24"/>
          <w:highlight w:val="none"/>
        </w:rPr>
        <w:t>买方</w:t>
      </w:r>
      <w:r>
        <w:rPr>
          <w:sz w:val="24"/>
          <w:highlight w:val="none"/>
        </w:rPr>
        <w:t>保密信息包括但不限于：</w:t>
      </w:r>
      <w:r>
        <w:rPr>
          <w:color w:val="000000"/>
          <w:sz w:val="24"/>
          <w:highlight w:val="none"/>
        </w:rPr>
        <w:t>（1）合同内容；（2）与合同相关的谈判内容；（3）买方提供的与本合同有关的任何技术信息、图纸、样本、资料等；（4）本合同的履行情况；（5）买方提供的或履行合同过程中卖方获得的与项目或买方有关的任何技术和商务信息；以及（6）其他买方认为属于其保密范围的信息/资料。卖方及其雇员不得就本合同项下委托项目以任何方式对外宣传、泄漏，也不得以案例的形式在任何场合（包括但不限于行业协会、办刊杂志）讨论、传播、发表。</w:t>
      </w:r>
    </w:p>
    <w:p>
      <w:pPr>
        <w:numPr>
          <w:ilvl w:val="0"/>
          <w:numId w:val="41"/>
        </w:numPr>
        <w:tabs>
          <w:tab w:val="left" w:pos="709"/>
        </w:tabs>
        <w:autoSpaceDE w:val="0"/>
        <w:autoSpaceDN w:val="0"/>
        <w:adjustRightInd w:val="0"/>
        <w:spacing w:line="360" w:lineRule="auto"/>
        <w:ind w:left="1276"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根据</w:t>
      </w:r>
      <w:r>
        <w:rPr>
          <w:sz w:val="24"/>
          <w:highlight w:val="none"/>
        </w:rPr>
        <w:t>本合同</w:t>
      </w:r>
      <w:r>
        <w:rPr>
          <w:rFonts w:hint="eastAsia"/>
          <w:sz w:val="24"/>
          <w:highlight w:val="none"/>
        </w:rPr>
        <w:t>应当</w:t>
      </w:r>
      <w:r>
        <w:rPr>
          <w:sz w:val="24"/>
          <w:highlight w:val="none"/>
        </w:rPr>
        <w:t>归属于</w:t>
      </w:r>
      <w:r>
        <w:rPr>
          <w:rFonts w:hint="eastAsia"/>
          <w:sz w:val="24"/>
          <w:highlight w:val="none"/>
        </w:rPr>
        <w:t>买方的</w:t>
      </w:r>
      <w:r>
        <w:rPr>
          <w:sz w:val="24"/>
          <w:highlight w:val="none"/>
        </w:rPr>
        <w:t>任何保密信息</w:t>
      </w:r>
      <w:r>
        <w:rPr>
          <w:rFonts w:hint="eastAsia"/>
          <w:sz w:val="24"/>
          <w:highlight w:val="none"/>
        </w:rPr>
        <w:t>（包括</w:t>
      </w:r>
      <w:r>
        <w:rPr>
          <w:sz w:val="24"/>
          <w:highlight w:val="none"/>
        </w:rPr>
        <w:t>但不限于应当</w:t>
      </w:r>
      <w:r>
        <w:rPr>
          <w:rFonts w:hint="eastAsia"/>
          <w:sz w:val="24"/>
          <w:highlight w:val="none"/>
        </w:rPr>
        <w:t>归属于</w:t>
      </w:r>
      <w:r>
        <w:rPr>
          <w:sz w:val="24"/>
          <w:highlight w:val="none"/>
        </w:rPr>
        <w:t>买方的任何形式的知识产权</w:t>
      </w:r>
      <w:r>
        <w:rPr>
          <w:rFonts w:hint="eastAsia"/>
          <w:sz w:val="24"/>
          <w:highlight w:val="none"/>
        </w:rPr>
        <w:t>）</w:t>
      </w:r>
      <w:r>
        <w:rPr>
          <w:sz w:val="24"/>
          <w:highlight w:val="none"/>
        </w:rPr>
        <w:t>披露给任何第三方（包括与合同无关的</w:t>
      </w:r>
      <w:r>
        <w:rPr>
          <w:rFonts w:hint="eastAsia"/>
          <w:sz w:val="24"/>
          <w:highlight w:val="none"/>
        </w:rPr>
        <w:t>卖方</w:t>
      </w:r>
      <w:r>
        <w:rPr>
          <w:sz w:val="24"/>
          <w:highlight w:val="none"/>
        </w:rPr>
        <w:t>员工和政府部门），亦不得将该等信息用于与本合同无关的用途。</w:t>
      </w:r>
      <w:bookmarkStart w:id="58" w:name="_Toc287977559"/>
      <w:bookmarkStart w:id="59" w:name="_Toc288479437"/>
      <w:bookmarkStart w:id="60" w:name="_Toc299620370"/>
      <w:bookmarkStart w:id="61" w:name="_Toc296955886"/>
      <w:bookmarkStart w:id="62" w:name="_Toc300067351"/>
      <w:bookmarkStart w:id="63" w:name="_Toc269301078"/>
      <w:bookmarkStart w:id="64" w:name="_Toc269307531"/>
    </w:p>
    <w:p>
      <w:pPr>
        <w:numPr>
          <w:ilvl w:val="0"/>
          <w:numId w:val="41"/>
        </w:numPr>
        <w:tabs>
          <w:tab w:val="left" w:pos="709"/>
        </w:tabs>
        <w:autoSpaceDE w:val="0"/>
        <w:autoSpaceDN w:val="0"/>
        <w:adjustRightInd w:val="0"/>
        <w:spacing w:line="360" w:lineRule="auto"/>
        <w:ind w:left="1276" w:hanging="567"/>
        <w:rPr>
          <w:sz w:val="24"/>
          <w:highlight w:val="none"/>
        </w:rPr>
      </w:pPr>
      <w:r>
        <w:rPr>
          <w:rFonts w:hint="eastAsia" w:hAnsi="宋体"/>
          <w:sz w:val="24"/>
          <w:highlight w:val="none"/>
        </w:rPr>
        <w:t>卖方</w:t>
      </w:r>
      <w:r>
        <w:rPr>
          <w:rFonts w:hint="eastAsia"/>
          <w:sz w:val="24"/>
          <w:highlight w:val="none"/>
        </w:rPr>
        <w:t>必须在买方指定的场所使用买方保密信息，不得将买方保密信息以任何形式带离买方所指定的工作场所。</w:t>
      </w:r>
    </w:p>
    <w:p>
      <w:pPr>
        <w:numPr>
          <w:ilvl w:val="0"/>
          <w:numId w:val="41"/>
        </w:numPr>
        <w:tabs>
          <w:tab w:val="left" w:pos="709"/>
        </w:tabs>
        <w:autoSpaceDE w:val="0"/>
        <w:autoSpaceDN w:val="0"/>
        <w:adjustRightInd w:val="0"/>
        <w:spacing w:line="360" w:lineRule="auto"/>
        <w:ind w:left="1276" w:hanging="567"/>
        <w:rPr>
          <w:sz w:val="24"/>
          <w:highlight w:val="none"/>
        </w:rPr>
      </w:pPr>
      <w:r>
        <w:rPr>
          <w:bCs/>
          <w:color w:val="000000"/>
          <w:sz w:val="24"/>
          <w:highlight w:val="none"/>
        </w:rPr>
        <w:t>除履行本合同确有必要并且经买方同意外，卖方不得对买方保密信息进行拷贝或抄写。本合同解除或终止后，卖方应将从买方获取的保密信息归还，如无法通过物理介质归还，应从系统中删除或销毁。</w:t>
      </w:r>
    </w:p>
    <w:p>
      <w:pPr>
        <w:numPr>
          <w:ilvl w:val="0"/>
          <w:numId w:val="41"/>
        </w:numPr>
        <w:tabs>
          <w:tab w:val="left" w:pos="709"/>
        </w:tabs>
        <w:autoSpaceDE w:val="0"/>
        <w:autoSpaceDN w:val="0"/>
        <w:adjustRightInd w:val="0"/>
        <w:spacing w:line="360" w:lineRule="auto"/>
        <w:ind w:left="1276" w:hanging="567"/>
        <w:rPr>
          <w:sz w:val="24"/>
          <w:highlight w:val="none"/>
        </w:rPr>
      </w:pPr>
      <w:r>
        <w:rPr>
          <w:color w:val="000000"/>
          <w:sz w:val="24"/>
          <w:highlight w:val="none"/>
        </w:rPr>
        <w:t>卖方或</w:t>
      </w:r>
      <w:r>
        <w:rPr>
          <w:bCs/>
          <w:color w:val="000000"/>
          <w:sz w:val="24"/>
          <w:highlight w:val="none"/>
        </w:rPr>
        <w:t>卖方</w:t>
      </w:r>
      <w:r>
        <w:rPr>
          <w:color w:val="000000"/>
          <w:sz w:val="24"/>
          <w:highlight w:val="none"/>
        </w:rPr>
        <w:t>人员违反本条规定，买方有权不予支付</w:t>
      </w:r>
      <w:r>
        <w:rPr>
          <w:rFonts w:hint="eastAsia"/>
          <w:color w:val="000000"/>
          <w:sz w:val="24"/>
          <w:highlight w:val="none"/>
        </w:rPr>
        <w:t>尚未支付的</w:t>
      </w:r>
      <w:r>
        <w:rPr>
          <w:color w:val="000000"/>
          <w:sz w:val="24"/>
          <w:highlight w:val="none"/>
        </w:rPr>
        <w:t>合同总价，且卖方应赔偿因此给买方造成的损失。本条款不因合同履行完毕、中止、解除而失效。</w:t>
      </w:r>
    </w:p>
    <w:p>
      <w:pPr>
        <w:pStyle w:val="17"/>
        <w:numPr>
          <w:ilvl w:val="0"/>
          <w:numId w:val="13"/>
        </w:numPr>
        <w:tabs>
          <w:tab w:val="left" w:pos="0"/>
        </w:tabs>
        <w:spacing w:before="360" w:after="360" w:line="360" w:lineRule="auto"/>
        <w:ind w:left="0" w:firstLine="0"/>
        <w:rPr>
          <w:sz w:val="24"/>
          <w:highlight w:val="none"/>
        </w:rPr>
      </w:pPr>
      <w:r>
        <w:rPr>
          <w:rFonts w:hint="eastAsia"/>
          <w:sz w:val="24"/>
          <w:highlight w:val="none"/>
        </w:rPr>
        <w:t xml:space="preserve"> </w:t>
      </w:r>
      <w:bookmarkStart w:id="65" w:name="_Toc378163304"/>
      <w:r>
        <w:rPr>
          <w:rFonts w:hint="eastAsia"/>
          <w:sz w:val="24"/>
          <w:highlight w:val="none"/>
        </w:rPr>
        <w:t>审计</w:t>
      </w:r>
      <w:bookmarkEnd w:id="58"/>
      <w:r>
        <w:rPr>
          <w:rFonts w:hint="eastAsia"/>
          <w:sz w:val="24"/>
          <w:highlight w:val="none"/>
        </w:rPr>
        <w:t>和记录</w:t>
      </w:r>
      <w:bookmarkEnd w:id="59"/>
      <w:bookmarkEnd w:id="60"/>
      <w:bookmarkEnd w:id="61"/>
      <w:bookmarkEnd w:id="62"/>
      <w:bookmarkEnd w:id="65"/>
    </w:p>
    <w:p>
      <w:pPr>
        <w:numPr>
          <w:ilvl w:val="0"/>
          <w:numId w:val="42"/>
        </w:numPr>
        <w:tabs>
          <w:tab w:val="left" w:pos="709"/>
          <w:tab w:val="left" w:pos="3060"/>
        </w:tabs>
        <w:spacing w:line="360" w:lineRule="auto"/>
        <w:ind w:left="709" w:hanging="709"/>
        <w:rPr>
          <w:sz w:val="24"/>
          <w:highlight w:val="none"/>
        </w:rPr>
      </w:pPr>
      <w:r>
        <w:rPr>
          <w:rFonts w:hint="eastAsia"/>
          <w:sz w:val="24"/>
          <w:highlight w:val="none"/>
        </w:rPr>
        <w:t>卖方应根据买方要求，无条件接受和配合买方或买方委托的会计师事务所进行的与本合同相关的审计，</w:t>
      </w:r>
      <w:r>
        <w:rPr>
          <w:rFonts w:hint="eastAsia"/>
          <w:bCs/>
          <w:sz w:val="24"/>
          <w:highlight w:val="none"/>
        </w:rPr>
        <w:t>包括配合买方或买方委托的会计师事务所对分包商进行的与分包合同相关的审计。卖方应在分包合同中要求其分包商接受与本合同相同的审计要求，包括分包商应无条件接受和配合买方或买方委托的会计师事务所对分包商进行的与分包合同相关的审计。</w:t>
      </w:r>
    </w:p>
    <w:p>
      <w:pPr>
        <w:numPr>
          <w:ilvl w:val="0"/>
          <w:numId w:val="42"/>
        </w:numPr>
        <w:tabs>
          <w:tab w:val="left" w:pos="709"/>
          <w:tab w:val="left" w:pos="3060"/>
        </w:tabs>
        <w:spacing w:line="360" w:lineRule="auto"/>
        <w:ind w:left="709" w:hanging="709"/>
        <w:rPr>
          <w:sz w:val="24"/>
          <w:highlight w:val="none"/>
        </w:rPr>
      </w:pPr>
      <w:r>
        <w:rPr>
          <w:rFonts w:hint="eastAsia"/>
          <w:sz w:val="24"/>
          <w:highlight w:val="none"/>
        </w:rPr>
        <w:t>买方及其授权代表有权查阅卖方因履行本合同而发生的所有账簿、记录、程序、信函、收据、凭证和文件。一旦买方发出书面索取通知，卖方应立即提供给买方。在查阅中若发现卖方的票据或付给卖方的款项存在错误的，买方有权通知卖方立即纠正。卖方在接到买方通知后应立即做出相应的纠正，并根据纠正结果出具合格的票据或退还买方多付的款项。</w:t>
      </w:r>
    </w:p>
    <w:p>
      <w:pPr>
        <w:numPr>
          <w:ilvl w:val="0"/>
          <w:numId w:val="42"/>
        </w:numPr>
        <w:tabs>
          <w:tab w:val="left" w:pos="709"/>
          <w:tab w:val="left" w:pos="3060"/>
        </w:tabs>
        <w:spacing w:line="360" w:lineRule="auto"/>
        <w:ind w:left="709" w:hanging="709"/>
        <w:rPr>
          <w:sz w:val="24"/>
          <w:highlight w:val="none"/>
        </w:rPr>
      </w:pPr>
      <w:r>
        <w:rPr>
          <w:rFonts w:hint="eastAsia"/>
          <w:sz w:val="24"/>
          <w:highlight w:val="none"/>
        </w:rPr>
        <w:t>卖方及其分包商（如有）应保存与本合同相关的记录和账目，保存期限为质保期届满之日起【</w:t>
      </w:r>
      <w:r>
        <w:rPr>
          <w:rFonts w:hint="eastAsia"/>
          <w:i/>
          <w:sz w:val="24"/>
          <w:highlight w:val="none"/>
        </w:rPr>
        <w:t>填入年数，如十五（</w:t>
      </w:r>
      <w:r>
        <w:rPr>
          <w:i/>
          <w:sz w:val="24"/>
          <w:highlight w:val="none"/>
        </w:rPr>
        <w:t>15</w:t>
      </w:r>
      <w:r>
        <w:rPr>
          <w:rFonts w:hint="eastAsia"/>
          <w:i/>
          <w:sz w:val="24"/>
          <w:highlight w:val="none"/>
        </w:rPr>
        <w:t>）</w:t>
      </w:r>
      <w:r>
        <w:rPr>
          <w:rFonts w:hint="eastAsia"/>
          <w:sz w:val="24"/>
          <w:highlight w:val="none"/>
        </w:rPr>
        <w:t>】年。该等记录和账目应详细记载因履行本合同发生的任何直接或间接费用（包括分包商发生的费用）。经提前通知，买方或其委托的会计师事务所有权检查并复制该等记录和账目。</w:t>
      </w:r>
    </w:p>
    <w:p>
      <w:pPr>
        <w:pStyle w:val="17"/>
        <w:numPr>
          <w:ilvl w:val="0"/>
          <w:numId w:val="13"/>
        </w:numPr>
        <w:tabs>
          <w:tab w:val="left" w:pos="0"/>
        </w:tabs>
        <w:spacing w:before="360" w:after="360" w:line="360" w:lineRule="auto"/>
        <w:ind w:left="0" w:firstLine="0"/>
        <w:rPr>
          <w:rFonts w:hAnsi="宋体"/>
          <w:sz w:val="24"/>
          <w:highlight w:val="none"/>
        </w:rPr>
      </w:pPr>
      <w:r>
        <w:rPr>
          <w:rFonts w:hint="eastAsia" w:hAnsi="宋体"/>
          <w:sz w:val="24"/>
          <w:highlight w:val="none"/>
        </w:rPr>
        <w:t xml:space="preserve"> </w:t>
      </w:r>
      <w:bookmarkStart w:id="66" w:name="_Toc378163305"/>
      <w:r>
        <w:rPr>
          <w:rFonts w:hint="eastAsia" w:hAnsi="宋体"/>
          <w:sz w:val="24"/>
          <w:highlight w:val="none"/>
        </w:rPr>
        <w:t>反商业贿赂</w:t>
      </w:r>
      <w:bookmarkEnd w:id="66"/>
    </w:p>
    <w:p>
      <w:pPr>
        <w:pStyle w:val="41"/>
        <w:numPr>
          <w:ilvl w:val="0"/>
          <w:numId w:val="43"/>
        </w:numPr>
        <w:tabs>
          <w:tab w:val="left" w:pos="709"/>
        </w:tabs>
        <w:spacing w:line="360" w:lineRule="auto"/>
        <w:ind w:left="709" w:hanging="709" w:firstLineChars="0"/>
        <w:rPr>
          <w:sz w:val="24"/>
          <w:highlight w:val="none"/>
        </w:rPr>
      </w:pPr>
      <w:r>
        <w:rPr>
          <w:rFonts w:hint="eastAsia"/>
          <w:sz w:val="24"/>
          <w:highlight w:val="none"/>
        </w:rPr>
        <w:t>双方确认熟悉并了解合同签订地和履行地关于禁止贿赂的商业政策，并同意遵守这些政策。卖方应在其分包合同（如有）中要求分包商遵守相同的反商业贿赂要求。</w:t>
      </w:r>
    </w:p>
    <w:p>
      <w:pPr>
        <w:pStyle w:val="41"/>
        <w:numPr>
          <w:ilvl w:val="0"/>
          <w:numId w:val="43"/>
        </w:numPr>
        <w:tabs>
          <w:tab w:val="left" w:pos="709"/>
        </w:tabs>
        <w:spacing w:line="360" w:lineRule="auto"/>
        <w:ind w:left="709" w:hanging="709" w:firstLineChars="0"/>
        <w:rPr>
          <w:sz w:val="24"/>
          <w:highlight w:val="none"/>
        </w:rPr>
      </w:pPr>
      <w:r>
        <w:rPr>
          <w:rFonts w:hint="eastAsia"/>
          <w:sz w:val="24"/>
          <w:highlight w:val="none"/>
        </w:rPr>
        <w:t>任何一方不得为了获取利益以任何名义宴请对方的员工、代表或对方分包商、代理人的员工、代表，或向对方的上述人员赠送财物或其他好处。</w:t>
      </w:r>
    </w:p>
    <w:p>
      <w:pPr>
        <w:pStyle w:val="41"/>
        <w:numPr>
          <w:ilvl w:val="0"/>
          <w:numId w:val="43"/>
        </w:numPr>
        <w:tabs>
          <w:tab w:val="left" w:pos="709"/>
        </w:tabs>
        <w:spacing w:line="360" w:lineRule="auto"/>
        <w:ind w:left="709" w:hanging="709" w:firstLineChars="0"/>
        <w:rPr>
          <w:sz w:val="24"/>
          <w:highlight w:val="none"/>
        </w:rPr>
      </w:pPr>
      <w:r>
        <w:rPr>
          <w:rFonts w:hint="eastAsia"/>
          <w:sz w:val="24"/>
          <w:highlight w:val="none"/>
        </w:rPr>
        <w:t>实施商业贿赂的一方将承担下列所有不利的法律后果，且另一方有权以此为由随时终止本合同：</w:t>
      </w:r>
    </w:p>
    <w:p>
      <w:pPr>
        <w:pStyle w:val="41"/>
        <w:numPr>
          <w:ilvl w:val="1"/>
          <w:numId w:val="27"/>
        </w:numPr>
        <w:tabs>
          <w:tab w:val="left" w:pos="1276"/>
        </w:tabs>
        <w:spacing w:line="360" w:lineRule="auto"/>
        <w:ind w:left="709" w:firstLine="0" w:firstLineChars="0"/>
        <w:rPr>
          <w:sz w:val="24"/>
          <w:highlight w:val="none"/>
        </w:rPr>
      </w:pPr>
      <w:r>
        <w:rPr>
          <w:rFonts w:hint="eastAsia"/>
          <w:sz w:val="24"/>
          <w:highlight w:val="none"/>
        </w:rPr>
        <w:t>因商业贿赂所得的任何法律利益对方有权不予兑付；</w:t>
      </w:r>
    </w:p>
    <w:p>
      <w:pPr>
        <w:pStyle w:val="41"/>
        <w:numPr>
          <w:ilvl w:val="1"/>
          <w:numId w:val="27"/>
        </w:numPr>
        <w:tabs>
          <w:tab w:val="left" w:pos="1276"/>
        </w:tabs>
        <w:spacing w:line="360" w:lineRule="auto"/>
        <w:ind w:left="709" w:firstLine="0" w:firstLineChars="0"/>
        <w:rPr>
          <w:sz w:val="24"/>
          <w:highlight w:val="none"/>
        </w:rPr>
      </w:pPr>
      <w:r>
        <w:rPr>
          <w:rFonts w:hint="eastAsia"/>
          <w:sz w:val="24"/>
          <w:highlight w:val="none"/>
        </w:rPr>
        <w:t>因商业贿赂导致对方负担的任何法律义务对方有权不予履行；</w:t>
      </w:r>
    </w:p>
    <w:p>
      <w:pPr>
        <w:pStyle w:val="41"/>
        <w:numPr>
          <w:ilvl w:val="1"/>
          <w:numId w:val="27"/>
        </w:numPr>
        <w:tabs>
          <w:tab w:val="left" w:pos="1276"/>
        </w:tabs>
        <w:spacing w:line="360" w:lineRule="auto"/>
        <w:ind w:left="709" w:firstLine="0" w:firstLineChars="0"/>
        <w:rPr>
          <w:sz w:val="24"/>
          <w:highlight w:val="none"/>
        </w:rPr>
      </w:pPr>
      <w:r>
        <w:rPr>
          <w:rFonts w:hint="eastAsia"/>
          <w:sz w:val="24"/>
          <w:highlight w:val="none"/>
        </w:rPr>
        <w:t>因商业贿赂致使对方遭受的任何损失，应当予以赔偿。</w:t>
      </w:r>
    </w:p>
    <w:p>
      <w:pPr>
        <w:pStyle w:val="17"/>
        <w:numPr>
          <w:ilvl w:val="0"/>
          <w:numId w:val="13"/>
        </w:numPr>
        <w:tabs>
          <w:tab w:val="left" w:pos="0"/>
        </w:tabs>
        <w:spacing w:before="360" w:after="360" w:line="360" w:lineRule="auto"/>
        <w:ind w:left="0" w:firstLine="0"/>
        <w:rPr>
          <w:rFonts w:hAnsi="宋体"/>
          <w:sz w:val="24"/>
          <w:highlight w:val="none"/>
        </w:rPr>
      </w:pPr>
      <w:bookmarkStart w:id="67" w:name="_Toc378163306"/>
      <w:r>
        <w:rPr>
          <w:rFonts w:hint="eastAsia" w:hAnsi="宋体"/>
          <w:sz w:val="24"/>
          <w:highlight w:val="none"/>
        </w:rPr>
        <w:t>通知</w:t>
      </w:r>
      <w:bookmarkEnd w:id="67"/>
    </w:p>
    <w:p>
      <w:pPr>
        <w:widowControl/>
        <w:numPr>
          <w:ilvl w:val="0"/>
          <w:numId w:val="44"/>
        </w:numPr>
        <w:tabs>
          <w:tab w:val="left" w:pos="709"/>
        </w:tabs>
        <w:autoSpaceDE w:val="0"/>
        <w:autoSpaceDN w:val="0"/>
        <w:spacing w:line="360" w:lineRule="auto"/>
        <w:ind w:left="709" w:hanging="709"/>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pPr>
        <w:widowControl/>
        <w:numPr>
          <w:ilvl w:val="1"/>
          <w:numId w:val="45"/>
        </w:numPr>
        <w:spacing w:line="360" w:lineRule="auto"/>
        <w:ind w:left="1276" w:hanging="567"/>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pPr>
        <w:widowControl/>
        <w:numPr>
          <w:ilvl w:val="1"/>
          <w:numId w:val="45"/>
        </w:numPr>
        <w:spacing w:line="360" w:lineRule="auto"/>
        <w:ind w:left="1276" w:hanging="567"/>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pPr>
        <w:widowControl/>
        <w:numPr>
          <w:ilvl w:val="1"/>
          <w:numId w:val="45"/>
        </w:numPr>
        <w:spacing w:line="360" w:lineRule="auto"/>
        <w:ind w:left="1276" w:hanging="567"/>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pPr>
        <w:widowControl/>
        <w:numPr>
          <w:ilvl w:val="0"/>
          <w:numId w:val="44"/>
        </w:numPr>
        <w:tabs>
          <w:tab w:val="left" w:pos="709"/>
        </w:tabs>
        <w:autoSpaceDE w:val="0"/>
        <w:autoSpaceDN w:val="0"/>
        <w:spacing w:line="360" w:lineRule="auto"/>
        <w:ind w:left="709" w:hanging="709"/>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pPr>
        <w:pStyle w:val="17"/>
        <w:numPr>
          <w:ilvl w:val="0"/>
          <w:numId w:val="13"/>
        </w:numPr>
        <w:tabs>
          <w:tab w:val="left" w:pos="0"/>
        </w:tabs>
        <w:spacing w:before="360" w:after="360" w:line="360" w:lineRule="auto"/>
        <w:ind w:left="0" w:firstLine="0"/>
        <w:rPr>
          <w:rFonts w:hAnsi="宋体"/>
          <w:sz w:val="24"/>
          <w:highlight w:val="none"/>
        </w:rPr>
      </w:pPr>
      <w:r>
        <w:rPr>
          <w:rFonts w:hint="eastAsia" w:hAnsi="宋体"/>
          <w:sz w:val="24"/>
          <w:highlight w:val="none"/>
        </w:rPr>
        <w:t xml:space="preserve"> </w:t>
      </w:r>
      <w:bookmarkStart w:id="68" w:name="_Toc378163307"/>
      <w:r>
        <w:rPr>
          <w:rFonts w:hAnsi="宋体"/>
          <w:sz w:val="24"/>
          <w:highlight w:val="none"/>
        </w:rPr>
        <w:t>法律适用和</w:t>
      </w:r>
      <w:r>
        <w:rPr>
          <w:rFonts w:hint="eastAsia" w:hAnsi="宋体"/>
          <w:sz w:val="24"/>
          <w:highlight w:val="none"/>
        </w:rPr>
        <w:t>争议</w:t>
      </w:r>
      <w:r>
        <w:rPr>
          <w:rFonts w:hAnsi="宋体"/>
          <w:sz w:val="24"/>
          <w:highlight w:val="none"/>
        </w:rPr>
        <w:t>解决</w:t>
      </w:r>
      <w:bookmarkEnd w:id="63"/>
      <w:bookmarkEnd w:id="64"/>
      <w:bookmarkEnd w:id="68"/>
    </w:p>
    <w:p>
      <w:pPr>
        <w:numPr>
          <w:ilvl w:val="1"/>
          <w:numId w:val="46"/>
        </w:numPr>
        <w:spacing w:line="360" w:lineRule="auto"/>
        <w:rPr>
          <w:rFonts w:ascii="宋体" w:hAnsi="宋体"/>
          <w:sz w:val="24"/>
          <w:highlight w:val="none"/>
        </w:rPr>
      </w:pPr>
      <w:r>
        <w:rPr>
          <w:rFonts w:hint="eastAsia" w:ascii="宋体" w:hAnsi="宋体"/>
          <w:sz w:val="24"/>
          <w:highlight w:val="none"/>
        </w:rPr>
        <w:t>本合同适用中国法律。</w:t>
      </w:r>
    </w:p>
    <w:p>
      <w:pPr>
        <w:numPr>
          <w:ilvl w:val="1"/>
          <w:numId w:val="46"/>
        </w:numPr>
        <w:spacing w:line="360" w:lineRule="auto"/>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填入天数，如六十（</w:t>
      </w:r>
      <w:r>
        <w:rPr>
          <w:rFonts w:ascii="宋体" w:hAnsi="宋体"/>
          <w:i/>
          <w:sz w:val="24"/>
          <w:highlight w:val="none"/>
        </w:rPr>
        <w:t>60）</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pPr>
        <w:spacing w:line="360" w:lineRule="auto"/>
        <w:ind w:left="720"/>
        <w:rPr>
          <w:rFonts w:ascii="宋体" w:hAnsi="宋体"/>
          <w:i/>
          <w:sz w:val="24"/>
          <w:highlight w:val="none"/>
          <w:u w:val="single"/>
        </w:rPr>
      </w:pPr>
      <w:r>
        <w:rPr>
          <w:rFonts w:hint="eastAsia" w:ascii="宋体" w:hAnsi="宋体"/>
          <w:i/>
          <w:sz w:val="24"/>
          <w:highlight w:val="none"/>
          <w:u w:val="single"/>
        </w:rPr>
        <w:t>从下列选项中选择一项，将不适用的选项删除</w:t>
      </w:r>
    </w:p>
    <w:p>
      <w:pPr>
        <w:spacing w:line="360" w:lineRule="auto"/>
        <w:ind w:left="720"/>
        <w:rPr>
          <w:rFonts w:ascii="宋体" w:hAnsi="宋体"/>
          <w:i/>
          <w:sz w:val="24"/>
          <w:highlight w:val="none"/>
          <w:u w:val="single"/>
        </w:rPr>
      </w:pPr>
      <w:r>
        <w:rPr>
          <w:rFonts w:hint="eastAsia" w:ascii="宋体" w:hAnsi="宋体"/>
          <w:i/>
          <w:sz w:val="24"/>
          <w:highlight w:val="none"/>
          <w:u w:val="single"/>
        </w:rPr>
        <w:t>选项一：诉讼</w:t>
      </w:r>
    </w:p>
    <w:p>
      <w:pPr>
        <w:tabs>
          <w:tab w:val="left" w:pos="1276"/>
        </w:tabs>
        <w:spacing w:line="360" w:lineRule="auto"/>
        <w:ind w:left="674" w:leftChars="336" w:hanging="2" w:hangingChars="1"/>
        <w:rPr>
          <w:rFonts w:ascii="宋体" w:hAnsi="宋体"/>
          <w:sz w:val="24"/>
          <w:highlight w:val="none"/>
        </w:rPr>
      </w:pPr>
      <w:r>
        <w:rPr>
          <w:rFonts w:ascii="宋体" w:hAnsi="宋体"/>
          <w:sz w:val="24"/>
          <w:highlight w:val="none"/>
        </w:rPr>
        <w:t>向买方所在地人民法院起诉。</w:t>
      </w:r>
    </w:p>
    <w:p>
      <w:pPr>
        <w:spacing w:line="360" w:lineRule="auto"/>
        <w:ind w:left="720"/>
        <w:rPr>
          <w:rFonts w:ascii="宋体" w:hAnsi="宋体"/>
          <w:i/>
          <w:sz w:val="24"/>
          <w:highlight w:val="none"/>
          <w:u w:val="single"/>
        </w:rPr>
      </w:pPr>
      <w:r>
        <w:rPr>
          <w:rFonts w:hint="eastAsia" w:ascii="宋体" w:hAnsi="宋体"/>
          <w:i/>
          <w:sz w:val="24"/>
          <w:highlight w:val="none"/>
          <w:u w:val="single"/>
        </w:rPr>
        <w:t>选项二：仲裁</w:t>
      </w:r>
    </w:p>
    <w:p>
      <w:pPr>
        <w:tabs>
          <w:tab w:val="left" w:pos="1276"/>
        </w:tabs>
        <w:spacing w:line="360" w:lineRule="auto"/>
        <w:ind w:left="674" w:leftChars="336" w:hanging="2" w:hangingChars="1"/>
        <w:rPr>
          <w:rFonts w:ascii="宋体" w:hAnsi="宋体"/>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进行仲裁。仲裁</w:t>
      </w:r>
      <w:r>
        <w:rPr>
          <w:rFonts w:hint="eastAsia" w:ascii="宋体" w:hAnsi="宋体"/>
          <w:sz w:val="24"/>
          <w:highlight w:val="none"/>
        </w:rPr>
        <w:t>应根据</w:t>
      </w:r>
      <w:r>
        <w:rPr>
          <w:rFonts w:ascii="宋体" w:hAnsi="宋体"/>
          <w:sz w:val="24"/>
          <w:highlight w:val="none"/>
        </w:rPr>
        <w:t>该仲裁委员会现行有效的仲裁规则进行。</w:t>
      </w:r>
      <w:r>
        <w:rPr>
          <w:rFonts w:hint="eastAsia" w:ascii="宋体" w:hAnsi="宋体"/>
          <w:sz w:val="24"/>
          <w:highlight w:val="none"/>
        </w:rPr>
        <w:t>庭审</w:t>
      </w:r>
      <w:r>
        <w:rPr>
          <w:rFonts w:ascii="宋体" w:hAnsi="宋体"/>
          <w:sz w:val="24"/>
          <w:highlight w:val="none"/>
        </w:rPr>
        <w:t>地在</w:t>
      </w:r>
      <w:r>
        <w:rPr>
          <w:rFonts w:hint="eastAsia"/>
          <w:sz w:val="24"/>
          <w:highlight w:val="none"/>
        </w:rPr>
        <w:t>【</w:t>
      </w:r>
      <w:r>
        <w:rPr>
          <w:rFonts w:hint="eastAsia"/>
          <w:i/>
          <w:sz w:val="24"/>
          <w:highlight w:val="none"/>
        </w:rPr>
        <w:t>填入庭审地</w:t>
      </w:r>
      <w:r>
        <w:rPr>
          <w:rFonts w:hint="eastAsia"/>
          <w:sz w:val="24"/>
          <w:highlight w:val="none"/>
        </w:rPr>
        <w:t>】</w:t>
      </w:r>
      <w:r>
        <w:rPr>
          <w:rFonts w:ascii="宋体" w:hAnsi="宋体"/>
          <w:sz w:val="24"/>
          <w:highlight w:val="none"/>
        </w:rPr>
        <w:t>。</w:t>
      </w:r>
      <w:r>
        <w:rPr>
          <w:rFonts w:hint="eastAsia" w:ascii="宋体" w:hAnsi="宋体"/>
          <w:sz w:val="24"/>
          <w:highlight w:val="none"/>
        </w:rPr>
        <w:t>仲裁员人数为</w:t>
      </w:r>
      <w:r>
        <w:rPr>
          <w:rFonts w:hint="eastAsia"/>
          <w:sz w:val="24"/>
          <w:highlight w:val="none"/>
        </w:rPr>
        <w:t>【</w:t>
      </w:r>
      <w:r>
        <w:rPr>
          <w:rFonts w:hint="eastAsia"/>
          <w:i/>
          <w:sz w:val="24"/>
          <w:highlight w:val="none"/>
        </w:rPr>
        <w:t>填入数字</w:t>
      </w:r>
      <w:r>
        <w:rPr>
          <w:rFonts w:hint="eastAsia"/>
          <w:sz w:val="24"/>
          <w:highlight w:val="none"/>
        </w:rPr>
        <w:t>】名。</w:t>
      </w:r>
      <w:r>
        <w:rPr>
          <w:rFonts w:hint="eastAsia" w:ascii="宋体" w:hAnsi="宋体"/>
          <w:sz w:val="24"/>
          <w:highlight w:val="none"/>
        </w:rPr>
        <w:t>仲裁裁决是终局的，对双方均有约束力。</w:t>
      </w:r>
    </w:p>
    <w:p>
      <w:pPr>
        <w:numPr>
          <w:ilvl w:val="1"/>
          <w:numId w:val="46"/>
        </w:numPr>
        <w:spacing w:line="360" w:lineRule="auto"/>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p>
      <w:pPr>
        <w:pStyle w:val="17"/>
        <w:numPr>
          <w:ilvl w:val="0"/>
          <w:numId w:val="13"/>
        </w:numPr>
        <w:tabs>
          <w:tab w:val="left" w:pos="0"/>
        </w:tabs>
        <w:spacing w:before="360" w:after="360" w:line="360" w:lineRule="auto"/>
        <w:ind w:left="0" w:firstLine="0"/>
        <w:rPr>
          <w:rFonts w:hAnsi="宋体"/>
          <w:sz w:val="24"/>
          <w:highlight w:val="none"/>
        </w:rPr>
      </w:pPr>
      <w:r>
        <w:rPr>
          <w:rFonts w:hint="eastAsia" w:hAnsi="宋体"/>
          <w:sz w:val="24"/>
          <w:highlight w:val="none"/>
        </w:rPr>
        <w:t xml:space="preserve"> </w:t>
      </w:r>
      <w:bookmarkStart w:id="69" w:name="_Toc378163308"/>
      <w:r>
        <w:rPr>
          <w:rFonts w:hAnsi="宋体"/>
          <w:sz w:val="24"/>
          <w:highlight w:val="none"/>
        </w:rPr>
        <w:t>其它</w:t>
      </w:r>
      <w:bookmarkEnd w:id="69"/>
    </w:p>
    <w:p>
      <w:pPr>
        <w:numPr>
          <w:ilvl w:val="0"/>
          <w:numId w:val="47"/>
        </w:numPr>
        <w:tabs>
          <w:tab w:val="left" w:pos="709"/>
          <w:tab w:val="clear" w:pos="780"/>
        </w:tabs>
        <w:spacing w:line="360" w:lineRule="auto"/>
        <w:ind w:left="709" w:hanging="709"/>
        <w:rPr>
          <w:rFonts w:ascii="宋体" w:hAnsi="宋体"/>
          <w:sz w:val="24"/>
          <w:highlight w:val="none"/>
        </w:rPr>
      </w:pPr>
      <w:r>
        <w:rPr>
          <w:rFonts w:hint="eastAsia" w:ascii="宋体" w:hAnsi="宋体"/>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0"/>
          <w:numId w:val="47"/>
        </w:numPr>
        <w:tabs>
          <w:tab w:val="left" w:pos="709"/>
          <w:tab w:val="clear" w:pos="780"/>
        </w:tabs>
        <w:spacing w:line="360" w:lineRule="auto"/>
        <w:ind w:left="709" w:hanging="709"/>
        <w:rPr>
          <w:rFonts w:ascii="宋体" w:hAnsi="宋体"/>
          <w:sz w:val="24"/>
          <w:highlight w:val="none"/>
        </w:rPr>
      </w:pPr>
      <w:r>
        <w:rPr>
          <w:rFonts w:ascii="宋体" w:hAnsi="宋体"/>
          <w:sz w:val="24"/>
          <w:highlight w:val="none"/>
        </w:rPr>
        <w:t>本合同自买卖双方</w:t>
      </w:r>
      <w:r>
        <w:rPr>
          <w:rFonts w:hint="eastAsia" w:ascii="宋体" w:hAnsi="宋体"/>
          <w:sz w:val="24"/>
          <w:highlight w:val="none"/>
        </w:rPr>
        <w:t>法定代表人或授权代表</w:t>
      </w:r>
      <w:r>
        <w:rPr>
          <w:rFonts w:ascii="宋体" w:hAnsi="宋体"/>
          <w:sz w:val="24"/>
          <w:highlight w:val="none"/>
        </w:rPr>
        <w:t>签</w:t>
      </w:r>
      <w:r>
        <w:rPr>
          <w:rFonts w:hint="eastAsia" w:ascii="宋体" w:hAnsi="宋体"/>
          <w:sz w:val="24"/>
          <w:highlight w:val="none"/>
        </w:rPr>
        <w:t>字并盖章</w:t>
      </w:r>
      <w:r>
        <w:rPr>
          <w:rFonts w:ascii="宋体" w:hAnsi="宋体"/>
          <w:sz w:val="24"/>
          <w:highlight w:val="none"/>
        </w:rPr>
        <w:t>之日起生效</w:t>
      </w:r>
      <w:bookmarkStart w:id="70" w:name="OLE_LINK11"/>
      <w:bookmarkStart w:id="71" w:name="OLE_LINK12"/>
      <w:r>
        <w:rPr>
          <w:rFonts w:hint="eastAsia" w:ascii="宋体" w:hAnsi="宋体"/>
          <w:sz w:val="24"/>
          <w:highlight w:val="none"/>
        </w:rPr>
        <w:t>，自双方履行完本合同项下全部权利和义务后终止</w:t>
      </w:r>
      <w:bookmarkEnd w:id="70"/>
      <w:bookmarkEnd w:id="71"/>
      <w:r>
        <w:rPr>
          <w:rFonts w:ascii="宋体" w:hAnsi="宋体"/>
          <w:sz w:val="24"/>
          <w:highlight w:val="none"/>
        </w:rPr>
        <w:t>。</w:t>
      </w:r>
    </w:p>
    <w:p>
      <w:pPr>
        <w:numPr>
          <w:ilvl w:val="0"/>
          <w:numId w:val="47"/>
        </w:numPr>
        <w:tabs>
          <w:tab w:val="left" w:pos="709"/>
          <w:tab w:val="clear" w:pos="780"/>
        </w:tabs>
        <w:spacing w:line="360" w:lineRule="auto"/>
        <w:ind w:left="709" w:hanging="709"/>
        <w:rPr>
          <w:rFonts w:ascii="宋体" w:hAnsi="宋体"/>
          <w:sz w:val="24"/>
          <w:highlight w:val="none"/>
        </w:rPr>
      </w:pPr>
      <w:r>
        <w:rPr>
          <w:rFonts w:hint="eastAsia" w:ascii="宋体" w:hAnsi="宋体"/>
          <w:sz w:val="24"/>
          <w:highlight w:val="none"/>
        </w:rPr>
        <w:t>本合同签署以前双方就本合同约定的软件产品的采购和销售</w:t>
      </w:r>
      <w:r>
        <w:rPr>
          <w:rFonts w:ascii="宋体" w:hAnsi="宋体"/>
          <w:sz w:val="24"/>
          <w:highlight w:val="none"/>
        </w:rPr>
        <w:t>及相关事宜</w:t>
      </w:r>
      <w:r>
        <w:rPr>
          <w:rFonts w:hint="eastAsia" w:ascii="宋体" w:hAnsi="宋体"/>
          <w:sz w:val="24"/>
          <w:highlight w:val="none"/>
        </w:rPr>
        <w:t>达成的所有口头和/或书面的声明、文件、信件及双方其它形式的通信在本合同生效后自动失效。</w:t>
      </w:r>
    </w:p>
    <w:p>
      <w:pPr>
        <w:numPr>
          <w:ilvl w:val="0"/>
          <w:numId w:val="47"/>
        </w:numPr>
        <w:tabs>
          <w:tab w:val="left" w:pos="709"/>
          <w:tab w:val="clear" w:pos="780"/>
        </w:tabs>
        <w:spacing w:line="360" w:lineRule="auto"/>
        <w:ind w:left="709" w:hanging="709"/>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pPr>
        <w:numPr>
          <w:ilvl w:val="0"/>
          <w:numId w:val="47"/>
        </w:numPr>
        <w:tabs>
          <w:tab w:val="left" w:pos="709"/>
          <w:tab w:val="clear" w:pos="780"/>
        </w:tabs>
        <w:spacing w:line="360" w:lineRule="auto"/>
        <w:ind w:left="709" w:hanging="709"/>
        <w:rPr>
          <w:rFonts w:ascii="宋体" w:hAnsi="宋体"/>
          <w:sz w:val="24"/>
          <w:highlight w:val="none"/>
        </w:rPr>
      </w:pPr>
      <w:r>
        <w:rPr>
          <w:rFonts w:ascii="宋体" w:hAnsi="宋体"/>
          <w:sz w:val="24"/>
          <w:highlight w:val="none"/>
        </w:rPr>
        <w:t>如</w:t>
      </w:r>
      <w:r>
        <w:rPr>
          <w:rFonts w:hint="eastAsia" w:ascii="宋体" w:hAnsi="宋体"/>
          <w:sz w:val="24"/>
          <w:highlight w:val="none"/>
        </w:rPr>
        <w:t>果</w:t>
      </w:r>
      <w:r>
        <w:rPr>
          <w:rFonts w:ascii="宋体" w:hAnsi="宋体"/>
          <w:sz w:val="24"/>
          <w:highlight w:val="none"/>
        </w:rPr>
        <w:t>本合同</w:t>
      </w:r>
      <w:r>
        <w:rPr>
          <w:rFonts w:hint="eastAsia" w:ascii="宋体" w:hAnsi="宋体"/>
          <w:sz w:val="24"/>
          <w:highlight w:val="none"/>
        </w:rPr>
        <w:t>的</w:t>
      </w:r>
      <w:r>
        <w:rPr>
          <w:rFonts w:ascii="宋体" w:hAnsi="宋体"/>
          <w:sz w:val="24"/>
          <w:highlight w:val="none"/>
        </w:rPr>
        <w:t>任何条款</w:t>
      </w:r>
      <w:r>
        <w:rPr>
          <w:rFonts w:hint="eastAsia" w:ascii="宋体" w:hAnsi="宋体"/>
          <w:sz w:val="24"/>
          <w:highlight w:val="none"/>
        </w:rPr>
        <w:t>或规定</w:t>
      </w:r>
      <w:r>
        <w:rPr>
          <w:rFonts w:ascii="宋体" w:hAnsi="宋体"/>
          <w:sz w:val="24"/>
          <w:highlight w:val="none"/>
        </w:rPr>
        <w:t>被裁定</w:t>
      </w:r>
      <w:r>
        <w:rPr>
          <w:rFonts w:hint="eastAsia" w:ascii="宋体" w:hAnsi="宋体"/>
          <w:sz w:val="24"/>
          <w:highlight w:val="none"/>
        </w:rPr>
        <w:t>为</w:t>
      </w:r>
      <w:r>
        <w:rPr>
          <w:rFonts w:ascii="宋体" w:hAnsi="宋体"/>
          <w:sz w:val="24"/>
          <w:highlight w:val="none"/>
        </w:rPr>
        <w:t>无效、不合法或不可</w:t>
      </w:r>
      <w:r>
        <w:rPr>
          <w:rFonts w:hint="eastAsia" w:ascii="宋体" w:hAnsi="宋体"/>
          <w:sz w:val="24"/>
          <w:highlight w:val="none"/>
        </w:rPr>
        <w:t>强制</w:t>
      </w:r>
      <w:r>
        <w:rPr>
          <w:rFonts w:ascii="宋体" w:hAnsi="宋体"/>
          <w:sz w:val="24"/>
          <w:highlight w:val="none"/>
        </w:rPr>
        <w:t>执行，</w:t>
      </w:r>
      <w:r>
        <w:rPr>
          <w:rFonts w:hint="eastAsia" w:ascii="宋体" w:hAnsi="宋体"/>
          <w:sz w:val="24"/>
          <w:highlight w:val="none"/>
        </w:rPr>
        <w:t>该条款或规定应视为被删除，本合同</w:t>
      </w:r>
      <w:r>
        <w:rPr>
          <w:rFonts w:ascii="宋体" w:hAnsi="宋体"/>
          <w:sz w:val="24"/>
          <w:highlight w:val="none"/>
        </w:rPr>
        <w:t>其它条款</w:t>
      </w:r>
      <w:r>
        <w:rPr>
          <w:rFonts w:hint="eastAsia" w:ascii="宋体" w:hAnsi="宋体"/>
          <w:sz w:val="24"/>
          <w:highlight w:val="none"/>
        </w:rPr>
        <w:t>不受影响，</w:t>
      </w:r>
      <w:r>
        <w:rPr>
          <w:rFonts w:ascii="宋体" w:hAnsi="宋体"/>
          <w:sz w:val="24"/>
          <w:highlight w:val="none"/>
        </w:rPr>
        <w:t>仍</w:t>
      </w:r>
      <w:r>
        <w:rPr>
          <w:rFonts w:hint="eastAsia" w:ascii="宋体" w:hAnsi="宋体"/>
          <w:sz w:val="24"/>
          <w:highlight w:val="none"/>
        </w:rPr>
        <w:t>继续</w:t>
      </w:r>
      <w:r>
        <w:rPr>
          <w:rFonts w:ascii="宋体" w:hAnsi="宋体"/>
          <w:sz w:val="24"/>
          <w:highlight w:val="none"/>
        </w:rPr>
        <w:t>有效。</w:t>
      </w:r>
    </w:p>
    <w:p>
      <w:pPr>
        <w:numPr>
          <w:ilvl w:val="0"/>
          <w:numId w:val="47"/>
        </w:numPr>
        <w:tabs>
          <w:tab w:val="left" w:pos="709"/>
          <w:tab w:val="clear" w:pos="780"/>
        </w:tabs>
        <w:spacing w:line="360" w:lineRule="auto"/>
        <w:ind w:left="709" w:hanging="709"/>
        <w:rPr>
          <w:rFonts w:ascii="宋体" w:hAnsi="宋体"/>
          <w:sz w:val="24"/>
          <w:highlight w:val="none"/>
        </w:rPr>
      </w:pPr>
      <w:r>
        <w:rPr>
          <w:rFonts w:ascii="宋体" w:hAnsi="宋体"/>
          <w:sz w:val="24"/>
          <w:highlight w:val="none"/>
        </w:rPr>
        <w:t>本合同履行过程中，</w:t>
      </w:r>
      <w:r>
        <w:rPr>
          <w:rFonts w:hint="eastAsia" w:ascii="宋体" w:hAnsi="宋体"/>
          <w:sz w:val="24"/>
          <w:highlight w:val="none"/>
        </w:rPr>
        <w:t>如</w:t>
      </w:r>
      <w:r>
        <w:rPr>
          <w:rFonts w:ascii="宋体" w:hAnsi="宋体"/>
          <w:sz w:val="24"/>
          <w:highlight w:val="none"/>
        </w:rPr>
        <w:t>卖方</w:t>
      </w:r>
      <w:r>
        <w:rPr>
          <w:rFonts w:hint="eastAsia" w:ascii="宋体" w:hAnsi="宋体"/>
          <w:sz w:val="24"/>
          <w:highlight w:val="none"/>
        </w:rPr>
        <w:t>发生重组、</w:t>
      </w:r>
      <w:r>
        <w:rPr>
          <w:rFonts w:ascii="宋体" w:hAnsi="宋体"/>
          <w:sz w:val="24"/>
          <w:highlight w:val="none"/>
        </w:rPr>
        <w:t>合并、</w:t>
      </w:r>
      <w:r>
        <w:rPr>
          <w:rFonts w:hint="eastAsia" w:ascii="宋体" w:hAnsi="宋体"/>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0"/>
          <w:numId w:val="47"/>
        </w:numPr>
        <w:tabs>
          <w:tab w:val="left" w:pos="709"/>
          <w:tab w:val="clear" w:pos="780"/>
        </w:tabs>
        <w:spacing w:line="360" w:lineRule="auto"/>
        <w:ind w:left="709" w:hanging="709"/>
        <w:rPr>
          <w:rFonts w:ascii="宋体" w:hAnsi="宋体"/>
          <w:sz w:val="24"/>
          <w:highlight w:val="none"/>
        </w:rPr>
      </w:pPr>
      <w:r>
        <w:rPr>
          <w:rFonts w:ascii="宋体" w:hAnsi="宋体"/>
          <w:sz w:val="24"/>
          <w:highlight w:val="none"/>
        </w:rPr>
        <w:t>本合同</w:t>
      </w:r>
      <w:r>
        <w:rPr>
          <w:rFonts w:hint="eastAsia" w:ascii="宋体" w:hAnsi="宋体"/>
          <w:sz w:val="24"/>
          <w:highlight w:val="none"/>
        </w:rPr>
        <w:t>解除或终止</w:t>
      </w:r>
      <w:r>
        <w:rPr>
          <w:rFonts w:ascii="宋体" w:hAnsi="宋体"/>
          <w:sz w:val="24"/>
          <w:highlight w:val="none"/>
        </w:rPr>
        <w:t>后</w:t>
      </w:r>
      <w:r>
        <w:rPr>
          <w:rFonts w:hint="eastAsia" w:ascii="宋体" w:hAnsi="宋体"/>
          <w:sz w:val="24"/>
          <w:highlight w:val="none"/>
        </w:rPr>
        <w:t>，本合同项下关于权利保证、保密、责任、适用法律、争议解决和其它具有持续性效力的条款继续</w:t>
      </w:r>
      <w:r>
        <w:rPr>
          <w:rFonts w:ascii="宋体" w:hAnsi="宋体"/>
          <w:sz w:val="24"/>
          <w:highlight w:val="none"/>
        </w:rPr>
        <w:t>有效。</w:t>
      </w:r>
    </w:p>
    <w:p>
      <w:pPr>
        <w:numPr>
          <w:ilvl w:val="0"/>
          <w:numId w:val="47"/>
        </w:numPr>
        <w:tabs>
          <w:tab w:val="left" w:pos="709"/>
          <w:tab w:val="clear" w:pos="780"/>
        </w:tabs>
        <w:spacing w:line="360" w:lineRule="auto"/>
        <w:ind w:left="709" w:hanging="709"/>
        <w:rPr>
          <w:rFonts w:ascii="宋体" w:hAnsi="宋体"/>
          <w:sz w:val="24"/>
          <w:highlight w:val="none"/>
        </w:rPr>
      </w:pPr>
      <w:r>
        <w:rPr>
          <w:rFonts w:hint="eastAsia" w:ascii="宋体" w:hAnsi="宋体"/>
          <w:sz w:val="24"/>
          <w:highlight w:val="none"/>
        </w:rPr>
        <w:t>本</w:t>
      </w:r>
      <w:r>
        <w:rPr>
          <w:rFonts w:ascii="宋体" w:hAnsi="宋体"/>
          <w:sz w:val="24"/>
          <w:highlight w:val="none"/>
        </w:rPr>
        <w:t>合同未尽事宜，应由双方协商</w:t>
      </w:r>
      <w:r>
        <w:rPr>
          <w:rFonts w:hint="eastAsia" w:ascii="宋体" w:hAnsi="宋体"/>
          <w:sz w:val="24"/>
          <w:highlight w:val="none"/>
        </w:rPr>
        <w:t>确定</w:t>
      </w:r>
      <w:r>
        <w:rPr>
          <w:rFonts w:ascii="宋体" w:hAnsi="宋体"/>
          <w:sz w:val="24"/>
          <w:highlight w:val="none"/>
        </w:rPr>
        <w:t>，并签订补充协议，补充协议与本合同具有同等法律效力。</w:t>
      </w:r>
    </w:p>
    <w:p>
      <w:pPr>
        <w:numPr>
          <w:ilvl w:val="0"/>
          <w:numId w:val="47"/>
        </w:numPr>
        <w:tabs>
          <w:tab w:val="left" w:pos="709"/>
          <w:tab w:val="clear" w:pos="780"/>
        </w:tabs>
        <w:spacing w:line="360" w:lineRule="auto"/>
        <w:ind w:left="709" w:hanging="709"/>
        <w:rPr>
          <w:rFonts w:ascii="宋体" w:hAnsi="宋体"/>
          <w:sz w:val="24"/>
          <w:highlight w:val="none"/>
        </w:rPr>
      </w:pPr>
      <w:r>
        <w:rPr>
          <w:rFonts w:ascii="宋体" w:hAnsi="宋体"/>
          <w:sz w:val="24"/>
          <w:highlight w:val="none"/>
        </w:rPr>
        <w:t>本合同的任何变更、修改或增减，须经双方协商</w:t>
      </w:r>
      <w:r>
        <w:rPr>
          <w:rFonts w:hint="eastAsia" w:ascii="宋体" w:hAnsi="宋体"/>
          <w:sz w:val="24"/>
          <w:highlight w:val="none"/>
        </w:rPr>
        <w:t>一致、法定代表人或</w:t>
      </w:r>
      <w:r>
        <w:rPr>
          <w:rFonts w:ascii="宋体" w:hAnsi="宋体"/>
          <w:sz w:val="24"/>
          <w:highlight w:val="none"/>
        </w:rPr>
        <w:t>授权代表签署书面文件</w:t>
      </w:r>
      <w:r>
        <w:rPr>
          <w:rFonts w:hint="eastAsia" w:ascii="宋体" w:hAnsi="宋体"/>
          <w:sz w:val="24"/>
          <w:highlight w:val="none"/>
        </w:rPr>
        <w:t>并盖章</w:t>
      </w:r>
      <w:r>
        <w:rPr>
          <w:rFonts w:ascii="宋体" w:hAnsi="宋体"/>
          <w:sz w:val="24"/>
          <w:highlight w:val="none"/>
        </w:rPr>
        <w:t>后</w:t>
      </w:r>
      <w:r>
        <w:rPr>
          <w:rFonts w:hint="eastAsia" w:ascii="宋体" w:hAnsi="宋体"/>
          <w:sz w:val="24"/>
          <w:highlight w:val="none"/>
        </w:rPr>
        <w:t>生</w:t>
      </w:r>
      <w:r>
        <w:rPr>
          <w:rFonts w:ascii="宋体" w:hAnsi="宋体"/>
          <w:sz w:val="24"/>
          <w:highlight w:val="none"/>
        </w:rPr>
        <w:t>效。</w:t>
      </w:r>
    </w:p>
    <w:p>
      <w:pPr>
        <w:numPr>
          <w:ilvl w:val="0"/>
          <w:numId w:val="47"/>
        </w:numPr>
        <w:tabs>
          <w:tab w:val="left" w:pos="709"/>
          <w:tab w:val="clear" w:pos="780"/>
        </w:tabs>
        <w:spacing w:line="360" w:lineRule="auto"/>
        <w:ind w:left="709" w:hanging="709"/>
        <w:rPr>
          <w:rFonts w:ascii="宋体" w:hAnsi="宋体"/>
          <w:sz w:val="24"/>
          <w:highlight w:val="none"/>
        </w:rPr>
      </w:pPr>
      <w:r>
        <w:rPr>
          <w:rFonts w:hint="eastAsia" w:ascii="宋体" w:hAnsi="宋体"/>
          <w:sz w:val="24"/>
          <w:highlight w:val="none"/>
        </w:rPr>
        <w:t>本合同系双方协商、讨论的结果，合同内容非一方当事人单方拟定。本合同不属于格式合同，条款内容不属于格式条款。</w:t>
      </w:r>
    </w:p>
    <w:p>
      <w:pPr>
        <w:numPr>
          <w:ilvl w:val="0"/>
          <w:numId w:val="47"/>
        </w:numPr>
        <w:tabs>
          <w:tab w:val="left" w:pos="709"/>
          <w:tab w:val="clear" w:pos="780"/>
        </w:tabs>
        <w:spacing w:line="360" w:lineRule="auto"/>
        <w:ind w:left="709" w:hanging="709"/>
        <w:rPr>
          <w:rFonts w:ascii="宋体" w:hAnsi="宋体"/>
          <w:sz w:val="24"/>
          <w:highlight w:val="none"/>
        </w:rPr>
      </w:pPr>
      <w:r>
        <w:rPr>
          <w:rFonts w:hint="eastAsia" w:ascii="宋体" w:hAnsi="宋体"/>
          <w:sz w:val="24"/>
          <w:highlight w:val="none"/>
        </w:rPr>
        <w:t>本合同正文、附件及其后的修改文件和补充文件均应采用中文书写。附件及其后的修改文件和补充文件作为本合同不可分割的组成部分，与本合同正文具有同等法律效力。</w:t>
      </w:r>
    </w:p>
    <w:p>
      <w:pPr>
        <w:numPr>
          <w:ilvl w:val="0"/>
          <w:numId w:val="47"/>
        </w:numPr>
        <w:tabs>
          <w:tab w:val="left" w:pos="709"/>
          <w:tab w:val="clear" w:pos="780"/>
        </w:tabs>
        <w:spacing w:line="360" w:lineRule="auto"/>
        <w:ind w:left="709" w:hanging="709"/>
        <w:rPr>
          <w:rFonts w:ascii="宋体" w:hAnsi="宋体"/>
          <w:sz w:val="24"/>
          <w:highlight w:val="none"/>
        </w:rPr>
      </w:pPr>
      <w:r>
        <w:rPr>
          <w:rFonts w:ascii="宋体" w:hAnsi="宋体"/>
          <w:sz w:val="24"/>
          <w:highlight w:val="none"/>
        </w:rPr>
        <w:t>本合同一式</w:t>
      </w:r>
      <w:r>
        <w:rPr>
          <w:rFonts w:hint="eastAsia" w:ascii="宋体" w:hAnsi="宋体"/>
          <w:sz w:val="24"/>
          <w:highlight w:val="none"/>
        </w:rPr>
        <w:t>【</w:t>
      </w:r>
      <w:r>
        <w:rPr>
          <w:rFonts w:hint="eastAsia" w:ascii="宋体" w:hAnsi="宋体"/>
          <w:i/>
          <w:sz w:val="24"/>
          <w:highlight w:val="none"/>
        </w:rPr>
        <w:t>填入份数</w:t>
      </w:r>
      <w:r>
        <w:rPr>
          <w:rFonts w:hint="eastAsia" w:ascii="宋体" w:hAnsi="宋体"/>
          <w:sz w:val="24"/>
          <w:highlight w:val="none"/>
        </w:rPr>
        <w:t>】</w:t>
      </w:r>
      <w:r>
        <w:rPr>
          <w:rFonts w:ascii="宋体" w:hAnsi="宋体"/>
          <w:sz w:val="24"/>
          <w:highlight w:val="none"/>
        </w:rPr>
        <w:t>份，</w:t>
      </w:r>
      <w:r>
        <w:rPr>
          <w:rFonts w:hint="eastAsia" w:ascii="宋体" w:hAnsi="宋体"/>
          <w:sz w:val="24"/>
          <w:highlight w:val="none"/>
        </w:rPr>
        <w:t>买卖双方各持【</w:t>
      </w:r>
      <w:r>
        <w:rPr>
          <w:rFonts w:hint="eastAsia" w:ascii="宋体" w:hAnsi="宋体"/>
          <w:i/>
          <w:sz w:val="24"/>
          <w:highlight w:val="none"/>
        </w:rPr>
        <w:t>填入份数</w:t>
      </w:r>
      <w:r>
        <w:rPr>
          <w:rFonts w:hint="eastAsia" w:ascii="宋体" w:hAnsi="宋体"/>
          <w:sz w:val="24"/>
          <w:highlight w:val="none"/>
        </w:rPr>
        <w:t>】份</w:t>
      </w:r>
      <w:r>
        <w:rPr>
          <w:rFonts w:ascii="宋体" w:hAnsi="宋体"/>
          <w:sz w:val="24"/>
          <w:highlight w:val="none"/>
        </w:rPr>
        <w:t>，具有同等效力。</w:t>
      </w:r>
    </w:p>
    <w:p>
      <w:pPr>
        <w:tabs>
          <w:tab w:val="left" w:pos="850"/>
        </w:tabs>
        <w:autoSpaceDE w:val="0"/>
        <w:autoSpaceDN w:val="0"/>
        <w:spacing w:line="360" w:lineRule="auto"/>
        <w:jc w:val="center"/>
        <w:textAlignment w:val="bottom"/>
        <w:rPr>
          <w:b/>
          <w:sz w:val="24"/>
          <w:highlight w:val="none"/>
        </w:rPr>
      </w:pPr>
      <w:r>
        <w:rPr>
          <w:b/>
          <w:sz w:val="24"/>
          <w:highlight w:val="none"/>
        </w:rPr>
        <w:br w:type="page"/>
      </w:r>
      <w:bookmarkStart w:id="72" w:name="_Toc269307533"/>
      <w:r>
        <w:rPr>
          <w:rFonts w:hint="eastAsia"/>
          <w:b/>
          <w:sz w:val="24"/>
          <w:highlight w:val="none"/>
        </w:rPr>
        <w:t>（本页无正文，为签章页）</w:t>
      </w:r>
    </w:p>
    <w:p>
      <w:pPr>
        <w:tabs>
          <w:tab w:val="left" w:pos="850"/>
        </w:tabs>
        <w:autoSpaceDE w:val="0"/>
        <w:autoSpaceDN w:val="0"/>
        <w:spacing w:line="360" w:lineRule="auto"/>
        <w:ind w:firstLine="600"/>
        <w:textAlignment w:val="bottom"/>
        <w:rPr>
          <w:sz w:val="24"/>
          <w:highlight w:val="none"/>
        </w:rPr>
      </w:pPr>
    </w:p>
    <w:tbl>
      <w:tblPr>
        <w:tblStyle w:val="19"/>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noWrap w:val="0"/>
            <w:vAlign w:val="top"/>
          </w:tcPr>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r>
              <w:rPr>
                <w:sz w:val="24"/>
                <w:highlight w:val="none"/>
              </w:rPr>
              <w:t>买方</w:t>
            </w:r>
            <w:r>
              <w:rPr>
                <w:rFonts w:hint="eastAsia"/>
                <w:sz w:val="24"/>
                <w:highlight w:val="none"/>
              </w:rPr>
              <w:t>（盖章）</w:t>
            </w:r>
          </w:p>
        </w:tc>
        <w:tc>
          <w:tcPr>
            <w:tcW w:w="2397" w:type="pct"/>
            <w:noWrap w:val="0"/>
            <w:vAlign w:val="top"/>
          </w:tcPr>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r>
              <w:rPr>
                <w:sz w:val="24"/>
                <w:highlight w:val="none"/>
              </w:rPr>
              <w:t>卖方</w:t>
            </w:r>
            <w:r>
              <w:rPr>
                <w:rFonts w:hint="eastAsia"/>
                <w:sz w:val="24"/>
                <w:highlight w:val="none"/>
              </w:rPr>
              <w:t>（盖章）</w:t>
            </w:r>
          </w:p>
          <w:p>
            <w:pPr>
              <w:tabs>
                <w:tab w:val="left" w:pos="850"/>
              </w:tabs>
              <w:autoSpaceDE w:val="0"/>
              <w:autoSpaceDN w:val="0"/>
              <w:spacing w:line="360" w:lineRule="auto"/>
              <w:textAlignment w:val="bottom"/>
              <w:rPr>
                <w:sz w:val="24"/>
                <w:highlight w:val="none"/>
              </w:rPr>
            </w:pPr>
          </w:p>
        </w:tc>
      </w:tr>
      <w:tr>
        <w:tblPrEx>
          <w:tblCellMar>
            <w:top w:w="0" w:type="dxa"/>
            <w:left w:w="108" w:type="dxa"/>
            <w:bottom w:w="0" w:type="dxa"/>
            <w:right w:w="108" w:type="dxa"/>
          </w:tblCellMar>
        </w:tblPrEx>
        <w:trPr>
          <w:trHeight w:val="1084" w:hRule="atLeast"/>
        </w:trPr>
        <w:tc>
          <w:tcPr>
            <w:tcW w:w="2603" w:type="pct"/>
            <w:noWrap w:val="0"/>
            <w:vAlign w:val="center"/>
          </w:tcPr>
          <w:p>
            <w:pPr>
              <w:tabs>
                <w:tab w:val="left" w:pos="850"/>
              </w:tabs>
              <w:autoSpaceDE w:val="0"/>
              <w:autoSpaceDN w:val="0"/>
              <w:spacing w:line="360" w:lineRule="auto"/>
              <w:textAlignment w:val="bottom"/>
              <w:rPr>
                <w:sz w:val="24"/>
                <w:highlight w:val="none"/>
              </w:rPr>
            </w:pPr>
            <w:r>
              <w:rPr>
                <w:sz w:val="24"/>
                <w:highlight w:val="none"/>
              </w:rPr>
              <w:t>法定代表人或授权代表签字：</w:t>
            </w:r>
          </w:p>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noWrap w:val="0"/>
            <w:vAlign w:val="center"/>
          </w:tcPr>
          <w:p>
            <w:pPr>
              <w:tabs>
                <w:tab w:val="left" w:pos="850"/>
              </w:tabs>
              <w:autoSpaceDE w:val="0"/>
              <w:autoSpaceDN w:val="0"/>
              <w:spacing w:line="360" w:lineRule="auto"/>
              <w:textAlignment w:val="bottom"/>
              <w:rPr>
                <w:sz w:val="24"/>
                <w:highlight w:val="none"/>
              </w:rPr>
            </w:pPr>
            <w:r>
              <w:rPr>
                <w:sz w:val="24"/>
                <w:highlight w:val="none"/>
              </w:rPr>
              <w:t>法定代表人或授权代表签字：</w:t>
            </w:r>
          </w:p>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p>
          <w:p>
            <w:pPr>
              <w:tabs>
                <w:tab w:val="left" w:pos="850"/>
              </w:tabs>
              <w:autoSpaceDE w:val="0"/>
              <w:autoSpaceDN w:val="0"/>
              <w:spacing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pPr>
        <w:spacing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pPr>
        <w:spacing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pPr>
        <w:tabs>
          <w:tab w:val="left" w:pos="1418"/>
        </w:tabs>
        <w:spacing w:line="360" w:lineRule="auto"/>
        <w:rPr>
          <w:rFonts w:hAnsi="宋体"/>
          <w:spacing w:val="20"/>
          <w:sz w:val="24"/>
          <w:highlight w:val="none"/>
        </w:rPr>
      </w:pPr>
    </w:p>
    <w:p>
      <w:pPr>
        <w:pStyle w:val="17"/>
        <w:tabs>
          <w:tab w:val="left" w:pos="0"/>
        </w:tabs>
        <w:spacing w:line="360" w:lineRule="auto"/>
        <w:jc w:val="both"/>
        <w:rPr>
          <w:rFonts w:hAnsi="宋体"/>
          <w:spacing w:val="20"/>
          <w:sz w:val="24"/>
          <w:highlight w:val="none"/>
        </w:rPr>
      </w:pPr>
      <w:r>
        <w:rPr>
          <w:rFonts w:hAnsi="宋体"/>
          <w:spacing w:val="20"/>
          <w:sz w:val="24"/>
          <w:highlight w:val="none"/>
        </w:rPr>
        <w:br w:type="page"/>
      </w:r>
      <w:bookmarkStart w:id="73" w:name="_Toc378163309"/>
      <w:r>
        <w:rPr>
          <w:rFonts w:hint="eastAsia" w:hAnsi="宋体"/>
          <w:spacing w:val="20"/>
          <w:sz w:val="24"/>
          <w:highlight w:val="none"/>
        </w:rPr>
        <w:t>附件一：软件产品说明、要求</w:t>
      </w:r>
      <w:bookmarkEnd w:id="72"/>
      <w:bookmarkEnd w:id="73"/>
    </w:p>
    <w:p>
      <w:pPr>
        <w:pStyle w:val="17"/>
        <w:tabs>
          <w:tab w:val="left" w:pos="0"/>
        </w:tabs>
        <w:spacing w:line="360" w:lineRule="auto"/>
        <w:jc w:val="both"/>
        <w:rPr>
          <w:rFonts w:hAnsi="宋体"/>
          <w:spacing w:val="20"/>
          <w:sz w:val="24"/>
          <w:highlight w:val="none"/>
        </w:rPr>
      </w:pPr>
      <w:r>
        <w:rPr>
          <w:highlight w:val="none"/>
        </w:rPr>
        <w:br w:type="page"/>
      </w:r>
      <w:bookmarkStart w:id="74" w:name="_Toc378163310"/>
      <w:r>
        <w:rPr>
          <w:rFonts w:hint="eastAsia" w:hAnsi="宋体"/>
          <w:spacing w:val="20"/>
          <w:sz w:val="24"/>
          <w:highlight w:val="none"/>
        </w:rPr>
        <w:t>附件二：软件产品资料的范围、要求</w:t>
      </w:r>
      <w:bookmarkEnd w:id="74"/>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sz w:val="24"/>
          <w:szCs w:val="24"/>
          <w:highlight w:val="none"/>
        </w:rPr>
      </w:pPr>
    </w:p>
    <w:p>
      <w:pPr>
        <w:pStyle w:val="17"/>
        <w:tabs>
          <w:tab w:val="left" w:pos="0"/>
        </w:tabs>
        <w:spacing w:line="360" w:lineRule="auto"/>
        <w:jc w:val="both"/>
        <w:rPr>
          <w:rFonts w:hAnsi="宋体"/>
          <w:spacing w:val="20"/>
          <w:sz w:val="24"/>
          <w:highlight w:val="none"/>
        </w:rPr>
      </w:pPr>
      <w:bookmarkStart w:id="75" w:name="_Toc378163311"/>
      <w:r>
        <w:rPr>
          <w:rFonts w:hint="eastAsia" w:hAnsi="宋体"/>
          <w:spacing w:val="20"/>
          <w:sz w:val="24"/>
          <w:highlight w:val="none"/>
        </w:rPr>
        <w:t>附件三：合同总价的各分项价格和组成</w:t>
      </w:r>
      <w:bookmarkEnd w:id="75"/>
    </w:p>
    <w:p>
      <w:pPr>
        <w:tabs>
          <w:tab w:val="left" w:pos="1418"/>
        </w:tabs>
        <w:spacing w:line="360" w:lineRule="auto"/>
        <w:rPr>
          <w:sz w:val="24"/>
          <w:highlight w:val="none"/>
        </w:rPr>
      </w:pPr>
    </w:p>
    <w:p>
      <w:pPr>
        <w:widowControl/>
        <w:jc w:val="left"/>
        <w:rPr>
          <w:sz w:val="24"/>
          <w:highlight w:val="none"/>
        </w:rPr>
      </w:pPr>
      <w:r>
        <w:rPr>
          <w:sz w:val="24"/>
          <w:highlight w:val="none"/>
        </w:rPr>
        <w:br w:type="page"/>
      </w:r>
    </w:p>
    <w:p>
      <w:pPr>
        <w:pStyle w:val="17"/>
        <w:tabs>
          <w:tab w:val="left" w:pos="0"/>
        </w:tabs>
        <w:spacing w:line="360" w:lineRule="auto"/>
        <w:jc w:val="both"/>
        <w:rPr>
          <w:highlight w:val="none"/>
        </w:rPr>
      </w:pPr>
      <w:bookmarkStart w:id="76" w:name="_Toc378163312"/>
      <w:r>
        <w:rPr>
          <w:rFonts w:hint="eastAsia" w:hAnsi="宋体"/>
          <w:spacing w:val="20"/>
          <w:sz w:val="24"/>
          <w:highlight w:val="none"/>
        </w:rPr>
        <w:t>附件四：技术服务</w:t>
      </w:r>
      <w:bookmarkEnd w:id="76"/>
    </w:p>
    <w:p>
      <w:pPr>
        <w:tabs>
          <w:tab w:val="left" w:pos="850"/>
        </w:tabs>
        <w:autoSpaceDE w:val="0"/>
        <w:autoSpaceDN w:val="0"/>
        <w:adjustRightInd w:val="0"/>
        <w:snapToGrid w:val="0"/>
        <w:spacing w:line="360" w:lineRule="auto"/>
        <w:textAlignment w:val="bottom"/>
        <w:rPr>
          <w:rFonts w:hint="default"/>
          <w:bCs/>
          <w:sz w:val="24"/>
          <w:szCs w:val="24"/>
          <w:highlight w:val="none"/>
          <w:lang w:val="en-US" w:eastAsia="zh-CN"/>
        </w:rPr>
      </w:pPr>
    </w:p>
    <w:p>
      <w:pPr>
        <w:spacing w:before="93" w:after="93"/>
        <w:ind w:right="-57"/>
        <w:rPr>
          <w:bCs/>
          <w:sz w:val="24"/>
          <w:szCs w:val="24"/>
          <w:lang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0" w:csb1="00000000"/>
  </w:font>
  <w:font w:name="Cambria">
    <w:panose1 w:val="02040503050406030204"/>
    <w:charset w:val="00"/>
    <w:family w:val="roman"/>
    <w:pitch w:val="default"/>
    <w:sig w:usb0="E00006FF" w:usb1="420024FF" w:usb2="02000000" w:usb3="00000000" w:csb0="2000019F" w:csb1="00000000"/>
  </w:font>
  <w:font w:name="monospace">
    <w:altName w:val="AMGD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553BC"/>
    <w:multiLevelType w:val="singleLevel"/>
    <w:tmpl w:val="C93553BC"/>
    <w:lvl w:ilvl="0" w:tentative="0">
      <w:start w:val="1"/>
      <w:numFmt w:val="decimal"/>
      <w:lvlText w:val="%1."/>
      <w:lvlJc w:val="left"/>
      <w:pPr>
        <w:tabs>
          <w:tab w:val="left" w:pos="312"/>
        </w:tabs>
      </w:pPr>
    </w:lvl>
  </w:abstractNum>
  <w:abstractNum w:abstractNumId="1">
    <w:nsid w:val="D1A9464B"/>
    <w:multiLevelType w:val="singleLevel"/>
    <w:tmpl w:val="D1A9464B"/>
    <w:lvl w:ilvl="0" w:tentative="0">
      <w:start w:val="1"/>
      <w:numFmt w:val="decimal"/>
      <w:lvlText w:val="%1."/>
      <w:lvlJc w:val="left"/>
      <w:pPr>
        <w:ind w:left="425" w:hanging="425"/>
      </w:pPr>
      <w:rPr>
        <w:rFonts w:hint="default"/>
      </w:rPr>
    </w:lvl>
  </w:abstractNum>
  <w:abstractNum w:abstractNumId="2">
    <w:nsid w:val="05D44D4F"/>
    <w:multiLevelType w:val="multilevel"/>
    <w:tmpl w:val="05D44D4F"/>
    <w:lvl w:ilvl="0" w:tentative="0">
      <w:start w:val="1"/>
      <w:numFmt w:val="decimal"/>
      <w:lvlText w:val="14.%1"/>
      <w:lvlJc w:val="left"/>
      <w:pPr>
        <w:ind w:left="1138" w:hanging="420"/>
      </w:pPr>
      <w:rPr>
        <w:rFonts w:hint="eastAsia"/>
        <w:b w:val="0"/>
        <w:color w:val="auto"/>
        <w:sz w:val="24"/>
        <w:szCs w:val="24"/>
      </w:rPr>
    </w:lvl>
    <w:lvl w:ilvl="1" w:tentative="0">
      <w:start w:val="1"/>
      <w:numFmt w:val="lowerLetter"/>
      <w:lvlText w:val="%2)"/>
      <w:lvlJc w:val="left"/>
      <w:pPr>
        <w:ind w:left="1558" w:hanging="420"/>
      </w:pPr>
    </w:lvl>
    <w:lvl w:ilvl="2" w:tentative="0">
      <w:start w:val="1"/>
      <w:numFmt w:val="lowerRoman"/>
      <w:lvlText w:val="%3."/>
      <w:lvlJc w:val="right"/>
      <w:pPr>
        <w:ind w:left="1978" w:hanging="420"/>
      </w:pPr>
    </w:lvl>
    <w:lvl w:ilvl="3" w:tentative="0">
      <w:start w:val="1"/>
      <w:numFmt w:val="decimal"/>
      <w:lvlText w:val="%4."/>
      <w:lvlJc w:val="left"/>
      <w:pPr>
        <w:ind w:left="2398" w:hanging="420"/>
      </w:pPr>
    </w:lvl>
    <w:lvl w:ilvl="4" w:tentative="0">
      <w:start w:val="1"/>
      <w:numFmt w:val="lowerLetter"/>
      <w:lvlText w:val="%5)"/>
      <w:lvlJc w:val="left"/>
      <w:pPr>
        <w:ind w:left="2818" w:hanging="420"/>
      </w:pPr>
    </w:lvl>
    <w:lvl w:ilvl="5" w:tentative="0">
      <w:start w:val="1"/>
      <w:numFmt w:val="lowerRoman"/>
      <w:lvlText w:val="%6."/>
      <w:lvlJc w:val="right"/>
      <w:pPr>
        <w:ind w:left="3238" w:hanging="420"/>
      </w:pPr>
    </w:lvl>
    <w:lvl w:ilvl="6" w:tentative="0">
      <w:start w:val="1"/>
      <w:numFmt w:val="decimal"/>
      <w:lvlText w:val="%7."/>
      <w:lvlJc w:val="left"/>
      <w:pPr>
        <w:ind w:left="3658" w:hanging="420"/>
      </w:pPr>
    </w:lvl>
    <w:lvl w:ilvl="7" w:tentative="0">
      <w:start w:val="1"/>
      <w:numFmt w:val="lowerLetter"/>
      <w:lvlText w:val="%8)"/>
      <w:lvlJc w:val="left"/>
      <w:pPr>
        <w:ind w:left="4078" w:hanging="420"/>
      </w:pPr>
    </w:lvl>
    <w:lvl w:ilvl="8" w:tentative="0">
      <w:start w:val="1"/>
      <w:numFmt w:val="lowerRoman"/>
      <w:lvlText w:val="%9."/>
      <w:lvlJc w:val="right"/>
      <w:pPr>
        <w:ind w:left="4498" w:hanging="420"/>
      </w:pPr>
    </w:lvl>
  </w:abstractNum>
  <w:abstractNum w:abstractNumId="3">
    <w:nsid w:val="08AE1B39"/>
    <w:multiLevelType w:val="multilevel"/>
    <w:tmpl w:val="08AE1B39"/>
    <w:lvl w:ilvl="0" w:tentative="0">
      <w:start w:val="1"/>
      <w:numFmt w:val="decimal"/>
      <w:lvlText w:val="19.%1"/>
      <w:lvlJc w:val="left"/>
      <w:pPr>
        <w:ind w:left="1185" w:hanging="765"/>
      </w:pPr>
      <w:rPr>
        <w:rFonts w:hint="eastAsia"/>
        <w:b w:val="0"/>
        <w:color w:val="auto"/>
        <w:sz w:val="24"/>
        <w:szCs w:val="24"/>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E5D4390"/>
    <w:multiLevelType w:val="multilevel"/>
    <w:tmpl w:val="0E5D4390"/>
    <w:lvl w:ilvl="0" w:tentative="0">
      <w:start w:val="1"/>
      <w:numFmt w:val="decimal"/>
      <w:lvlText w:val="11.%1"/>
      <w:lvlJc w:val="left"/>
      <w:pPr>
        <w:ind w:left="420" w:hanging="420"/>
      </w:pPr>
      <w:rPr>
        <w:rFonts w:hint="eastAsia" w:cs="Times New Roman"/>
        <w:b w:val="0"/>
        <w:i w:val="0"/>
        <w:color w:val="0000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CB3DC2"/>
    <w:multiLevelType w:val="multilevel"/>
    <w:tmpl w:val="0ECB3DC2"/>
    <w:lvl w:ilvl="0" w:tentative="0">
      <w:start w:val="1"/>
      <w:numFmt w:val="decimal"/>
      <w:lvlText w:val="11.%1"/>
      <w:lvlJc w:val="left"/>
      <w:pPr>
        <w:ind w:left="418"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6">
    <w:nsid w:val="0FF1344E"/>
    <w:multiLevelType w:val="multilevel"/>
    <w:tmpl w:val="0FF1344E"/>
    <w:lvl w:ilvl="0" w:tentative="0">
      <w:start w:val="1"/>
      <w:numFmt w:val="decimal"/>
      <w:lvlText w:val="%1."/>
      <w:lvlJc w:val="left"/>
      <w:pPr>
        <w:ind w:left="840" w:hanging="420"/>
      </w:pPr>
      <w:rPr>
        <w:rFonts w:hint="eastAsia"/>
      </w:rPr>
    </w:lvl>
    <w:lvl w:ilvl="1" w:tentative="0">
      <w:start w:val="1"/>
      <w:numFmt w:val="decimal"/>
      <w:lvlText w:val="(%2)"/>
      <w:lvlJc w:val="left"/>
      <w:pPr>
        <w:ind w:left="1335" w:hanging="495"/>
      </w:pPr>
      <w:rPr>
        <w:rFonts w:hint="default"/>
      </w:rPr>
    </w:lvl>
    <w:lvl w:ilvl="2" w:tentative="0">
      <w:start w:val="1"/>
      <w:numFmt w:val="decimal"/>
      <w:lvlText w:val="（%3）"/>
      <w:lvlJc w:val="left"/>
      <w:pPr>
        <w:ind w:left="1980" w:hanging="7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01D6AE8"/>
    <w:multiLevelType w:val="multilevel"/>
    <w:tmpl w:val="101D6AE8"/>
    <w:lvl w:ilvl="0" w:tentative="0">
      <w:start w:val="1"/>
      <w:numFmt w:val="decimal"/>
      <w:lvlText w:val="18.%1"/>
      <w:lvlJc w:val="left"/>
      <w:pPr>
        <w:ind w:left="420" w:hanging="420"/>
      </w:pPr>
      <w:rPr>
        <w:rFonts w:hint="default" w:ascii="Times New Roman" w:hAnsi="Times New Roman"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B97B87"/>
    <w:multiLevelType w:val="multilevel"/>
    <w:tmpl w:val="12B97B87"/>
    <w:lvl w:ilvl="0" w:tentative="0">
      <w:start w:val="1"/>
      <w:numFmt w:val="decimal"/>
      <w:lvlText w:val="%1."/>
      <w:lvlJc w:val="left"/>
      <w:pPr>
        <w:ind w:left="84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17B52A0F"/>
    <w:multiLevelType w:val="multilevel"/>
    <w:tmpl w:val="17B52A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8662506"/>
    <w:multiLevelType w:val="singleLevel"/>
    <w:tmpl w:val="28662506"/>
    <w:lvl w:ilvl="0" w:tentative="0">
      <w:start w:val="1"/>
      <w:numFmt w:val="chineseCounting"/>
      <w:suff w:val="nothing"/>
      <w:lvlText w:val="%1、"/>
      <w:lvlJc w:val="left"/>
      <w:rPr>
        <w:rFonts w:hint="eastAsia"/>
      </w:rPr>
    </w:lvl>
  </w:abstractNum>
  <w:abstractNum w:abstractNumId="11">
    <w:nsid w:val="2A3F7BA3"/>
    <w:multiLevelType w:val="multilevel"/>
    <w:tmpl w:val="2A3F7BA3"/>
    <w:lvl w:ilvl="0" w:tentative="0">
      <w:start w:val="1"/>
      <w:numFmt w:val="decimal"/>
      <w:lvlText w:val="7.%1"/>
      <w:lvlJc w:val="left"/>
      <w:pPr>
        <w:tabs>
          <w:tab w:val="left" w:pos="1860"/>
        </w:tabs>
        <w:ind w:left="1860" w:hanging="420"/>
      </w:pPr>
      <w:rPr>
        <w:rFonts w:hint="eastAsia"/>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12F1C97"/>
    <w:multiLevelType w:val="multilevel"/>
    <w:tmpl w:val="312F1C97"/>
    <w:lvl w:ilvl="0" w:tentative="0">
      <w:start w:val="1"/>
      <w:numFmt w:val="decimal"/>
      <w:lvlText w:val="1.%1"/>
      <w:lvlJc w:val="left"/>
      <w:pPr>
        <w:ind w:left="1138" w:hanging="420"/>
      </w:pPr>
      <w:rPr>
        <w:rFonts w:hint="default" w:ascii="Times New Roman" w:hAnsi="Times New Roman" w:eastAsia="宋体"/>
      </w:rPr>
    </w:lvl>
    <w:lvl w:ilvl="1" w:tentative="0">
      <w:start w:val="1"/>
      <w:numFmt w:val="lowerLetter"/>
      <w:lvlText w:val="%2)"/>
      <w:lvlJc w:val="left"/>
      <w:pPr>
        <w:ind w:left="1558" w:hanging="420"/>
      </w:pPr>
    </w:lvl>
    <w:lvl w:ilvl="2" w:tentative="0">
      <w:start w:val="1"/>
      <w:numFmt w:val="lowerRoman"/>
      <w:lvlText w:val="%3."/>
      <w:lvlJc w:val="right"/>
      <w:pPr>
        <w:ind w:left="1978" w:hanging="420"/>
      </w:pPr>
    </w:lvl>
    <w:lvl w:ilvl="3" w:tentative="0">
      <w:start w:val="1"/>
      <w:numFmt w:val="decimal"/>
      <w:lvlText w:val="%4."/>
      <w:lvlJc w:val="left"/>
      <w:pPr>
        <w:ind w:left="2398" w:hanging="420"/>
      </w:pPr>
    </w:lvl>
    <w:lvl w:ilvl="4" w:tentative="0">
      <w:start w:val="1"/>
      <w:numFmt w:val="lowerLetter"/>
      <w:lvlText w:val="%5)"/>
      <w:lvlJc w:val="left"/>
      <w:pPr>
        <w:ind w:left="2818" w:hanging="420"/>
      </w:pPr>
    </w:lvl>
    <w:lvl w:ilvl="5" w:tentative="0">
      <w:start w:val="1"/>
      <w:numFmt w:val="lowerRoman"/>
      <w:lvlText w:val="%6."/>
      <w:lvlJc w:val="right"/>
      <w:pPr>
        <w:ind w:left="3238" w:hanging="420"/>
      </w:pPr>
    </w:lvl>
    <w:lvl w:ilvl="6" w:tentative="0">
      <w:start w:val="1"/>
      <w:numFmt w:val="decimal"/>
      <w:lvlText w:val="%7."/>
      <w:lvlJc w:val="left"/>
      <w:pPr>
        <w:ind w:left="3658" w:hanging="420"/>
      </w:pPr>
    </w:lvl>
    <w:lvl w:ilvl="7" w:tentative="0">
      <w:start w:val="1"/>
      <w:numFmt w:val="lowerLetter"/>
      <w:lvlText w:val="%8)"/>
      <w:lvlJc w:val="left"/>
      <w:pPr>
        <w:ind w:left="4078" w:hanging="420"/>
      </w:pPr>
    </w:lvl>
    <w:lvl w:ilvl="8" w:tentative="0">
      <w:start w:val="1"/>
      <w:numFmt w:val="lowerRoman"/>
      <w:lvlText w:val="%9."/>
      <w:lvlJc w:val="right"/>
      <w:pPr>
        <w:ind w:left="4498" w:hanging="420"/>
      </w:pPr>
    </w:lvl>
  </w:abstractNum>
  <w:abstractNum w:abstractNumId="13">
    <w:nsid w:val="31427CDA"/>
    <w:multiLevelType w:val="multilevel"/>
    <w:tmpl w:val="31427CDA"/>
    <w:lvl w:ilvl="0" w:tentative="0">
      <w:start w:val="1"/>
      <w:numFmt w:val="chineseCountingThousand"/>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33410810"/>
    <w:multiLevelType w:val="multilevel"/>
    <w:tmpl w:val="33410810"/>
    <w:lvl w:ilvl="0" w:tentative="0">
      <w:start w:val="1"/>
      <w:numFmt w:val="decimal"/>
      <w:lvlText w:val="(%1)"/>
      <w:lvlJc w:val="left"/>
      <w:pPr>
        <w:ind w:left="420" w:hanging="420"/>
      </w:pPr>
      <w:rPr>
        <w:rFonts w:ascii="Times New Roman" w:hAnsi="宋体"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ascii="Times New Roman" w:hAnsi="宋体" w:eastAsia="宋体" w:cs="Times New Roman"/>
        <w:b w:val="0"/>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53A32EF"/>
    <w:multiLevelType w:val="multilevel"/>
    <w:tmpl w:val="353A32EF"/>
    <w:lvl w:ilvl="0" w:tentative="0">
      <w:start w:val="1"/>
      <w:numFmt w:val="decimal"/>
      <w:lvlText w:val="(%1)"/>
      <w:lvlJc w:val="left"/>
      <w:pPr>
        <w:ind w:left="1605" w:hanging="420"/>
      </w:pPr>
      <w:rPr>
        <w:rFonts w:hint="eastAsia"/>
      </w:rPr>
    </w:lvl>
    <w:lvl w:ilvl="1" w:tentative="0">
      <w:start w:val="1"/>
      <w:numFmt w:val="lowerLetter"/>
      <w:lvlText w:val="%2)"/>
      <w:lvlJc w:val="left"/>
      <w:pPr>
        <w:ind w:left="2025" w:hanging="420"/>
      </w:pPr>
    </w:lvl>
    <w:lvl w:ilvl="2" w:tentative="0">
      <w:start w:val="1"/>
      <w:numFmt w:val="lowerRoman"/>
      <w:lvlText w:val="%3."/>
      <w:lvlJc w:val="right"/>
      <w:pPr>
        <w:ind w:left="2445" w:hanging="420"/>
      </w:pPr>
    </w:lvl>
    <w:lvl w:ilvl="3" w:tentative="0">
      <w:start w:val="1"/>
      <w:numFmt w:val="decimal"/>
      <w:lvlText w:val="%4."/>
      <w:lvlJc w:val="left"/>
      <w:pPr>
        <w:ind w:left="2865" w:hanging="420"/>
      </w:pPr>
    </w:lvl>
    <w:lvl w:ilvl="4" w:tentative="0">
      <w:start w:val="1"/>
      <w:numFmt w:val="lowerLetter"/>
      <w:lvlText w:val="%5)"/>
      <w:lvlJc w:val="left"/>
      <w:pPr>
        <w:ind w:left="3285" w:hanging="420"/>
      </w:pPr>
    </w:lvl>
    <w:lvl w:ilvl="5" w:tentative="0">
      <w:start w:val="1"/>
      <w:numFmt w:val="lowerRoman"/>
      <w:lvlText w:val="%6."/>
      <w:lvlJc w:val="right"/>
      <w:pPr>
        <w:ind w:left="3705" w:hanging="420"/>
      </w:pPr>
    </w:lvl>
    <w:lvl w:ilvl="6" w:tentative="0">
      <w:start w:val="1"/>
      <w:numFmt w:val="decimal"/>
      <w:lvlText w:val="%7."/>
      <w:lvlJc w:val="left"/>
      <w:pPr>
        <w:ind w:left="4125" w:hanging="420"/>
      </w:pPr>
    </w:lvl>
    <w:lvl w:ilvl="7" w:tentative="0">
      <w:start w:val="1"/>
      <w:numFmt w:val="lowerLetter"/>
      <w:lvlText w:val="%8)"/>
      <w:lvlJc w:val="left"/>
      <w:pPr>
        <w:ind w:left="4545" w:hanging="420"/>
      </w:pPr>
    </w:lvl>
    <w:lvl w:ilvl="8" w:tentative="0">
      <w:start w:val="1"/>
      <w:numFmt w:val="lowerRoman"/>
      <w:lvlText w:val="%9."/>
      <w:lvlJc w:val="right"/>
      <w:pPr>
        <w:ind w:left="4965" w:hanging="420"/>
      </w:pPr>
    </w:lvl>
  </w:abstractNum>
  <w:abstractNum w:abstractNumId="16">
    <w:nsid w:val="37A45761"/>
    <w:multiLevelType w:val="multilevel"/>
    <w:tmpl w:val="37A45761"/>
    <w:lvl w:ilvl="0" w:tentative="0">
      <w:start w:val="1"/>
      <w:numFmt w:val="decimal"/>
      <w:lvlText w:val="11.%1"/>
      <w:lvlJc w:val="left"/>
      <w:pPr>
        <w:ind w:left="420" w:hanging="420"/>
      </w:pPr>
      <w:rPr>
        <w:rFonts w:hint="default" w:hAnsi="宋体"/>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8">
    <w:nsid w:val="39AC4752"/>
    <w:multiLevelType w:val="multilevel"/>
    <w:tmpl w:val="39AC4752"/>
    <w:lvl w:ilvl="0" w:tentative="0">
      <w:start w:val="1"/>
      <w:numFmt w:val="japaneseCounting"/>
      <w:lvlText w:val="第%1条"/>
      <w:lvlJc w:val="left"/>
      <w:pPr>
        <w:ind w:left="1185" w:hanging="765"/>
      </w:pPr>
      <w:rPr>
        <w:rFonts w:hint="default"/>
        <w:b/>
        <w:sz w:val="24"/>
        <w:szCs w:val="24"/>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3DB918BB"/>
    <w:multiLevelType w:val="multilevel"/>
    <w:tmpl w:val="3DB918BB"/>
    <w:lvl w:ilvl="0" w:tentative="0">
      <w:start w:val="1"/>
      <w:numFmt w:val="lowerLetter"/>
      <w:lvlText w:val="%1)"/>
      <w:lvlJc w:val="left"/>
      <w:pPr>
        <w:ind w:left="840" w:hanging="420"/>
      </w:pPr>
      <w:rPr>
        <w:rFonts w:ascii="宋体" w:hAnsi="宋体" w:eastAsia="宋体"/>
      </w:rPr>
    </w:lvl>
    <w:lvl w:ilvl="1" w:tentative="0">
      <w:start w:val="1"/>
      <w:numFmt w:val="lowerLetter"/>
      <w:lvlText w:val="%2)"/>
      <w:lvlJc w:val="left"/>
      <w:pPr>
        <w:ind w:left="1353" w:hanging="420"/>
      </w:pPr>
    </w:lvl>
    <w:lvl w:ilvl="2" w:tentative="0">
      <w:start w:val="1"/>
      <w:numFmt w:val="lowerRoman"/>
      <w:lvlText w:val="%3."/>
      <w:lvlJc w:val="right"/>
      <w:pPr>
        <w:ind w:left="1773" w:hanging="420"/>
      </w:pPr>
    </w:lvl>
    <w:lvl w:ilvl="3" w:tentative="0">
      <w:start w:val="1"/>
      <w:numFmt w:val="decimal"/>
      <w:lvlText w:val="%4."/>
      <w:lvlJc w:val="left"/>
      <w:pPr>
        <w:ind w:left="2193" w:hanging="420"/>
      </w:pPr>
    </w:lvl>
    <w:lvl w:ilvl="4" w:tentative="0">
      <w:start w:val="1"/>
      <w:numFmt w:val="lowerLetter"/>
      <w:lvlText w:val="%5)"/>
      <w:lvlJc w:val="left"/>
      <w:pPr>
        <w:ind w:left="2613" w:hanging="420"/>
      </w:pPr>
    </w:lvl>
    <w:lvl w:ilvl="5" w:tentative="0">
      <w:start w:val="1"/>
      <w:numFmt w:val="lowerRoman"/>
      <w:lvlText w:val="%6."/>
      <w:lvlJc w:val="right"/>
      <w:pPr>
        <w:ind w:left="3033" w:hanging="420"/>
      </w:pPr>
    </w:lvl>
    <w:lvl w:ilvl="6" w:tentative="0">
      <w:start w:val="1"/>
      <w:numFmt w:val="decimal"/>
      <w:lvlText w:val="%7."/>
      <w:lvlJc w:val="left"/>
      <w:pPr>
        <w:ind w:left="3453" w:hanging="420"/>
      </w:pPr>
    </w:lvl>
    <w:lvl w:ilvl="7" w:tentative="0">
      <w:start w:val="1"/>
      <w:numFmt w:val="lowerLetter"/>
      <w:lvlText w:val="%8)"/>
      <w:lvlJc w:val="left"/>
      <w:pPr>
        <w:ind w:left="3873" w:hanging="420"/>
      </w:pPr>
    </w:lvl>
    <w:lvl w:ilvl="8" w:tentative="0">
      <w:start w:val="1"/>
      <w:numFmt w:val="lowerRoman"/>
      <w:lvlText w:val="%9."/>
      <w:lvlJc w:val="right"/>
      <w:pPr>
        <w:ind w:left="4293" w:hanging="420"/>
      </w:pPr>
    </w:lvl>
  </w:abstractNum>
  <w:abstractNum w:abstractNumId="20">
    <w:nsid w:val="3E7B34A9"/>
    <w:multiLevelType w:val="multilevel"/>
    <w:tmpl w:val="3E7B34A9"/>
    <w:lvl w:ilvl="0" w:tentative="0">
      <w:start w:val="1"/>
      <w:numFmt w:val="decimal"/>
      <w:lvlText w:val="15.%1"/>
      <w:lvlJc w:val="left"/>
      <w:pPr>
        <w:ind w:left="1138"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558" w:hanging="420"/>
      </w:pPr>
    </w:lvl>
    <w:lvl w:ilvl="2" w:tentative="0">
      <w:start w:val="1"/>
      <w:numFmt w:val="lowerRoman"/>
      <w:lvlText w:val="%3."/>
      <w:lvlJc w:val="right"/>
      <w:pPr>
        <w:ind w:left="1978" w:hanging="420"/>
      </w:pPr>
    </w:lvl>
    <w:lvl w:ilvl="3" w:tentative="0">
      <w:start w:val="1"/>
      <w:numFmt w:val="decimal"/>
      <w:lvlText w:val="%4."/>
      <w:lvlJc w:val="left"/>
      <w:pPr>
        <w:ind w:left="2398" w:hanging="420"/>
      </w:pPr>
    </w:lvl>
    <w:lvl w:ilvl="4" w:tentative="0">
      <w:start w:val="1"/>
      <w:numFmt w:val="lowerLetter"/>
      <w:lvlText w:val="%5)"/>
      <w:lvlJc w:val="left"/>
      <w:pPr>
        <w:ind w:left="2818" w:hanging="420"/>
      </w:pPr>
    </w:lvl>
    <w:lvl w:ilvl="5" w:tentative="0">
      <w:start w:val="1"/>
      <w:numFmt w:val="lowerRoman"/>
      <w:lvlText w:val="%6."/>
      <w:lvlJc w:val="right"/>
      <w:pPr>
        <w:ind w:left="3238" w:hanging="420"/>
      </w:pPr>
    </w:lvl>
    <w:lvl w:ilvl="6" w:tentative="0">
      <w:start w:val="1"/>
      <w:numFmt w:val="decimal"/>
      <w:lvlText w:val="%7."/>
      <w:lvlJc w:val="left"/>
      <w:pPr>
        <w:ind w:left="3658" w:hanging="420"/>
      </w:pPr>
    </w:lvl>
    <w:lvl w:ilvl="7" w:tentative="0">
      <w:start w:val="1"/>
      <w:numFmt w:val="lowerLetter"/>
      <w:lvlText w:val="%8)"/>
      <w:lvlJc w:val="left"/>
      <w:pPr>
        <w:ind w:left="4078" w:hanging="420"/>
      </w:pPr>
    </w:lvl>
    <w:lvl w:ilvl="8" w:tentative="0">
      <w:start w:val="1"/>
      <w:numFmt w:val="lowerRoman"/>
      <w:lvlText w:val="%9."/>
      <w:lvlJc w:val="right"/>
      <w:pPr>
        <w:ind w:left="4498" w:hanging="420"/>
      </w:pPr>
    </w:lvl>
  </w:abstractNum>
  <w:abstractNum w:abstractNumId="21">
    <w:nsid w:val="3F59704D"/>
    <w:multiLevelType w:val="multilevel"/>
    <w:tmpl w:val="3F59704D"/>
    <w:lvl w:ilvl="0" w:tentative="0">
      <w:start w:val="1"/>
      <w:numFmt w:val="decimal"/>
      <w:lvlText w:val="8.%1"/>
      <w:lvlJc w:val="left"/>
      <w:pPr>
        <w:tabs>
          <w:tab w:val="left" w:pos="1618"/>
        </w:tabs>
        <w:ind w:left="1618" w:hanging="420"/>
      </w:pPr>
      <w:rPr>
        <w:rFonts w:hint="eastAsia"/>
        <w:b w:val="0"/>
        <w:color w:val="auto"/>
      </w:rPr>
    </w:lvl>
    <w:lvl w:ilvl="1" w:tentative="0">
      <w:start w:val="1"/>
      <w:numFmt w:val="decimal"/>
      <w:lvlText w:val="8.%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411C7F29"/>
    <w:multiLevelType w:val="multilevel"/>
    <w:tmpl w:val="411C7F29"/>
    <w:lvl w:ilvl="0" w:tentative="0">
      <w:start w:val="1"/>
      <w:numFmt w:val="decimal"/>
      <w:lvlText w:val="15.%1"/>
      <w:lvlJc w:val="left"/>
      <w:pPr>
        <w:tabs>
          <w:tab w:val="left" w:pos="1860"/>
        </w:tabs>
        <w:ind w:left="1860" w:hanging="420"/>
      </w:pPr>
      <w:rPr>
        <w:rFonts w:hint="eastAsia"/>
      </w:rPr>
    </w:lvl>
    <w:lvl w:ilvl="1" w:tentative="0">
      <w:start w:val="1"/>
      <w:numFmt w:val="decimal"/>
      <w:lvlText w:val="(%2)"/>
      <w:lvlJc w:val="left"/>
      <w:pPr>
        <w:tabs>
          <w:tab w:val="left" w:pos="-140"/>
        </w:tabs>
        <w:ind w:left="1545" w:hanging="1125"/>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2324882"/>
    <w:multiLevelType w:val="multilevel"/>
    <w:tmpl w:val="42324882"/>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42F854BA"/>
    <w:multiLevelType w:val="multilevel"/>
    <w:tmpl w:val="42F854BA"/>
    <w:lvl w:ilvl="0" w:tentative="0">
      <w:start w:val="1"/>
      <w:numFmt w:val="decimal"/>
      <w:lvlText w:val="21.%1"/>
      <w:lvlJc w:val="left"/>
      <w:pPr>
        <w:ind w:left="1185" w:hanging="765"/>
      </w:pPr>
      <w:rPr>
        <w:rFonts w:hint="default" w:ascii="Times New Roman" w:hAnsi="Times New Roman" w:cs="Times New Roman"/>
        <w:b w:val="0"/>
        <w:i w:val="0"/>
        <w:color w:val="auto"/>
        <w:sz w:val="24"/>
        <w:szCs w:val="24"/>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482E4B72"/>
    <w:multiLevelType w:val="multilevel"/>
    <w:tmpl w:val="482E4B72"/>
    <w:lvl w:ilvl="0" w:tentative="0">
      <w:start w:val="1"/>
      <w:numFmt w:val="decimal"/>
      <w:lvlText w:val="26.%1"/>
      <w:lvlJc w:val="left"/>
      <w:pPr>
        <w:tabs>
          <w:tab w:val="left" w:pos="780"/>
        </w:tabs>
        <w:ind w:left="780"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2708"/>
        </w:tabs>
        <w:ind w:left="-2708" w:hanging="420"/>
      </w:pPr>
    </w:lvl>
    <w:lvl w:ilvl="2" w:tentative="0">
      <w:start w:val="1"/>
      <w:numFmt w:val="lowerRoman"/>
      <w:lvlText w:val="%3."/>
      <w:lvlJc w:val="right"/>
      <w:pPr>
        <w:tabs>
          <w:tab w:val="left" w:pos="-2288"/>
        </w:tabs>
        <w:ind w:left="-2288" w:hanging="420"/>
      </w:pPr>
    </w:lvl>
    <w:lvl w:ilvl="3" w:tentative="0">
      <w:start w:val="1"/>
      <w:numFmt w:val="decimal"/>
      <w:lvlText w:val="%4."/>
      <w:lvlJc w:val="left"/>
      <w:pPr>
        <w:tabs>
          <w:tab w:val="left" w:pos="-1868"/>
        </w:tabs>
        <w:ind w:left="-1868" w:hanging="420"/>
      </w:pPr>
    </w:lvl>
    <w:lvl w:ilvl="4" w:tentative="0">
      <w:start w:val="1"/>
      <w:numFmt w:val="lowerLetter"/>
      <w:lvlText w:val="%5)"/>
      <w:lvlJc w:val="left"/>
      <w:pPr>
        <w:tabs>
          <w:tab w:val="left" w:pos="-1448"/>
        </w:tabs>
        <w:ind w:left="-1448" w:hanging="420"/>
      </w:pPr>
    </w:lvl>
    <w:lvl w:ilvl="5" w:tentative="0">
      <w:start w:val="1"/>
      <w:numFmt w:val="lowerRoman"/>
      <w:lvlText w:val="%6."/>
      <w:lvlJc w:val="right"/>
      <w:pPr>
        <w:tabs>
          <w:tab w:val="left" w:pos="-1028"/>
        </w:tabs>
        <w:ind w:left="-1028" w:hanging="420"/>
      </w:pPr>
    </w:lvl>
    <w:lvl w:ilvl="6" w:tentative="0">
      <w:start w:val="1"/>
      <w:numFmt w:val="decimal"/>
      <w:lvlText w:val="%7."/>
      <w:lvlJc w:val="left"/>
      <w:pPr>
        <w:tabs>
          <w:tab w:val="left" w:pos="-608"/>
        </w:tabs>
        <w:ind w:left="-608" w:hanging="420"/>
      </w:pPr>
    </w:lvl>
    <w:lvl w:ilvl="7" w:tentative="0">
      <w:start w:val="1"/>
      <w:numFmt w:val="lowerLetter"/>
      <w:lvlText w:val="%8)"/>
      <w:lvlJc w:val="left"/>
      <w:pPr>
        <w:tabs>
          <w:tab w:val="left" w:pos="-188"/>
        </w:tabs>
        <w:ind w:left="-188" w:hanging="420"/>
      </w:pPr>
    </w:lvl>
    <w:lvl w:ilvl="8" w:tentative="0">
      <w:start w:val="1"/>
      <w:numFmt w:val="lowerRoman"/>
      <w:lvlText w:val="%9."/>
      <w:lvlJc w:val="right"/>
      <w:pPr>
        <w:tabs>
          <w:tab w:val="left" w:pos="232"/>
        </w:tabs>
        <w:ind w:left="232" w:hanging="420"/>
      </w:pPr>
    </w:lvl>
  </w:abstractNum>
  <w:abstractNum w:abstractNumId="26">
    <w:nsid w:val="4C2F71A7"/>
    <w:multiLevelType w:val="multilevel"/>
    <w:tmpl w:val="4C2F71A7"/>
    <w:lvl w:ilvl="0" w:tentative="0">
      <w:start w:val="3"/>
      <w:numFmt w:val="none"/>
      <w:lvlText w:val="6"/>
      <w:lvlJc w:val="left"/>
      <w:pPr>
        <w:tabs>
          <w:tab w:val="left" w:pos="420"/>
        </w:tabs>
        <w:ind w:left="420" w:hanging="420"/>
      </w:pPr>
      <w:rPr>
        <w:rFonts w:hint="eastAsia"/>
      </w:rPr>
    </w:lvl>
    <w:lvl w:ilvl="1" w:tentative="0">
      <w:start w:val="1"/>
      <w:numFmt w:val="decimal"/>
      <w:lvlText w:val="17.%2"/>
      <w:lvlJc w:val="left"/>
      <w:pPr>
        <w:tabs>
          <w:tab w:val="left" w:pos="720"/>
        </w:tabs>
        <w:ind w:left="720" w:hanging="720"/>
      </w:pPr>
      <w:rPr>
        <w:rFonts w:hint="default" w:ascii="Times New Roman" w:hAnsi="Times New Roman" w:eastAsia="宋体"/>
        <w:b w:val="0"/>
        <w:i w:val="0"/>
        <w:color w:val="auto"/>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27">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D35222E"/>
    <w:multiLevelType w:val="multilevel"/>
    <w:tmpl w:val="4D35222E"/>
    <w:lvl w:ilvl="0" w:tentative="0">
      <w:start w:val="1"/>
      <w:numFmt w:val="decimal"/>
      <w:lvlText w:val="(%1)"/>
      <w:lvlJc w:val="left"/>
      <w:pPr>
        <w:tabs>
          <w:tab w:val="left" w:pos="840"/>
        </w:tabs>
        <w:ind w:left="2525" w:hanging="1125"/>
      </w:pPr>
      <w:rPr>
        <w:rFonts w:hint="default"/>
      </w:rPr>
    </w:lvl>
    <w:lvl w:ilvl="1" w:tentative="0">
      <w:start w:val="1"/>
      <w:numFmt w:val="decimal"/>
      <w:lvlText w:val="2.%2"/>
      <w:lvlJc w:val="left"/>
      <w:pPr>
        <w:tabs>
          <w:tab w:val="left" w:pos="562"/>
        </w:tabs>
        <w:ind w:left="562" w:hanging="420"/>
      </w:pPr>
      <w:rPr>
        <w:rFonts w:hint="eastAsia"/>
        <w:b w:val="0"/>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3BC27EC"/>
    <w:multiLevelType w:val="multilevel"/>
    <w:tmpl w:val="53BC27EC"/>
    <w:lvl w:ilvl="0" w:tentative="0">
      <w:start w:val="1"/>
      <w:numFmt w:val="decimal"/>
      <w:lvlText w:val="20.%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2">
    <w:nsid w:val="58B43979"/>
    <w:multiLevelType w:val="multilevel"/>
    <w:tmpl w:val="58B4397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5A8201BE"/>
    <w:multiLevelType w:val="multilevel"/>
    <w:tmpl w:val="5A8201BE"/>
    <w:lvl w:ilvl="0" w:tentative="0">
      <w:start w:val="1"/>
      <w:numFmt w:val="decimal"/>
      <w:lvlText w:val="(%1)"/>
      <w:lvlJc w:val="left"/>
      <w:pPr>
        <w:ind w:left="1138" w:hanging="420"/>
      </w:pPr>
      <w:rPr>
        <w:rFonts w:hint="default"/>
      </w:rPr>
    </w:lvl>
    <w:lvl w:ilvl="1" w:tentative="0">
      <w:start w:val="1"/>
      <w:numFmt w:val="lowerLetter"/>
      <w:lvlText w:val="%2)"/>
      <w:lvlJc w:val="left"/>
      <w:pPr>
        <w:ind w:left="1558" w:hanging="420"/>
      </w:pPr>
    </w:lvl>
    <w:lvl w:ilvl="2" w:tentative="0">
      <w:start w:val="1"/>
      <w:numFmt w:val="lowerRoman"/>
      <w:lvlText w:val="%3."/>
      <w:lvlJc w:val="right"/>
      <w:pPr>
        <w:ind w:left="1978" w:hanging="420"/>
      </w:pPr>
    </w:lvl>
    <w:lvl w:ilvl="3" w:tentative="0">
      <w:start w:val="1"/>
      <w:numFmt w:val="decimal"/>
      <w:lvlText w:val="%4."/>
      <w:lvlJc w:val="left"/>
      <w:pPr>
        <w:ind w:left="2398" w:hanging="420"/>
      </w:pPr>
    </w:lvl>
    <w:lvl w:ilvl="4" w:tentative="0">
      <w:start w:val="1"/>
      <w:numFmt w:val="lowerLetter"/>
      <w:lvlText w:val="%5)"/>
      <w:lvlJc w:val="left"/>
      <w:pPr>
        <w:ind w:left="2818" w:hanging="420"/>
      </w:pPr>
    </w:lvl>
    <w:lvl w:ilvl="5" w:tentative="0">
      <w:start w:val="1"/>
      <w:numFmt w:val="lowerRoman"/>
      <w:lvlText w:val="%6."/>
      <w:lvlJc w:val="right"/>
      <w:pPr>
        <w:ind w:left="3238" w:hanging="420"/>
      </w:pPr>
    </w:lvl>
    <w:lvl w:ilvl="6" w:tentative="0">
      <w:start w:val="1"/>
      <w:numFmt w:val="decimal"/>
      <w:lvlText w:val="%7."/>
      <w:lvlJc w:val="left"/>
      <w:pPr>
        <w:ind w:left="3658" w:hanging="420"/>
      </w:pPr>
    </w:lvl>
    <w:lvl w:ilvl="7" w:tentative="0">
      <w:start w:val="1"/>
      <w:numFmt w:val="lowerLetter"/>
      <w:lvlText w:val="%8)"/>
      <w:lvlJc w:val="left"/>
      <w:pPr>
        <w:ind w:left="4078" w:hanging="420"/>
      </w:pPr>
    </w:lvl>
    <w:lvl w:ilvl="8" w:tentative="0">
      <w:start w:val="1"/>
      <w:numFmt w:val="lowerRoman"/>
      <w:lvlText w:val="%9."/>
      <w:lvlJc w:val="right"/>
      <w:pPr>
        <w:ind w:left="4498" w:hanging="420"/>
      </w:pPr>
    </w:lvl>
  </w:abstractNum>
  <w:abstractNum w:abstractNumId="34">
    <w:nsid w:val="5A832CBA"/>
    <w:multiLevelType w:val="multilevel"/>
    <w:tmpl w:val="5A832CB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decimal"/>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659146CB"/>
    <w:multiLevelType w:val="multilevel"/>
    <w:tmpl w:val="659146CB"/>
    <w:lvl w:ilvl="0" w:tentative="0">
      <w:start w:val="1"/>
      <w:numFmt w:val="decimal"/>
      <w:lvlText w:val="4.%1"/>
      <w:lvlJc w:val="left"/>
      <w:pPr>
        <w:tabs>
          <w:tab w:val="left" w:pos="562"/>
        </w:tabs>
        <w:ind w:left="562" w:hanging="420"/>
      </w:pPr>
      <w:rPr>
        <w:rFonts w:hint="eastAsia"/>
        <w:b w:val="0"/>
        <w:color w:val="auto"/>
        <w:sz w:val="24"/>
        <w:szCs w:val="24"/>
      </w:rPr>
    </w:lvl>
    <w:lvl w:ilvl="1" w:tentative="0">
      <w:start w:val="1"/>
      <w:numFmt w:val="lowerLetter"/>
      <w:lvlText w:val="%2)"/>
      <w:lvlJc w:val="left"/>
      <w:pPr>
        <w:tabs>
          <w:tab w:val="left" w:pos="562"/>
        </w:tabs>
        <w:ind w:left="562" w:hanging="420"/>
      </w:pPr>
    </w:lvl>
    <w:lvl w:ilvl="2" w:tentative="0">
      <w:start w:val="1"/>
      <w:numFmt w:val="lowerRoman"/>
      <w:lvlText w:val="%3."/>
      <w:lvlJc w:val="right"/>
      <w:pPr>
        <w:tabs>
          <w:tab w:val="left" w:pos="982"/>
        </w:tabs>
        <w:ind w:left="982" w:hanging="420"/>
      </w:pPr>
    </w:lvl>
    <w:lvl w:ilvl="3" w:tentative="0">
      <w:start w:val="1"/>
      <w:numFmt w:val="decimal"/>
      <w:lvlText w:val="%4."/>
      <w:lvlJc w:val="left"/>
      <w:pPr>
        <w:tabs>
          <w:tab w:val="left" w:pos="1402"/>
        </w:tabs>
        <w:ind w:left="1402" w:hanging="420"/>
      </w:pPr>
    </w:lvl>
    <w:lvl w:ilvl="4" w:tentative="0">
      <w:start w:val="1"/>
      <w:numFmt w:val="lowerLetter"/>
      <w:lvlText w:val="%5)"/>
      <w:lvlJc w:val="left"/>
      <w:pPr>
        <w:tabs>
          <w:tab w:val="left" w:pos="1822"/>
        </w:tabs>
        <w:ind w:left="1822" w:hanging="420"/>
      </w:pPr>
    </w:lvl>
    <w:lvl w:ilvl="5" w:tentative="0">
      <w:start w:val="1"/>
      <w:numFmt w:val="lowerRoman"/>
      <w:lvlText w:val="%6."/>
      <w:lvlJc w:val="right"/>
      <w:pPr>
        <w:tabs>
          <w:tab w:val="left" w:pos="2242"/>
        </w:tabs>
        <w:ind w:left="2242" w:hanging="420"/>
      </w:pPr>
    </w:lvl>
    <w:lvl w:ilvl="6" w:tentative="0">
      <w:start w:val="1"/>
      <w:numFmt w:val="decimal"/>
      <w:lvlText w:val="%7."/>
      <w:lvlJc w:val="left"/>
      <w:pPr>
        <w:tabs>
          <w:tab w:val="left" w:pos="2662"/>
        </w:tabs>
        <w:ind w:left="2662" w:hanging="420"/>
      </w:pPr>
    </w:lvl>
    <w:lvl w:ilvl="7" w:tentative="0">
      <w:start w:val="1"/>
      <w:numFmt w:val="lowerLetter"/>
      <w:lvlText w:val="%8)"/>
      <w:lvlJc w:val="left"/>
      <w:pPr>
        <w:tabs>
          <w:tab w:val="left" w:pos="3082"/>
        </w:tabs>
        <w:ind w:left="3082" w:hanging="420"/>
      </w:pPr>
    </w:lvl>
    <w:lvl w:ilvl="8" w:tentative="0">
      <w:start w:val="1"/>
      <w:numFmt w:val="lowerRoman"/>
      <w:lvlText w:val="%9."/>
      <w:lvlJc w:val="right"/>
      <w:pPr>
        <w:tabs>
          <w:tab w:val="left" w:pos="3502"/>
        </w:tabs>
        <w:ind w:left="3502" w:hanging="420"/>
      </w:pPr>
    </w:lvl>
  </w:abstractNum>
  <w:abstractNum w:abstractNumId="36">
    <w:nsid w:val="65CE644A"/>
    <w:multiLevelType w:val="multilevel"/>
    <w:tmpl w:val="65CE644A"/>
    <w:lvl w:ilvl="0" w:tentative="0">
      <w:start w:val="1"/>
      <w:numFmt w:val="decimal"/>
      <w:lvlText w:val="22.%1"/>
      <w:lvlJc w:val="left"/>
      <w:pPr>
        <w:tabs>
          <w:tab w:val="left" w:pos="142"/>
        </w:tabs>
        <w:ind w:left="562" w:hanging="420"/>
      </w:pPr>
      <w:rPr>
        <w:rFonts w:hint="eastAsia" w:ascii="Times New Roman" w:hAnsi="Times New Roman" w:cs="Times New Roman"/>
        <w:b w:val="0"/>
        <w:i w:val="0"/>
        <w:color w:val="auto"/>
        <w:spacing w:val="0"/>
        <w:kern w:val="2"/>
        <w:sz w:val="24"/>
        <w:szCs w:val="24"/>
        <w:u w:val="none"/>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6C9762E"/>
    <w:multiLevelType w:val="multilevel"/>
    <w:tmpl w:val="66C9762E"/>
    <w:lvl w:ilvl="0" w:tentative="0">
      <w:start w:val="1"/>
      <w:numFmt w:val="decimal"/>
      <w:lvlText w:val="12.%1"/>
      <w:lvlJc w:val="left"/>
      <w:pPr>
        <w:ind w:left="420" w:hanging="420"/>
      </w:pPr>
      <w:rPr>
        <w:rFonts w:hint="default" w:ascii="Times New Roman" w:hAnsi="Times New Roman" w:cs="Times New Roman"/>
        <w:b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A6A2829"/>
    <w:multiLevelType w:val="multilevel"/>
    <w:tmpl w:val="6A6A2829"/>
    <w:lvl w:ilvl="0" w:tentative="0">
      <w:start w:val="1"/>
      <w:numFmt w:val="decimal"/>
      <w:lvlText w:val="23.%1"/>
      <w:lvlJc w:val="left"/>
      <w:pPr>
        <w:ind w:left="1129" w:hanging="420"/>
      </w:pPr>
      <w:rPr>
        <w:rFonts w:hint="default" w:cs="Times New Roman"/>
        <w:sz w:val="24"/>
        <w:szCs w:val="24"/>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9">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40">
    <w:nsid w:val="6E700C7D"/>
    <w:multiLevelType w:val="multilevel"/>
    <w:tmpl w:val="6E700C7D"/>
    <w:lvl w:ilvl="0" w:tentative="0">
      <w:start w:val="1"/>
      <w:numFmt w:val="decimal"/>
      <w:lvlText w:val="3.%1"/>
      <w:lvlJc w:val="left"/>
      <w:pPr>
        <w:tabs>
          <w:tab w:val="left" w:pos="840"/>
        </w:tabs>
        <w:ind w:left="840" w:hanging="420"/>
      </w:pPr>
      <w:rPr>
        <w:rFonts w:hint="eastAsia"/>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04C622B"/>
    <w:multiLevelType w:val="multilevel"/>
    <w:tmpl w:val="704C622B"/>
    <w:lvl w:ilvl="0" w:tentative="0">
      <w:start w:val="1"/>
      <w:numFmt w:val="decimal"/>
      <w:lvlText w:val="9.%1"/>
      <w:lvlJc w:val="left"/>
      <w:pPr>
        <w:ind w:left="1605" w:hanging="420"/>
      </w:pPr>
      <w:rPr>
        <w:rFonts w:hint="eastAsia"/>
        <w:b w:val="0"/>
        <w:color w:val="auto"/>
        <w:sz w:val="24"/>
        <w:szCs w:val="24"/>
      </w:rPr>
    </w:lvl>
    <w:lvl w:ilvl="1" w:tentative="0">
      <w:start w:val="1"/>
      <w:numFmt w:val="lowerLetter"/>
      <w:lvlText w:val="%2)"/>
      <w:lvlJc w:val="left"/>
      <w:pPr>
        <w:ind w:left="2025" w:hanging="420"/>
      </w:pPr>
    </w:lvl>
    <w:lvl w:ilvl="2" w:tentative="0">
      <w:start w:val="1"/>
      <w:numFmt w:val="lowerRoman"/>
      <w:lvlText w:val="%3."/>
      <w:lvlJc w:val="right"/>
      <w:pPr>
        <w:ind w:left="2445" w:hanging="420"/>
      </w:pPr>
    </w:lvl>
    <w:lvl w:ilvl="3" w:tentative="0">
      <w:start w:val="1"/>
      <w:numFmt w:val="decimal"/>
      <w:lvlText w:val="%4."/>
      <w:lvlJc w:val="left"/>
      <w:pPr>
        <w:ind w:left="2865" w:hanging="420"/>
      </w:pPr>
    </w:lvl>
    <w:lvl w:ilvl="4" w:tentative="0">
      <w:start w:val="1"/>
      <w:numFmt w:val="lowerLetter"/>
      <w:lvlText w:val="%5)"/>
      <w:lvlJc w:val="left"/>
      <w:pPr>
        <w:ind w:left="3285" w:hanging="420"/>
      </w:pPr>
    </w:lvl>
    <w:lvl w:ilvl="5" w:tentative="0">
      <w:start w:val="1"/>
      <w:numFmt w:val="lowerRoman"/>
      <w:lvlText w:val="%6."/>
      <w:lvlJc w:val="right"/>
      <w:pPr>
        <w:ind w:left="3705" w:hanging="420"/>
      </w:pPr>
    </w:lvl>
    <w:lvl w:ilvl="6" w:tentative="0">
      <w:start w:val="1"/>
      <w:numFmt w:val="decimal"/>
      <w:lvlText w:val="%7."/>
      <w:lvlJc w:val="left"/>
      <w:pPr>
        <w:ind w:left="4125" w:hanging="420"/>
      </w:pPr>
    </w:lvl>
    <w:lvl w:ilvl="7" w:tentative="0">
      <w:start w:val="1"/>
      <w:numFmt w:val="lowerLetter"/>
      <w:lvlText w:val="%8)"/>
      <w:lvlJc w:val="left"/>
      <w:pPr>
        <w:ind w:left="4545" w:hanging="420"/>
      </w:pPr>
    </w:lvl>
    <w:lvl w:ilvl="8" w:tentative="0">
      <w:start w:val="1"/>
      <w:numFmt w:val="lowerRoman"/>
      <w:lvlText w:val="%9."/>
      <w:lvlJc w:val="right"/>
      <w:pPr>
        <w:ind w:left="4965" w:hanging="420"/>
      </w:pPr>
    </w:lvl>
  </w:abstractNum>
  <w:abstractNum w:abstractNumId="42">
    <w:nsid w:val="71326C1A"/>
    <w:multiLevelType w:val="multilevel"/>
    <w:tmpl w:val="71326C1A"/>
    <w:lvl w:ilvl="0" w:tentative="0">
      <w:start w:val="1"/>
      <w:numFmt w:val="decimal"/>
      <w:lvlText w:val="7.%1"/>
      <w:lvlJc w:val="left"/>
      <w:pPr>
        <w:tabs>
          <w:tab w:val="left" w:pos="1138"/>
        </w:tabs>
        <w:ind w:left="1138" w:hanging="420"/>
      </w:pPr>
      <w:rPr>
        <w:rFonts w:hint="eastAsia"/>
        <w:b w:val="0"/>
        <w:color w:val="auto"/>
      </w:rPr>
    </w:lvl>
    <w:lvl w:ilvl="1" w:tentative="0">
      <w:start w:val="1"/>
      <w:numFmt w:val="decimal"/>
      <w:lvlText w:val="6.%2"/>
      <w:lvlJc w:val="left"/>
      <w:pPr>
        <w:tabs>
          <w:tab w:val="left" w:pos="840"/>
        </w:tabs>
        <w:ind w:left="840" w:hanging="420"/>
      </w:pPr>
      <w:rPr>
        <w:rFonts w:hint="default" w:ascii="Times New Roman" w:hAnsi="Times New Roman" w:eastAsia="宋体"/>
        <w:b w:val="0"/>
        <w:color w:val="auto"/>
        <w:sz w:val="24"/>
        <w:lang w:val="en-U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8CD2694"/>
    <w:multiLevelType w:val="multilevel"/>
    <w:tmpl w:val="78CD26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9F75D1C"/>
    <w:multiLevelType w:val="multilevel"/>
    <w:tmpl w:val="79F75D1C"/>
    <w:lvl w:ilvl="0" w:tentative="0">
      <w:start w:val="1"/>
      <w:numFmt w:val="decimal"/>
      <w:lvlText w:val="9.%1"/>
      <w:lvlJc w:val="left"/>
      <w:pPr>
        <w:tabs>
          <w:tab w:val="left" w:pos="2098"/>
        </w:tabs>
        <w:ind w:left="2098" w:hanging="420"/>
      </w:pPr>
      <w:rPr>
        <w:rFonts w:hint="eastAsia"/>
        <w:b w:val="0"/>
        <w:color w:val="auto"/>
      </w:rPr>
    </w:lvl>
    <w:lvl w:ilvl="1" w:tentative="0">
      <w:start w:val="1"/>
      <w:numFmt w:val="decimal"/>
      <w:lvlText w:val="13.%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660639"/>
    <w:multiLevelType w:val="multilevel"/>
    <w:tmpl w:val="7D660639"/>
    <w:lvl w:ilvl="0" w:tentative="0">
      <w:start w:val="1"/>
      <w:numFmt w:val="decimal"/>
      <w:lvlText w:val="24.%1"/>
      <w:lvlJc w:val="left"/>
      <w:pPr>
        <w:ind w:left="420" w:hanging="420"/>
      </w:pPr>
      <w:rPr>
        <w:rFonts w:hint="default" w:ascii="Times New Roman" w:hAnsi="Times New Roman" w:cs="Times New Roman"/>
        <w:b w:val="0"/>
        <w:i w:val="0"/>
        <w:color w:val="auto"/>
        <w:sz w:val="24"/>
        <w:szCs w:val="24"/>
      </w:rPr>
    </w:lvl>
    <w:lvl w:ilvl="1" w:tentative="0">
      <w:start w:val="1"/>
      <w:numFmt w:val="decimal"/>
      <w:isLgl/>
      <w:lvlText w:val="%1.%2"/>
      <w:lvlJc w:val="left"/>
      <w:pPr>
        <w:ind w:left="840" w:hanging="840"/>
      </w:pPr>
      <w:rPr>
        <w:rFonts w:hint="default"/>
      </w:rPr>
    </w:lvl>
    <w:lvl w:ilvl="2" w:tentative="0">
      <w:start w:val="1"/>
      <w:numFmt w:val="decimal"/>
      <w:isLgl/>
      <w:lvlText w:val="%1.%2.%3"/>
      <w:lvlJc w:val="left"/>
      <w:pPr>
        <w:ind w:left="840" w:hanging="84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2160" w:hanging="2160"/>
      </w:pPr>
      <w:rPr>
        <w:rFonts w:hint="default"/>
      </w:rPr>
    </w:lvl>
  </w:abstractNum>
  <w:abstractNum w:abstractNumId="46">
    <w:nsid w:val="7ECE0B00"/>
    <w:multiLevelType w:val="multilevel"/>
    <w:tmpl w:val="7ECE0B00"/>
    <w:lvl w:ilvl="0" w:tentative="0">
      <w:start w:val="1"/>
      <w:numFmt w:val="decimal"/>
      <w:lvlText w:val="5.%1"/>
      <w:lvlJc w:val="left"/>
      <w:pPr>
        <w:ind w:left="1605" w:hanging="420"/>
      </w:pPr>
      <w:rPr>
        <w:rFonts w:hint="default" w:ascii="Times New Roman" w:hAnsi="Times New Roman" w:cs="Times New Roman"/>
        <w:b w:val="0"/>
        <w:lang w:val="en-US"/>
      </w:rPr>
    </w:lvl>
    <w:lvl w:ilvl="1" w:tentative="0">
      <w:start w:val="1"/>
      <w:numFmt w:val="lowerLetter"/>
      <w:lvlText w:val="%2)"/>
      <w:lvlJc w:val="left"/>
      <w:pPr>
        <w:ind w:left="2025" w:hanging="420"/>
      </w:pPr>
    </w:lvl>
    <w:lvl w:ilvl="2" w:tentative="0">
      <w:start w:val="1"/>
      <w:numFmt w:val="lowerRoman"/>
      <w:lvlText w:val="%3."/>
      <w:lvlJc w:val="right"/>
      <w:pPr>
        <w:ind w:left="2445" w:hanging="420"/>
      </w:pPr>
    </w:lvl>
    <w:lvl w:ilvl="3" w:tentative="0">
      <w:start w:val="1"/>
      <w:numFmt w:val="decimal"/>
      <w:lvlText w:val="%4."/>
      <w:lvlJc w:val="left"/>
      <w:pPr>
        <w:ind w:left="2865" w:hanging="420"/>
      </w:pPr>
    </w:lvl>
    <w:lvl w:ilvl="4" w:tentative="0">
      <w:start w:val="1"/>
      <w:numFmt w:val="lowerLetter"/>
      <w:lvlText w:val="%5)"/>
      <w:lvlJc w:val="left"/>
      <w:pPr>
        <w:ind w:left="3285" w:hanging="420"/>
      </w:pPr>
    </w:lvl>
    <w:lvl w:ilvl="5" w:tentative="0">
      <w:start w:val="1"/>
      <w:numFmt w:val="lowerRoman"/>
      <w:lvlText w:val="%6."/>
      <w:lvlJc w:val="right"/>
      <w:pPr>
        <w:ind w:left="3705" w:hanging="420"/>
      </w:pPr>
    </w:lvl>
    <w:lvl w:ilvl="6" w:tentative="0">
      <w:start w:val="1"/>
      <w:numFmt w:val="decimal"/>
      <w:lvlText w:val="%7."/>
      <w:lvlJc w:val="left"/>
      <w:pPr>
        <w:ind w:left="4125" w:hanging="420"/>
      </w:pPr>
    </w:lvl>
    <w:lvl w:ilvl="7" w:tentative="0">
      <w:start w:val="1"/>
      <w:numFmt w:val="lowerLetter"/>
      <w:lvlText w:val="%8)"/>
      <w:lvlJc w:val="left"/>
      <w:pPr>
        <w:ind w:left="4545" w:hanging="420"/>
      </w:pPr>
    </w:lvl>
    <w:lvl w:ilvl="8" w:tentative="0">
      <w:start w:val="1"/>
      <w:numFmt w:val="lowerRoman"/>
      <w:lvlText w:val="%9."/>
      <w:lvlJc w:val="right"/>
      <w:pPr>
        <w:ind w:left="4965" w:hanging="420"/>
      </w:pPr>
    </w:lvl>
  </w:abstractNum>
  <w:num w:numId="1">
    <w:abstractNumId w:val="13"/>
  </w:num>
  <w:num w:numId="2">
    <w:abstractNumId w:val="8"/>
  </w:num>
  <w:num w:numId="3">
    <w:abstractNumId w:val="6"/>
  </w:num>
  <w:num w:numId="4">
    <w:abstractNumId w:val="32"/>
  </w:num>
  <w:num w:numId="5">
    <w:abstractNumId w:val="34"/>
  </w:num>
  <w:num w:numId="6">
    <w:abstractNumId w:val="23"/>
  </w:num>
  <w:num w:numId="7">
    <w:abstractNumId w:val="9"/>
  </w:num>
  <w:num w:numId="8">
    <w:abstractNumId w:val="43"/>
  </w:num>
  <w:num w:numId="9">
    <w:abstractNumId w:val="10"/>
  </w:num>
  <w:num w:numId="10">
    <w:abstractNumId w:val="0"/>
  </w:num>
  <w:num w:numId="11">
    <w:abstractNumId w:val="19"/>
  </w:num>
  <w:num w:numId="12">
    <w:abstractNumId w:val="1"/>
  </w:num>
  <w:num w:numId="13">
    <w:abstractNumId w:val="18"/>
  </w:num>
  <w:num w:numId="14">
    <w:abstractNumId w:val="12"/>
  </w:num>
  <w:num w:numId="15">
    <w:abstractNumId w:val="14"/>
  </w:num>
  <w:num w:numId="16">
    <w:abstractNumId w:val="28"/>
  </w:num>
  <w:num w:numId="17">
    <w:abstractNumId w:val="40"/>
  </w:num>
  <w:num w:numId="18">
    <w:abstractNumId w:val="35"/>
  </w:num>
  <w:num w:numId="19">
    <w:abstractNumId w:val="33"/>
  </w:num>
  <w:num w:numId="20">
    <w:abstractNumId w:val="46"/>
  </w:num>
  <w:num w:numId="21">
    <w:abstractNumId w:val="42"/>
  </w:num>
  <w:num w:numId="22">
    <w:abstractNumId w:val="11"/>
  </w:num>
  <w:num w:numId="23">
    <w:abstractNumId w:val="21"/>
  </w:num>
  <w:num w:numId="24">
    <w:abstractNumId w:val="41"/>
  </w:num>
  <w:num w:numId="25">
    <w:abstractNumId w:val="5"/>
  </w:num>
  <w:num w:numId="26">
    <w:abstractNumId w:val="4"/>
  </w:num>
  <w:num w:numId="27">
    <w:abstractNumId w:val="16"/>
  </w:num>
  <w:num w:numId="28">
    <w:abstractNumId w:val="37"/>
  </w:num>
  <w:num w:numId="29">
    <w:abstractNumId w:val="44"/>
  </w:num>
  <w:num w:numId="30">
    <w:abstractNumId w:val="22"/>
  </w:num>
  <w:num w:numId="31">
    <w:abstractNumId w:val="2"/>
  </w:num>
  <w:num w:numId="32">
    <w:abstractNumId w:val="20"/>
  </w:num>
  <w:num w:numId="33">
    <w:abstractNumId w:val="27"/>
  </w:num>
  <w:num w:numId="34">
    <w:abstractNumId w:val="29"/>
  </w:num>
  <w:num w:numId="35">
    <w:abstractNumId w:val="31"/>
  </w:num>
  <w:num w:numId="36">
    <w:abstractNumId w:val="26"/>
  </w:num>
  <w:num w:numId="37">
    <w:abstractNumId w:val="7"/>
  </w:num>
  <w:num w:numId="38">
    <w:abstractNumId w:val="3"/>
  </w:num>
  <w:num w:numId="39">
    <w:abstractNumId w:val="30"/>
  </w:num>
  <w:num w:numId="40">
    <w:abstractNumId w:val="24"/>
  </w:num>
  <w:num w:numId="41">
    <w:abstractNumId w:val="15"/>
  </w:num>
  <w:num w:numId="42">
    <w:abstractNumId w:val="36"/>
  </w:num>
  <w:num w:numId="43">
    <w:abstractNumId w:val="38"/>
  </w:num>
  <w:num w:numId="44">
    <w:abstractNumId w:val="45"/>
  </w:num>
  <w:num w:numId="45">
    <w:abstractNumId w:val="17"/>
  </w:num>
  <w:num w:numId="46">
    <w:abstractNumId w:val="39"/>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2ZjcyNzJkNjMxYWE0MDZlMTNmYzMzNzIwNTcxYjgifQ=="/>
  </w:docVars>
  <w:rsids>
    <w:rsidRoot w:val="00172A27"/>
    <w:rsid w:val="00006D4D"/>
    <w:rsid w:val="00014664"/>
    <w:rsid w:val="00040BC2"/>
    <w:rsid w:val="00046464"/>
    <w:rsid w:val="00046ED1"/>
    <w:rsid w:val="000478C6"/>
    <w:rsid w:val="00066BCC"/>
    <w:rsid w:val="00072C0C"/>
    <w:rsid w:val="00081110"/>
    <w:rsid w:val="00085B97"/>
    <w:rsid w:val="000A49C5"/>
    <w:rsid w:val="000A4E87"/>
    <w:rsid w:val="000A6623"/>
    <w:rsid w:val="000B4A4E"/>
    <w:rsid w:val="000D257F"/>
    <w:rsid w:val="000D55E6"/>
    <w:rsid w:val="000E4FE4"/>
    <w:rsid w:val="000E5EF8"/>
    <w:rsid w:val="00102FC7"/>
    <w:rsid w:val="0010347B"/>
    <w:rsid w:val="00116952"/>
    <w:rsid w:val="00127464"/>
    <w:rsid w:val="001320FE"/>
    <w:rsid w:val="00137E17"/>
    <w:rsid w:val="001464D4"/>
    <w:rsid w:val="001500DE"/>
    <w:rsid w:val="00161184"/>
    <w:rsid w:val="001625C2"/>
    <w:rsid w:val="00164C28"/>
    <w:rsid w:val="0017634F"/>
    <w:rsid w:val="00185CC5"/>
    <w:rsid w:val="00196739"/>
    <w:rsid w:val="001B7B4E"/>
    <w:rsid w:val="001D176C"/>
    <w:rsid w:val="001D34BD"/>
    <w:rsid w:val="001D5720"/>
    <w:rsid w:val="001E3F4F"/>
    <w:rsid w:val="001E53C3"/>
    <w:rsid w:val="001F6747"/>
    <w:rsid w:val="00203D2A"/>
    <w:rsid w:val="00207A3E"/>
    <w:rsid w:val="0021006C"/>
    <w:rsid w:val="002116A3"/>
    <w:rsid w:val="002319DD"/>
    <w:rsid w:val="002361E7"/>
    <w:rsid w:val="002428C6"/>
    <w:rsid w:val="002508D4"/>
    <w:rsid w:val="00257BA4"/>
    <w:rsid w:val="002602E5"/>
    <w:rsid w:val="00265E5F"/>
    <w:rsid w:val="002757A0"/>
    <w:rsid w:val="00275A65"/>
    <w:rsid w:val="00275F16"/>
    <w:rsid w:val="00281012"/>
    <w:rsid w:val="002914BE"/>
    <w:rsid w:val="00292C70"/>
    <w:rsid w:val="00294FDA"/>
    <w:rsid w:val="002A04B9"/>
    <w:rsid w:val="002A3A1F"/>
    <w:rsid w:val="002A4AD5"/>
    <w:rsid w:val="002A6554"/>
    <w:rsid w:val="002D6F2E"/>
    <w:rsid w:val="002E03D6"/>
    <w:rsid w:val="002E29CB"/>
    <w:rsid w:val="00300116"/>
    <w:rsid w:val="003060C7"/>
    <w:rsid w:val="00315486"/>
    <w:rsid w:val="00326DEF"/>
    <w:rsid w:val="00344F8F"/>
    <w:rsid w:val="00346F55"/>
    <w:rsid w:val="00365DBC"/>
    <w:rsid w:val="003761B3"/>
    <w:rsid w:val="003B0381"/>
    <w:rsid w:val="003B3CDC"/>
    <w:rsid w:val="003C218E"/>
    <w:rsid w:val="003C4DBF"/>
    <w:rsid w:val="003D2442"/>
    <w:rsid w:val="003D50A8"/>
    <w:rsid w:val="003E0727"/>
    <w:rsid w:val="003E22C1"/>
    <w:rsid w:val="003E66A8"/>
    <w:rsid w:val="003F0E0E"/>
    <w:rsid w:val="003F349C"/>
    <w:rsid w:val="003F7206"/>
    <w:rsid w:val="004060C3"/>
    <w:rsid w:val="004101D8"/>
    <w:rsid w:val="00412243"/>
    <w:rsid w:val="0042082C"/>
    <w:rsid w:val="00423C1F"/>
    <w:rsid w:val="004309D6"/>
    <w:rsid w:val="00433075"/>
    <w:rsid w:val="00457C80"/>
    <w:rsid w:val="00470BB1"/>
    <w:rsid w:val="0049027A"/>
    <w:rsid w:val="004A5186"/>
    <w:rsid w:val="004B257B"/>
    <w:rsid w:val="004B380D"/>
    <w:rsid w:val="004B6571"/>
    <w:rsid w:val="004B661D"/>
    <w:rsid w:val="004C41A1"/>
    <w:rsid w:val="004C7148"/>
    <w:rsid w:val="004D2807"/>
    <w:rsid w:val="004D7DE5"/>
    <w:rsid w:val="004E078A"/>
    <w:rsid w:val="004E0A12"/>
    <w:rsid w:val="004E2E92"/>
    <w:rsid w:val="004E5F7C"/>
    <w:rsid w:val="004E6520"/>
    <w:rsid w:val="004E7F47"/>
    <w:rsid w:val="005109B9"/>
    <w:rsid w:val="00511474"/>
    <w:rsid w:val="005249E2"/>
    <w:rsid w:val="0053183F"/>
    <w:rsid w:val="00531DB2"/>
    <w:rsid w:val="00544E21"/>
    <w:rsid w:val="0056290E"/>
    <w:rsid w:val="00562B87"/>
    <w:rsid w:val="005644DF"/>
    <w:rsid w:val="00580A6D"/>
    <w:rsid w:val="00587567"/>
    <w:rsid w:val="00594EFA"/>
    <w:rsid w:val="005A2878"/>
    <w:rsid w:val="005A354C"/>
    <w:rsid w:val="005A4504"/>
    <w:rsid w:val="005A71F9"/>
    <w:rsid w:val="005C3328"/>
    <w:rsid w:val="005C6E70"/>
    <w:rsid w:val="005D6A90"/>
    <w:rsid w:val="005E72DF"/>
    <w:rsid w:val="005F440F"/>
    <w:rsid w:val="005F7BE5"/>
    <w:rsid w:val="0060102E"/>
    <w:rsid w:val="00605D13"/>
    <w:rsid w:val="00615F98"/>
    <w:rsid w:val="00641F78"/>
    <w:rsid w:val="00647358"/>
    <w:rsid w:val="00660259"/>
    <w:rsid w:val="00667160"/>
    <w:rsid w:val="00675774"/>
    <w:rsid w:val="006757A3"/>
    <w:rsid w:val="006844FD"/>
    <w:rsid w:val="006872D4"/>
    <w:rsid w:val="0069487B"/>
    <w:rsid w:val="006A1565"/>
    <w:rsid w:val="006A1C45"/>
    <w:rsid w:val="006B0C0A"/>
    <w:rsid w:val="006B0F4F"/>
    <w:rsid w:val="006B18F2"/>
    <w:rsid w:val="006D440A"/>
    <w:rsid w:val="006E3117"/>
    <w:rsid w:val="007152D6"/>
    <w:rsid w:val="00721964"/>
    <w:rsid w:val="00743763"/>
    <w:rsid w:val="00752D83"/>
    <w:rsid w:val="0075714C"/>
    <w:rsid w:val="00762E1D"/>
    <w:rsid w:val="00770DDB"/>
    <w:rsid w:val="007765E4"/>
    <w:rsid w:val="00777B85"/>
    <w:rsid w:val="0078108B"/>
    <w:rsid w:val="00783D7F"/>
    <w:rsid w:val="00785249"/>
    <w:rsid w:val="007A56CD"/>
    <w:rsid w:val="007A5BA4"/>
    <w:rsid w:val="007A5E42"/>
    <w:rsid w:val="007A73FB"/>
    <w:rsid w:val="007B2910"/>
    <w:rsid w:val="007E1272"/>
    <w:rsid w:val="007F7A53"/>
    <w:rsid w:val="00801E33"/>
    <w:rsid w:val="008079FD"/>
    <w:rsid w:val="0081081B"/>
    <w:rsid w:val="0081315F"/>
    <w:rsid w:val="008138C1"/>
    <w:rsid w:val="00830A76"/>
    <w:rsid w:val="008367E7"/>
    <w:rsid w:val="008427FB"/>
    <w:rsid w:val="00855C3E"/>
    <w:rsid w:val="00863108"/>
    <w:rsid w:val="0086527A"/>
    <w:rsid w:val="008753BE"/>
    <w:rsid w:val="0088741F"/>
    <w:rsid w:val="00887B34"/>
    <w:rsid w:val="00892BA8"/>
    <w:rsid w:val="00893B58"/>
    <w:rsid w:val="008A51D3"/>
    <w:rsid w:val="008B5CEB"/>
    <w:rsid w:val="008B5E7E"/>
    <w:rsid w:val="008C264E"/>
    <w:rsid w:val="008E3799"/>
    <w:rsid w:val="008E7C38"/>
    <w:rsid w:val="00901581"/>
    <w:rsid w:val="009018D6"/>
    <w:rsid w:val="00915681"/>
    <w:rsid w:val="00917F11"/>
    <w:rsid w:val="00936C56"/>
    <w:rsid w:val="00945727"/>
    <w:rsid w:val="0096540C"/>
    <w:rsid w:val="009800B2"/>
    <w:rsid w:val="009801EA"/>
    <w:rsid w:val="00983876"/>
    <w:rsid w:val="00984696"/>
    <w:rsid w:val="00992769"/>
    <w:rsid w:val="009B7E7A"/>
    <w:rsid w:val="009C5300"/>
    <w:rsid w:val="009D3438"/>
    <w:rsid w:val="009D5B4B"/>
    <w:rsid w:val="009E253D"/>
    <w:rsid w:val="009F064F"/>
    <w:rsid w:val="009F1E49"/>
    <w:rsid w:val="00A20219"/>
    <w:rsid w:val="00A22F3D"/>
    <w:rsid w:val="00A3197E"/>
    <w:rsid w:val="00A4472E"/>
    <w:rsid w:val="00A6705C"/>
    <w:rsid w:val="00A719DF"/>
    <w:rsid w:val="00A732E6"/>
    <w:rsid w:val="00A825F8"/>
    <w:rsid w:val="00A826DF"/>
    <w:rsid w:val="00A84FFE"/>
    <w:rsid w:val="00A93058"/>
    <w:rsid w:val="00A93B6E"/>
    <w:rsid w:val="00AC3B4C"/>
    <w:rsid w:val="00AE5B92"/>
    <w:rsid w:val="00AE5D47"/>
    <w:rsid w:val="00B114D5"/>
    <w:rsid w:val="00B15D92"/>
    <w:rsid w:val="00B21F92"/>
    <w:rsid w:val="00B35D4D"/>
    <w:rsid w:val="00B458BE"/>
    <w:rsid w:val="00B5180C"/>
    <w:rsid w:val="00B54761"/>
    <w:rsid w:val="00B6268D"/>
    <w:rsid w:val="00B66CC4"/>
    <w:rsid w:val="00B77DD5"/>
    <w:rsid w:val="00BE7546"/>
    <w:rsid w:val="00BF427D"/>
    <w:rsid w:val="00C53CDC"/>
    <w:rsid w:val="00C54BDD"/>
    <w:rsid w:val="00C73C03"/>
    <w:rsid w:val="00C73E24"/>
    <w:rsid w:val="00C76294"/>
    <w:rsid w:val="00C8249D"/>
    <w:rsid w:val="00C8396C"/>
    <w:rsid w:val="00C90FE7"/>
    <w:rsid w:val="00C91B26"/>
    <w:rsid w:val="00CA50CB"/>
    <w:rsid w:val="00CC6C78"/>
    <w:rsid w:val="00CD57CE"/>
    <w:rsid w:val="00CE0C18"/>
    <w:rsid w:val="00CF7671"/>
    <w:rsid w:val="00D103B5"/>
    <w:rsid w:val="00D4629F"/>
    <w:rsid w:val="00D504D2"/>
    <w:rsid w:val="00D547DF"/>
    <w:rsid w:val="00D5620D"/>
    <w:rsid w:val="00D60179"/>
    <w:rsid w:val="00D70DE2"/>
    <w:rsid w:val="00D80409"/>
    <w:rsid w:val="00D90E69"/>
    <w:rsid w:val="00D92E59"/>
    <w:rsid w:val="00DB0CE1"/>
    <w:rsid w:val="00DB731E"/>
    <w:rsid w:val="00E02E59"/>
    <w:rsid w:val="00E04718"/>
    <w:rsid w:val="00E04913"/>
    <w:rsid w:val="00E1177C"/>
    <w:rsid w:val="00E1632C"/>
    <w:rsid w:val="00E1688B"/>
    <w:rsid w:val="00E24AC0"/>
    <w:rsid w:val="00E308F6"/>
    <w:rsid w:val="00E30D7C"/>
    <w:rsid w:val="00E3271F"/>
    <w:rsid w:val="00E368B3"/>
    <w:rsid w:val="00E454AA"/>
    <w:rsid w:val="00E5325B"/>
    <w:rsid w:val="00E53912"/>
    <w:rsid w:val="00E67B35"/>
    <w:rsid w:val="00E82850"/>
    <w:rsid w:val="00E8382A"/>
    <w:rsid w:val="00E86DC9"/>
    <w:rsid w:val="00E872B5"/>
    <w:rsid w:val="00EA5808"/>
    <w:rsid w:val="00EB43F1"/>
    <w:rsid w:val="00EB68BE"/>
    <w:rsid w:val="00EB7158"/>
    <w:rsid w:val="00EC4032"/>
    <w:rsid w:val="00ED11B0"/>
    <w:rsid w:val="00EF3C20"/>
    <w:rsid w:val="00F0391F"/>
    <w:rsid w:val="00F151C4"/>
    <w:rsid w:val="00F17C06"/>
    <w:rsid w:val="00F211C9"/>
    <w:rsid w:val="00F225F5"/>
    <w:rsid w:val="00F33C05"/>
    <w:rsid w:val="00F35BBA"/>
    <w:rsid w:val="00F54475"/>
    <w:rsid w:val="00F602B9"/>
    <w:rsid w:val="00F6091C"/>
    <w:rsid w:val="00F658B0"/>
    <w:rsid w:val="00F71300"/>
    <w:rsid w:val="00F7196B"/>
    <w:rsid w:val="00F810FC"/>
    <w:rsid w:val="00F842F2"/>
    <w:rsid w:val="00F85CC6"/>
    <w:rsid w:val="00F868DA"/>
    <w:rsid w:val="00F913A7"/>
    <w:rsid w:val="00FB2B73"/>
    <w:rsid w:val="00FC740B"/>
    <w:rsid w:val="00FD05BE"/>
    <w:rsid w:val="00FD44CD"/>
    <w:rsid w:val="00FD5132"/>
    <w:rsid w:val="00FF24C1"/>
    <w:rsid w:val="00FF4B58"/>
    <w:rsid w:val="0D5C7D75"/>
    <w:rsid w:val="12155001"/>
    <w:rsid w:val="15022041"/>
    <w:rsid w:val="1D116684"/>
    <w:rsid w:val="3EA61163"/>
    <w:rsid w:val="40EF442D"/>
    <w:rsid w:val="425F54BD"/>
    <w:rsid w:val="4D363FA5"/>
    <w:rsid w:val="578E1AE5"/>
    <w:rsid w:val="5A2C5D3C"/>
    <w:rsid w:val="5C3C6DB0"/>
    <w:rsid w:val="60034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textAlignment w:val="baseline"/>
    </w:pPr>
    <w:rPr>
      <w:rFonts w:ascii="Times New Roman" w:hAnsi="Times New Roman" w:eastAsia="宋体" w:cs="Times New Roman"/>
      <w:lang w:val="en-US" w:eastAsia="en-US" w:bidi="ar-SA"/>
    </w:rPr>
  </w:style>
  <w:style w:type="paragraph" w:styleId="3">
    <w:name w:val="heading 1"/>
    <w:basedOn w:val="1"/>
    <w:next w:val="1"/>
    <w:link w:val="40"/>
    <w:qFormat/>
    <w:uiPriority w:val="0"/>
    <w:pPr>
      <w:keepNext/>
      <w:keepLines/>
      <w:widowControl w:val="0"/>
      <w:overflowPunct/>
      <w:autoSpaceDE/>
      <w:autoSpaceDN/>
      <w:adjustRightInd/>
      <w:spacing w:before="340" w:after="330" w:line="578" w:lineRule="auto"/>
      <w:jc w:val="both"/>
      <w:textAlignment w:val="auto"/>
      <w:outlineLvl w:val="0"/>
    </w:pPr>
    <w:rPr>
      <w:b/>
      <w:bCs/>
      <w:kern w:val="44"/>
      <w:sz w:val="44"/>
      <w:szCs w:val="44"/>
      <w:lang w:eastAsia="zh-CN"/>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bCs/>
      <w:kern w:val="0"/>
      <w:sz w:val="28"/>
      <w:szCs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8"/>
      <w:szCs w:val="20"/>
    </w:rPr>
  </w:style>
  <w:style w:type="paragraph" w:styleId="6">
    <w:name w:val="Normal Indent"/>
    <w:basedOn w:val="1"/>
    <w:qFormat/>
    <w:uiPriority w:val="0"/>
    <w:pPr>
      <w:wordWrap/>
      <w:autoSpaceDE/>
      <w:autoSpaceDN/>
      <w:ind w:firstLine="420"/>
    </w:pPr>
    <w:rPr>
      <w:rFonts w:ascii="Times New Roman" w:cs="Times New Roman"/>
      <w:sz w:val="21"/>
      <w:szCs w:val="20"/>
    </w:rPr>
  </w:style>
  <w:style w:type="paragraph" w:styleId="7">
    <w:name w:val="annotation text"/>
    <w:basedOn w:val="1"/>
    <w:link w:val="47"/>
    <w:semiHidden/>
    <w:unhideWhenUsed/>
    <w:qFormat/>
    <w:uiPriority w:val="99"/>
  </w:style>
  <w:style w:type="paragraph" w:styleId="8">
    <w:name w:val="Body Text"/>
    <w:basedOn w:val="1"/>
    <w:qFormat/>
    <w:uiPriority w:val="0"/>
    <w:pPr>
      <w:spacing w:after="120"/>
    </w:pPr>
  </w:style>
  <w:style w:type="paragraph" w:styleId="9">
    <w:name w:val="Body Text Indent"/>
    <w:basedOn w:val="1"/>
    <w:qFormat/>
    <w:uiPriority w:val="0"/>
    <w:pPr>
      <w:overflowPunct/>
      <w:autoSpaceDE/>
      <w:autoSpaceDN/>
      <w:adjustRightInd/>
      <w:snapToGrid w:val="0"/>
      <w:ind w:firstLine="502"/>
      <w:textAlignment w:val="auto"/>
    </w:pPr>
    <w:rPr>
      <w:rFonts w:ascii="宋体" w:cs="Angsana New"/>
      <w:sz w:val="28"/>
      <w:szCs w:val="28"/>
      <w:lang w:eastAsia="zh-CN" w:bidi="th-TH"/>
    </w:rPr>
  </w:style>
  <w:style w:type="paragraph" w:styleId="10">
    <w:name w:val="Date"/>
    <w:basedOn w:val="1"/>
    <w:next w:val="1"/>
    <w:link w:val="39"/>
    <w:semiHidden/>
    <w:unhideWhenUsed/>
    <w:qFormat/>
    <w:uiPriority w:val="99"/>
    <w:pPr>
      <w:ind w:left="100" w:leftChars="2500"/>
    </w:pPr>
  </w:style>
  <w:style w:type="paragraph" w:styleId="11">
    <w:name w:val="endnote text"/>
    <w:basedOn w:val="1"/>
    <w:link w:val="43"/>
    <w:semiHidden/>
    <w:unhideWhenUsed/>
    <w:qFormat/>
    <w:uiPriority w:val="99"/>
    <w:pPr>
      <w:snapToGrid w:val="0"/>
    </w:pPr>
  </w:style>
  <w:style w:type="paragraph" w:styleId="12">
    <w:name w:val="Balloon Text"/>
    <w:basedOn w:val="1"/>
    <w:link w:val="44"/>
    <w:semiHidden/>
    <w:unhideWhenUsed/>
    <w:qFormat/>
    <w:uiPriority w:val="99"/>
    <w:rPr>
      <w:sz w:val="18"/>
      <w:szCs w:val="18"/>
    </w:rPr>
  </w:style>
  <w:style w:type="paragraph" w:styleId="13">
    <w:name w:val="footer"/>
    <w:basedOn w:val="1"/>
    <w:link w:val="38"/>
    <w:unhideWhenUsed/>
    <w:qFormat/>
    <w:uiPriority w:val="99"/>
    <w:pPr>
      <w:tabs>
        <w:tab w:val="center" w:pos="4153"/>
        <w:tab w:val="right" w:pos="8306"/>
      </w:tabs>
      <w:snapToGrid w:val="0"/>
    </w:pPr>
    <w:rPr>
      <w:sz w:val="18"/>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608"/>
      </w:tabs>
      <w:spacing w:line="360" w:lineRule="auto"/>
      <w:ind w:firstLine="425" w:firstLineChars="177"/>
    </w:pPr>
  </w:style>
  <w:style w:type="paragraph" w:styleId="16">
    <w:name w:val="footnote text"/>
    <w:basedOn w:val="1"/>
    <w:link w:val="42"/>
    <w:qFormat/>
    <w:uiPriority w:val="99"/>
    <w:rPr>
      <w:lang w:val="zh-CN"/>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annotation subject"/>
    <w:basedOn w:val="7"/>
    <w:next w:val="7"/>
    <w:link w:val="48"/>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endnote reference"/>
    <w:basedOn w:val="21"/>
    <w:semiHidden/>
    <w:unhideWhenUsed/>
    <w:qFormat/>
    <w:uiPriority w:val="99"/>
    <w:rPr>
      <w:vertAlign w:val="superscript"/>
    </w:rPr>
  </w:style>
  <w:style w:type="character" w:styleId="24">
    <w:name w:val="FollowedHyperlink"/>
    <w:basedOn w:val="21"/>
    <w:semiHidden/>
    <w:unhideWhenUsed/>
    <w:qFormat/>
    <w:uiPriority w:val="99"/>
    <w:rPr>
      <w:color w:val="333333"/>
      <w:u w:val="none"/>
    </w:rPr>
  </w:style>
  <w:style w:type="character" w:styleId="25">
    <w:name w:val="Emphasis"/>
    <w:basedOn w:val="21"/>
    <w:qFormat/>
    <w:uiPriority w:val="20"/>
    <w:rPr>
      <w:b/>
      <w:bCs/>
    </w:rPr>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563C1" w:themeColor="hyperlink"/>
      <w:u w:val="single"/>
      <w14:textFill>
        <w14:solidFill>
          <w14:schemeClr w14:val="hlink"/>
        </w14:solidFill>
      </w14:textFill>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annotation reference"/>
    <w:basedOn w:val="21"/>
    <w:semiHidden/>
    <w:unhideWhenUsed/>
    <w:qFormat/>
    <w:uiPriority w:val="99"/>
    <w:rPr>
      <w:sz w:val="21"/>
      <w:szCs w:val="21"/>
    </w:rPr>
  </w:style>
  <w:style w:type="character" w:styleId="33">
    <w:name w:val="HTML Cite"/>
    <w:basedOn w:val="21"/>
    <w:semiHidden/>
    <w:unhideWhenUsed/>
    <w:qFormat/>
    <w:uiPriority w:val="99"/>
  </w:style>
  <w:style w:type="character" w:styleId="34">
    <w:name w:val="footnote reference"/>
    <w:qFormat/>
    <w:uiPriority w:val="99"/>
    <w:rPr>
      <w:vertAlign w:val="superscript"/>
    </w:rPr>
  </w:style>
  <w:style w:type="character" w:styleId="35">
    <w:name w:val="HTML Keyboard"/>
    <w:basedOn w:val="21"/>
    <w:semiHidden/>
    <w:unhideWhenUsed/>
    <w:qFormat/>
    <w:uiPriority w:val="99"/>
    <w:rPr>
      <w:rFonts w:hint="default" w:ascii="monospace" w:hAnsi="monospace" w:eastAsia="monospace" w:cs="monospace"/>
      <w:sz w:val="20"/>
    </w:rPr>
  </w:style>
  <w:style w:type="character" w:styleId="36">
    <w:name w:val="HTML Sample"/>
    <w:basedOn w:val="21"/>
    <w:semiHidden/>
    <w:unhideWhenUsed/>
    <w:qFormat/>
    <w:uiPriority w:val="99"/>
    <w:rPr>
      <w:rFonts w:ascii="monospace" w:hAnsi="monospace" w:eastAsia="monospace" w:cs="monospace"/>
    </w:rPr>
  </w:style>
  <w:style w:type="character" w:customStyle="1" w:styleId="37">
    <w:name w:val="页眉 字符"/>
    <w:basedOn w:val="21"/>
    <w:link w:val="14"/>
    <w:qFormat/>
    <w:uiPriority w:val="99"/>
    <w:rPr>
      <w:sz w:val="18"/>
      <w:szCs w:val="18"/>
    </w:rPr>
  </w:style>
  <w:style w:type="character" w:customStyle="1" w:styleId="38">
    <w:name w:val="页脚 字符"/>
    <w:basedOn w:val="21"/>
    <w:link w:val="13"/>
    <w:qFormat/>
    <w:uiPriority w:val="99"/>
    <w:rPr>
      <w:sz w:val="18"/>
      <w:szCs w:val="18"/>
    </w:rPr>
  </w:style>
  <w:style w:type="character" w:customStyle="1" w:styleId="39">
    <w:name w:val="日期 字符"/>
    <w:basedOn w:val="21"/>
    <w:link w:val="10"/>
    <w:semiHidden/>
    <w:qFormat/>
    <w:uiPriority w:val="99"/>
    <w:rPr>
      <w:rFonts w:ascii="Times New Roman" w:hAnsi="Times New Roman" w:eastAsia="宋体" w:cs="Times New Roman"/>
      <w:kern w:val="0"/>
      <w:sz w:val="20"/>
      <w:szCs w:val="20"/>
      <w:lang w:eastAsia="en-US"/>
    </w:rPr>
  </w:style>
  <w:style w:type="character" w:customStyle="1" w:styleId="40">
    <w:name w:val="标题 1 字符"/>
    <w:basedOn w:val="21"/>
    <w:link w:val="3"/>
    <w:qFormat/>
    <w:uiPriority w:val="0"/>
    <w:rPr>
      <w:rFonts w:ascii="Times New Roman" w:hAnsi="Times New Roman" w:eastAsia="宋体" w:cs="Times New Roman"/>
      <w:b/>
      <w:bCs/>
      <w:kern w:val="44"/>
      <w:sz w:val="44"/>
      <w:szCs w:val="44"/>
    </w:rPr>
  </w:style>
  <w:style w:type="paragraph" w:styleId="41">
    <w:name w:val="List Paragraph"/>
    <w:basedOn w:val="1"/>
    <w:link w:val="49"/>
    <w:qFormat/>
    <w:uiPriority w:val="34"/>
    <w:pPr>
      <w:ind w:firstLine="420" w:firstLineChars="200"/>
    </w:pPr>
  </w:style>
  <w:style w:type="character" w:customStyle="1" w:styleId="42">
    <w:name w:val="脚注文本 字符"/>
    <w:basedOn w:val="21"/>
    <w:link w:val="16"/>
    <w:qFormat/>
    <w:uiPriority w:val="99"/>
    <w:rPr>
      <w:rFonts w:ascii="Times New Roman" w:hAnsi="Times New Roman" w:eastAsia="宋体" w:cs="Times New Roman"/>
      <w:kern w:val="0"/>
      <w:sz w:val="20"/>
      <w:szCs w:val="20"/>
      <w:lang w:val="zh-CN" w:eastAsia="en-US"/>
    </w:rPr>
  </w:style>
  <w:style w:type="character" w:customStyle="1" w:styleId="43">
    <w:name w:val="尾注文本 字符"/>
    <w:basedOn w:val="21"/>
    <w:link w:val="11"/>
    <w:semiHidden/>
    <w:qFormat/>
    <w:uiPriority w:val="99"/>
    <w:rPr>
      <w:rFonts w:ascii="Times New Roman" w:hAnsi="Times New Roman" w:eastAsia="宋体" w:cs="Times New Roman"/>
      <w:kern w:val="0"/>
      <w:sz w:val="20"/>
      <w:szCs w:val="20"/>
      <w:lang w:eastAsia="en-US"/>
    </w:rPr>
  </w:style>
  <w:style w:type="character" w:customStyle="1" w:styleId="44">
    <w:name w:val="批注框文本 字符"/>
    <w:basedOn w:val="21"/>
    <w:link w:val="12"/>
    <w:semiHidden/>
    <w:qFormat/>
    <w:uiPriority w:val="99"/>
    <w:rPr>
      <w:rFonts w:ascii="Times New Roman" w:hAnsi="Times New Roman" w:eastAsia="宋体" w:cs="Times New Roman"/>
      <w:kern w:val="0"/>
      <w:sz w:val="18"/>
      <w:szCs w:val="18"/>
      <w:lang w:eastAsia="en-US"/>
    </w:rPr>
  </w:style>
  <w:style w:type="character" w:customStyle="1" w:styleId="45">
    <w:name w:val="text-minor1"/>
    <w:basedOn w:val="21"/>
    <w:qFormat/>
    <w:uiPriority w:val="0"/>
    <w:rPr>
      <w:color w:val="666666"/>
    </w:rPr>
  </w:style>
  <w:style w:type="paragraph" w:customStyle="1" w:styleId="46">
    <w:name w:val="正文_2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文字 字符"/>
    <w:basedOn w:val="21"/>
    <w:link w:val="7"/>
    <w:semiHidden/>
    <w:qFormat/>
    <w:uiPriority w:val="99"/>
    <w:rPr>
      <w:rFonts w:ascii="Times New Roman" w:hAnsi="Times New Roman" w:eastAsia="宋体" w:cs="Times New Roman"/>
      <w:kern w:val="0"/>
      <w:sz w:val="20"/>
      <w:szCs w:val="20"/>
      <w:lang w:eastAsia="en-US"/>
    </w:rPr>
  </w:style>
  <w:style w:type="character" w:customStyle="1" w:styleId="48">
    <w:name w:val="批注主题 字符"/>
    <w:basedOn w:val="47"/>
    <w:link w:val="18"/>
    <w:semiHidden/>
    <w:qFormat/>
    <w:uiPriority w:val="99"/>
    <w:rPr>
      <w:rFonts w:ascii="Times New Roman" w:hAnsi="Times New Roman" w:eastAsia="宋体" w:cs="Times New Roman"/>
      <w:b/>
      <w:bCs/>
      <w:kern w:val="0"/>
      <w:sz w:val="20"/>
      <w:szCs w:val="20"/>
      <w:lang w:eastAsia="en-US"/>
    </w:rPr>
  </w:style>
  <w:style w:type="character" w:customStyle="1" w:styleId="49">
    <w:name w:val="列出段落 字符"/>
    <w:link w:val="41"/>
    <w:qFormat/>
    <w:uiPriority w:val="34"/>
    <w:rPr>
      <w:rFonts w:ascii="Times New Roman" w:hAnsi="Times New Roman" w:eastAsia="宋体" w:cs="Times New Roman"/>
      <w:kern w:val="0"/>
      <w:sz w:val="20"/>
      <w:szCs w:val="20"/>
      <w:lang w:eastAsia="en-US"/>
    </w:rPr>
  </w:style>
  <w:style w:type="table" w:customStyle="1" w:styleId="50">
    <w:name w:val="网格表 4 - 着色 11"/>
    <w:basedOn w:val="19"/>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51">
    <w:name w:val="select"/>
    <w:basedOn w:val="21"/>
    <w:qFormat/>
    <w:uiPriority w:val="0"/>
  </w:style>
  <w:style w:type="character" w:customStyle="1" w:styleId="52">
    <w:name w:val="ui-icon48"/>
    <w:basedOn w:val="21"/>
    <w:qFormat/>
    <w:uiPriority w:val="0"/>
  </w:style>
  <w:style w:type="character" w:customStyle="1" w:styleId="53">
    <w:name w:val="clear"/>
    <w:basedOn w:val="21"/>
    <w:qFormat/>
    <w:uiPriority w:val="0"/>
  </w:style>
  <w:style w:type="character" w:customStyle="1" w:styleId="54">
    <w:name w:val="comboiconspan"/>
    <w:basedOn w:val="21"/>
    <w:qFormat/>
    <w:uiPriority w:val="0"/>
  </w:style>
  <w:style w:type="character" w:customStyle="1" w:styleId="55">
    <w:name w:val="comboiconspanclear"/>
    <w:basedOn w:val="21"/>
    <w:qFormat/>
    <w:uiPriority w:val="0"/>
  </w:style>
  <w:style w:type="character" w:customStyle="1" w:styleId="56">
    <w:name w:val="font21"/>
    <w:basedOn w:val="21"/>
    <w:uiPriority w:val="0"/>
    <w:rPr>
      <w:rFonts w:hint="eastAsia" w:ascii="宋体" w:hAnsi="宋体" w:eastAsia="宋体" w:cs="宋体"/>
      <w:b/>
      <w:bCs/>
      <w:color w:val="000000"/>
      <w:sz w:val="32"/>
      <w:szCs w:val="32"/>
      <w:u w:val="none"/>
    </w:rPr>
  </w:style>
  <w:style w:type="character" w:customStyle="1" w:styleId="57">
    <w:name w:val="font11"/>
    <w:basedOn w:val="21"/>
    <w:uiPriority w:val="0"/>
    <w:rPr>
      <w:rFonts w:hint="eastAsia" w:ascii="宋体" w:hAnsi="宋体" w:eastAsia="宋体" w:cs="宋体"/>
      <w:color w:val="000000"/>
      <w:sz w:val="22"/>
      <w:szCs w:val="22"/>
      <w:u w:val="none"/>
    </w:rPr>
  </w:style>
  <w:style w:type="character" w:customStyle="1" w:styleId="58">
    <w:name w:val="font71"/>
    <w:basedOn w:val="21"/>
    <w:uiPriority w:val="0"/>
    <w:rPr>
      <w:rFonts w:hint="eastAsia" w:ascii="宋体" w:hAnsi="宋体" w:eastAsia="宋体" w:cs="宋体"/>
      <w:color w:val="FF0000"/>
      <w:sz w:val="22"/>
      <w:szCs w:val="22"/>
      <w:u w:val="none"/>
    </w:rPr>
  </w:style>
  <w:style w:type="character" w:customStyle="1" w:styleId="59">
    <w:name w:val="font31"/>
    <w:basedOn w:val="21"/>
    <w:qFormat/>
    <w:uiPriority w:val="0"/>
    <w:rPr>
      <w:rFonts w:hint="eastAsia" w:ascii="宋体" w:hAnsi="宋体" w:eastAsia="宋体" w:cs="宋体"/>
      <w:color w:val="000000"/>
      <w:sz w:val="22"/>
      <w:szCs w:val="22"/>
      <w:u w:val="none"/>
    </w:rPr>
  </w:style>
  <w:style w:type="character" w:customStyle="1" w:styleId="60">
    <w:name w:val="font81"/>
    <w:basedOn w:val="21"/>
    <w:uiPriority w:val="0"/>
    <w:rPr>
      <w:rFonts w:hint="eastAsia" w:ascii="宋体" w:hAnsi="宋体" w:eastAsia="宋体" w:cs="宋体"/>
      <w:color w:val="000000"/>
      <w:sz w:val="20"/>
      <w:szCs w:val="20"/>
      <w:u w:val="none"/>
    </w:rPr>
  </w:style>
  <w:style w:type="character" w:customStyle="1" w:styleId="61">
    <w:name w:val="font91"/>
    <w:basedOn w:val="21"/>
    <w:uiPriority w:val="0"/>
    <w:rPr>
      <w:rFonts w:hint="eastAsia" w:ascii="宋体" w:hAnsi="宋体" w:eastAsia="宋体" w:cs="宋体"/>
      <w:color w:val="FF0000"/>
      <w:sz w:val="20"/>
      <w:szCs w:val="20"/>
      <w:u w:val="none"/>
    </w:rPr>
  </w:style>
  <w:style w:type="character" w:customStyle="1" w:styleId="62">
    <w:name w:val="DeltaView Insertion"/>
    <w:qFormat/>
    <w:uiPriority w:val="0"/>
    <w:rPr>
      <w:color w:val="0000FF"/>
      <w:spacing w:val="0"/>
      <w:u w:val="doub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11934-64AB-42E5-AF96-B3E390DC3B7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1768</Words>
  <Characters>10079</Characters>
  <Lines>83</Lines>
  <Paragraphs>23</Paragraphs>
  <TotalTime>9</TotalTime>
  <ScaleCrop>false</ScaleCrop>
  <LinksUpToDate>false</LinksUpToDate>
  <CharactersWithSpaces>11824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2023-12-06T08:05:00Z</dcterms:created>
  <dc:creator>魏国华/信息化部/总公司机关/CNOOC</dc:creator>
  <cp:lastModifiedBy>周俊仡</cp:lastModifiedBy>
  <cp:lastPrinted>2020-11-26T01:18:00Z</cp:lastPrinted>
  <dcterms:modified xsi:type="dcterms:W3CDTF">2024-08-12T05:43:43Z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2D50BFBC08AB40C4BF6AD51FA72226B1</vt:lpwstr>
  </property>
</Properties>
</file>