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52"/>
          <w:szCs w:val="52"/>
          <w:highlight w:val="none"/>
          <w:lang w:val="en-GB"/>
        </w:rPr>
      </w:pPr>
      <w:r>
        <w:rPr>
          <w:sz w:val="52"/>
          <w:highlight w:val="none"/>
        </w:rPr>
        <mc:AlternateContent>
          <mc:Choice Requires="wps">
            <w:drawing>
              <wp:anchor distT="0" distB="0" distL="114300" distR="114300" simplePos="0" relativeHeight="251659264" behindDoc="0" locked="0" layoutInCell="1" allowOverlap="1">
                <wp:simplePos x="0" y="0"/>
                <wp:positionH relativeFrom="column">
                  <wp:posOffset>158750</wp:posOffset>
                </wp:positionH>
                <wp:positionV relativeFrom="paragraph">
                  <wp:posOffset>-170180</wp:posOffset>
                </wp:positionV>
                <wp:extent cx="1076325" cy="590550"/>
                <wp:effectExtent l="0" t="0" r="0" b="0"/>
                <wp:wrapNone/>
                <wp:docPr id="1" name="文本框 1"/>
                <wp:cNvGraphicFramePr/>
                <a:graphic xmlns:a="http://schemas.openxmlformats.org/drawingml/2006/main">
                  <a:graphicData uri="http://schemas.microsoft.com/office/word/2010/wordprocessingShape">
                    <wps:wsp>
                      <wps:cNvSpPr txBox="1"/>
                      <wps:spPr>
                        <a:xfrm>
                          <a:off x="1196975" y="734695"/>
                          <a:ext cx="1076325" cy="5905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5pt;margin-top:-13.4pt;height:46.5pt;width:84.75pt;z-index:251659264;mso-width-relative:page;mso-height-relative:page;" filled="f" stroked="f" coordsize="21600,21600" o:gfxdata="UEsDBAoAAAAAAIdO4kAAAAAAAAAAAAAAAAAEAAAAZHJzL1BLAwQUAAAACACHTuJAOkyQAtoAAAAJ&#10;AQAADwAAAGRycy9kb3ducmV2LnhtbE2Py07DMBBF90j8gzVI7FqnFolKiFOhSBUSgkVLN+wm8TSJ&#10;iMchdh/w9bgruhzN1b3nFKuzHcSRJt871rCYJyCIG2d6bjXsPtazJQgfkA0OjknDD3lYlbc3BebG&#10;nXhDx21oRSxhn6OGLoQxl9I3HVn0czcSx9/eTRZDPKdWmglPsdwOUiVJJi32HBc6HKnqqPnaHqyG&#10;12r9jpta2eXvUL287Z/H791nqvX93SJ5AhHoHP7DcMGP6FBGptod2HgxaFBpVAkaZiqLCpfA40MK&#10;otaQZQpkWchrg/IPUEsDBBQAAAAIAIdO4kDmfXCMRAIAAHEEAAAOAAAAZHJzL2Uyb0RvYy54bWyt&#10;VM2O0zAQviPxDpbvNP0vrZquylZFSBW7UkGcXcdpItkeY7tNygPAG3Diwp3n6nMwdtLdsnDYAxd3&#10;7Jl84++bz53f1EqSo7CuBJ3SXqdLidAcslLvU/rxw/rVa0qcZzpjErRI6Uk4erN4+WJemZnoQwEy&#10;E5YgiHazyqS08N7MksTxQijmOmCExmQOVjGPW7tPMssqRFcy6Xe746QCmxkLXDiHp6smSVtE+xxA&#10;yPOSixXwgxLaN6hWSOaRkitK4+gi3jbPBfd3ee6EJzKlyNTHFZtgvAtrspiz2d4yU5S8vQJ7zhWe&#10;cFKs1Nj0AWrFPCMHW/4FpUpuwUHuOxxU0hCJiiCLXveJNtuCGRG5oNTOPIju/h8sf3+8t6TM0AmU&#10;aKZw4Ofv384/fp1/fiW9IE9l3AyrtgbrfP0G6lDanjs8DKzr3Krwi3xIyPem4+lkRMkppZPBcDwd&#10;NTqL2hMe8t3JeNDHPMeC0bQ7GsVBJI9Axjr/VoAiIUipxTlGedlx4zw2x9JLSeirYV1KGWcpNalS&#10;Oh4g5B8Z/EJq/DDQaa4dIl/v6pbLDrITUrTQeMQZvi6x+YY5f88smgItg8/G3+GSS8Am0EaUFGC/&#10;/Os81OOsMEtJhSZLqft8YFZQIt9pnOK0NxwGV8bNcDTp48ZeZ3bXGX1Qt4A+xknh7WIY6r28hLkF&#10;9Qlf1zJ0xRTTHHun1F/CW99YH18nF8tlLEIfGuY3emt4gG5EWx485GVUOsjUaNOqh06MA2hfTbD6&#10;9T5WPf5TLH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OkyQAtoAAAAJAQAADwAAAAAAAAABACAA&#10;AAAiAAAAZHJzL2Rvd25yZXYueG1sUEsBAhQAFAAAAAgAh07iQOZ9cIxEAgAAcQQAAA4AAAAAAAAA&#10;AQAgAAAAKQEAAGRycy9lMm9Eb2MueG1sUEsFBgAAAAAGAAYAWQEAAN8FAAAAAA==&#10;">
                <v:fill on="f" focussize="0,0"/>
                <v:stroke on="f" weight="0.5pt"/>
                <v:imagedata o:title=""/>
                <o:lock v:ext="edit" aspectratio="f"/>
                <v:textbox>
                  <w:txbxContent>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txbxContent>
                </v:textbox>
              </v:shape>
            </w:pict>
          </mc:Fallback>
        </mc:AlternateContent>
      </w:r>
      <w:r>
        <w:rPr>
          <w:b/>
          <w:sz w:val="52"/>
          <w:szCs w:val="52"/>
          <w:highlight w:val="none"/>
          <w:lang w:val="en-GB"/>
        </w:rPr>
        <w:t xml:space="preserve"> </w:t>
      </w:r>
      <w:bookmarkStart w:id="0" w:name="OLE_LINK2"/>
      <w:bookmarkStart w:id="1" w:name="OLE_LINK1"/>
      <w:r>
        <w:rPr>
          <w:b/>
          <w:sz w:val="52"/>
          <w:szCs w:val="52"/>
          <w:highlight w:val="none"/>
          <w:lang w:val="en-GB"/>
        </w:rPr>
        <w:t>采购合同</w:t>
      </w:r>
    </w:p>
    <w:bookmarkEnd w:id="0"/>
    <w:bookmarkEnd w:id="1"/>
    <w:p>
      <w:pPr>
        <w:spacing w:line="360" w:lineRule="auto"/>
        <w:jc w:val="center"/>
        <w:rPr>
          <w:b/>
          <w:sz w:val="40"/>
          <w:szCs w:val="40"/>
          <w:highlight w:val="none"/>
          <w:lang w:val="en-GB"/>
        </w:rPr>
      </w:pPr>
      <w:bookmarkStart w:id="2" w:name="OLE_LINK6"/>
      <w:bookmarkStart w:id="3" w:name="OLE_LINK5"/>
    </w:p>
    <w:bookmarkEnd w:id="2"/>
    <w:bookmarkEnd w:id="3"/>
    <w:p>
      <w:pPr>
        <w:spacing w:line="360" w:lineRule="auto"/>
        <w:jc w:val="center"/>
        <w:rPr>
          <w:b/>
          <w:sz w:val="52"/>
          <w:szCs w:val="52"/>
          <w:highlight w:val="none"/>
          <w:lang w:val="en-GB"/>
        </w:rPr>
      </w:pPr>
    </w:p>
    <w:p>
      <w:pPr>
        <w:spacing w:line="360" w:lineRule="auto"/>
        <w:jc w:val="center"/>
        <w:rPr>
          <w:b/>
          <w:sz w:val="44"/>
          <w:szCs w:val="44"/>
          <w:highlight w:val="none"/>
          <w:lang w:val="en-GB"/>
        </w:rPr>
      </w:pPr>
    </w:p>
    <w:p>
      <w:pPr>
        <w:pStyle w:val="5"/>
        <w:spacing w:line="360" w:lineRule="auto"/>
        <w:rPr>
          <w:bCs/>
          <w:szCs w:val="21"/>
          <w:highlight w:val="none"/>
        </w:rPr>
      </w:pPr>
      <w:r>
        <w:rPr>
          <w:b/>
          <w:bCs/>
          <w:szCs w:val="21"/>
          <w:highlight w:val="none"/>
        </w:rPr>
        <w:t>使用说明：</w:t>
      </w:r>
    </w:p>
    <w:p>
      <w:pPr>
        <w:pStyle w:val="20"/>
        <w:numPr>
          <w:ilvl w:val="0"/>
          <w:numId w:val="1"/>
        </w:numPr>
        <w:spacing w:line="360" w:lineRule="auto"/>
        <w:ind w:left="565" w:hanging="565" w:hangingChars="268"/>
        <w:rPr>
          <w:b/>
          <w:szCs w:val="21"/>
          <w:highlight w:val="none"/>
        </w:rPr>
      </w:pPr>
      <w:r>
        <w:rPr>
          <w:b/>
          <w:szCs w:val="21"/>
          <w:highlight w:val="none"/>
        </w:rPr>
        <w:t>本合同适用于适用中海油服或其分支机构作为买方，购买国内物资；如中海油服为卖方，不应使用本合同文本。</w:t>
      </w:r>
    </w:p>
    <w:p>
      <w:pPr>
        <w:pStyle w:val="20"/>
        <w:numPr>
          <w:ilvl w:val="0"/>
          <w:numId w:val="1"/>
        </w:numPr>
        <w:spacing w:line="360" w:lineRule="auto"/>
        <w:ind w:left="565" w:hanging="565" w:hangingChars="268"/>
        <w:rPr>
          <w:b/>
          <w:szCs w:val="21"/>
          <w:highlight w:val="none"/>
        </w:rPr>
      </w:pPr>
      <w:r>
        <w:rPr>
          <w:b/>
          <w:szCs w:val="21"/>
          <w:highlight w:val="none"/>
        </w:rPr>
        <w:t>使用本合同前，应充分考虑具体交易是否与本合同相匹配。如不匹配，应根据交易的实际情况选择其它合同或另行起草合同；如匹配，则在使用本合同时应根据交易的实际情况确认全部合同条款，并根据需要添加、修改或删除相关条款。</w:t>
      </w:r>
    </w:p>
    <w:p>
      <w:pPr>
        <w:pStyle w:val="20"/>
        <w:numPr>
          <w:ilvl w:val="0"/>
          <w:numId w:val="1"/>
        </w:numPr>
        <w:spacing w:line="360" w:lineRule="auto"/>
        <w:ind w:left="565" w:hanging="565" w:hangingChars="268"/>
        <w:rPr>
          <w:b/>
          <w:szCs w:val="21"/>
          <w:highlight w:val="none"/>
        </w:rPr>
      </w:pPr>
      <w:r>
        <w:rPr>
          <w:b/>
          <w:szCs w:val="21"/>
          <w:highlight w:val="none"/>
        </w:rPr>
        <w:t>对于有选项的合同条款，使用时应删除不需要的选项，保留需要的选项。</w:t>
      </w:r>
    </w:p>
    <w:p>
      <w:pPr>
        <w:pStyle w:val="20"/>
        <w:numPr>
          <w:ilvl w:val="0"/>
          <w:numId w:val="1"/>
        </w:numPr>
        <w:spacing w:line="360" w:lineRule="auto"/>
        <w:ind w:left="565" w:hanging="565" w:hangingChars="268"/>
        <w:rPr>
          <w:b/>
          <w:szCs w:val="21"/>
          <w:highlight w:val="none"/>
        </w:rPr>
      </w:pPr>
      <w:r>
        <w:rPr>
          <w:b/>
          <w:szCs w:val="21"/>
          <w:highlight w:val="none"/>
        </w:rPr>
        <w:t>使用本合同时，应删除本页；如有页数变动，应相应调整页码和目录；合同中的相关注释和括号【】应予以删除，合同相关条款括号【】内规定的日期、期限可根据实际情况进行调整。</w:t>
      </w:r>
    </w:p>
    <w:p>
      <w:pPr>
        <w:pStyle w:val="20"/>
        <w:numPr>
          <w:ilvl w:val="0"/>
          <w:numId w:val="1"/>
        </w:numPr>
        <w:spacing w:line="360" w:lineRule="auto"/>
        <w:ind w:left="565" w:hanging="565" w:hangingChars="268"/>
        <w:rPr>
          <w:b/>
          <w:szCs w:val="21"/>
          <w:highlight w:val="none"/>
        </w:rPr>
      </w:pPr>
      <w:r>
        <w:rPr>
          <w:rFonts w:hint="eastAsia"/>
          <w:b/>
          <w:szCs w:val="21"/>
          <w:highlight w:val="none"/>
        </w:rPr>
        <w:t>本合同中的“甲方”指服务接受方</w:t>
      </w:r>
      <w:r>
        <w:rPr>
          <w:rFonts w:hint="eastAsia"/>
          <w:b/>
          <w:szCs w:val="21"/>
          <w:highlight w:val="none"/>
          <w:lang w:val="en-US" w:eastAsia="zh-CN"/>
        </w:rPr>
        <w:t>/物资购买方</w:t>
      </w:r>
      <w:r>
        <w:rPr>
          <w:rFonts w:hint="eastAsia"/>
          <w:b/>
          <w:szCs w:val="21"/>
          <w:highlight w:val="none"/>
        </w:rPr>
        <w:t>，即中海油服或其分支机构、子公司；“乙方”指服务提供方</w:t>
      </w:r>
      <w:r>
        <w:rPr>
          <w:rFonts w:hint="eastAsia"/>
          <w:b/>
          <w:szCs w:val="21"/>
          <w:highlight w:val="none"/>
          <w:lang w:val="en-US" w:eastAsia="zh-CN"/>
        </w:rPr>
        <w:t>/物资售卖方</w:t>
      </w:r>
      <w:r>
        <w:rPr>
          <w:rFonts w:hint="eastAsia"/>
          <w:b/>
          <w:szCs w:val="21"/>
          <w:highlight w:val="none"/>
          <w:lang w:eastAsia="zh-CN"/>
        </w:rPr>
        <w:t>，</w:t>
      </w:r>
      <w:r>
        <w:rPr>
          <w:rFonts w:hint="eastAsia"/>
          <w:b/>
          <w:szCs w:val="21"/>
          <w:highlight w:val="none"/>
          <w:lang w:val="en-US" w:eastAsia="zh-CN"/>
        </w:rPr>
        <w:t>即供应商</w:t>
      </w:r>
      <w:r>
        <w:rPr>
          <w:rFonts w:hint="eastAsia"/>
          <w:b/>
          <w:szCs w:val="21"/>
          <w:highlight w:val="none"/>
        </w:rPr>
        <w:t>。</w:t>
      </w:r>
    </w:p>
    <w:p>
      <w:pPr>
        <w:pStyle w:val="20"/>
        <w:numPr>
          <w:ilvl w:val="0"/>
          <w:numId w:val="1"/>
        </w:numPr>
        <w:spacing w:line="360" w:lineRule="auto"/>
        <w:ind w:left="565" w:hanging="565" w:hangingChars="268"/>
        <w:rPr>
          <w:b/>
          <w:szCs w:val="21"/>
          <w:highlight w:val="none"/>
        </w:rPr>
      </w:pPr>
      <w:r>
        <w:rPr>
          <w:b/>
          <w:szCs w:val="21"/>
          <w:highlight w:val="none"/>
        </w:rPr>
        <w:t>合同正文以及附件：字体为宋体小四号、1.5倍行距。</w:t>
      </w:r>
    </w:p>
    <w:p>
      <w:pPr>
        <w:pStyle w:val="20"/>
        <w:numPr>
          <w:ilvl w:val="0"/>
          <w:numId w:val="1"/>
        </w:numPr>
        <w:spacing w:line="360" w:lineRule="auto"/>
        <w:ind w:left="565" w:hanging="565" w:hangingChars="268"/>
        <w:rPr>
          <w:b/>
          <w:szCs w:val="21"/>
          <w:highlight w:val="none"/>
        </w:rPr>
      </w:pPr>
      <w:r>
        <w:rPr>
          <w:rFonts w:hint="eastAsia"/>
          <w:b/>
          <w:szCs w:val="21"/>
          <w:highlight w:val="none"/>
        </w:rPr>
        <w:t>本合同中的标记绿色底纹字段为实际使用人员可修改部分</w:t>
      </w:r>
      <w:r>
        <w:rPr>
          <w:rFonts w:hint="eastAsia"/>
          <w:b/>
          <w:szCs w:val="21"/>
          <w:highlight w:val="none"/>
          <w:lang w:eastAsia="zh-CN"/>
        </w:rPr>
        <w:t>。</w:t>
      </w:r>
    </w:p>
    <w:p>
      <w:pPr>
        <w:pStyle w:val="20"/>
        <w:tabs>
          <w:tab w:val="left" w:pos="280"/>
        </w:tabs>
        <w:spacing w:line="360" w:lineRule="auto"/>
        <w:ind w:left="565" w:firstLine="0" w:firstLineChars="0"/>
        <w:rPr>
          <w:b/>
          <w:szCs w:val="21"/>
          <w:highlight w:val="none"/>
        </w:rPr>
      </w:pPr>
    </w:p>
    <w:p>
      <w:pPr>
        <w:pStyle w:val="20"/>
        <w:tabs>
          <w:tab w:val="left" w:pos="280"/>
        </w:tabs>
        <w:spacing w:line="360" w:lineRule="auto"/>
        <w:ind w:left="0" w:firstLine="0" w:firstLineChars="0"/>
        <w:rPr>
          <w:b/>
          <w:szCs w:val="21"/>
          <w:highlight w:val="none"/>
        </w:rPr>
        <w:sectPr>
          <w:headerReference r:id="rId3" w:type="default"/>
          <w:pgSz w:w="11906" w:h="16838"/>
          <w:pgMar w:top="1157" w:right="1123" w:bottom="1043" w:left="1463" w:header="851" w:footer="1418" w:gutter="0"/>
          <w:pgNumType w:start="1"/>
          <w:cols w:space="425" w:num="1"/>
          <w:docGrid w:type="lines" w:linePitch="312" w:charSpace="0"/>
        </w:sectPr>
      </w:pPr>
    </w:p>
    <w:p>
      <w:pPr>
        <w:spacing w:line="360" w:lineRule="auto"/>
        <w:jc w:val="center"/>
        <w:rPr>
          <w:b/>
          <w:sz w:val="52"/>
          <w:szCs w:val="52"/>
          <w:highlight w:val="none"/>
          <w:lang w:val="en-GB"/>
        </w:rPr>
      </w:pPr>
    </w:p>
    <w:p>
      <w:pPr>
        <w:spacing w:line="360" w:lineRule="auto"/>
        <w:jc w:val="center"/>
        <w:rPr>
          <w:b/>
          <w:sz w:val="52"/>
          <w:szCs w:val="52"/>
          <w:highlight w:val="none"/>
          <w:lang w:val="en-GB"/>
        </w:rPr>
      </w:pPr>
      <w:r>
        <w:rPr>
          <w:b/>
          <w:sz w:val="52"/>
          <w:szCs w:val="52"/>
          <w:highlight w:val="none"/>
          <w:lang w:val="en-GB"/>
        </w:rPr>
        <w:t>采购合同</w:t>
      </w:r>
    </w:p>
    <w:p>
      <w:pPr>
        <w:pStyle w:val="22"/>
        <w:spacing w:line="360" w:lineRule="auto"/>
        <w:rPr>
          <w:b/>
          <w:bCs/>
          <w:highlight w:val="none"/>
          <w:lang w:eastAsia="zh-CN"/>
        </w:rPr>
      </w:pPr>
    </w:p>
    <w:p>
      <w:pPr>
        <w:pStyle w:val="22"/>
        <w:spacing w:line="360" w:lineRule="auto"/>
        <w:jc w:val="center"/>
        <w:rPr>
          <w:b/>
          <w:bCs/>
          <w:highlight w:val="darkGreen"/>
          <w:lang w:eastAsia="zh-CN"/>
        </w:rPr>
      </w:pPr>
      <w:r>
        <w:rPr>
          <w:b/>
          <w:bCs/>
          <w:highlight w:val="darkGreen"/>
          <w:lang w:eastAsia="zh-CN"/>
        </w:rPr>
        <w:t>（【货物或项目名称】）</w:t>
      </w:r>
    </w:p>
    <w:p>
      <w:pPr>
        <w:pStyle w:val="22"/>
        <w:spacing w:line="360" w:lineRule="auto"/>
        <w:jc w:val="center"/>
        <w:rPr>
          <w:b/>
          <w:bCs/>
          <w:highlight w:val="green"/>
          <w:lang w:eastAsia="zh-CN"/>
        </w:rPr>
      </w:pPr>
    </w:p>
    <w:p>
      <w:pPr>
        <w:pStyle w:val="22"/>
        <w:spacing w:line="360" w:lineRule="auto"/>
        <w:jc w:val="center"/>
        <w:rPr>
          <w:b/>
          <w:bCs/>
          <w:highlight w:val="green"/>
          <w:lang w:eastAsia="zh-CN"/>
        </w:rPr>
      </w:pPr>
    </w:p>
    <w:p>
      <w:pPr>
        <w:pStyle w:val="22"/>
        <w:spacing w:line="360" w:lineRule="auto"/>
        <w:jc w:val="center"/>
        <w:rPr>
          <w:b/>
          <w:bCs/>
          <w:highlight w:val="green"/>
          <w:lang w:eastAsia="zh-CN"/>
        </w:rPr>
      </w:pPr>
    </w:p>
    <w:p>
      <w:pPr>
        <w:pStyle w:val="22"/>
        <w:spacing w:line="360" w:lineRule="auto"/>
        <w:jc w:val="center"/>
        <w:rPr>
          <w:b/>
          <w:bCs/>
          <w:highlight w:val="green"/>
          <w:lang w:eastAsia="zh-CN"/>
        </w:rPr>
      </w:pPr>
    </w:p>
    <w:p>
      <w:pPr>
        <w:pStyle w:val="22"/>
        <w:spacing w:line="360" w:lineRule="auto"/>
        <w:jc w:val="center"/>
        <w:rPr>
          <w:b/>
          <w:bCs/>
          <w:highlight w:val="green"/>
          <w:lang w:eastAsia="zh-CN"/>
        </w:rPr>
      </w:pPr>
    </w:p>
    <w:p>
      <w:pPr>
        <w:pStyle w:val="22"/>
        <w:spacing w:line="360" w:lineRule="auto"/>
        <w:jc w:val="center"/>
        <w:rPr>
          <w:b/>
          <w:bCs/>
          <w:highlight w:val="green"/>
          <w:lang w:eastAsia="zh-CN"/>
        </w:rPr>
      </w:pPr>
    </w:p>
    <w:p>
      <w:pPr>
        <w:pStyle w:val="22"/>
        <w:spacing w:line="360" w:lineRule="auto"/>
        <w:jc w:val="center"/>
        <w:rPr>
          <w:b/>
          <w:bCs/>
          <w:highlight w:val="darkGreen"/>
          <w:lang w:eastAsia="zh-CN"/>
        </w:rPr>
      </w:pPr>
      <w:r>
        <w:rPr>
          <w:b/>
          <w:bCs/>
          <w:highlight w:val="darkGreen"/>
          <w:lang w:eastAsia="zh-CN"/>
        </w:rPr>
        <w:t>由</w:t>
      </w:r>
    </w:p>
    <w:p>
      <w:pPr>
        <w:pStyle w:val="22"/>
        <w:spacing w:line="360" w:lineRule="auto"/>
        <w:jc w:val="right"/>
        <w:rPr>
          <w:b/>
          <w:bCs/>
          <w:highlight w:val="darkGreen"/>
          <w:lang w:eastAsia="zh-CN"/>
        </w:rPr>
      </w:pPr>
    </w:p>
    <w:p>
      <w:pPr>
        <w:pStyle w:val="22"/>
        <w:spacing w:line="360" w:lineRule="auto"/>
        <w:jc w:val="center"/>
        <w:rPr>
          <w:b/>
          <w:bCs/>
          <w:highlight w:val="darkGreen"/>
          <w:lang w:eastAsia="zh-CN"/>
        </w:rPr>
      </w:pPr>
      <w:r>
        <w:rPr>
          <w:b/>
          <w:bCs/>
          <w:highlight w:val="darkGreen"/>
          <w:lang w:eastAsia="zh-CN"/>
        </w:rPr>
        <w:t>买方：______________________________</w:t>
      </w:r>
    </w:p>
    <w:p>
      <w:pPr>
        <w:pStyle w:val="22"/>
        <w:spacing w:line="360" w:lineRule="auto"/>
        <w:rPr>
          <w:b/>
          <w:bCs/>
          <w:highlight w:val="darkGreen"/>
          <w:lang w:eastAsia="zh-CN"/>
        </w:rPr>
      </w:pPr>
    </w:p>
    <w:p>
      <w:pPr>
        <w:pStyle w:val="22"/>
        <w:spacing w:line="360" w:lineRule="auto"/>
        <w:jc w:val="center"/>
        <w:rPr>
          <w:b/>
          <w:bCs/>
          <w:highlight w:val="darkGreen"/>
          <w:lang w:eastAsia="zh-CN"/>
        </w:rPr>
      </w:pPr>
      <w:r>
        <w:rPr>
          <w:b/>
          <w:bCs/>
          <w:highlight w:val="darkGreen"/>
          <w:lang w:eastAsia="zh-CN"/>
        </w:rPr>
        <w:t>和</w:t>
      </w:r>
    </w:p>
    <w:p>
      <w:pPr>
        <w:pStyle w:val="22"/>
        <w:spacing w:line="360" w:lineRule="auto"/>
        <w:rPr>
          <w:b/>
          <w:bCs/>
          <w:highlight w:val="darkGreen"/>
          <w:lang w:eastAsia="zh-CN"/>
        </w:rPr>
      </w:pPr>
    </w:p>
    <w:p>
      <w:pPr>
        <w:pStyle w:val="22"/>
        <w:spacing w:line="360" w:lineRule="auto"/>
        <w:jc w:val="center"/>
        <w:rPr>
          <w:b/>
          <w:bCs/>
          <w:highlight w:val="darkGreen"/>
          <w:lang w:eastAsia="zh-CN"/>
        </w:rPr>
      </w:pPr>
      <w:r>
        <w:rPr>
          <w:b/>
          <w:bCs/>
          <w:highlight w:val="darkGreen"/>
          <w:lang w:eastAsia="zh-CN"/>
        </w:rPr>
        <w:t>卖方：______________________________</w:t>
      </w:r>
    </w:p>
    <w:p>
      <w:pPr>
        <w:pStyle w:val="22"/>
        <w:spacing w:line="360" w:lineRule="auto"/>
        <w:jc w:val="center"/>
        <w:rPr>
          <w:b/>
          <w:bCs/>
          <w:highlight w:val="green"/>
          <w:lang w:eastAsia="zh-CN"/>
        </w:rPr>
      </w:pPr>
    </w:p>
    <w:p>
      <w:pPr>
        <w:pStyle w:val="22"/>
        <w:spacing w:line="360" w:lineRule="auto"/>
        <w:rPr>
          <w:b/>
          <w:bCs/>
          <w:highlight w:val="none"/>
          <w:lang w:eastAsia="zh-CN"/>
        </w:rPr>
      </w:pPr>
    </w:p>
    <w:p>
      <w:pPr>
        <w:pStyle w:val="22"/>
        <w:spacing w:line="360" w:lineRule="auto"/>
        <w:jc w:val="center"/>
        <w:rPr>
          <w:b/>
          <w:bCs/>
          <w:highlight w:val="none"/>
          <w:lang w:eastAsia="zh-CN"/>
        </w:rPr>
      </w:pPr>
    </w:p>
    <w:p>
      <w:pPr>
        <w:pStyle w:val="22"/>
        <w:spacing w:line="360" w:lineRule="auto"/>
        <w:jc w:val="center"/>
        <w:rPr>
          <w:b/>
          <w:bCs/>
          <w:highlight w:val="none"/>
          <w:lang w:eastAsia="zh-CN"/>
        </w:rPr>
      </w:pPr>
    </w:p>
    <w:p>
      <w:pPr>
        <w:pStyle w:val="22"/>
        <w:spacing w:line="360" w:lineRule="auto"/>
        <w:jc w:val="center"/>
        <w:rPr>
          <w:b/>
          <w:bCs/>
          <w:highlight w:val="none"/>
          <w:lang w:eastAsia="zh-CN"/>
        </w:rPr>
      </w:pPr>
    </w:p>
    <w:p>
      <w:pPr>
        <w:pStyle w:val="22"/>
        <w:spacing w:line="360" w:lineRule="auto"/>
        <w:jc w:val="center"/>
        <w:rPr>
          <w:b/>
          <w:bCs/>
          <w:highlight w:val="none"/>
          <w:lang w:eastAsia="zh-CN"/>
        </w:rPr>
      </w:pPr>
    </w:p>
    <w:p>
      <w:pPr>
        <w:pStyle w:val="22"/>
        <w:spacing w:line="360" w:lineRule="auto"/>
        <w:jc w:val="center"/>
        <w:rPr>
          <w:b/>
          <w:bCs/>
          <w:highlight w:val="none"/>
          <w:lang w:eastAsia="zh-CN"/>
        </w:rPr>
      </w:pPr>
    </w:p>
    <w:p>
      <w:pPr>
        <w:spacing w:line="360" w:lineRule="auto"/>
        <w:ind w:firstLine="2047" w:firstLineChars="975"/>
        <w:rPr>
          <w:highlight w:val="darkGreen"/>
          <w:u w:val="single"/>
        </w:rPr>
      </w:pPr>
      <w:r>
        <w:rPr>
          <w:highlight w:val="none"/>
        </w:rPr>
        <w:t>签订地点：</w:t>
      </w:r>
      <w:r>
        <w:rPr>
          <w:highlight w:val="darkGreen"/>
          <w:u w:val="single"/>
        </w:rPr>
        <w:t xml:space="preserve">                               </w:t>
      </w:r>
    </w:p>
    <w:p>
      <w:pPr>
        <w:spacing w:line="360" w:lineRule="auto"/>
        <w:ind w:firstLine="2047" w:firstLineChars="975"/>
        <w:rPr>
          <w:highlight w:val="darkGreen"/>
          <w:u w:val="single"/>
        </w:rPr>
      </w:pPr>
      <w:r>
        <w:rPr>
          <w:highlight w:val="none"/>
        </w:rPr>
        <w:t>签订时间：</w:t>
      </w:r>
      <w:r>
        <w:rPr>
          <w:highlight w:val="darkGreen"/>
          <w:u w:val="single"/>
        </w:rPr>
        <w:t xml:space="preserve">                               </w:t>
      </w:r>
    </w:p>
    <w:p>
      <w:pPr>
        <w:pStyle w:val="22"/>
        <w:spacing w:line="360" w:lineRule="auto"/>
        <w:jc w:val="center"/>
        <w:rPr>
          <w:b/>
          <w:bCs/>
          <w:highlight w:val="none"/>
          <w:lang w:eastAsia="zh-CN"/>
        </w:rPr>
      </w:pPr>
    </w:p>
    <w:p>
      <w:pPr>
        <w:widowControl/>
        <w:spacing w:line="360" w:lineRule="auto"/>
        <w:jc w:val="left"/>
        <w:rPr>
          <w:highlight w:val="none"/>
        </w:rPr>
      </w:pPr>
      <w:r>
        <w:rPr>
          <w:highlight w:val="none"/>
        </w:rPr>
        <w:br w:type="page"/>
      </w:r>
    </w:p>
    <w:sdt>
      <w:sdtPr>
        <w:rPr>
          <w:rFonts w:ascii="Times New Roman" w:hAnsi="Times New Roman" w:eastAsia="宋体" w:cs="Times New Roman"/>
          <w:color w:val="auto"/>
          <w:kern w:val="2"/>
          <w:sz w:val="21"/>
          <w:szCs w:val="20"/>
          <w:highlight w:val="none"/>
          <w:lang w:val="zh-CN"/>
        </w:rPr>
        <w:id w:val="520208359"/>
        <w:docPartObj>
          <w:docPartGallery w:val="Table of Contents"/>
          <w:docPartUnique/>
        </w:docPartObj>
      </w:sdtPr>
      <w:sdtEndPr>
        <w:rPr>
          <w:rFonts w:ascii="Times New Roman" w:hAnsi="Times New Roman" w:cs="Times New Roman" w:eastAsiaTheme="minorEastAsia"/>
          <w:b/>
          <w:bCs/>
          <w:color w:val="auto"/>
          <w:kern w:val="2"/>
          <w:sz w:val="24"/>
          <w:szCs w:val="24"/>
          <w:highlight w:val="none"/>
          <w:lang w:val="zh-CN"/>
        </w:rPr>
      </w:sdtEndPr>
      <w:sdtContent>
        <w:p>
          <w:pPr>
            <w:pStyle w:val="31"/>
            <w:jc w:val="center"/>
            <w:rPr>
              <w:rFonts w:ascii="Times New Roman" w:hAnsi="Times New Roman" w:cs="Times New Roman" w:eastAsiaTheme="minorEastAsia"/>
              <w:b/>
              <w:color w:val="000000" w:themeColor="text1"/>
              <w:highlight w:val="none"/>
              <w14:textFill>
                <w14:solidFill>
                  <w14:schemeClr w14:val="tx1"/>
                </w14:solidFill>
              </w14:textFill>
            </w:rPr>
          </w:pPr>
          <w:r>
            <w:rPr>
              <w:rFonts w:ascii="Times New Roman" w:hAnsi="Times New Roman" w:cs="Times New Roman" w:eastAsiaTheme="minorEastAsia"/>
              <w:b/>
              <w:color w:val="000000" w:themeColor="text1"/>
              <w:highlight w:val="none"/>
              <w:lang w:val="zh-CN"/>
              <w14:textFill>
                <w14:solidFill>
                  <w14:schemeClr w14:val="tx1"/>
                </w14:solidFill>
              </w14:textFill>
            </w:rPr>
            <w:t>目录</w:t>
          </w:r>
        </w:p>
        <w:p>
          <w:pPr>
            <w:pStyle w:val="11"/>
            <w:tabs>
              <w:tab w:val="left" w:pos="1050"/>
              <w:tab w:val="right" w:leader="dot" w:pos="8777"/>
            </w:tabs>
            <w:spacing w:line="355" w:lineRule="auto"/>
            <w:rPr>
              <w:rFonts w:eastAsiaTheme="minorEastAsia"/>
              <w:sz w:val="24"/>
              <w:szCs w:val="24"/>
              <w:highlight w:val="none"/>
            </w:rPr>
          </w:pPr>
          <w:r>
            <w:rPr>
              <w:rFonts w:eastAsiaTheme="minorEastAsia"/>
              <w:sz w:val="24"/>
              <w:szCs w:val="24"/>
              <w:highlight w:val="none"/>
            </w:rPr>
            <w:fldChar w:fldCharType="begin"/>
          </w:r>
          <w:r>
            <w:rPr>
              <w:rFonts w:eastAsiaTheme="minorEastAsia"/>
              <w:sz w:val="24"/>
              <w:szCs w:val="24"/>
              <w:highlight w:val="none"/>
            </w:rPr>
            <w:instrText xml:space="preserve"> TOC \o "1-3" \h \z \u </w:instrText>
          </w:r>
          <w:r>
            <w:rPr>
              <w:rFonts w:eastAsiaTheme="minorEastAsia"/>
              <w:sz w:val="24"/>
              <w:szCs w:val="24"/>
              <w:highlight w:val="none"/>
            </w:rPr>
            <w:fldChar w:fldCharType="separate"/>
          </w:r>
          <w:r>
            <w:rPr>
              <w:highlight w:val="none"/>
            </w:rPr>
            <w:fldChar w:fldCharType="begin"/>
          </w:r>
          <w:r>
            <w:rPr>
              <w:highlight w:val="none"/>
            </w:rPr>
            <w:instrText xml:space="preserve"> HYPERLINK \l "_Toc152602300" </w:instrText>
          </w:r>
          <w:r>
            <w:rPr>
              <w:highlight w:val="none"/>
            </w:rPr>
            <w:fldChar w:fldCharType="separate"/>
          </w:r>
          <w:r>
            <w:rPr>
              <w:rStyle w:val="17"/>
              <w:rFonts w:eastAsiaTheme="minorEastAsia"/>
              <w:iCs/>
              <w:sz w:val="24"/>
              <w:szCs w:val="24"/>
              <w:highlight w:val="none"/>
            </w:rPr>
            <w:t>第一条</w:t>
          </w:r>
          <w:r>
            <w:rPr>
              <w:rFonts w:eastAsiaTheme="minorEastAsia"/>
              <w:sz w:val="24"/>
              <w:szCs w:val="24"/>
              <w:highlight w:val="none"/>
            </w:rPr>
            <w:tab/>
          </w:r>
          <w:r>
            <w:rPr>
              <w:rStyle w:val="17"/>
              <w:rFonts w:eastAsiaTheme="minorEastAsia"/>
              <w:iCs/>
              <w:sz w:val="24"/>
              <w:szCs w:val="24"/>
              <w:highlight w:val="none"/>
            </w:rPr>
            <w:t>合同标的</w:t>
          </w:r>
          <w:r>
            <w:rPr>
              <w:rFonts w:eastAsiaTheme="minorEastAsia"/>
              <w:sz w:val="24"/>
              <w:szCs w:val="24"/>
              <w:highlight w:val="none"/>
            </w:rPr>
            <w:tab/>
          </w:r>
          <w:r>
            <w:rPr>
              <w:rFonts w:eastAsiaTheme="minorEastAsia"/>
              <w:sz w:val="24"/>
              <w:szCs w:val="24"/>
              <w:highlight w:val="none"/>
            </w:rPr>
            <w:fldChar w:fldCharType="begin"/>
          </w:r>
          <w:r>
            <w:rPr>
              <w:rFonts w:eastAsiaTheme="minorEastAsia"/>
              <w:sz w:val="24"/>
              <w:szCs w:val="24"/>
              <w:highlight w:val="none"/>
            </w:rPr>
            <w:instrText xml:space="preserve"> PAGEREF _Toc152602300 \h </w:instrText>
          </w:r>
          <w:r>
            <w:rPr>
              <w:rFonts w:eastAsiaTheme="minorEastAsia"/>
              <w:sz w:val="24"/>
              <w:szCs w:val="24"/>
              <w:highlight w:val="none"/>
            </w:rPr>
            <w:fldChar w:fldCharType="separate"/>
          </w:r>
          <w:r>
            <w:rPr>
              <w:rFonts w:eastAsiaTheme="minorEastAsia"/>
              <w:sz w:val="24"/>
              <w:szCs w:val="24"/>
              <w:highlight w:val="none"/>
            </w:rPr>
            <w:t>1</w:t>
          </w:r>
          <w:r>
            <w:rPr>
              <w:rFonts w:eastAsiaTheme="minorEastAsia"/>
              <w:sz w:val="24"/>
              <w:szCs w:val="24"/>
              <w:highlight w:val="none"/>
            </w:rPr>
            <w:fldChar w:fldCharType="end"/>
          </w:r>
          <w:r>
            <w:rPr>
              <w:rFonts w:eastAsiaTheme="minorEastAsia"/>
              <w:sz w:val="24"/>
              <w:szCs w:val="24"/>
              <w:highlight w:val="none"/>
            </w:rPr>
            <w:fldChar w:fldCharType="end"/>
          </w:r>
        </w:p>
        <w:p>
          <w:pPr>
            <w:pStyle w:val="11"/>
            <w:tabs>
              <w:tab w:val="left" w:pos="1050"/>
              <w:tab w:val="right" w:leader="dot" w:pos="8777"/>
            </w:tabs>
            <w:spacing w:line="355" w:lineRule="auto"/>
            <w:rPr>
              <w:rFonts w:eastAsiaTheme="minorEastAsia"/>
              <w:sz w:val="24"/>
              <w:szCs w:val="24"/>
              <w:highlight w:val="none"/>
            </w:rPr>
          </w:pPr>
          <w:r>
            <w:rPr>
              <w:highlight w:val="none"/>
            </w:rPr>
            <w:fldChar w:fldCharType="begin"/>
          </w:r>
          <w:r>
            <w:rPr>
              <w:highlight w:val="none"/>
            </w:rPr>
            <w:instrText xml:space="preserve"> HYPERLINK \l "_Toc152602301" </w:instrText>
          </w:r>
          <w:r>
            <w:rPr>
              <w:highlight w:val="none"/>
            </w:rPr>
            <w:fldChar w:fldCharType="separate"/>
          </w:r>
          <w:r>
            <w:rPr>
              <w:rStyle w:val="17"/>
              <w:rFonts w:eastAsiaTheme="minorEastAsia"/>
              <w:iCs/>
              <w:sz w:val="24"/>
              <w:szCs w:val="24"/>
              <w:highlight w:val="none"/>
            </w:rPr>
            <w:t>第二条</w:t>
          </w:r>
          <w:r>
            <w:rPr>
              <w:rFonts w:eastAsiaTheme="minorEastAsia"/>
              <w:sz w:val="24"/>
              <w:szCs w:val="24"/>
              <w:highlight w:val="none"/>
            </w:rPr>
            <w:tab/>
          </w:r>
          <w:r>
            <w:rPr>
              <w:rStyle w:val="17"/>
              <w:rFonts w:eastAsiaTheme="minorEastAsia"/>
              <w:iCs/>
              <w:sz w:val="24"/>
              <w:szCs w:val="24"/>
              <w:highlight w:val="none"/>
            </w:rPr>
            <w:t>合同价款</w:t>
          </w:r>
          <w:r>
            <w:rPr>
              <w:rFonts w:eastAsiaTheme="minorEastAsia"/>
              <w:sz w:val="24"/>
              <w:szCs w:val="24"/>
              <w:highlight w:val="none"/>
            </w:rPr>
            <w:tab/>
          </w:r>
          <w:r>
            <w:rPr>
              <w:rFonts w:eastAsiaTheme="minorEastAsia"/>
              <w:sz w:val="24"/>
              <w:szCs w:val="24"/>
              <w:highlight w:val="none"/>
            </w:rPr>
            <w:fldChar w:fldCharType="begin"/>
          </w:r>
          <w:r>
            <w:rPr>
              <w:rFonts w:eastAsiaTheme="minorEastAsia"/>
              <w:sz w:val="24"/>
              <w:szCs w:val="24"/>
              <w:highlight w:val="none"/>
            </w:rPr>
            <w:instrText xml:space="preserve"> PAGEREF _Toc152602301 \h </w:instrText>
          </w:r>
          <w:r>
            <w:rPr>
              <w:rFonts w:eastAsiaTheme="minorEastAsia"/>
              <w:sz w:val="24"/>
              <w:szCs w:val="24"/>
              <w:highlight w:val="none"/>
            </w:rPr>
            <w:fldChar w:fldCharType="separate"/>
          </w:r>
          <w:r>
            <w:rPr>
              <w:rFonts w:eastAsiaTheme="minorEastAsia"/>
              <w:sz w:val="24"/>
              <w:szCs w:val="24"/>
              <w:highlight w:val="none"/>
            </w:rPr>
            <w:t>2</w:t>
          </w:r>
          <w:r>
            <w:rPr>
              <w:rFonts w:eastAsiaTheme="minorEastAsia"/>
              <w:sz w:val="24"/>
              <w:szCs w:val="24"/>
              <w:highlight w:val="none"/>
            </w:rPr>
            <w:fldChar w:fldCharType="end"/>
          </w:r>
          <w:r>
            <w:rPr>
              <w:rFonts w:eastAsiaTheme="minorEastAsia"/>
              <w:sz w:val="24"/>
              <w:szCs w:val="24"/>
              <w:highlight w:val="none"/>
            </w:rPr>
            <w:fldChar w:fldCharType="end"/>
          </w:r>
        </w:p>
        <w:p>
          <w:pPr>
            <w:pStyle w:val="11"/>
            <w:tabs>
              <w:tab w:val="left" w:pos="1050"/>
              <w:tab w:val="right" w:leader="dot" w:pos="8777"/>
            </w:tabs>
            <w:spacing w:line="355" w:lineRule="auto"/>
            <w:rPr>
              <w:rFonts w:eastAsiaTheme="minorEastAsia"/>
              <w:sz w:val="24"/>
              <w:szCs w:val="24"/>
              <w:highlight w:val="none"/>
            </w:rPr>
          </w:pPr>
          <w:r>
            <w:rPr>
              <w:highlight w:val="none"/>
            </w:rPr>
            <w:fldChar w:fldCharType="begin"/>
          </w:r>
          <w:r>
            <w:rPr>
              <w:highlight w:val="none"/>
            </w:rPr>
            <w:instrText xml:space="preserve"> HYPERLINK \l "_Toc152602305" </w:instrText>
          </w:r>
          <w:r>
            <w:rPr>
              <w:highlight w:val="none"/>
            </w:rPr>
            <w:fldChar w:fldCharType="separate"/>
          </w:r>
          <w:r>
            <w:rPr>
              <w:rStyle w:val="17"/>
              <w:rFonts w:eastAsiaTheme="minorEastAsia"/>
              <w:iCs/>
              <w:sz w:val="24"/>
              <w:szCs w:val="24"/>
              <w:highlight w:val="none"/>
            </w:rPr>
            <w:t>第三条</w:t>
          </w:r>
          <w:r>
            <w:rPr>
              <w:rFonts w:eastAsiaTheme="minorEastAsia"/>
              <w:sz w:val="24"/>
              <w:szCs w:val="24"/>
              <w:highlight w:val="none"/>
            </w:rPr>
            <w:tab/>
          </w:r>
          <w:r>
            <w:rPr>
              <w:rStyle w:val="17"/>
              <w:rFonts w:eastAsiaTheme="minorEastAsia"/>
              <w:iCs/>
              <w:sz w:val="24"/>
              <w:szCs w:val="24"/>
              <w:highlight w:val="none"/>
            </w:rPr>
            <w:t>包装</w:t>
          </w:r>
          <w:r>
            <w:rPr>
              <w:rFonts w:eastAsiaTheme="minorEastAsia"/>
              <w:sz w:val="24"/>
              <w:szCs w:val="24"/>
              <w:highlight w:val="none"/>
            </w:rPr>
            <w:tab/>
          </w:r>
          <w:r>
            <w:rPr>
              <w:rFonts w:eastAsiaTheme="minorEastAsia"/>
              <w:sz w:val="24"/>
              <w:szCs w:val="24"/>
              <w:highlight w:val="none"/>
            </w:rPr>
            <w:fldChar w:fldCharType="begin"/>
          </w:r>
          <w:r>
            <w:rPr>
              <w:rFonts w:eastAsiaTheme="minorEastAsia"/>
              <w:sz w:val="24"/>
              <w:szCs w:val="24"/>
              <w:highlight w:val="none"/>
            </w:rPr>
            <w:instrText xml:space="preserve"> PAGEREF _Toc152602305 \h </w:instrText>
          </w:r>
          <w:r>
            <w:rPr>
              <w:rFonts w:eastAsiaTheme="minorEastAsia"/>
              <w:sz w:val="24"/>
              <w:szCs w:val="24"/>
              <w:highlight w:val="none"/>
            </w:rPr>
            <w:fldChar w:fldCharType="separate"/>
          </w:r>
          <w:r>
            <w:rPr>
              <w:rFonts w:eastAsiaTheme="minorEastAsia"/>
              <w:sz w:val="24"/>
              <w:szCs w:val="24"/>
              <w:highlight w:val="none"/>
            </w:rPr>
            <w:t>3</w:t>
          </w:r>
          <w:r>
            <w:rPr>
              <w:rFonts w:eastAsiaTheme="minorEastAsia"/>
              <w:sz w:val="24"/>
              <w:szCs w:val="24"/>
              <w:highlight w:val="none"/>
            </w:rPr>
            <w:fldChar w:fldCharType="end"/>
          </w:r>
          <w:r>
            <w:rPr>
              <w:rFonts w:eastAsiaTheme="minorEastAsia"/>
              <w:sz w:val="24"/>
              <w:szCs w:val="24"/>
              <w:highlight w:val="none"/>
            </w:rPr>
            <w:fldChar w:fldCharType="end"/>
          </w:r>
        </w:p>
        <w:p>
          <w:pPr>
            <w:pStyle w:val="11"/>
            <w:tabs>
              <w:tab w:val="left" w:pos="1050"/>
              <w:tab w:val="right" w:leader="dot" w:pos="8777"/>
            </w:tabs>
            <w:spacing w:line="355" w:lineRule="auto"/>
            <w:rPr>
              <w:rFonts w:eastAsiaTheme="minorEastAsia"/>
              <w:sz w:val="24"/>
              <w:szCs w:val="24"/>
              <w:highlight w:val="none"/>
            </w:rPr>
          </w:pPr>
          <w:r>
            <w:rPr>
              <w:highlight w:val="none"/>
            </w:rPr>
            <w:fldChar w:fldCharType="begin"/>
          </w:r>
          <w:r>
            <w:rPr>
              <w:highlight w:val="none"/>
            </w:rPr>
            <w:instrText xml:space="preserve"> HYPERLINK \l "_Toc152602307" </w:instrText>
          </w:r>
          <w:r>
            <w:rPr>
              <w:highlight w:val="none"/>
            </w:rPr>
            <w:fldChar w:fldCharType="separate"/>
          </w:r>
          <w:r>
            <w:rPr>
              <w:rStyle w:val="17"/>
              <w:rFonts w:eastAsiaTheme="minorEastAsia"/>
              <w:iCs/>
              <w:sz w:val="24"/>
              <w:szCs w:val="24"/>
              <w:highlight w:val="none"/>
            </w:rPr>
            <w:t>第四条</w:t>
          </w:r>
          <w:r>
            <w:rPr>
              <w:rFonts w:eastAsiaTheme="minorEastAsia"/>
              <w:sz w:val="24"/>
              <w:szCs w:val="24"/>
              <w:highlight w:val="none"/>
            </w:rPr>
            <w:tab/>
          </w:r>
          <w:r>
            <w:rPr>
              <w:rStyle w:val="17"/>
              <w:rFonts w:eastAsiaTheme="minorEastAsia"/>
              <w:iCs/>
              <w:sz w:val="24"/>
              <w:szCs w:val="24"/>
              <w:highlight w:val="none"/>
            </w:rPr>
            <w:t>运输方式</w:t>
          </w:r>
          <w:r>
            <w:rPr>
              <w:rFonts w:eastAsiaTheme="minorEastAsia"/>
              <w:sz w:val="24"/>
              <w:szCs w:val="24"/>
              <w:highlight w:val="none"/>
            </w:rPr>
            <w:tab/>
          </w:r>
          <w:r>
            <w:rPr>
              <w:rFonts w:eastAsiaTheme="minorEastAsia"/>
              <w:sz w:val="24"/>
              <w:szCs w:val="24"/>
              <w:highlight w:val="none"/>
            </w:rPr>
            <w:fldChar w:fldCharType="begin"/>
          </w:r>
          <w:r>
            <w:rPr>
              <w:rFonts w:eastAsiaTheme="minorEastAsia"/>
              <w:sz w:val="24"/>
              <w:szCs w:val="24"/>
              <w:highlight w:val="none"/>
            </w:rPr>
            <w:instrText xml:space="preserve"> PAGEREF _Toc152602307 \h </w:instrText>
          </w:r>
          <w:r>
            <w:rPr>
              <w:rFonts w:eastAsiaTheme="minorEastAsia"/>
              <w:sz w:val="24"/>
              <w:szCs w:val="24"/>
              <w:highlight w:val="none"/>
            </w:rPr>
            <w:fldChar w:fldCharType="separate"/>
          </w:r>
          <w:r>
            <w:rPr>
              <w:rFonts w:eastAsiaTheme="minorEastAsia"/>
              <w:sz w:val="24"/>
              <w:szCs w:val="24"/>
              <w:highlight w:val="none"/>
            </w:rPr>
            <w:t>4</w:t>
          </w:r>
          <w:r>
            <w:rPr>
              <w:rFonts w:eastAsiaTheme="minorEastAsia"/>
              <w:sz w:val="24"/>
              <w:szCs w:val="24"/>
              <w:highlight w:val="none"/>
            </w:rPr>
            <w:fldChar w:fldCharType="end"/>
          </w:r>
          <w:r>
            <w:rPr>
              <w:rFonts w:eastAsiaTheme="minorEastAsia"/>
              <w:sz w:val="24"/>
              <w:szCs w:val="24"/>
              <w:highlight w:val="none"/>
            </w:rPr>
            <w:fldChar w:fldCharType="end"/>
          </w:r>
        </w:p>
        <w:p>
          <w:pPr>
            <w:pStyle w:val="11"/>
            <w:tabs>
              <w:tab w:val="left" w:pos="1050"/>
              <w:tab w:val="right" w:leader="dot" w:pos="8777"/>
            </w:tabs>
            <w:spacing w:line="355" w:lineRule="auto"/>
            <w:rPr>
              <w:rFonts w:eastAsiaTheme="minorEastAsia"/>
              <w:sz w:val="24"/>
              <w:szCs w:val="24"/>
              <w:highlight w:val="none"/>
            </w:rPr>
          </w:pPr>
          <w:r>
            <w:rPr>
              <w:highlight w:val="none"/>
            </w:rPr>
            <w:fldChar w:fldCharType="begin"/>
          </w:r>
          <w:r>
            <w:rPr>
              <w:highlight w:val="none"/>
            </w:rPr>
            <w:instrText xml:space="preserve"> HYPERLINK \l "_Toc152602308" </w:instrText>
          </w:r>
          <w:r>
            <w:rPr>
              <w:highlight w:val="none"/>
            </w:rPr>
            <w:fldChar w:fldCharType="separate"/>
          </w:r>
          <w:r>
            <w:rPr>
              <w:rStyle w:val="17"/>
              <w:rFonts w:eastAsiaTheme="minorEastAsia"/>
              <w:iCs/>
              <w:sz w:val="24"/>
              <w:szCs w:val="24"/>
              <w:highlight w:val="none"/>
            </w:rPr>
            <w:t>第五条</w:t>
          </w:r>
          <w:r>
            <w:rPr>
              <w:rFonts w:eastAsiaTheme="minorEastAsia"/>
              <w:sz w:val="24"/>
              <w:szCs w:val="24"/>
              <w:highlight w:val="none"/>
            </w:rPr>
            <w:tab/>
          </w:r>
          <w:r>
            <w:rPr>
              <w:rStyle w:val="17"/>
              <w:rFonts w:eastAsiaTheme="minorEastAsia"/>
              <w:iCs/>
              <w:sz w:val="24"/>
              <w:szCs w:val="24"/>
              <w:highlight w:val="none"/>
            </w:rPr>
            <w:t>保险</w:t>
          </w:r>
          <w:r>
            <w:rPr>
              <w:rFonts w:eastAsiaTheme="minorEastAsia"/>
              <w:sz w:val="24"/>
              <w:szCs w:val="24"/>
              <w:highlight w:val="none"/>
            </w:rPr>
            <w:tab/>
          </w:r>
          <w:r>
            <w:rPr>
              <w:rFonts w:eastAsiaTheme="minorEastAsia"/>
              <w:sz w:val="24"/>
              <w:szCs w:val="24"/>
              <w:highlight w:val="none"/>
            </w:rPr>
            <w:fldChar w:fldCharType="begin"/>
          </w:r>
          <w:r>
            <w:rPr>
              <w:rFonts w:eastAsiaTheme="minorEastAsia"/>
              <w:sz w:val="24"/>
              <w:szCs w:val="24"/>
              <w:highlight w:val="none"/>
            </w:rPr>
            <w:instrText xml:space="preserve"> PAGEREF _Toc152602308 \h </w:instrText>
          </w:r>
          <w:r>
            <w:rPr>
              <w:rFonts w:eastAsiaTheme="minorEastAsia"/>
              <w:sz w:val="24"/>
              <w:szCs w:val="24"/>
              <w:highlight w:val="none"/>
            </w:rPr>
            <w:fldChar w:fldCharType="separate"/>
          </w:r>
          <w:r>
            <w:rPr>
              <w:rFonts w:eastAsiaTheme="minorEastAsia"/>
              <w:sz w:val="24"/>
              <w:szCs w:val="24"/>
              <w:highlight w:val="none"/>
            </w:rPr>
            <w:t>4</w:t>
          </w:r>
          <w:r>
            <w:rPr>
              <w:rFonts w:eastAsiaTheme="minorEastAsia"/>
              <w:sz w:val="24"/>
              <w:szCs w:val="24"/>
              <w:highlight w:val="none"/>
            </w:rPr>
            <w:fldChar w:fldCharType="end"/>
          </w:r>
          <w:r>
            <w:rPr>
              <w:rFonts w:eastAsiaTheme="minorEastAsia"/>
              <w:sz w:val="24"/>
              <w:szCs w:val="24"/>
              <w:highlight w:val="none"/>
            </w:rPr>
            <w:fldChar w:fldCharType="end"/>
          </w:r>
        </w:p>
        <w:p>
          <w:pPr>
            <w:pStyle w:val="11"/>
            <w:tabs>
              <w:tab w:val="left" w:pos="1050"/>
              <w:tab w:val="right" w:leader="dot" w:pos="8777"/>
            </w:tabs>
            <w:spacing w:line="355" w:lineRule="auto"/>
            <w:rPr>
              <w:rFonts w:eastAsiaTheme="minorEastAsia"/>
              <w:sz w:val="24"/>
              <w:szCs w:val="24"/>
              <w:highlight w:val="none"/>
            </w:rPr>
          </w:pPr>
          <w:r>
            <w:rPr>
              <w:highlight w:val="none"/>
            </w:rPr>
            <w:fldChar w:fldCharType="begin"/>
          </w:r>
          <w:r>
            <w:rPr>
              <w:highlight w:val="none"/>
            </w:rPr>
            <w:instrText xml:space="preserve"> HYPERLINK \l "_Toc152602309" </w:instrText>
          </w:r>
          <w:r>
            <w:rPr>
              <w:highlight w:val="none"/>
            </w:rPr>
            <w:fldChar w:fldCharType="separate"/>
          </w:r>
          <w:r>
            <w:rPr>
              <w:rStyle w:val="17"/>
              <w:rFonts w:eastAsiaTheme="minorEastAsia"/>
              <w:iCs/>
              <w:sz w:val="24"/>
              <w:szCs w:val="24"/>
              <w:highlight w:val="none"/>
            </w:rPr>
            <w:t>第六条</w:t>
          </w:r>
          <w:r>
            <w:rPr>
              <w:rFonts w:eastAsiaTheme="minorEastAsia"/>
              <w:sz w:val="24"/>
              <w:szCs w:val="24"/>
              <w:highlight w:val="none"/>
            </w:rPr>
            <w:tab/>
          </w:r>
          <w:r>
            <w:rPr>
              <w:rStyle w:val="17"/>
              <w:rFonts w:eastAsiaTheme="minorEastAsia"/>
              <w:iCs/>
              <w:sz w:val="24"/>
              <w:szCs w:val="24"/>
              <w:highlight w:val="none"/>
            </w:rPr>
            <w:t>付款方式</w:t>
          </w:r>
          <w:r>
            <w:rPr>
              <w:rFonts w:eastAsiaTheme="minorEastAsia"/>
              <w:sz w:val="24"/>
              <w:szCs w:val="24"/>
              <w:highlight w:val="none"/>
            </w:rPr>
            <w:tab/>
          </w:r>
          <w:r>
            <w:rPr>
              <w:rFonts w:eastAsiaTheme="minorEastAsia"/>
              <w:sz w:val="24"/>
              <w:szCs w:val="24"/>
              <w:highlight w:val="none"/>
            </w:rPr>
            <w:fldChar w:fldCharType="begin"/>
          </w:r>
          <w:r>
            <w:rPr>
              <w:rFonts w:eastAsiaTheme="minorEastAsia"/>
              <w:sz w:val="24"/>
              <w:szCs w:val="24"/>
              <w:highlight w:val="none"/>
            </w:rPr>
            <w:instrText xml:space="preserve"> PAGEREF _Toc152602309 \h </w:instrText>
          </w:r>
          <w:r>
            <w:rPr>
              <w:rFonts w:eastAsiaTheme="minorEastAsia"/>
              <w:sz w:val="24"/>
              <w:szCs w:val="24"/>
              <w:highlight w:val="none"/>
            </w:rPr>
            <w:fldChar w:fldCharType="separate"/>
          </w:r>
          <w:r>
            <w:rPr>
              <w:rFonts w:eastAsiaTheme="minorEastAsia"/>
              <w:sz w:val="24"/>
              <w:szCs w:val="24"/>
              <w:highlight w:val="none"/>
            </w:rPr>
            <w:t>5</w:t>
          </w:r>
          <w:r>
            <w:rPr>
              <w:rFonts w:eastAsiaTheme="minorEastAsia"/>
              <w:sz w:val="24"/>
              <w:szCs w:val="24"/>
              <w:highlight w:val="none"/>
            </w:rPr>
            <w:fldChar w:fldCharType="end"/>
          </w:r>
          <w:r>
            <w:rPr>
              <w:rFonts w:eastAsiaTheme="minorEastAsia"/>
              <w:sz w:val="24"/>
              <w:szCs w:val="24"/>
              <w:highlight w:val="none"/>
            </w:rPr>
            <w:fldChar w:fldCharType="end"/>
          </w:r>
        </w:p>
        <w:p>
          <w:pPr>
            <w:pStyle w:val="11"/>
            <w:tabs>
              <w:tab w:val="left" w:pos="1050"/>
              <w:tab w:val="right" w:leader="dot" w:pos="8777"/>
            </w:tabs>
            <w:spacing w:line="355" w:lineRule="auto"/>
            <w:rPr>
              <w:rFonts w:eastAsiaTheme="minorEastAsia"/>
              <w:sz w:val="24"/>
              <w:szCs w:val="24"/>
              <w:highlight w:val="none"/>
            </w:rPr>
          </w:pPr>
          <w:r>
            <w:rPr>
              <w:highlight w:val="none"/>
            </w:rPr>
            <w:fldChar w:fldCharType="begin"/>
          </w:r>
          <w:r>
            <w:rPr>
              <w:highlight w:val="none"/>
            </w:rPr>
            <w:instrText xml:space="preserve"> HYPERLINK \l "_Toc152602310" </w:instrText>
          </w:r>
          <w:r>
            <w:rPr>
              <w:highlight w:val="none"/>
            </w:rPr>
            <w:fldChar w:fldCharType="separate"/>
          </w:r>
          <w:r>
            <w:rPr>
              <w:rStyle w:val="17"/>
              <w:rFonts w:eastAsiaTheme="minorEastAsia"/>
              <w:iCs/>
              <w:sz w:val="24"/>
              <w:szCs w:val="24"/>
              <w:highlight w:val="none"/>
            </w:rPr>
            <w:t>第七条</w:t>
          </w:r>
          <w:r>
            <w:rPr>
              <w:rFonts w:eastAsiaTheme="minorEastAsia"/>
              <w:sz w:val="24"/>
              <w:szCs w:val="24"/>
              <w:highlight w:val="none"/>
            </w:rPr>
            <w:tab/>
          </w:r>
          <w:r>
            <w:rPr>
              <w:rStyle w:val="17"/>
              <w:rFonts w:eastAsiaTheme="minorEastAsia"/>
              <w:iCs/>
              <w:sz w:val="24"/>
              <w:szCs w:val="24"/>
              <w:highlight w:val="none"/>
            </w:rPr>
            <w:t>货物交付</w:t>
          </w:r>
          <w:r>
            <w:rPr>
              <w:rFonts w:eastAsiaTheme="minorEastAsia"/>
              <w:sz w:val="24"/>
              <w:szCs w:val="24"/>
              <w:highlight w:val="none"/>
            </w:rPr>
            <w:tab/>
          </w:r>
          <w:r>
            <w:rPr>
              <w:rFonts w:eastAsiaTheme="minorEastAsia"/>
              <w:sz w:val="24"/>
              <w:szCs w:val="24"/>
              <w:highlight w:val="none"/>
            </w:rPr>
            <w:fldChar w:fldCharType="begin"/>
          </w:r>
          <w:r>
            <w:rPr>
              <w:rFonts w:eastAsiaTheme="minorEastAsia"/>
              <w:sz w:val="24"/>
              <w:szCs w:val="24"/>
              <w:highlight w:val="none"/>
            </w:rPr>
            <w:instrText xml:space="preserve"> PAGEREF _Toc152602310 \h </w:instrText>
          </w:r>
          <w:r>
            <w:rPr>
              <w:rFonts w:eastAsiaTheme="minorEastAsia"/>
              <w:sz w:val="24"/>
              <w:szCs w:val="24"/>
              <w:highlight w:val="none"/>
            </w:rPr>
            <w:fldChar w:fldCharType="separate"/>
          </w:r>
          <w:r>
            <w:rPr>
              <w:rFonts w:eastAsiaTheme="minorEastAsia"/>
              <w:sz w:val="24"/>
              <w:szCs w:val="24"/>
              <w:highlight w:val="none"/>
            </w:rPr>
            <w:t>6</w:t>
          </w:r>
          <w:r>
            <w:rPr>
              <w:rFonts w:eastAsiaTheme="minorEastAsia"/>
              <w:sz w:val="24"/>
              <w:szCs w:val="24"/>
              <w:highlight w:val="none"/>
            </w:rPr>
            <w:fldChar w:fldCharType="end"/>
          </w:r>
          <w:r>
            <w:rPr>
              <w:rFonts w:eastAsiaTheme="minorEastAsia"/>
              <w:sz w:val="24"/>
              <w:szCs w:val="24"/>
              <w:highlight w:val="none"/>
            </w:rPr>
            <w:fldChar w:fldCharType="end"/>
          </w:r>
        </w:p>
        <w:p>
          <w:pPr>
            <w:pStyle w:val="11"/>
            <w:tabs>
              <w:tab w:val="left" w:pos="1050"/>
              <w:tab w:val="right" w:leader="dot" w:pos="8777"/>
            </w:tabs>
            <w:spacing w:line="355" w:lineRule="auto"/>
            <w:rPr>
              <w:rFonts w:eastAsiaTheme="minorEastAsia"/>
              <w:sz w:val="24"/>
              <w:szCs w:val="24"/>
              <w:highlight w:val="none"/>
            </w:rPr>
          </w:pPr>
          <w:r>
            <w:rPr>
              <w:highlight w:val="none"/>
            </w:rPr>
            <w:fldChar w:fldCharType="begin"/>
          </w:r>
          <w:r>
            <w:rPr>
              <w:highlight w:val="none"/>
            </w:rPr>
            <w:instrText xml:space="preserve"> HYPERLINK \l "_Toc152602311" </w:instrText>
          </w:r>
          <w:r>
            <w:rPr>
              <w:highlight w:val="none"/>
            </w:rPr>
            <w:fldChar w:fldCharType="separate"/>
          </w:r>
          <w:r>
            <w:rPr>
              <w:rStyle w:val="17"/>
              <w:rFonts w:eastAsiaTheme="minorEastAsia"/>
              <w:iCs/>
              <w:sz w:val="24"/>
              <w:szCs w:val="24"/>
              <w:highlight w:val="none"/>
            </w:rPr>
            <w:t>第八条</w:t>
          </w:r>
          <w:r>
            <w:rPr>
              <w:rFonts w:eastAsiaTheme="minorEastAsia"/>
              <w:sz w:val="24"/>
              <w:szCs w:val="24"/>
              <w:highlight w:val="none"/>
            </w:rPr>
            <w:tab/>
          </w:r>
          <w:r>
            <w:rPr>
              <w:rStyle w:val="17"/>
              <w:rFonts w:eastAsiaTheme="minorEastAsia"/>
              <w:iCs/>
              <w:sz w:val="24"/>
              <w:szCs w:val="24"/>
              <w:highlight w:val="none"/>
            </w:rPr>
            <w:t>技术资料</w:t>
          </w:r>
          <w:r>
            <w:rPr>
              <w:rFonts w:eastAsiaTheme="minorEastAsia"/>
              <w:sz w:val="24"/>
              <w:szCs w:val="24"/>
              <w:highlight w:val="none"/>
            </w:rPr>
            <w:tab/>
          </w:r>
          <w:r>
            <w:rPr>
              <w:rFonts w:eastAsiaTheme="minorEastAsia"/>
              <w:sz w:val="24"/>
              <w:szCs w:val="24"/>
              <w:highlight w:val="none"/>
            </w:rPr>
            <w:fldChar w:fldCharType="begin"/>
          </w:r>
          <w:r>
            <w:rPr>
              <w:rFonts w:eastAsiaTheme="minorEastAsia"/>
              <w:sz w:val="24"/>
              <w:szCs w:val="24"/>
              <w:highlight w:val="none"/>
            </w:rPr>
            <w:instrText xml:space="preserve"> PAGEREF _Toc152602311 \h </w:instrText>
          </w:r>
          <w:r>
            <w:rPr>
              <w:rFonts w:eastAsiaTheme="minorEastAsia"/>
              <w:sz w:val="24"/>
              <w:szCs w:val="24"/>
              <w:highlight w:val="none"/>
            </w:rPr>
            <w:fldChar w:fldCharType="separate"/>
          </w:r>
          <w:r>
            <w:rPr>
              <w:rFonts w:eastAsiaTheme="minorEastAsia"/>
              <w:sz w:val="24"/>
              <w:szCs w:val="24"/>
              <w:highlight w:val="none"/>
            </w:rPr>
            <w:t>7</w:t>
          </w:r>
          <w:r>
            <w:rPr>
              <w:rFonts w:eastAsiaTheme="minorEastAsia"/>
              <w:sz w:val="24"/>
              <w:szCs w:val="24"/>
              <w:highlight w:val="none"/>
            </w:rPr>
            <w:fldChar w:fldCharType="end"/>
          </w:r>
          <w:r>
            <w:rPr>
              <w:rFonts w:eastAsiaTheme="minorEastAsia"/>
              <w:sz w:val="24"/>
              <w:szCs w:val="24"/>
              <w:highlight w:val="none"/>
            </w:rPr>
            <w:fldChar w:fldCharType="end"/>
          </w:r>
        </w:p>
        <w:p>
          <w:pPr>
            <w:pStyle w:val="11"/>
            <w:tabs>
              <w:tab w:val="left" w:pos="1050"/>
              <w:tab w:val="right" w:leader="dot" w:pos="8777"/>
            </w:tabs>
            <w:spacing w:line="355" w:lineRule="auto"/>
            <w:rPr>
              <w:rFonts w:eastAsiaTheme="minorEastAsia"/>
              <w:sz w:val="24"/>
              <w:szCs w:val="24"/>
              <w:highlight w:val="none"/>
            </w:rPr>
          </w:pPr>
          <w:r>
            <w:rPr>
              <w:highlight w:val="none"/>
            </w:rPr>
            <w:fldChar w:fldCharType="begin"/>
          </w:r>
          <w:r>
            <w:rPr>
              <w:highlight w:val="none"/>
            </w:rPr>
            <w:instrText xml:space="preserve"> HYPERLINK \l "_Toc152602312" </w:instrText>
          </w:r>
          <w:r>
            <w:rPr>
              <w:highlight w:val="none"/>
            </w:rPr>
            <w:fldChar w:fldCharType="separate"/>
          </w:r>
          <w:r>
            <w:rPr>
              <w:rStyle w:val="17"/>
              <w:rFonts w:eastAsiaTheme="minorEastAsia"/>
              <w:iCs/>
              <w:sz w:val="24"/>
              <w:szCs w:val="24"/>
              <w:highlight w:val="none"/>
            </w:rPr>
            <w:t>第九条</w:t>
          </w:r>
          <w:r>
            <w:rPr>
              <w:rFonts w:eastAsiaTheme="minorEastAsia"/>
              <w:sz w:val="24"/>
              <w:szCs w:val="24"/>
              <w:highlight w:val="none"/>
            </w:rPr>
            <w:tab/>
          </w:r>
          <w:r>
            <w:rPr>
              <w:rStyle w:val="17"/>
              <w:rFonts w:eastAsiaTheme="minorEastAsia"/>
              <w:iCs/>
              <w:sz w:val="24"/>
              <w:szCs w:val="24"/>
              <w:highlight w:val="none"/>
            </w:rPr>
            <w:t>货物质量及质保期</w:t>
          </w:r>
          <w:r>
            <w:rPr>
              <w:rFonts w:eastAsiaTheme="minorEastAsia"/>
              <w:sz w:val="24"/>
              <w:szCs w:val="24"/>
              <w:highlight w:val="none"/>
            </w:rPr>
            <w:tab/>
          </w:r>
          <w:r>
            <w:rPr>
              <w:rFonts w:eastAsiaTheme="minorEastAsia"/>
              <w:sz w:val="24"/>
              <w:szCs w:val="24"/>
              <w:highlight w:val="none"/>
            </w:rPr>
            <w:fldChar w:fldCharType="begin"/>
          </w:r>
          <w:r>
            <w:rPr>
              <w:rFonts w:eastAsiaTheme="minorEastAsia"/>
              <w:sz w:val="24"/>
              <w:szCs w:val="24"/>
              <w:highlight w:val="none"/>
            </w:rPr>
            <w:instrText xml:space="preserve"> PAGEREF _Toc152602312 \h </w:instrText>
          </w:r>
          <w:r>
            <w:rPr>
              <w:rFonts w:eastAsiaTheme="minorEastAsia"/>
              <w:sz w:val="24"/>
              <w:szCs w:val="24"/>
              <w:highlight w:val="none"/>
            </w:rPr>
            <w:fldChar w:fldCharType="separate"/>
          </w:r>
          <w:r>
            <w:rPr>
              <w:rFonts w:eastAsiaTheme="minorEastAsia"/>
              <w:sz w:val="24"/>
              <w:szCs w:val="24"/>
              <w:highlight w:val="none"/>
            </w:rPr>
            <w:t>8</w:t>
          </w:r>
          <w:r>
            <w:rPr>
              <w:rFonts w:eastAsiaTheme="minorEastAsia"/>
              <w:sz w:val="24"/>
              <w:szCs w:val="24"/>
              <w:highlight w:val="none"/>
            </w:rPr>
            <w:fldChar w:fldCharType="end"/>
          </w:r>
          <w:r>
            <w:rPr>
              <w:rFonts w:eastAsiaTheme="minorEastAsia"/>
              <w:sz w:val="24"/>
              <w:szCs w:val="24"/>
              <w:highlight w:val="none"/>
            </w:rPr>
            <w:fldChar w:fldCharType="end"/>
          </w:r>
        </w:p>
        <w:p>
          <w:pPr>
            <w:pStyle w:val="11"/>
            <w:tabs>
              <w:tab w:val="left" w:pos="1050"/>
              <w:tab w:val="right" w:leader="dot" w:pos="8777"/>
            </w:tabs>
            <w:spacing w:line="355" w:lineRule="auto"/>
            <w:rPr>
              <w:rFonts w:eastAsiaTheme="minorEastAsia"/>
              <w:sz w:val="24"/>
              <w:szCs w:val="24"/>
              <w:highlight w:val="none"/>
            </w:rPr>
          </w:pPr>
          <w:r>
            <w:rPr>
              <w:highlight w:val="none"/>
            </w:rPr>
            <w:fldChar w:fldCharType="begin"/>
          </w:r>
          <w:r>
            <w:rPr>
              <w:highlight w:val="none"/>
            </w:rPr>
            <w:instrText xml:space="preserve"> HYPERLINK \l "_Toc152602313" </w:instrText>
          </w:r>
          <w:r>
            <w:rPr>
              <w:highlight w:val="none"/>
            </w:rPr>
            <w:fldChar w:fldCharType="separate"/>
          </w:r>
          <w:r>
            <w:rPr>
              <w:rStyle w:val="17"/>
              <w:rFonts w:eastAsiaTheme="minorEastAsia"/>
              <w:iCs/>
              <w:sz w:val="24"/>
              <w:szCs w:val="24"/>
              <w:highlight w:val="none"/>
            </w:rPr>
            <w:t>第十条</w:t>
          </w:r>
          <w:r>
            <w:rPr>
              <w:rFonts w:eastAsiaTheme="minorEastAsia"/>
              <w:sz w:val="24"/>
              <w:szCs w:val="24"/>
              <w:highlight w:val="none"/>
            </w:rPr>
            <w:tab/>
          </w:r>
          <w:r>
            <w:rPr>
              <w:rStyle w:val="17"/>
              <w:rFonts w:eastAsiaTheme="minorEastAsia"/>
              <w:iCs/>
              <w:sz w:val="24"/>
              <w:szCs w:val="24"/>
              <w:highlight w:val="none"/>
            </w:rPr>
            <w:t>验收</w:t>
          </w:r>
          <w:r>
            <w:rPr>
              <w:rFonts w:eastAsiaTheme="minorEastAsia"/>
              <w:sz w:val="24"/>
              <w:szCs w:val="24"/>
              <w:highlight w:val="none"/>
            </w:rPr>
            <w:tab/>
          </w:r>
          <w:r>
            <w:rPr>
              <w:rFonts w:eastAsiaTheme="minorEastAsia"/>
              <w:sz w:val="24"/>
              <w:szCs w:val="24"/>
              <w:highlight w:val="none"/>
            </w:rPr>
            <w:fldChar w:fldCharType="begin"/>
          </w:r>
          <w:r>
            <w:rPr>
              <w:rFonts w:eastAsiaTheme="minorEastAsia"/>
              <w:sz w:val="24"/>
              <w:szCs w:val="24"/>
              <w:highlight w:val="none"/>
            </w:rPr>
            <w:instrText xml:space="preserve"> PAGEREF _Toc152602313 \h </w:instrText>
          </w:r>
          <w:r>
            <w:rPr>
              <w:rFonts w:eastAsiaTheme="minorEastAsia"/>
              <w:sz w:val="24"/>
              <w:szCs w:val="24"/>
              <w:highlight w:val="none"/>
            </w:rPr>
            <w:fldChar w:fldCharType="separate"/>
          </w:r>
          <w:r>
            <w:rPr>
              <w:rFonts w:eastAsiaTheme="minorEastAsia"/>
              <w:sz w:val="24"/>
              <w:szCs w:val="24"/>
              <w:highlight w:val="none"/>
            </w:rPr>
            <w:t>9</w:t>
          </w:r>
          <w:r>
            <w:rPr>
              <w:rFonts w:eastAsiaTheme="minorEastAsia"/>
              <w:sz w:val="24"/>
              <w:szCs w:val="24"/>
              <w:highlight w:val="none"/>
            </w:rPr>
            <w:fldChar w:fldCharType="end"/>
          </w:r>
          <w:r>
            <w:rPr>
              <w:rFonts w:eastAsiaTheme="minorEastAsia"/>
              <w:sz w:val="24"/>
              <w:szCs w:val="24"/>
              <w:highlight w:val="none"/>
            </w:rPr>
            <w:fldChar w:fldCharType="end"/>
          </w:r>
        </w:p>
        <w:p>
          <w:pPr>
            <w:pStyle w:val="11"/>
            <w:tabs>
              <w:tab w:val="left" w:pos="1260"/>
              <w:tab w:val="right" w:leader="dot" w:pos="8777"/>
            </w:tabs>
            <w:spacing w:line="355" w:lineRule="auto"/>
            <w:rPr>
              <w:rFonts w:eastAsiaTheme="minorEastAsia"/>
              <w:sz w:val="24"/>
              <w:szCs w:val="24"/>
              <w:highlight w:val="none"/>
            </w:rPr>
          </w:pPr>
          <w:r>
            <w:rPr>
              <w:highlight w:val="none"/>
            </w:rPr>
            <w:fldChar w:fldCharType="begin"/>
          </w:r>
          <w:r>
            <w:rPr>
              <w:highlight w:val="none"/>
            </w:rPr>
            <w:instrText xml:space="preserve"> HYPERLINK \l "_Toc152602319" </w:instrText>
          </w:r>
          <w:r>
            <w:rPr>
              <w:highlight w:val="none"/>
            </w:rPr>
            <w:fldChar w:fldCharType="separate"/>
          </w:r>
          <w:r>
            <w:rPr>
              <w:rStyle w:val="17"/>
              <w:rFonts w:eastAsiaTheme="minorEastAsia"/>
              <w:iCs/>
              <w:sz w:val="24"/>
              <w:szCs w:val="24"/>
              <w:highlight w:val="none"/>
            </w:rPr>
            <w:t>第十一条</w:t>
          </w:r>
          <w:r>
            <w:rPr>
              <w:rFonts w:eastAsiaTheme="minorEastAsia"/>
              <w:sz w:val="24"/>
              <w:szCs w:val="24"/>
              <w:highlight w:val="none"/>
            </w:rPr>
            <w:tab/>
          </w:r>
          <w:r>
            <w:rPr>
              <w:rStyle w:val="17"/>
              <w:rFonts w:eastAsiaTheme="minorEastAsia"/>
              <w:iCs/>
              <w:sz w:val="24"/>
              <w:szCs w:val="24"/>
              <w:highlight w:val="none"/>
            </w:rPr>
            <w:t>风险负担</w:t>
          </w:r>
          <w:r>
            <w:rPr>
              <w:rFonts w:eastAsiaTheme="minorEastAsia"/>
              <w:sz w:val="24"/>
              <w:szCs w:val="24"/>
              <w:highlight w:val="none"/>
            </w:rPr>
            <w:tab/>
          </w:r>
          <w:r>
            <w:rPr>
              <w:rFonts w:eastAsiaTheme="minorEastAsia"/>
              <w:sz w:val="24"/>
              <w:szCs w:val="24"/>
              <w:highlight w:val="none"/>
            </w:rPr>
            <w:fldChar w:fldCharType="begin"/>
          </w:r>
          <w:r>
            <w:rPr>
              <w:rFonts w:eastAsiaTheme="minorEastAsia"/>
              <w:sz w:val="24"/>
              <w:szCs w:val="24"/>
              <w:highlight w:val="none"/>
            </w:rPr>
            <w:instrText xml:space="preserve"> PAGEREF _Toc152602319 \h </w:instrText>
          </w:r>
          <w:r>
            <w:rPr>
              <w:rFonts w:eastAsiaTheme="minorEastAsia"/>
              <w:sz w:val="24"/>
              <w:szCs w:val="24"/>
              <w:highlight w:val="none"/>
            </w:rPr>
            <w:fldChar w:fldCharType="separate"/>
          </w:r>
          <w:r>
            <w:rPr>
              <w:rFonts w:eastAsiaTheme="minorEastAsia"/>
              <w:sz w:val="24"/>
              <w:szCs w:val="24"/>
              <w:highlight w:val="none"/>
            </w:rPr>
            <w:t>10</w:t>
          </w:r>
          <w:r>
            <w:rPr>
              <w:rFonts w:eastAsiaTheme="minorEastAsia"/>
              <w:sz w:val="24"/>
              <w:szCs w:val="24"/>
              <w:highlight w:val="none"/>
            </w:rPr>
            <w:fldChar w:fldCharType="end"/>
          </w:r>
          <w:r>
            <w:rPr>
              <w:rFonts w:eastAsiaTheme="minorEastAsia"/>
              <w:sz w:val="24"/>
              <w:szCs w:val="24"/>
              <w:highlight w:val="none"/>
            </w:rPr>
            <w:fldChar w:fldCharType="end"/>
          </w:r>
        </w:p>
        <w:p>
          <w:pPr>
            <w:pStyle w:val="11"/>
            <w:tabs>
              <w:tab w:val="left" w:pos="1260"/>
              <w:tab w:val="right" w:leader="dot" w:pos="8777"/>
            </w:tabs>
            <w:spacing w:line="355" w:lineRule="auto"/>
            <w:rPr>
              <w:rFonts w:eastAsiaTheme="minorEastAsia"/>
              <w:sz w:val="24"/>
              <w:szCs w:val="24"/>
              <w:highlight w:val="none"/>
            </w:rPr>
          </w:pPr>
          <w:r>
            <w:rPr>
              <w:highlight w:val="none"/>
            </w:rPr>
            <w:fldChar w:fldCharType="begin"/>
          </w:r>
          <w:r>
            <w:rPr>
              <w:highlight w:val="none"/>
            </w:rPr>
            <w:instrText xml:space="preserve"> HYPERLINK \l "_Toc152602320" </w:instrText>
          </w:r>
          <w:r>
            <w:rPr>
              <w:highlight w:val="none"/>
            </w:rPr>
            <w:fldChar w:fldCharType="separate"/>
          </w:r>
          <w:r>
            <w:rPr>
              <w:rStyle w:val="17"/>
              <w:rFonts w:eastAsiaTheme="minorEastAsia"/>
              <w:iCs/>
              <w:sz w:val="24"/>
              <w:szCs w:val="24"/>
              <w:highlight w:val="none"/>
            </w:rPr>
            <w:t>第十二条</w:t>
          </w:r>
          <w:r>
            <w:rPr>
              <w:rFonts w:eastAsiaTheme="minorEastAsia"/>
              <w:sz w:val="24"/>
              <w:szCs w:val="24"/>
              <w:highlight w:val="none"/>
            </w:rPr>
            <w:tab/>
          </w:r>
          <w:r>
            <w:rPr>
              <w:rStyle w:val="17"/>
              <w:rFonts w:eastAsiaTheme="minorEastAsia"/>
              <w:iCs/>
              <w:sz w:val="24"/>
              <w:szCs w:val="24"/>
              <w:highlight w:val="none"/>
            </w:rPr>
            <w:t>培训</w:t>
          </w:r>
          <w:r>
            <w:rPr>
              <w:rFonts w:eastAsiaTheme="minorEastAsia"/>
              <w:sz w:val="24"/>
              <w:szCs w:val="24"/>
              <w:highlight w:val="none"/>
            </w:rPr>
            <w:tab/>
          </w:r>
          <w:r>
            <w:rPr>
              <w:rFonts w:eastAsiaTheme="minorEastAsia"/>
              <w:sz w:val="24"/>
              <w:szCs w:val="24"/>
              <w:highlight w:val="none"/>
            </w:rPr>
            <w:fldChar w:fldCharType="begin"/>
          </w:r>
          <w:r>
            <w:rPr>
              <w:rFonts w:eastAsiaTheme="minorEastAsia"/>
              <w:sz w:val="24"/>
              <w:szCs w:val="24"/>
              <w:highlight w:val="none"/>
            </w:rPr>
            <w:instrText xml:space="preserve"> PAGEREF _Toc152602320 \h </w:instrText>
          </w:r>
          <w:r>
            <w:rPr>
              <w:rFonts w:eastAsiaTheme="minorEastAsia"/>
              <w:sz w:val="24"/>
              <w:szCs w:val="24"/>
              <w:highlight w:val="none"/>
            </w:rPr>
            <w:fldChar w:fldCharType="separate"/>
          </w:r>
          <w:r>
            <w:rPr>
              <w:rFonts w:eastAsiaTheme="minorEastAsia"/>
              <w:sz w:val="24"/>
              <w:szCs w:val="24"/>
              <w:highlight w:val="none"/>
            </w:rPr>
            <w:t>11</w:t>
          </w:r>
          <w:r>
            <w:rPr>
              <w:rFonts w:eastAsiaTheme="minorEastAsia"/>
              <w:sz w:val="24"/>
              <w:szCs w:val="24"/>
              <w:highlight w:val="none"/>
            </w:rPr>
            <w:fldChar w:fldCharType="end"/>
          </w:r>
          <w:r>
            <w:rPr>
              <w:rFonts w:eastAsiaTheme="minorEastAsia"/>
              <w:sz w:val="24"/>
              <w:szCs w:val="24"/>
              <w:highlight w:val="none"/>
            </w:rPr>
            <w:fldChar w:fldCharType="end"/>
          </w:r>
        </w:p>
        <w:p>
          <w:pPr>
            <w:pStyle w:val="11"/>
            <w:tabs>
              <w:tab w:val="left" w:pos="1260"/>
              <w:tab w:val="right" w:leader="dot" w:pos="8777"/>
            </w:tabs>
            <w:spacing w:line="355" w:lineRule="auto"/>
            <w:rPr>
              <w:rFonts w:eastAsiaTheme="minorEastAsia"/>
              <w:sz w:val="24"/>
              <w:szCs w:val="24"/>
              <w:highlight w:val="none"/>
            </w:rPr>
          </w:pPr>
          <w:r>
            <w:rPr>
              <w:highlight w:val="none"/>
            </w:rPr>
            <w:fldChar w:fldCharType="begin"/>
          </w:r>
          <w:r>
            <w:rPr>
              <w:highlight w:val="none"/>
            </w:rPr>
            <w:instrText xml:space="preserve"> HYPERLINK \l "_Toc152602321" </w:instrText>
          </w:r>
          <w:r>
            <w:rPr>
              <w:highlight w:val="none"/>
            </w:rPr>
            <w:fldChar w:fldCharType="separate"/>
          </w:r>
          <w:r>
            <w:rPr>
              <w:rStyle w:val="17"/>
              <w:rFonts w:eastAsiaTheme="minorEastAsia"/>
              <w:iCs/>
              <w:sz w:val="24"/>
              <w:szCs w:val="24"/>
              <w:highlight w:val="none"/>
            </w:rPr>
            <w:t>第十三条</w:t>
          </w:r>
          <w:r>
            <w:rPr>
              <w:rFonts w:eastAsiaTheme="minorEastAsia"/>
              <w:sz w:val="24"/>
              <w:szCs w:val="24"/>
              <w:highlight w:val="none"/>
            </w:rPr>
            <w:tab/>
          </w:r>
          <w:r>
            <w:rPr>
              <w:rStyle w:val="17"/>
              <w:rFonts w:eastAsiaTheme="minorEastAsia"/>
              <w:iCs/>
              <w:sz w:val="24"/>
              <w:szCs w:val="24"/>
              <w:highlight w:val="none"/>
            </w:rPr>
            <w:t>知识产权和其他权利保证</w:t>
          </w:r>
          <w:r>
            <w:rPr>
              <w:rFonts w:eastAsiaTheme="minorEastAsia"/>
              <w:sz w:val="24"/>
              <w:szCs w:val="24"/>
              <w:highlight w:val="none"/>
            </w:rPr>
            <w:tab/>
          </w:r>
          <w:r>
            <w:rPr>
              <w:rFonts w:eastAsiaTheme="minorEastAsia"/>
              <w:sz w:val="24"/>
              <w:szCs w:val="24"/>
              <w:highlight w:val="none"/>
            </w:rPr>
            <w:fldChar w:fldCharType="begin"/>
          </w:r>
          <w:r>
            <w:rPr>
              <w:rFonts w:eastAsiaTheme="minorEastAsia"/>
              <w:sz w:val="24"/>
              <w:szCs w:val="24"/>
              <w:highlight w:val="none"/>
            </w:rPr>
            <w:instrText xml:space="preserve"> PAGEREF _Toc152602321 \h </w:instrText>
          </w:r>
          <w:r>
            <w:rPr>
              <w:rFonts w:eastAsiaTheme="minorEastAsia"/>
              <w:sz w:val="24"/>
              <w:szCs w:val="24"/>
              <w:highlight w:val="none"/>
            </w:rPr>
            <w:fldChar w:fldCharType="separate"/>
          </w:r>
          <w:r>
            <w:rPr>
              <w:rFonts w:eastAsiaTheme="minorEastAsia"/>
              <w:sz w:val="24"/>
              <w:szCs w:val="24"/>
              <w:highlight w:val="none"/>
            </w:rPr>
            <w:t>11</w:t>
          </w:r>
          <w:r>
            <w:rPr>
              <w:rFonts w:eastAsiaTheme="minorEastAsia"/>
              <w:sz w:val="24"/>
              <w:szCs w:val="24"/>
              <w:highlight w:val="none"/>
            </w:rPr>
            <w:fldChar w:fldCharType="end"/>
          </w:r>
          <w:r>
            <w:rPr>
              <w:rFonts w:eastAsiaTheme="minorEastAsia"/>
              <w:sz w:val="24"/>
              <w:szCs w:val="24"/>
              <w:highlight w:val="none"/>
            </w:rPr>
            <w:fldChar w:fldCharType="end"/>
          </w:r>
        </w:p>
        <w:p>
          <w:pPr>
            <w:pStyle w:val="11"/>
            <w:tabs>
              <w:tab w:val="left" w:pos="1260"/>
              <w:tab w:val="right" w:leader="dot" w:pos="8777"/>
            </w:tabs>
            <w:spacing w:line="355" w:lineRule="auto"/>
            <w:rPr>
              <w:rFonts w:eastAsiaTheme="minorEastAsia"/>
              <w:sz w:val="24"/>
              <w:szCs w:val="24"/>
              <w:highlight w:val="none"/>
            </w:rPr>
          </w:pPr>
          <w:r>
            <w:rPr>
              <w:highlight w:val="none"/>
            </w:rPr>
            <w:fldChar w:fldCharType="begin"/>
          </w:r>
          <w:r>
            <w:rPr>
              <w:highlight w:val="none"/>
            </w:rPr>
            <w:instrText xml:space="preserve"> HYPERLINK \l "_Toc152602322" </w:instrText>
          </w:r>
          <w:r>
            <w:rPr>
              <w:highlight w:val="none"/>
            </w:rPr>
            <w:fldChar w:fldCharType="separate"/>
          </w:r>
          <w:r>
            <w:rPr>
              <w:rStyle w:val="17"/>
              <w:rFonts w:eastAsiaTheme="minorEastAsia"/>
              <w:iCs/>
              <w:sz w:val="24"/>
              <w:szCs w:val="24"/>
              <w:highlight w:val="none"/>
            </w:rPr>
            <w:t>第十四条</w:t>
          </w:r>
          <w:r>
            <w:rPr>
              <w:rFonts w:eastAsiaTheme="minorEastAsia"/>
              <w:sz w:val="24"/>
              <w:szCs w:val="24"/>
              <w:highlight w:val="none"/>
            </w:rPr>
            <w:tab/>
          </w:r>
          <w:r>
            <w:rPr>
              <w:rStyle w:val="17"/>
              <w:rFonts w:eastAsiaTheme="minorEastAsia"/>
              <w:iCs/>
              <w:sz w:val="24"/>
              <w:szCs w:val="24"/>
              <w:highlight w:val="none"/>
            </w:rPr>
            <w:t>延迟交货和违约金</w:t>
          </w:r>
          <w:r>
            <w:rPr>
              <w:rFonts w:eastAsiaTheme="minorEastAsia"/>
              <w:sz w:val="24"/>
              <w:szCs w:val="24"/>
              <w:highlight w:val="none"/>
            </w:rPr>
            <w:tab/>
          </w:r>
          <w:r>
            <w:rPr>
              <w:rFonts w:eastAsiaTheme="minorEastAsia"/>
              <w:sz w:val="24"/>
              <w:szCs w:val="24"/>
              <w:highlight w:val="none"/>
            </w:rPr>
            <w:fldChar w:fldCharType="begin"/>
          </w:r>
          <w:r>
            <w:rPr>
              <w:rFonts w:eastAsiaTheme="minorEastAsia"/>
              <w:sz w:val="24"/>
              <w:szCs w:val="24"/>
              <w:highlight w:val="none"/>
            </w:rPr>
            <w:instrText xml:space="preserve"> PAGEREF _Toc152602322 \h </w:instrText>
          </w:r>
          <w:r>
            <w:rPr>
              <w:rFonts w:eastAsiaTheme="minorEastAsia"/>
              <w:sz w:val="24"/>
              <w:szCs w:val="24"/>
              <w:highlight w:val="none"/>
            </w:rPr>
            <w:fldChar w:fldCharType="separate"/>
          </w:r>
          <w:r>
            <w:rPr>
              <w:rFonts w:eastAsiaTheme="minorEastAsia"/>
              <w:sz w:val="24"/>
              <w:szCs w:val="24"/>
              <w:highlight w:val="none"/>
            </w:rPr>
            <w:t>12</w:t>
          </w:r>
          <w:r>
            <w:rPr>
              <w:rFonts w:eastAsiaTheme="minorEastAsia"/>
              <w:sz w:val="24"/>
              <w:szCs w:val="24"/>
              <w:highlight w:val="none"/>
            </w:rPr>
            <w:fldChar w:fldCharType="end"/>
          </w:r>
          <w:r>
            <w:rPr>
              <w:rFonts w:eastAsiaTheme="minorEastAsia"/>
              <w:sz w:val="24"/>
              <w:szCs w:val="24"/>
              <w:highlight w:val="none"/>
            </w:rPr>
            <w:fldChar w:fldCharType="end"/>
          </w:r>
        </w:p>
        <w:p>
          <w:pPr>
            <w:pStyle w:val="11"/>
            <w:tabs>
              <w:tab w:val="left" w:pos="1260"/>
              <w:tab w:val="right" w:leader="dot" w:pos="8777"/>
            </w:tabs>
            <w:spacing w:line="355" w:lineRule="auto"/>
            <w:rPr>
              <w:rFonts w:eastAsiaTheme="minorEastAsia"/>
              <w:sz w:val="24"/>
              <w:szCs w:val="24"/>
              <w:highlight w:val="none"/>
            </w:rPr>
          </w:pPr>
          <w:r>
            <w:rPr>
              <w:highlight w:val="none"/>
            </w:rPr>
            <w:fldChar w:fldCharType="begin"/>
          </w:r>
          <w:r>
            <w:rPr>
              <w:highlight w:val="none"/>
            </w:rPr>
            <w:instrText xml:space="preserve"> HYPERLINK \l "_Toc152602323" </w:instrText>
          </w:r>
          <w:r>
            <w:rPr>
              <w:highlight w:val="none"/>
            </w:rPr>
            <w:fldChar w:fldCharType="separate"/>
          </w:r>
          <w:r>
            <w:rPr>
              <w:rStyle w:val="17"/>
              <w:rFonts w:eastAsiaTheme="minorEastAsia"/>
              <w:iCs/>
              <w:sz w:val="24"/>
              <w:szCs w:val="24"/>
              <w:highlight w:val="none"/>
            </w:rPr>
            <w:t>第十五条</w:t>
          </w:r>
          <w:r>
            <w:rPr>
              <w:rFonts w:eastAsiaTheme="minorEastAsia"/>
              <w:sz w:val="24"/>
              <w:szCs w:val="24"/>
              <w:highlight w:val="none"/>
            </w:rPr>
            <w:tab/>
          </w:r>
          <w:r>
            <w:rPr>
              <w:rStyle w:val="17"/>
              <w:rFonts w:eastAsiaTheme="minorEastAsia"/>
              <w:iCs/>
              <w:sz w:val="24"/>
              <w:szCs w:val="24"/>
              <w:highlight w:val="none"/>
            </w:rPr>
            <w:t>违约责任</w:t>
          </w:r>
          <w:r>
            <w:rPr>
              <w:rFonts w:eastAsiaTheme="minorEastAsia"/>
              <w:sz w:val="24"/>
              <w:szCs w:val="24"/>
              <w:highlight w:val="none"/>
            </w:rPr>
            <w:tab/>
          </w:r>
          <w:r>
            <w:rPr>
              <w:rFonts w:eastAsiaTheme="minorEastAsia"/>
              <w:sz w:val="24"/>
              <w:szCs w:val="24"/>
              <w:highlight w:val="none"/>
            </w:rPr>
            <w:fldChar w:fldCharType="begin"/>
          </w:r>
          <w:r>
            <w:rPr>
              <w:rFonts w:eastAsiaTheme="minorEastAsia"/>
              <w:sz w:val="24"/>
              <w:szCs w:val="24"/>
              <w:highlight w:val="none"/>
            </w:rPr>
            <w:instrText xml:space="preserve"> PAGEREF _Toc152602323 \h </w:instrText>
          </w:r>
          <w:r>
            <w:rPr>
              <w:rFonts w:eastAsiaTheme="minorEastAsia"/>
              <w:sz w:val="24"/>
              <w:szCs w:val="24"/>
              <w:highlight w:val="none"/>
            </w:rPr>
            <w:fldChar w:fldCharType="separate"/>
          </w:r>
          <w:r>
            <w:rPr>
              <w:rFonts w:eastAsiaTheme="minorEastAsia"/>
              <w:sz w:val="24"/>
              <w:szCs w:val="24"/>
              <w:highlight w:val="none"/>
            </w:rPr>
            <w:t>12</w:t>
          </w:r>
          <w:r>
            <w:rPr>
              <w:rFonts w:eastAsiaTheme="minorEastAsia"/>
              <w:sz w:val="24"/>
              <w:szCs w:val="24"/>
              <w:highlight w:val="none"/>
            </w:rPr>
            <w:fldChar w:fldCharType="end"/>
          </w:r>
          <w:r>
            <w:rPr>
              <w:rFonts w:eastAsiaTheme="minorEastAsia"/>
              <w:sz w:val="24"/>
              <w:szCs w:val="24"/>
              <w:highlight w:val="none"/>
            </w:rPr>
            <w:fldChar w:fldCharType="end"/>
          </w:r>
        </w:p>
        <w:p>
          <w:pPr>
            <w:pStyle w:val="11"/>
            <w:tabs>
              <w:tab w:val="left" w:pos="1260"/>
              <w:tab w:val="right" w:leader="dot" w:pos="8777"/>
            </w:tabs>
            <w:spacing w:line="355" w:lineRule="auto"/>
            <w:rPr>
              <w:rFonts w:eastAsiaTheme="minorEastAsia"/>
              <w:sz w:val="24"/>
              <w:szCs w:val="24"/>
              <w:highlight w:val="none"/>
            </w:rPr>
          </w:pPr>
          <w:r>
            <w:rPr>
              <w:highlight w:val="none"/>
            </w:rPr>
            <w:fldChar w:fldCharType="begin"/>
          </w:r>
          <w:r>
            <w:rPr>
              <w:highlight w:val="none"/>
            </w:rPr>
            <w:instrText xml:space="preserve"> HYPERLINK \l "_Toc152602324" </w:instrText>
          </w:r>
          <w:r>
            <w:rPr>
              <w:highlight w:val="none"/>
            </w:rPr>
            <w:fldChar w:fldCharType="separate"/>
          </w:r>
          <w:r>
            <w:rPr>
              <w:rStyle w:val="17"/>
              <w:rFonts w:eastAsiaTheme="minorEastAsia"/>
              <w:iCs/>
              <w:sz w:val="24"/>
              <w:szCs w:val="24"/>
              <w:highlight w:val="none"/>
            </w:rPr>
            <w:t>第十六条</w:t>
          </w:r>
          <w:r>
            <w:rPr>
              <w:rFonts w:eastAsiaTheme="minorEastAsia"/>
              <w:sz w:val="24"/>
              <w:szCs w:val="24"/>
              <w:highlight w:val="none"/>
            </w:rPr>
            <w:tab/>
          </w:r>
          <w:r>
            <w:rPr>
              <w:rStyle w:val="17"/>
              <w:rFonts w:eastAsiaTheme="minorEastAsia"/>
              <w:iCs/>
              <w:sz w:val="24"/>
              <w:szCs w:val="24"/>
              <w:highlight w:val="none"/>
            </w:rPr>
            <w:t>不可抗力</w:t>
          </w:r>
          <w:r>
            <w:rPr>
              <w:rFonts w:eastAsiaTheme="minorEastAsia"/>
              <w:sz w:val="24"/>
              <w:szCs w:val="24"/>
              <w:highlight w:val="none"/>
            </w:rPr>
            <w:tab/>
          </w:r>
          <w:r>
            <w:rPr>
              <w:rFonts w:eastAsiaTheme="minorEastAsia"/>
              <w:sz w:val="24"/>
              <w:szCs w:val="24"/>
              <w:highlight w:val="none"/>
            </w:rPr>
            <w:fldChar w:fldCharType="begin"/>
          </w:r>
          <w:r>
            <w:rPr>
              <w:rFonts w:eastAsiaTheme="minorEastAsia"/>
              <w:sz w:val="24"/>
              <w:szCs w:val="24"/>
              <w:highlight w:val="none"/>
            </w:rPr>
            <w:instrText xml:space="preserve"> PAGEREF _Toc152602324 \h </w:instrText>
          </w:r>
          <w:r>
            <w:rPr>
              <w:rFonts w:eastAsiaTheme="minorEastAsia"/>
              <w:sz w:val="24"/>
              <w:szCs w:val="24"/>
              <w:highlight w:val="none"/>
            </w:rPr>
            <w:fldChar w:fldCharType="separate"/>
          </w:r>
          <w:r>
            <w:rPr>
              <w:rFonts w:eastAsiaTheme="minorEastAsia"/>
              <w:sz w:val="24"/>
              <w:szCs w:val="24"/>
              <w:highlight w:val="none"/>
            </w:rPr>
            <w:t>14</w:t>
          </w:r>
          <w:r>
            <w:rPr>
              <w:rFonts w:eastAsiaTheme="minorEastAsia"/>
              <w:sz w:val="24"/>
              <w:szCs w:val="24"/>
              <w:highlight w:val="none"/>
            </w:rPr>
            <w:fldChar w:fldCharType="end"/>
          </w:r>
          <w:r>
            <w:rPr>
              <w:rFonts w:eastAsiaTheme="minorEastAsia"/>
              <w:sz w:val="24"/>
              <w:szCs w:val="24"/>
              <w:highlight w:val="none"/>
            </w:rPr>
            <w:fldChar w:fldCharType="end"/>
          </w:r>
        </w:p>
        <w:p>
          <w:pPr>
            <w:pStyle w:val="11"/>
            <w:tabs>
              <w:tab w:val="left" w:pos="1260"/>
              <w:tab w:val="right" w:leader="dot" w:pos="8777"/>
            </w:tabs>
            <w:spacing w:line="355" w:lineRule="auto"/>
            <w:rPr>
              <w:rFonts w:eastAsiaTheme="minorEastAsia"/>
              <w:sz w:val="24"/>
              <w:szCs w:val="24"/>
              <w:highlight w:val="none"/>
            </w:rPr>
          </w:pPr>
          <w:r>
            <w:rPr>
              <w:highlight w:val="none"/>
            </w:rPr>
            <w:fldChar w:fldCharType="begin"/>
          </w:r>
          <w:r>
            <w:rPr>
              <w:highlight w:val="none"/>
            </w:rPr>
            <w:instrText xml:space="preserve"> HYPERLINK \l "_Toc152602325" </w:instrText>
          </w:r>
          <w:r>
            <w:rPr>
              <w:highlight w:val="none"/>
            </w:rPr>
            <w:fldChar w:fldCharType="separate"/>
          </w:r>
          <w:r>
            <w:rPr>
              <w:rStyle w:val="17"/>
              <w:rFonts w:eastAsiaTheme="minorEastAsia"/>
              <w:iCs/>
              <w:sz w:val="24"/>
              <w:szCs w:val="24"/>
              <w:highlight w:val="none"/>
            </w:rPr>
            <w:t>第十七条</w:t>
          </w:r>
          <w:r>
            <w:rPr>
              <w:rFonts w:eastAsiaTheme="minorEastAsia"/>
              <w:sz w:val="24"/>
              <w:szCs w:val="24"/>
              <w:highlight w:val="none"/>
            </w:rPr>
            <w:tab/>
          </w:r>
          <w:r>
            <w:rPr>
              <w:rStyle w:val="17"/>
              <w:rFonts w:eastAsiaTheme="minorEastAsia"/>
              <w:iCs/>
              <w:sz w:val="24"/>
              <w:szCs w:val="24"/>
              <w:highlight w:val="none"/>
            </w:rPr>
            <w:t>合同解除</w:t>
          </w:r>
          <w:r>
            <w:rPr>
              <w:rFonts w:eastAsiaTheme="minorEastAsia"/>
              <w:sz w:val="24"/>
              <w:szCs w:val="24"/>
              <w:highlight w:val="none"/>
            </w:rPr>
            <w:tab/>
          </w:r>
          <w:r>
            <w:rPr>
              <w:rFonts w:eastAsiaTheme="minorEastAsia"/>
              <w:sz w:val="24"/>
              <w:szCs w:val="24"/>
              <w:highlight w:val="none"/>
            </w:rPr>
            <w:fldChar w:fldCharType="begin"/>
          </w:r>
          <w:r>
            <w:rPr>
              <w:rFonts w:eastAsiaTheme="minorEastAsia"/>
              <w:sz w:val="24"/>
              <w:szCs w:val="24"/>
              <w:highlight w:val="none"/>
            </w:rPr>
            <w:instrText xml:space="preserve"> PAGEREF _Toc152602325 \h </w:instrText>
          </w:r>
          <w:r>
            <w:rPr>
              <w:rFonts w:eastAsiaTheme="minorEastAsia"/>
              <w:sz w:val="24"/>
              <w:szCs w:val="24"/>
              <w:highlight w:val="none"/>
            </w:rPr>
            <w:fldChar w:fldCharType="separate"/>
          </w:r>
          <w:r>
            <w:rPr>
              <w:rFonts w:eastAsiaTheme="minorEastAsia"/>
              <w:sz w:val="24"/>
              <w:szCs w:val="24"/>
              <w:highlight w:val="none"/>
            </w:rPr>
            <w:t>15</w:t>
          </w:r>
          <w:r>
            <w:rPr>
              <w:rFonts w:eastAsiaTheme="minorEastAsia"/>
              <w:sz w:val="24"/>
              <w:szCs w:val="24"/>
              <w:highlight w:val="none"/>
            </w:rPr>
            <w:fldChar w:fldCharType="end"/>
          </w:r>
          <w:r>
            <w:rPr>
              <w:rFonts w:eastAsiaTheme="minorEastAsia"/>
              <w:sz w:val="24"/>
              <w:szCs w:val="24"/>
              <w:highlight w:val="none"/>
            </w:rPr>
            <w:fldChar w:fldCharType="end"/>
          </w:r>
        </w:p>
        <w:p>
          <w:pPr>
            <w:pStyle w:val="11"/>
            <w:tabs>
              <w:tab w:val="left" w:pos="1260"/>
              <w:tab w:val="right" w:leader="dot" w:pos="8777"/>
            </w:tabs>
            <w:spacing w:line="355" w:lineRule="auto"/>
            <w:rPr>
              <w:rFonts w:eastAsiaTheme="minorEastAsia"/>
              <w:sz w:val="24"/>
              <w:szCs w:val="24"/>
              <w:highlight w:val="none"/>
            </w:rPr>
          </w:pPr>
          <w:r>
            <w:rPr>
              <w:highlight w:val="none"/>
            </w:rPr>
            <w:fldChar w:fldCharType="begin"/>
          </w:r>
          <w:r>
            <w:rPr>
              <w:highlight w:val="none"/>
            </w:rPr>
            <w:instrText xml:space="preserve"> HYPERLINK \l "_Toc152602326" </w:instrText>
          </w:r>
          <w:r>
            <w:rPr>
              <w:highlight w:val="none"/>
            </w:rPr>
            <w:fldChar w:fldCharType="separate"/>
          </w:r>
          <w:r>
            <w:rPr>
              <w:rStyle w:val="17"/>
              <w:rFonts w:eastAsiaTheme="minorEastAsia"/>
              <w:iCs/>
              <w:sz w:val="24"/>
              <w:szCs w:val="24"/>
              <w:highlight w:val="none"/>
            </w:rPr>
            <w:t>第十八条</w:t>
          </w:r>
          <w:r>
            <w:rPr>
              <w:rFonts w:eastAsiaTheme="minorEastAsia"/>
              <w:sz w:val="24"/>
              <w:szCs w:val="24"/>
              <w:highlight w:val="none"/>
            </w:rPr>
            <w:tab/>
          </w:r>
          <w:r>
            <w:rPr>
              <w:rStyle w:val="17"/>
              <w:rFonts w:eastAsiaTheme="minorEastAsia"/>
              <w:iCs/>
              <w:sz w:val="24"/>
              <w:szCs w:val="24"/>
              <w:highlight w:val="none"/>
            </w:rPr>
            <w:t>适用法律和争议解决</w:t>
          </w:r>
          <w:r>
            <w:rPr>
              <w:rFonts w:eastAsiaTheme="minorEastAsia"/>
              <w:sz w:val="24"/>
              <w:szCs w:val="24"/>
              <w:highlight w:val="none"/>
            </w:rPr>
            <w:tab/>
          </w:r>
          <w:r>
            <w:rPr>
              <w:rFonts w:eastAsiaTheme="minorEastAsia"/>
              <w:sz w:val="24"/>
              <w:szCs w:val="24"/>
              <w:highlight w:val="none"/>
            </w:rPr>
            <w:fldChar w:fldCharType="begin"/>
          </w:r>
          <w:r>
            <w:rPr>
              <w:rFonts w:eastAsiaTheme="minorEastAsia"/>
              <w:sz w:val="24"/>
              <w:szCs w:val="24"/>
              <w:highlight w:val="none"/>
            </w:rPr>
            <w:instrText xml:space="preserve"> PAGEREF _Toc152602326 \h </w:instrText>
          </w:r>
          <w:r>
            <w:rPr>
              <w:rFonts w:eastAsiaTheme="minorEastAsia"/>
              <w:sz w:val="24"/>
              <w:szCs w:val="24"/>
              <w:highlight w:val="none"/>
            </w:rPr>
            <w:fldChar w:fldCharType="separate"/>
          </w:r>
          <w:r>
            <w:rPr>
              <w:rFonts w:eastAsiaTheme="minorEastAsia"/>
              <w:sz w:val="24"/>
              <w:szCs w:val="24"/>
              <w:highlight w:val="none"/>
            </w:rPr>
            <w:t>15</w:t>
          </w:r>
          <w:r>
            <w:rPr>
              <w:rFonts w:eastAsiaTheme="minorEastAsia"/>
              <w:sz w:val="24"/>
              <w:szCs w:val="24"/>
              <w:highlight w:val="none"/>
            </w:rPr>
            <w:fldChar w:fldCharType="end"/>
          </w:r>
          <w:r>
            <w:rPr>
              <w:rFonts w:eastAsiaTheme="minorEastAsia"/>
              <w:sz w:val="24"/>
              <w:szCs w:val="24"/>
              <w:highlight w:val="none"/>
            </w:rPr>
            <w:fldChar w:fldCharType="end"/>
          </w:r>
        </w:p>
        <w:p>
          <w:pPr>
            <w:pStyle w:val="11"/>
            <w:tabs>
              <w:tab w:val="left" w:pos="1260"/>
              <w:tab w:val="right" w:leader="dot" w:pos="8777"/>
            </w:tabs>
            <w:spacing w:line="355" w:lineRule="auto"/>
            <w:rPr>
              <w:rFonts w:eastAsiaTheme="minorEastAsia"/>
              <w:sz w:val="24"/>
              <w:szCs w:val="24"/>
              <w:highlight w:val="none"/>
            </w:rPr>
          </w:pPr>
          <w:r>
            <w:rPr>
              <w:highlight w:val="none"/>
            </w:rPr>
            <w:fldChar w:fldCharType="begin"/>
          </w:r>
          <w:r>
            <w:rPr>
              <w:highlight w:val="none"/>
            </w:rPr>
            <w:instrText xml:space="preserve"> HYPERLINK \l "_Toc152602327" </w:instrText>
          </w:r>
          <w:r>
            <w:rPr>
              <w:highlight w:val="none"/>
            </w:rPr>
            <w:fldChar w:fldCharType="separate"/>
          </w:r>
          <w:r>
            <w:rPr>
              <w:rStyle w:val="17"/>
              <w:rFonts w:eastAsiaTheme="minorEastAsia"/>
              <w:iCs/>
              <w:sz w:val="24"/>
              <w:szCs w:val="24"/>
              <w:highlight w:val="none"/>
            </w:rPr>
            <w:t>第十九条</w:t>
          </w:r>
          <w:r>
            <w:rPr>
              <w:rFonts w:eastAsiaTheme="minorEastAsia"/>
              <w:sz w:val="24"/>
              <w:szCs w:val="24"/>
              <w:highlight w:val="none"/>
            </w:rPr>
            <w:tab/>
          </w:r>
          <w:r>
            <w:rPr>
              <w:rStyle w:val="17"/>
              <w:rFonts w:eastAsiaTheme="minorEastAsia"/>
              <w:iCs/>
              <w:sz w:val="24"/>
              <w:szCs w:val="24"/>
              <w:highlight w:val="none"/>
            </w:rPr>
            <w:t>保密</w:t>
          </w:r>
          <w:r>
            <w:rPr>
              <w:rFonts w:eastAsiaTheme="minorEastAsia"/>
              <w:sz w:val="24"/>
              <w:szCs w:val="24"/>
              <w:highlight w:val="none"/>
            </w:rPr>
            <w:tab/>
          </w:r>
          <w:r>
            <w:rPr>
              <w:rFonts w:eastAsiaTheme="minorEastAsia"/>
              <w:sz w:val="24"/>
              <w:szCs w:val="24"/>
              <w:highlight w:val="none"/>
            </w:rPr>
            <w:fldChar w:fldCharType="begin"/>
          </w:r>
          <w:r>
            <w:rPr>
              <w:rFonts w:eastAsiaTheme="minorEastAsia"/>
              <w:sz w:val="24"/>
              <w:szCs w:val="24"/>
              <w:highlight w:val="none"/>
            </w:rPr>
            <w:instrText xml:space="preserve"> PAGEREF _Toc152602327 \h </w:instrText>
          </w:r>
          <w:r>
            <w:rPr>
              <w:rFonts w:eastAsiaTheme="minorEastAsia"/>
              <w:sz w:val="24"/>
              <w:szCs w:val="24"/>
              <w:highlight w:val="none"/>
            </w:rPr>
            <w:fldChar w:fldCharType="separate"/>
          </w:r>
          <w:r>
            <w:rPr>
              <w:rFonts w:eastAsiaTheme="minorEastAsia"/>
              <w:sz w:val="24"/>
              <w:szCs w:val="24"/>
              <w:highlight w:val="none"/>
            </w:rPr>
            <w:t>16</w:t>
          </w:r>
          <w:r>
            <w:rPr>
              <w:rFonts w:eastAsiaTheme="minorEastAsia"/>
              <w:sz w:val="24"/>
              <w:szCs w:val="24"/>
              <w:highlight w:val="none"/>
            </w:rPr>
            <w:fldChar w:fldCharType="end"/>
          </w:r>
          <w:r>
            <w:rPr>
              <w:rFonts w:eastAsiaTheme="minorEastAsia"/>
              <w:sz w:val="24"/>
              <w:szCs w:val="24"/>
              <w:highlight w:val="none"/>
            </w:rPr>
            <w:fldChar w:fldCharType="end"/>
          </w:r>
        </w:p>
        <w:p>
          <w:pPr>
            <w:pStyle w:val="11"/>
            <w:tabs>
              <w:tab w:val="left" w:pos="1260"/>
              <w:tab w:val="right" w:leader="dot" w:pos="8777"/>
            </w:tabs>
            <w:spacing w:line="355" w:lineRule="auto"/>
            <w:rPr>
              <w:rFonts w:eastAsiaTheme="minorEastAsia"/>
              <w:sz w:val="24"/>
              <w:szCs w:val="24"/>
              <w:highlight w:val="none"/>
            </w:rPr>
          </w:pPr>
          <w:r>
            <w:rPr>
              <w:highlight w:val="none"/>
            </w:rPr>
            <w:fldChar w:fldCharType="begin"/>
          </w:r>
          <w:r>
            <w:rPr>
              <w:highlight w:val="none"/>
            </w:rPr>
            <w:instrText xml:space="preserve"> HYPERLINK \l "_Toc152602328" </w:instrText>
          </w:r>
          <w:r>
            <w:rPr>
              <w:highlight w:val="none"/>
            </w:rPr>
            <w:fldChar w:fldCharType="separate"/>
          </w:r>
          <w:r>
            <w:rPr>
              <w:rStyle w:val="17"/>
              <w:rFonts w:eastAsiaTheme="minorEastAsia"/>
              <w:iCs/>
              <w:sz w:val="24"/>
              <w:szCs w:val="24"/>
              <w:highlight w:val="none"/>
            </w:rPr>
            <w:t>第二十条</w:t>
          </w:r>
          <w:r>
            <w:rPr>
              <w:rFonts w:eastAsiaTheme="minorEastAsia"/>
              <w:sz w:val="24"/>
              <w:szCs w:val="24"/>
              <w:highlight w:val="none"/>
            </w:rPr>
            <w:tab/>
          </w:r>
          <w:r>
            <w:rPr>
              <w:rStyle w:val="17"/>
              <w:rFonts w:eastAsiaTheme="minorEastAsia"/>
              <w:iCs/>
              <w:sz w:val="24"/>
              <w:szCs w:val="24"/>
              <w:highlight w:val="none"/>
            </w:rPr>
            <w:t>转让与分包</w:t>
          </w:r>
          <w:r>
            <w:rPr>
              <w:rFonts w:eastAsiaTheme="minorEastAsia"/>
              <w:sz w:val="24"/>
              <w:szCs w:val="24"/>
              <w:highlight w:val="none"/>
            </w:rPr>
            <w:tab/>
          </w:r>
          <w:r>
            <w:rPr>
              <w:rFonts w:eastAsiaTheme="minorEastAsia"/>
              <w:sz w:val="24"/>
              <w:szCs w:val="24"/>
              <w:highlight w:val="none"/>
            </w:rPr>
            <w:fldChar w:fldCharType="begin"/>
          </w:r>
          <w:r>
            <w:rPr>
              <w:rFonts w:eastAsiaTheme="minorEastAsia"/>
              <w:sz w:val="24"/>
              <w:szCs w:val="24"/>
              <w:highlight w:val="none"/>
            </w:rPr>
            <w:instrText xml:space="preserve"> PAGEREF _Toc152602328 \h </w:instrText>
          </w:r>
          <w:r>
            <w:rPr>
              <w:rFonts w:eastAsiaTheme="minorEastAsia"/>
              <w:sz w:val="24"/>
              <w:szCs w:val="24"/>
              <w:highlight w:val="none"/>
            </w:rPr>
            <w:fldChar w:fldCharType="separate"/>
          </w:r>
          <w:r>
            <w:rPr>
              <w:rFonts w:eastAsiaTheme="minorEastAsia"/>
              <w:sz w:val="24"/>
              <w:szCs w:val="24"/>
              <w:highlight w:val="none"/>
            </w:rPr>
            <w:t>17</w:t>
          </w:r>
          <w:r>
            <w:rPr>
              <w:rFonts w:eastAsiaTheme="minorEastAsia"/>
              <w:sz w:val="24"/>
              <w:szCs w:val="24"/>
              <w:highlight w:val="none"/>
            </w:rPr>
            <w:fldChar w:fldCharType="end"/>
          </w:r>
          <w:r>
            <w:rPr>
              <w:rFonts w:eastAsiaTheme="minorEastAsia"/>
              <w:sz w:val="24"/>
              <w:szCs w:val="24"/>
              <w:highlight w:val="none"/>
            </w:rPr>
            <w:fldChar w:fldCharType="end"/>
          </w:r>
        </w:p>
        <w:p>
          <w:pPr>
            <w:pStyle w:val="11"/>
            <w:tabs>
              <w:tab w:val="left" w:pos="1470"/>
              <w:tab w:val="right" w:leader="dot" w:pos="8777"/>
            </w:tabs>
            <w:spacing w:line="355" w:lineRule="auto"/>
            <w:rPr>
              <w:rFonts w:eastAsiaTheme="minorEastAsia"/>
              <w:sz w:val="24"/>
              <w:szCs w:val="24"/>
              <w:highlight w:val="none"/>
            </w:rPr>
          </w:pPr>
          <w:r>
            <w:rPr>
              <w:highlight w:val="none"/>
            </w:rPr>
            <w:fldChar w:fldCharType="begin"/>
          </w:r>
          <w:r>
            <w:rPr>
              <w:highlight w:val="none"/>
            </w:rPr>
            <w:instrText xml:space="preserve"> HYPERLINK \l "_Toc152602329" </w:instrText>
          </w:r>
          <w:r>
            <w:rPr>
              <w:highlight w:val="none"/>
            </w:rPr>
            <w:fldChar w:fldCharType="separate"/>
          </w:r>
          <w:r>
            <w:rPr>
              <w:rStyle w:val="17"/>
              <w:rFonts w:eastAsiaTheme="minorEastAsia"/>
              <w:iCs/>
              <w:sz w:val="24"/>
              <w:szCs w:val="24"/>
              <w:highlight w:val="none"/>
            </w:rPr>
            <w:t>第二十一条</w:t>
          </w:r>
          <w:r>
            <w:rPr>
              <w:rFonts w:eastAsiaTheme="minorEastAsia"/>
              <w:sz w:val="24"/>
              <w:szCs w:val="24"/>
              <w:highlight w:val="none"/>
            </w:rPr>
            <w:tab/>
          </w:r>
          <w:r>
            <w:rPr>
              <w:rStyle w:val="17"/>
              <w:rFonts w:eastAsiaTheme="minorEastAsia"/>
              <w:iCs/>
              <w:sz w:val="24"/>
              <w:szCs w:val="24"/>
              <w:highlight w:val="none"/>
            </w:rPr>
            <w:t>通知</w:t>
          </w:r>
          <w:r>
            <w:rPr>
              <w:rFonts w:eastAsiaTheme="minorEastAsia"/>
              <w:sz w:val="24"/>
              <w:szCs w:val="24"/>
              <w:highlight w:val="none"/>
            </w:rPr>
            <w:tab/>
          </w:r>
          <w:r>
            <w:rPr>
              <w:rFonts w:eastAsiaTheme="minorEastAsia"/>
              <w:sz w:val="24"/>
              <w:szCs w:val="24"/>
              <w:highlight w:val="none"/>
            </w:rPr>
            <w:fldChar w:fldCharType="begin"/>
          </w:r>
          <w:r>
            <w:rPr>
              <w:rFonts w:eastAsiaTheme="minorEastAsia"/>
              <w:sz w:val="24"/>
              <w:szCs w:val="24"/>
              <w:highlight w:val="none"/>
            </w:rPr>
            <w:instrText xml:space="preserve"> PAGEREF _Toc152602329 \h </w:instrText>
          </w:r>
          <w:r>
            <w:rPr>
              <w:rFonts w:eastAsiaTheme="minorEastAsia"/>
              <w:sz w:val="24"/>
              <w:szCs w:val="24"/>
              <w:highlight w:val="none"/>
            </w:rPr>
            <w:fldChar w:fldCharType="separate"/>
          </w:r>
          <w:r>
            <w:rPr>
              <w:rFonts w:eastAsiaTheme="minorEastAsia"/>
              <w:sz w:val="24"/>
              <w:szCs w:val="24"/>
              <w:highlight w:val="none"/>
            </w:rPr>
            <w:t>17</w:t>
          </w:r>
          <w:r>
            <w:rPr>
              <w:rFonts w:eastAsiaTheme="minorEastAsia"/>
              <w:sz w:val="24"/>
              <w:szCs w:val="24"/>
              <w:highlight w:val="none"/>
            </w:rPr>
            <w:fldChar w:fldCharType="end"/>
          </w:r>
          <w:r>
            <w:rPr>
              <w:rFonts w:eastAsiaTheme="minorEastAsia"/>
              <w:sz w:val="24"/>
              <w:szCs w:val="24"/>
              <w:highlight w:val="none"/>
            </w:rPr>
            <w:fldChar w:fldCharType="end"/>
          </w:r>
        </w:p>
        <w:p>
          <w:pPr>
            <w:pStyle w:val="11"/>
            <w:tabs>
              <w:tab w:val="left" w:pos="1470"/>
              <w:tab w:val="right" w:leader="dot" w:pos="8777"/>
            </w:tabs>
            <w:spacing w:line="355" w:lineRule="auto"/>
            <w:rPr>
              <w:rFonts w:eastAsiaTheme="minorEastAsia"/>
              <w:sz w:val="24"/>
              <w:szCs w:val="24"/>
              <w:highlight w:val="none"/>
            </w:rPr>
          </w:pPr>
          <w:r>
            <w:rPr>
              <w:highlight w:val="none"/>
            </w:rPr>
            <w:fldChar w:fldCharType="begin"/>
          </w:r>
          <w:r>
            <w:rPr>
              <w:highlight w:val="none"/>
            </w:rPr>
            <w:instrText xml:space="preserve"> HYPERLINK \l "_Toc152602335" </w:instrText>
          </w:r>
          <w:r>
            <w:rPr>
              <w:highlight w:val="none"/>
            </w:rPr>
            <w:fldChar w:fldCharType="separate"/>
          </w:r>
          <w:r>
            <w:rPr>
              <w:rStyle w:val="17"/>
              <w:rFonts w:eastAsiaTheme="minorEastAsia"/>
              <w:iCs/>
              <w:sz w:val="24"/>
              <w:szCs w:val="24"/>
              <w:highlight w:val="none"/>
            </w:rPr>
            <w:t>第二十二条</w:t>
          </w:r>
          <w:r>
            <w:rPr>
              <w:rFonts w:eastAsiaTheme="minorEastAsia"/>
              <w:sz w:val="24"/>
              <w:szCs w:val="24"/>
              <w:highlight w:val="none"/>
            </w:rPr>
            <w:tab/>
          </w:r>
          <w:r>
            <w:rPr>
              <w:rStyle w:val="17"/>
              <w:rFonts w:eastAsiaTheme="minorEastAsia"/>
              <w:iCs/>
              <w:sz w:val="24"/>
              <w:szCs w:val="24"/>
              <w:highlight w:val="none"/>
            </w:rPr>
            <w:t>保障与赔偿</w:t>
          </w:r>
          <w:r>
            <w:rPr>
              <w:rFonts w:eastAsiaTheme="minorEastAsia"/>
              <w:sz w:val="24"/>
              <w:szCs w:val="24"/>
              <w:highlight w:val="none"/>
            </w:rPr>
            <w:tab/>
          </w:r>
          <w:r>
            <w:rPr>
              <w:rFonts w:eastAsiaTheme="minorEastAsia"/>
              <w:sz w:val="24"/>
              <w:szCs w:val="24"/>
              <w:highlight w:val="none"/>
            </w:rPr>
            <w:fldChar w:fldCharType="begin"/>
          </w:r>
          <w:r>
            <w:rPr>
              <w:rFonts w:eastAsiaTheme="minorEastAsia"/>
              <w:sz w:val="24"/>
              <w:szCs w:val="24"/>
              <w:highlight w:val="none"/>
            </w:rPr>
            <w:instrText xml:space="preserve"> PAGEREF _Toc152602335 \h </w:instrText>
          </w:r>
          <w:r>
            <w:rPr>
              <w:rFonts w:eastAsiaTheme="minorEastAsia"/>
              <w:sz w:val="24"/>
              <w:szCs w:val="24"/>
              <w:highlight w:val="none"/>
            </w:rPr>
            <w:fldChar w:fldCharType="separate"/>
          </w:r>
          <w:r>
            <w:rPr>
              <w:rFonts w:eastAsiaTheme="minorEastAsia"/>
              <w:sz w:val="24"/>
              <w:szCs w:val="24"/>
              <w:highlight w:val="none"/>
            </w:rPr>
            <w:t>18</w:t>
          </w:r>
          <w:r>
            <w:rPr>
              <w:rFonts w:eastAsiaTheme="minorEastAsia"/>
              <w:sz w:val="24"/>
              <w:szCs w:val="24"/>
              <w:highlight w:val="none"/>
            </w:rPr>
            <w:fldChar w:fldCharType="end"/>
          </w:r>
          <w:r>
            <w:rPr>
              <w:rFonts w:eastAsiaTheme="minorEastAsia"/>
              <w:sz w:val="24"/>
              <w:szCs w:val="24"/>
              <w:highlight w:val="none"/>
            </w:rPr>
            <w:fldChar w:fldCharType="end"/>
          </w:r>
        </w:p>
        <w:p>
          <w:pPr>
            <w:pStyle w:val="11"/>
            <w:tabs>
              <w:tab w:val="left" w:pos="1470"/>
              <w:tab w:val="right" w:leader="dot" w:pos="8777"/>
            </w:tabs>
            <w:spacing w:line="355" w:lineRule="auto"/>
            <w:rPr>
              <w:rFonts w:eastAsiaTheme="minorEastAsia"/>
              <w:sz w:val="24"/>
              <w:szCs w:val="24"/>
              <w:highlight w:val="none"/>
            </w:rPr>
          </w:pPr>
          <w:r>
            <w:rPr>
              <w:highlight w:val="none"/>
            </w:rPr>
            <w:fldChar w:fldCharType="begin"/>
          </w:r>
          <w:r>
            <w:rPr>
              <w:highlight w:val="none"/>
            </w:rPr>
            <w:instrText xml:space="preserve"> HYPERLINK \l "_Toc152602336" </w:instrText>
          </w:r>
          <w:r>
            <w:rPr>
              <w:highlight w:val="none"/>
            </w:rPr>
            <w:fldChar w:fldCharType="separate"/>
          </w:r>
          <w:r>
            <w:rPr>
              <w:rStyle w:val="17"/>
              <w:rFonts w:eastAsiaTheme="minorEastAsia"/>
              <w:iCs/>
              <w:sz w:val="24"/>
              <w:szCs w:val="24"/>
              <w:highlight w:val="none"/>
            </w:rPr>
            <w:t>第二十三条</w:t>
          </w:r>
          <w:r>
            <w:rPr>
              <w:rFonts w:eastAsiaTheme="minorEastAsia"/>
              <w:sz w:val="24"/>
              <w:szCs w:val="24"/>
              <w:highlight w:val="none"/>
            </w:rPr>
            <w:tab/>
          </w:r>
          <w:r>
            <w:rPr>
              <w:rStyle w:val="17"/>
              <w:rFonts w:eastAsiaTheme="minorEastAsia"/>
              <w:iCs/>
              <w:sz w:val="24"/>
              <w:szCs w:val="24"/>
              <w:highlight w:val="none"/>
            </w:rPr>
            <w:t>其他</w:t>
          </w:r>
          <w:r>
            <w:rPr>
              <w:rFonts w:eastAsiaTheme="minorEastAsia"/>
              <w:sz w:val="24"/>
              <w:szCs w:val="24"/>
              <w:highlight w:val="none"/>
            </w:rPr>
            <w:tab/>
          </w:r>
          <w:r>
            <w:rPr>
              <w:rFonts w:eastAsiaTheme="minorEastAsia"/>
              <w:sz w:val="24"/>
              <w:szCs w:val="24"/>
              <w:highlight w:val="none"/>
            </w:rPr>
            <w:fldChar w:fldCharType="begin"/>
          </w:r>
          <w:r>
            <w:rPr>
              <w:rFonts w:eastAsiaTheme="minorEastAsia"/>
              <w:sz w:val="24"/>
              <w:szCs w:val="24"/>
              <w:highlight w:val="none"/>
            </w:rPr>
            <w:instrText xml:space="preserve"> PAGEREF _Toc152602336 \h </w:instrText>
          </w:r>
          <w:r>
            <w:rPr>
              <w:rFonts w:eastAsiaTheme="minorEastAsia"/>
              <w:sz w:val="24"/>
              <w:szCs w:val="24"/>
              <w:highlight w:val="none"/>
            </w:rPr>
            <w:fldChar w:fldCharType="separate"/>
          </w:r>
          <w:r>
            <w:rPr>
              <w:rFonts w:eastAsiaTheme="minorEastAsia"/>
              <w:sz w:val="24"/>
              <w:szCs w:val="24"/>
              <w:highlight w:val="none"/>
            </w:rPr>
            <w:t>19</w:t>
          </w:r>
          <w:r>
            <w:rPr>
              <w:rFonts w:eastAsiaTheme="minorEastAsia"/>
              <w:sz w:val="24"/>
              <w:szCs w:val="24"/>
              <w:highlight w:val="none"/>
            </w:rPr>
            <w:fldChar w:fldCharType="end"/>
          </w:r>
          <w:r>
            <w:rPr>
              <w:rFonts w:eastAsiaTheme="minorEastAsia"/>
              <w:sz w:val="24"/>
              <w:szCs w:val="24"/>
              <w:highlight w:val="none"/>
            </w:rPr>
            <w:fldChar w:fldCharType="end"/>
          </w:r>
        </w:p>
        <w:p>
          <w:pPr>
            <w:pStyle w:val="11"/>
            <w:tabs>
              <w:tab w:val="left" w:pos="1470"/>
              <w:tab w:val="right" w:leader="dot" w:pos="8777"/>
            </w:tabs>
            <w:spacing w:line="355" w:lineRule="auto"/>
            <w:rPr>
              <w:rStyle w:val="17"/>
              <w:rFonts w:eastAsiaTheme="minorEastAsia"/>
              <w:color w:val="auto"/>
              <w:sz w:val="24"/>
              <w:szCs w:val="24"/>
              <w:highlight w:val="none"/>
              <w:u w:val="none"/>
            </w:rPr>
          </w:pPr>
          <w:r>
            <w:rPr>
              <w:highlight w:val="none"/>
            </w:rPr>
            <w:fldChar w:fldCharType="begin"/>
          </w:r>
          <w:r>
            <w:rPr>
              <w:highlight w:val="none"/>
            </w:rPr>
            <w:instrText xml:space="preserve"> HYPERLINK \l "_Toc152602337" </w:instrText>
          </w:r>
          <w:r>
            <w:rPr>
              <w:highlight w:val="none"/>
            </w:rPr>
            <w:fldChar w:fldCharType="separate"/>
          </w:r>
          <w:r>
            <w:rPr>
              <w:rStyle w:val="17"/>
              <w:rFonts w:eastAsiaTheme="minorEastAsia"/>
              <w:iCs/>
              <w:sz w:val="24"/>
              <w:szCs w:val="24"/>
              <w:highlight w:val="none"/>
            </w:rPr>
            <w:t>第二十四条</w:t>
          </w:r>
          <w:r>
            <w:rPr>
              <w:rFonts w:eastAsiaTheme="minorEastAsia"/>
              <w:sz w:val="24"/>
              <w:szCs w:val="24"/>
              <w:highlight w:val="none"/>
            </w:rPr>
            <w:tab/>
          </w:r>
          <w:r>
            <w:rPr>
              <w:rStyle w:val="17"/>
              <w:rFonts w:eastAsiaTheme="minorEastAsia"/>
              <w:iCs/>
              <w:sz w:val="24"/>
              <w:szCs w:val="24"/>
              <w:highlight w:val="none"/>
            </w:rPr>
            <w:t>附件</w:t>
          </w:r>
          <w:r>
            <w:rPr>
              <w:rFonts w:eastAsiaTheme="minorEastAsia"/>
              <w:sz w:val="24"/>
              <w:szCs w:val="24"/>
              <w:highlight w:val="none"/>
            </w:rPr>
            <w:tab/>
          </w:r>
          <w:r>
            <w:rPr>
              <w:rFonts w:eastAsiaTheme="minorEastAsia"/>
              <w:sz w:val="24"/>
              <w:szCs w:val="24"/>
              <w:highlight w:val="none"/>
            </w:rPr>
            <w:fldChar w:fldCharType="begin"/>
          </w:r>
          <w:r>
            <w:rPr>
              <w:rFonts w:eastAsiaTheme="minorEastAsia"/>
              <w:sz w:val="24"/>
              <w:szCs w:val="24"/>
              <w:highlight w:val="none"/>
            </w:rPr>
            <w:instrText xml:space="preserve"> PAGEREF _Toc152602337 \h </w:instrText>
          </w:r>
          <w:r>
            <w:rPr>
              <w:rFonts w:eastAsiaTheme="minorEastAsia"/>
              <w:sz w:val="24"/>
              <w:szCs w:val="24"/>
              <w:highlight w:val="none"/>
            </w:rPr>
            <w:fldChar w:fldCharType="separate"/>
          </w:r>
          <w:r>
            <w:rPr>
              <w:rFonts w:eastAsiaTheme="minorEastAsia"/>
              <w:sz w:val="24"/>
              <w:szCs w:val="24"/>
              <w:highlight w:val="none"/>
            </w:rPr>
            <w:t>20</w:t>
          </w:r>
          <w:r>
            <w:rPr>
              <w:rFonts w:eastAsiaTheme="minorEastAsia"/>
              <w:sz w:val="24"/>
              <w:szCs w:val="24"/>
              <w:highlight w:val="none"/>
            </w:rPr>
            <w:fldChar w:fldCharType="end"/>
          </w:r>
          <w:r>
            <w:rPr>
              <w:rFonts w:eastAsiaTheme="minorEastAsia"/>
              <w:sz w:val="24"/>
              <w:szCs w:val="24"/>
              <w:highlight w:val="none"/>
            </w:rPr>
            <w:fldChar w:fldCharType="end"/>
          </w:r>
        </w:p>
        <w:p>
          <w:pPr>
            <w:pStyle w:val="11"/>
            <w:tabs>
              <w:tab w:val="right" w:leader="dot" w:pos="8777"/>
            </w:tabs>
            <w:spacing w:line="355" w:lineRule="auto"/>
            <w:rPr>
              <w:rFonts w:eastAsiaTheme="minorEastAsia"/>
              <w:sz w:val="24"/>
              <w:szCs w:val="24"/>
              <w:highlight w:val="none"/>
            </w:rPr>
          </w:pPr>
          <w:r>
            <w:rPr>
              <w:highlight w:val="none"/>
            </w:rPr>
            <w:fldChar w:fldCharType="begin"/>
          </w:r>
          <w:r>
            <w:rPr>
              <w:highlight w:val="none"/>
            </w:rPr>
            <w:instrText xml:space="preserve"> HYPERLINK \l "_Toc152602338" </w:instrText>
          </w:r>
          <w:r>
            <w:rPr>
              <w:highlight w:val="none"/>
            </w:rPr>
            <w:fldChar w:fldCharType="separate"/>
          </w:r>
          <w:r>
            <w:rPr>
              <w:rStyle w:val="17"/>
              <w:rFonts w:eastAsiaTheme="minorEastAsia"/>
              <w:sz w:val="24"/>
              <w:szCs w:val="24"/>
              <w:highlight w:val="none"/>
            </w:rPr>
            <w:t>附件一：廉洁备忘录</w:t>
          </w:r>
          <w:r>
            <w:rPr>
              <w:rFonts w:eastAsiaTheme="minorEastAsia"/>
              <w:sz w:val="24"/>
              <w:szCs w:val="24"/>
              <w:highlight w:val="none"/>
            </w:rPr>
            <w:tab/>
          </w:r>
          <w:r>
            <w:rPr>
              <w:rFonts w:eastAsiaTheme="minorEastAsia"/>
              <w:sz w:val="24"/>
              <w:szCs w:val="24"/>
              <w:highlight w:val="none"/>
            </w:rPr>
            <w:fldChar w:fldCharType="begin"/>
          </w:r>
          <w:r>
            <w:rPr>
              <w:rFonts w:eastAsiaTheme="minorEastAsia"/>
              <w:sz w:val="24"/>
              <w:szCs w:val="24"/>
              <w:highlight w:val="none"/>
            </w:rPr>
            <w:instrText xml:space="preserve"> PAGEREF _Toc152602338 \h </w:instrText>
          </w:r>
          <w:r>
            <w:rPr>
              <w:rFonts w:eastAsiaTheme="minorEastAsia"/>
              <w:sz w:val="24"/>
              <w:szCs w:val="24"/>
              <w:highlight w:val="none"/>
            </w:rPr>
            <w:fldChar w:fldCharType="separate"/>
          </w:r>
          <w:r>
            <w:rPr>
              <w:rFonts w:eastAsiaTheme="minorEastAsia"/>
              <w:sz w:val="24"/>
              <w:szCs w:val="24"/>
              <w:highlight w:val="none"/>
            </w:rPr>
            <w:t>22</w:t>
          </w:r>
          <w:r>
            <w:rPr>
              <w:rFonts w:eastAsiaTheme="minorEastAsia"/>
              <w:sz w:val="24"/>
              <w:szCs w:val="24"/>
              <w:highlight w:val="none"/>
            </w:rPr>
            <w:fldChar w:fldCharType="end"/>
          </w:r>
          <w:r>
            <w:rPr>
              <w:rFonts w:eastAsiaTheme="minorEastAsia"/>
              <w:sz w:val="24"/>
              <w:szCs w:val="24"/>
              <w:highlight w:val="none"/>
            </w:rPr>
            <w:fldChar w:fldCharType="end"/>
          </w:r>
        </w:p>
        <w:p>
          <w:pPr>
            <w:pStyle w:val="11"/>
            <w:tabs>
              <w:tab w:val="right" w:leader="dot" w:pos="8777"/>
            </w:tabs>
            <w:spacing w:line="355" w:lineRule="auto"/>
            <w:rPr>
              <w:rFonts w:eastAsiaTheme="minorEastAsia"/>
              <w:sz w:val="24"/>
              <w:szCs w:val="24"/>
              <w:highlight w:val="none"/>
            </w:rPr>
          </w:pPr>
          <w:r>
            <w:rPr>
              <w:highlight w:val="none"/>
            </w:rPr>
            <w:fldChar w:fldCharType="begin"/>
          </w:r>
          <w:r>
            <w:rPr>
              <w:highlight w:val="none"/>
            </w:rPr>
            <w:instrText xml:space="preserve"> HYPERLINK \l "_Toc152602339" </w:instrText>
          </w:r>
          <w:r>
            <w:rPr>
              <w:highlight w:val="none"/>
            </w:rPr>
            <w:fldChar w:fldCharType="separate"/>
          </w:r>
          <w:r>
            <w:rPr>
              <w:rStyle w:val="17"/>
              <w:rFonts w:eastAsiaTheme="minorEastAsia"/>
              <w:sz w:val="24"/>
              <w:szCs w:val="24"/>
              <w:highlight w:val="none"/>
            </w:rPr>
            <w:t>附件二：技术资料清单</w:t>
          </w:r>
          <w:r>
            <w:rPr>
              <w:rFonts w:eastAsiaTheme="minorEastAsia"/>
              <w:sz w:val="24"/>
              <w:szCs w:val="24"/>
              <w:highlight w:val="none"/>
            </w:rPr>
            <w:tab/>
          </w:r>
          <w:r>
            <w:rPr>
              <w:rFonts w:eastAsiaTheme="minorEastAsia"/>
              <w:sz w:val="24"/>
              <w:szCs w:val="24"/>
              <w:highlight w:val="none"/>
            </w:rPr>
            <w:fldChar w:fldCharType="begin"/>
          </w:r>
          <w:r>
            <w:rPr>
              <w:rFonts w:eastAsiaTheme="minorEastAsia"/>
              <w:sz w:val="24"/>
              <w:szCs w:val="24"/>
              <w:highlight w:val="none"/>
            </w:rPr>
            <w:instrText xml:space="preserve"> PAGEREF _Toc152602339 \h </w:instrText>
          </w:r>
          <w:r>
            <w:rPr>
              <w:rFonts w:eastAsiaTheme="minorEastAsia"/>
              <w:sz w:val="24"/>
              <w:szCs w:val="24"/>
              <w:highlight w:val="none"/>
            </w:rPr>
            <w:fldChar w:fldCharType="separate"/>
          </w:r>
          <w:r>
            <w:rPr>
              <w:rFonts w:eastAsiaTheme="minorEastAsia"/>
              <w:sz w:val="24"/>
              <w:szCs w:val="24"/>
              <w:highlight w:val="none"/>
            </w:rPr>
            <w:t>23</w:t>
          </w:r>
          <w:r>
            <w:rPr>
              <w:rFonts w:eastAsiaTheme="minorEastAsia"/>
              <w:sz w:val="24"/>
              <w:szCs w:val="24"/>
              <w:highlight w:val="none"/>
            </w:rPr>
            <w:fldChar w:fldCharType="end"/>
          </w:r>
          <w:r>
            <w:rPr>
              <w:rFonts w:eastAsiaTheme="minorEastAsia"/>
              <w:sz w:val="24"/>
              <w:szCs w:val="24"/>
              <w:highlight w:val="none"/>
            </w:rPr>
            <w:fldChar w:fldCharType="end"/>
          </w:r>
        </w:p>
        <w:p>
          <w:pPr>
            <w:pStyle w:val="11"/>
            <w:tabs>
              <w:tab w:val="right" w:leader="dot" w:pos="8777"/>
            </w:tabs>
            <w:spacing w:line="355" w:lineRule="auto"/>
            <w:rPr>
              <w:rFonts w:eastAsiaTheme="minorEastAsia"/>
              <w:sz w:val="24"/>
              <w:szCs w:val="24"/>
              <w:highlight w:val="none"/>
            </w:rPr>
          </w:pPr>
          <w:r>
            <w:rPr>
              <w:highlight w:val="none"/>
            </w:rPr>
            <w:fldChar w:fldCharType="begin"/>
          </w:r>
          <w:r>
            <w:rPr>
              <w:highlight w:val="none"/>
            </w:rPr>
            <w:instrText xml:space="preserve"> HYPERLINK \l "_Toc152602340" </w:instrText>
          </w:r>
          <w:r>
            <w:rPr>
              <w:highlight w:val="none"/>
            </w:rPr>
            <w:fldChar w:fldCharType="separate"/>
          </w:r>
          <w:r>
            <w:rPr>
              <w:rStyle w:val="17"/>
              <w:rFonts w:eastAsiaTheme="minorEastAsia"/>
              <w:sz w:val="24"/>
              <w:szCs w:val="24"/>
              <w:highlight w:val="none"/>
            </w:rPr>
            <w:t>附件三：送货单（格式）</w:t>
          </w:r>
          <w:r>
            <w:rPr>
              <w:rFonts w:eastAsiaTheme="minorEastAsia"/>
              <w:sz w:val="24"/>
              <w:szCs w:val="24"/>
              <w:highlight w:val="none"/>
            </w:rPr>
            <w:tab/>
          </w:r>
          <w:r>
            <w:rPr>
              <w:rFonts w:eastAsiaTheme="minorEastAsia"/>
              <w:sz w:val="24"/>
              <w:szCs w:val="24"/>
              <w:highlight w:val="none"/>
            </w:rPr>
            <w:fldChar w:fldCharType="begin"/>
          </w:r>
          <w:r>
            <w:rPr>
              <w:rFonts w:eastAsiaTheme="minorEastAsia"/>
              <w:sz w:val="24"/>
              <w:szCs w:val="24"/>
              <w:highlight w:val="none"/>
            </w:rPr>
            <w:instrText xml:space="preserve"> PAGEREF _Toc152602340 \h </w:instrText>
          </w:r>
          <w:r>
            <w:rPr>
              <w:rFonts w:eastAsiaTheme="minorEastAsia"/>
              <w:sz w:val="24"/>
              <w:szCs w:val="24"/>
              <w:highlight w:val="none"/>
            </w:rPr>
            <w:fldChar w:fldCharType="separate"/>
          </w:r>
          <w:r>
            <w:rPr>
              <w:rFonts w:eastAsiaTheme="minorEastAsia"/>
              <w:sz w:val="24"/>
              <w:szCs w:val="24"/>
              <w:highlight w:val="none"/>
            </w:rPr>
            <w:t>24</w:t>
          </w:r>
          <w:r>
            <w:rPr>
              <w:rFonts w:eastAsiaTheme="minorEastAsia"/>
              <w:sz w:val="24"/>
              <w:szCs w:val="24"/>
              <w:highlight w:val="none"/>
            </w:rPr>
            <w:fldChar w:fldCharType="end"/>
          </w:r>
          <w:r>
            <w:rPr>
              <w:rFonts w:eastAsiaTheme="minorEastAsia"/>
              <w:sz w:val="24"/>
              <w:szCs w:val="24"/>
              <w:highlight w:val="none"/>
            </w:rPr>
            <w:fldChar w:fldCharType="end"/>
          </w:r>
        </w:p>
        <w:p>
          <w:pPr>
            <w:pStyle w:val="11"/>
            <w:tabs>
              <w:tab w:val="right" w:leader="dot" w:pos="8777"/>
            </w:tabs>
            <w:spacing w:line="355" w:lineRule="auto"/>
            <w:rPr>
              <w:rFonts w:eastAsiaTheme="minorEastAsia"/>
              <w:sz w:val="24"/>
              <w:szCs w:val="24"/>
              <w:highlight w:val="none"/>
            </w:rPr>
          </w:pPr>
          <w:r>
            <w:rPr>
              <w:highlight w:val="none"/>
            </w:rPr>
            <w:fldChar w:fldCharType="begin"/>
          </w:r>
          <w:r>
            <w:rPr>
              <w:highlight w:val="none"/>
            </w:rPr>
            <w:instrText xml:space="preserve"> HYPERLINK \l "_Toc152602341" </w:instrText>
          </w:r>
          <w:r>
            <w:rPr>
              <w:highlight w:val="none"/>
            </w:rPr>
            <w:fldChar w:fldCharType="separate"/>
          </w:r>
          <w:r>
            <w:rPr>
              <w:rStyle w:val="17"/>
              <w:rFonts w:eastAsiaTheme="minorEastAsia"/>
              <w:sz w:val="24"/>
              <w:szCs w:val="24"/>
              <w:highlight w:val="none"/>
            </w:rPr>
            <w:t>附件四：验收标准及验收记录（格式）</w:t>
          </w:r>
          <w:r>
            <w:rPr>
              <w:rFonts w:eastAsiaTheme="minorEastAsia"/>
              <w:sz w:val="24"/>
              <w:szCs w:val="24"/>
              <w:highlight w:val="none"/>
            </w:rPr>
            <w:tab/>
          </w:r>
          <w:r>
            <w:rPr>
              <w:rFonts w:eastAsiaTheme="minorEastAsia"/>
              <w:sz w:val="24"/>
              <w:szCs w:val="24"/>
              <w:highlight w:val="none"/>
            </w:rPr>
            <w:fldChar w:fldCharType="begin"/>
          </w:r>
          <w:r>
            <w:rPr>
              <w:rFonts w:eastAsiaTheme="minorEastAsia"/>
              <w:sz w:val="24"/>
              <w:szCs w:val="24"/>
              <w:highlight w:val="none"/>
            </w:rPr>
            <w:instrText xml:space="preserve"> PAGEREF _Toc152602341 \h </w:instrText>
          </w:r>
          <w:r>
            <w:rPr>
              <w:rFonts w:eastAsiaTheme="minorEastAsia"/>
              <w:sz w:val="24"/>
              <w:szCs w:val="24"/>
              <w:highlight w:val="none"/>
            </w:rPr>
            <w:fldChar w:fldCharType="separate"/>
          </w:r>
          <w:r>
            <w:rPr>
              <w:rFonts w:eastAsiaTheme="minorEastAsia"/>
              <w:sz w:val="24"/>
              <w:szCs w:val="24"/>
              <w:highlight w:val="none"/>
            </w:rPr>
            <w:t>25</w:t>
          </w:r>
          <w:r>
            <w:rPr>
              <w:rFonts w:eastAsiaTheme="minorEastAsia"/>
              <w:sz w:val="24"/>
              <w:szCs w:val="24"/>
              <w:highlight w:val="none"/>
            </w:rPr>
            <w:fldChar w:fldCharType="end"/>
          </w:r>
          <w:r>
            <w:rPr>
              <w:rFonts w:eastAsiaTheme="minorEastAsia"/>
              <w:sz w:val="24"/>
              <w:szCs w:val="24"/>
              <w:highlight w:val="none"/>
            </w:rPr>
            <w:fldChar w:fldCharType="end"/>
          </w:r>
        </w:p>
        <w:p>
          <w:pPr>
            <w:spacing w:line="355" w:lineRule="auto"/>
            <w:rPr>
              <w:highlight w:val="none"/>
            </w:rPr>
          </w:pPr>
          <w:r>
            <w:rPr>
              <w:rFonts w:eastAsiaTheme="minorEastAsia"/>
              <w:b/>
              <w:bCs/>
              <w:sz w:val="24"/>
              <w:szCs w:val="24"/>
              <w:highlight w:val="none"/>
              <w:lang w:val="zh-CN"/>
            </w:rPr>
            <w:fldChar w:fldCharType="end"/>
          </w:r>
        </w:p>
      </w:sdtContent>
    </w:sdt>
    <w:p>
      <w:pPr>
        <w:tabs>
          <w:tab w:val="center" w:pos="4393"/>
        </w:tabs>
        <w:spacing w:line="360" w:lineRule="auto"/>
        <w:rPr>
          <w:highlight w:val="none"/>
        </w:rPr>
        <w:sectPr>
          <w:headerReference r:id="rId4" w:type="default"/>
          <w:footerReference r:id="rId5" w:type="default"/>
          <w:footerReference r:id="rId6" w:type="even"/>
          <w:pgSz w:w="11906" w:h="16838"/>
          <w:pgMar w:top="1418" w:right="1418" w:bottom="1361" w:left="1701" w:header="851" w:footer="992" w:gutter="0"/>
          <w:pgNumType w:start="1"/>
          <w:cols w:space="425" w:num="1"/>
          <w:docGrid w:type="lines" w:linePitch="312" w:charSpace="0"/>
        </w:sectPr>
      </w:pPr>
    </w:p>
    <w:p>
      <w:pPr>
        <w:pStyle w:val="22"/>
        <w:spacing w:line="360" w:lineRule="auto"/>
        <w:jc w:val="left"/>
        <w:rPr>
          <w:rFonts w:eastAsiaTheme="minorEastAsia"/>
          <w:highlight w:val="none"/>
          <w:lang w:eastAsia="zh-CN"/>
        </w:rPr>
      </w:pPr>
      <w:r>
        <w:rPr>
          <w:rFonts w:eastAsiaTheme="minorEastAsia"/>
          <w:highlight w:val="none"/>
          <w:lang w:eastAsia="zh-CN"/>
        </w:rPr>
        <w:t>本</w:t>
      </w:r>
      <w:bookmarkStart w:id="4" w:name="OLE_LINK145"/>
      <w:bookmarkStart w:id="5" w:name="OLE_LINK144"/>
      <w:r>
        <w:rPr>
          <w:rFonts w:eastAsiaTheme="minorEastAsia"/>
          <w:highlight w:val="none"/>
          <w:lang w:eastAsia="zh-CN"/>
        </w:rPr>
        <w:t>采购合同（以下简称“合同”）</w:t>
      </w:r>
      <w:bookmarkEnd w:id="4"/>
      <w:bookmarkEnd w:id="5"/>
      <w:r>
        <w:rPr>
          <w:rFonts w:eastAsiaTheme="minorEastAsia"/>
          <w:highlight w:val="none"/>
          <w:lang w:eastAsia="zh-CN"/>
        </w:rPr>
        <w:t>由以下双方签订：</w:t>
      </w:r>
    </w:p>
    <w:p>
      <w:pPr>
        <w:spacing w:line="360" w:lineRule="auto"/>
        <w:rPr>
          <w:rFonts w:eastAsiaTheme="minorEastAsia"/>
          <w:b/>
          <w:sz w:val="24"/>
          <w:szCs w:val="24"/>
          <w:highlight w:val="darkGreen"/>
        </w:rPr>
      </w:pPr>
      <w:r>
        <w:rPr>
          <w:rFonts w:eastAsiaTheme="minorEastAsia"/>
          <w:b/>
          <w:sz w:val="24"/>
          <w:szCs w:val="24"/>
          <w:highlight w:val="darkGreen"/>
        </w:rPr>
        <w:t>买    方：</w:t>
      </w:r>
    </w:p>
    <w:p>
      <w:pPr>
        <w:spacing w:line="360" w:lineRule="auto"/>
        <w:rPr>
          <w:rFonts w:eastAsiaTheme="minorEastAsia"/>
          <w:sz w:val="24"/>
          <w:szCs w:val="24"/>
          <w:highlight w:val="darkGreen"/>
        </w:rPr>
      </w:pPr>
      <w:r>
        <w:rPr>
          <w:rFonts w:eastAsiaTheme="minorEastAsia"/>
          <w:sz w:val="24"/>
          <w:szCs w:val="24"/>
          <w:highlight w:val="darkGreen"/>
        </w:rPr>
        <w:t>注册地址：</w:t>
      </w:r>
    </w:p>
    <w:p>
      <w:pPr>
        <w:spacing w:line="360" w:lineRule="auto"/>
        <w:rPr>
          <w:rFonts w:eastAsiaTheme="minorEastAsia"/>
          <w:sz w:val="24"/>
          <w:szCs w:val="24"/>
          <w:highlight w:val="darkGreen"/>
        </w:rPr>
      </w:pPr>
      <w:r>
        <w:rPr>
          <w:rFonts w:eastAsiaTheme="minorEastAsia"/>
          <w:sz w:val="24"/>
          <w:szCs w:val="24"/>
          <w:highlight w:val="darkGreen"/>
        </w:rPr>
        <w:t>法定代表人</w:t>
      </w:r>
      <w:r>
        <w:rPr>
          <w:rFonts w:hint="eastAsia" w:eastAsiaTheme="minorEastAsia"/>
          <w:sz w:val="24"/>
          <w:szCs w:val="24"/>
          <w:highlight w:val="darkGreen"/>
          <w:lang w:eastAsia="zh-CN"/>
        </w:rPr>
        <w:t>（</w:t>
      </w:r>
      <w:r>
        <w:rPr>
          <w:rFonts w:hint="eastAsia" w:eastAsiaTheme="minorEastAsia"/>
          <w:sz w:val="24"/>
          <w:szCs w:val="24"/>
          <w:highlight w:val="darkGreen"/>
          <w:lang w:val="en-US" w:eastAsia="zh-CN"/>
        </w:rPr>
        <w:t>负责人</w:t>
      </w:r>
      <w:r>
        <w:rPr>
          <w:rFonts w:hint="eastAsia" w:eastAsiaTheme="minorEastAsia"/>
          <w:sz w:val="24"/>
          <w:szCs w:val="24"/>
          <w:highlight w:val="darkGreen"/>
          <w:lang w:eastAsia="zh-CN"/>
        </w:rPr>
        <w:t>）</w:t>
      </w:r>
      <w:r>
        <w:rPr>
          <w:rFonts w:eastAsiaTheme="minorEastAsia"/>
          <w:sz w:val="24"/>
          <w:szCs w:val="24"/>
          <w:highlight w:val="darkGreen"/>
        </w:rPr>
        <w:t>：</w:t>
      </w:r>
    </w:p>
    <w:p>
      <w:pPr>
        <w:spacing w:line="360" w:lineRule="auto"/>
        <w:rPr>
          <w:rFonts w:eastAsiaTheme="minorEastAsia"/>
          <w:sz w:val="24"/>
          <w:szCs w:val="24"/>
          <w:highlight w:val="darkGreen"/>
        </w:rPr>
      </w:pPr>
      <w:r>
        <w:rPr>
          <w:rFonts w:eastAsiaTheme="minorEastAsia"/>
          <w:sz w:val="24"/>
          <w:szCs w:val="24"/>
          <w:highlight w:val="darkGreen"/>
        </w:rPr>
        <w:t xml:space="preserve">统一社会信用代码： </w:t>
      </w:r>
    </w:p>
    <w:p>
      <w:pPr>
        <w:spacing w:line="360" w:lineRule="auto"/>
        <w:rPr>
          <w:rFonts w:eastAsiaTheme="minorEastAsia"/>
          <w:sz w:val="24"/>
          <w:szCs w:val="24"/>
          <w:highlight w:val="darkGreen"/>
        </w:rPr>
      </w:pPr>
      <w:r>
        <w:rPr>
          <w:rFonts w:eastAsiaTheme="minorEastAsia"/>
          <w:sz w:val="24"/>
          <w:szCs w:val="24"/>
          <w:highlight w:val="darkGreen"/>
        </w:rPr>
        <w:t>办公地址：</w:t>
      </w:r>
      <w:r>
        <w:rPr>
          <w:rFonts w:eastAsiaTheme="minorEastAsia"/>
          <w:spacing w:val="-10"/>
          <w:sz w:val="24"/>
          <w:szCs w:val="24"/>
          <w:highlight w:val="darkGreen"/>
        </w:rPr>
        <w:t xml:space="preserve"> </w:t>
      </w:r>
    </w:p>
    <w:p>
      <w:pPr>
        <w:spacing w:line="360" w:lineRule="auto"/>
        <w:rPr>
          <w:rFonts w:eastAsiaTheme="minorEastAsia"/>
          <w:b/>
          <w:sz w:val="24"/>
          <w:szCs w:val="24"/>
          <w:highlight w:val="darkGreen"/>
        </w:rPr>
      </w:pPr>
      <w:r>
        <w:rPr>
          <w:rFonts w:eastAsiaTheme="minorEastAsia"/>
          <w:b/>
          <w:sz w:val="24"/>
          <w:szCs w:val="24"/>
          <w:highlight w:val="darkGreen"/>
        </w:rPr>
        <w:t>卖    方：</w:t>
      </w:r>
    </w:p>
    <w:p>
      <w:pPr>
        <w:spacing w:line="360" w:lineRule="auto"/>
        <w:rPr>
          <w:rFonts w:eastAsiaTheme="minorEastAsia"/>
          <w:sz w:val="24"/>
          <w:szCs w:val="24"/>
          <w:highlight w:val="darkGreen"/>
        </w:rPr>
      </w:pPr>
      <w:r>
        <w:rPr>
          <w:rFonts w:eastAsiaTheme="minorEastAsia"/>
          <w:sz w:val="24"/>
          <w:szCs w:val="24"/>
          <w:highlight w:val="darkGreen"/>
        </w:rPr>
        <w:t>注册地址：</w:t>
      </w:r>
    </w:p>
    <w:p>
      <w:pPr>
        <w:spacing w:line="360" w:lineRule="auto"/>
        <w:rPr>
          <w:rFonts w:eastAsiaTheme="minorEastAsia"/>
          <w:sz w:val="24"/>
          <w:szCs w:val="24"/>
          <w:highlight w:val="darkGreen"/>
        </w:rPr>
      </w:pPr>
      <w:r>
        <w:rPr>
          <w:rFonts w:eastAsiaTheme="minorEastAsia"/>
          <w:sz w:val="24"/>
          <w:szCs w:val="24"/>
          <w:highlight w:val="darkGreen"/>
        </w:rPr>
        <w:t>法定代表人</w:t>
      </w:r>
      <w:r>
        <w:rPr>
          <w:rFonts w:hint="eastAsia" w:eastAsiaTheme="minorEastAsia"/>
          <w:sz w:val="24"/>
          <w:szCs w:val="24"/>
          <w:highlight w:val="darkGreen"/>
          <w:lang w:eastAsia="zh-CN"/>
        </w:rPr>
        <w:t>（</w:t>
      </w:r>
      <w:r>
        <w:rPr>
          <w:rFonts w:hint="eastAsia" w:eastAsiaTheme="minorEastAsia"/>
          <w:sz w:val="24"/>
          <w:szCs w:val="24"/>
          <w:highlight w:val="darkGreen"/>
          <w:lang w:val="en-US" w:eastAsia="zh-CN"/>
        </w:rPr>
        <w:t>负责人</w:t>
      </w:r>
      <w:r>
        <w:rPr>
          <w:rFonts w:hint="eastAsia" w:eastAsiaTheme="minorEastAsia"/>
          <w:sz w:val="24"/>
          <w:szCs w:val="24"/>
          <w:highlight w:val="darkGreen"/>
          <w:lang w:eastAsia="zh-CN"/>
        </w:rPr>
        <w:t>）</w:t>
      </w:r>
      <w:r>
        <w:rPr>
          <w:rFonts w:eastAsiaTheme="minorEastAsia"/>
          <w:sz w:val="24"/>
          <w:szCs w:val="24"/>
          <w:highlight w:val="darkGreen"/>
        </w:rPr>
        <w:t>：</w:t>
      </w:r>
    </w:p>
    <w:p>
      <w:pPr>
        <w:spacing w:line="360" w:lineRule="auto"/>
        <w:rPr>
          <w:rFonts w:eastAsiaTheme="minorEastAsia"/>
          <w:sz w:val="24"/>
          <w:szCs w:val="24"/>
          <w:highlight w:val="darkGreen"/>
        </w:rPr>
      </w:pPr>
      <w:r>
        <w:rPr>
          <w:rFonts w:eastAsiaTheme="minorEastAsia"/>
          <w:sz w:val="24"/>
          <w:szCs w:val="24"/>
          <w:highlight w:val="darkGreen"/>
        </w:rPr>
        <w:t>统一社会信用代码：</w:t>
      </w:r>
    </w:p>
    <w:p>
      <w:pPr>
        <w:spacing w:line="360" w:lineRule="auto"/>
        <w:rPr>
          <w:rFonts w:eastAsiaTheme="minorEastAsia"/>
          <w:sz w:val="24"/>
          <w:szCs w:val="24"/>
          <w:highlight w:val="darkGreen"/>
        </w:rPr>
      </w:pPr>
      <w:r>
        <w:rPr>
          <w:rFonts w:eastAsiaTheme="minorEastAsia"/>
          <w:sz w:val="24"/>
          <w:szCs w:val="24"/>
          <w:highlight w:val="darkGreen"/>
        </w:rPr>
        <w:t>办公地址：</w:t>
      </w:r>
    </w:p>
    <w:p>
      <w:pPr>
        <w:spacing w:line="360" w:lineRule="auto"/>
        <w:rPr>
          <w:rFonts w:eastAsiaTheme="minorEastAsia"/>
          <w:sz w:val="24"/>
          <w:szCs w:val="24"/>
          <w:highlight w:val="none"/>
        </w:rPr>
      </w:pPr>
    </w:p>
    <w:p>
      <w:pPr>
        <w:spacing w:line="360" w:lineRule="auto"/>
        <w:ind w:firstLine="480" w:firstLineChars="200"/>
        <w:rPr>
          <w:rFonts w:eastAsiaTheme="minorEastAsia"/>
          <w:sz w:val="24"/>
          <w:szCs w:val="24"/>
          <w:highlight w:val="none"/>
        </w:rPr>
      </w:pPr>
      <w:r>
        <w:rPr>
          <w:rFonts w:eastAsiaTheme="minorEastAsia"/>
          <w:sz w:val="24"/>
          <w:szCs w:val="24"/>
          <w:highlight w:val="none"/>
        </w:rPr>
        <w:t>鉴于，</w:t>
      </w:r>
      <w:r>
        <w:rPr>
          <w:rFonts w:eastAsiaTheme="minorEastAsia"/>
          <w:sz w:val="24"/>
          <w:szCs w:val="24"/>
          <w:highlight w:val="darkGreen"/>
        </w:rPr>
        <w:t>买方是一家根据中华人民共和国法律合法设立并存续的企业，希望购买符合本合同要求的【货物名称】（以下简称“货物”）；</w:t>
      </w:r>
    </w:p>
    <w:p>
      <w:pPr>
        <w:spacing w:line="360" w:lineRule="auto"/>
        <w:ind w:firstLine="480" w:firstLineChars="200"/>
        <w:rPr>
          <w:rFonts w:eastAsiaTheme="minorEastAsia"/>
          <w:sz w:val="24"/>
          <w:szCs w:val="24"/>
          <w:highlight w:val="none"/>
        </w:rPr>
      </w:pPr>
      <w:r>
        <w:rPr>
          <w:rFonts w:eastAsiaTheme="minorEastAsia"/>
          <w:sz w:val="24"/>
          <w:szCs w:val="24"/>
          <w:highlight w:val="none"/>
        </w:rPr>
        <w:t>鉴于，</w:t>
      </w:r>
      <w:r>
        <w:rPr>
          <w:rFonts w:eastAsiaTheme="minorEastAsia"/>
          <w:sz w:val="24"/>
          <w:szCs w:val="24"/>
          <w:highlight w:val="darkGreen"/>
        </w:rPr>
        <w:t>卖方是一家根据【 】法律合法设立并存续的企业，具备提供符合本合同要求的货物的全部资质、资格和条件；</w:t>
      </w:r>
    </w:p>
    <w:p>
      <w:pPr>
        <w:spacing w:line="360" w:lineRule="auto"/>
        <w:ind w:firstLine="480" w:firstLineChars="200"/>
        <w:rPr>
          <w:rFonts w:eastAsiaTheme="minorEastAsia"/>
          <w:sz w:val="24"/>
          <w:szCs w:val="24"/>
          <w:highlight w:val="none"/>
        </w:rPr>
      </w:pPr>
      <w:r>
        <w:rPr>
          <w:rFonts w:eastAsiaTheme="minorEastAsia"/>
          <w:sz w:val="24"/>
          <w:szCs w:val="24"/>
          <w:highlight w:val="none"/>
        </w:rPr>
        <w:t>鉴于，卖方在货物的制造、安装、质量保证、技术服务等方面具有较强的专业能力和良好信誉，愿意根据本合同的规定向买方提供货物；</w:t>
      </w:r>
    </w:p>
    <w:p>
      <w:pPr>
        <w:spacing w:line="360" w:lineRule="auto"/>
        <w:ind w:firstLine="480" w:firstLineChars="200"/>
        <w:rPr>
          <w:rFonts w:hint="default" w:ascii="Times New Roman" w:hAnsi="Times New Roman" w:cs="Times New Roman" w:eastAsiaTheme="minorEastAsia"/>
          <w:sz w:val="24"/>
          <w:szCs w:val="24"/>
          <w:highlight w:val="darkGreen"/>
          <w:lang w:val="en-US" w:eastAsia="zh-CN"/>
        </w:rPr>
      </w:pPr>
      <w:r>
        <w:rPr>
          <w:rFonts w:ascii="Times New Roman" w:hAnsi="Times New Roman" w:cs="Times New Roman" w:eastAsiaTheme="minorEastAsia"/>
          <w:sz w:val="24"/>
          <w:szCs w:val="24"/>
          <w:highlight w:val="darkGreen"/>
        </w:rPr>
        <w:t>鉴于，</w:t>
      </w:r>
      <w:r>
        <w:rPr>
          <w:rFonts w:hint="default" w:ascii="Times New Roman" w:hAnsi="Times New Roman" w:cs="Times New Roman" w:eastAsiaTheme="minorEastAsia"/>
          <w:sz w:val="24"/>
          <w:szCs w:val="24"/>
          <w:highlight w:val="darkGreen"/>
          <w:lang w:val="en-US" w:eastAsia="zh-CN"/>
        </w:rPr>
        <w:t>本合同权利义务同样适用于买方及买方下属分公司、子公司（**分公司、**公司，具体信息见本合同</w:t>
      </w:r>
      <w:r>
        <w:rPr>
          <w:rFonts w:hint="eastAsia" w:ascii="Times New Roman" w:hAnsi="Times New Roman" w:cs="Times New Roman" w:eastAsiaTheme="minorEastAsia"/>
          <w:sz w:val="24"/>
          <w:szCs w:val="24"/>
          <w:highlight w:val="darkGreen"/>
          <w:lang w:val="en-US" w:eastAsia="zh-CN"/>
        </w:rPr>
        <w:t>6.2</w:t>
      </w:r>
      <w:r>
        <w:rPr>
          <w:rFonts w:hint="default" w:ascii="Times New Roman" w:hAnsi="Times New Roman" w:cs="Times New Roman" w:eastAsiaTheme="minorEastAsia"/>
          <w:sz w:val="24"/>
          <w:szCs w:val="24"/>
          <w:highlight w:val="darkGreen"/>
          <w:lang w:val="en-US" w:eastAsia="zh-CN"/>
        </w:rPr>
        <w:t>条）。买方及买方子公司均为本合同的独立买方，均独立享有本合同的所有权和义务，但互相之间不负有连带责任。卖方应分别向买方及买方子公司独立供货并履行相关义务和责任。</w:t>
      </w:r>
    </w:p>
    <w:p>
      <w:pPr>
        <w:spacing w:line="360" w:lineRule="auto"/>
        <w:ind w:firstLine="480" w:firstLineChars="200"/>
        <w:rPr>
          <w:rFonts w:eastAsiaTheme="minorEastAsia"/>
          <w:sz w:val="24"/>
          <w:szCs w:val="24"/>
          <w:highlight w:val="none"/>
        </w:rPr>
      </w:pPr>
      <w:r>
        <w:rPr>
          <w:rFonts w:eastAsiaTheme="minorEastAsia"/>
          <w:sz w:val="24"/>
          <w:szCs w:val="24"/>
          <w:highlight w:val="none"/>
        </w:rPr>
        <w:t>买方和卖方本着自愿、平等、互惠互利、诚实信用的原则，经友好协商，根据《中华人民共和国民法典》及相关法律法规，订立如下合同条款，并承诺共同恪守履行。</w:t>
      </w:r>
    </w:p>
    <w:p>
      <w:pPr>
        <w:pStyle w:val="2"/>
        <w:numPr>
          <w:ilvl w:val="0"/>
          <w:numId w:val="2"/>
        </w:numPr>
        <w:spacing w:before="0" w:after="0" w:line="360" w:lineRule="auto"/>
        <w:ind w:left="419" w:hanging="130"/>
        <w:jc w:val="center"/>
        <w:rPr>
          <w:iCs/>
          <w:sz w:val="24"/>
          <w:szCs w:val="24"/>
          <w:highlight w:val="none"/>
        </w:rPr>
      </w:pPr>
      <w:bookmarkStart w:id="6" w:name="_Toc300671183"/>
      <w:bookmarkStart w:id="7" w:name="_Toc274075952"/>
      <w:bookmarkStart w:id="8" w:name="_Toc274076141"/>
      <w:bookmarkStart w:id="9" w:name="_Toc288567127"/>
      <w:bookmarkStart w:id="10" w:name="_Toc287364267"/>
      <w:bookmarkStart w:id="11" w:name="_Toc274075953"/>
      <w:bookmarkStart w:id="12" w:name="_Toc152602300"/>
      <w:bookmarkStart w:id="13" w:name="_Toc274754019"/>
      <w:bookmarkStart w:id="14" w:name="_Toc276157510"/>
      <w:bookmarkStart w:id="15" w:name="_Toc274403529"/>
      <w:bookmarkStart w:id="16" w:name="_Toc152081933"/>
      <w:bookmarkStart w:id="17" w:name="_Toc287657099"/>
      <w:bookmarkStart w:id="18" w:name="_Toc274343600"/>
      <w:bookmarkStart w:id="19" w:name="_Toc274669313"/>
      <w:bookmarkStart w:id="20" w:name="_Toc276251151"/>
      <w:bookmarkStart w:id="21" w:name="_Toc275597818"/>
      <w:r>
        <w:rPr>
          <w:iCs/>
          <w:sz w:val="24"/>
          <w:szCs w:val="24"/>
          <w:highlight w:val="none"/>
        </w:rPr>
        <w:t>合同标的</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pPr>
        <w:pStyle w:val="20"/>
        <w:numPr>
          <w:ilvl w:val="0"/>
          <w:numId w:val="3"/>
        </w:numPr>
        <w:spacing w:line="360" w:lineRule="auto"/>
        <w:ind w:left="567" w:hanging="567" w:firstLineChars="0"/>
        <w:rPr>
          <w:rFonts w:eastAsiaTheme="minorEastAsia"/>
          <w:sz w:val="24"/>
          <w:highlight w:val="none"/>
        </w:rPr>
      </w:pPr>
      <w:r>
        <w:rPr>
          <w:rFonts w:eastAsiaTheme="minorEastAsia"/>
          <w:sz w:val="24"/>
          <w:highlight w:val="none"/>
        </w:rPr>
        <w:t>货物明细：</w:t>
      </w:r>
    </w:p>
    <w:p>
      <w:pPr>
        <w:spacing w:line="360" w:lineRule="auto"/>
        <w:rPr>
          <w:rFonts w:eastAsiaTheme="minorEastAsia"/>
          <w:sz w:val="24"/>
          <w:szCs w:val="24"/>
          <w:highlight w:val="darkGreen"/>
        </w:rPr>
      </w:pPr>
      <w:bookmarkStart w:id="22" w:name="_MON_1255870109"/>
      <w:bookmarkEnd w:id="22"/>
      <w:bookmarkStart w:id="23" w:name="_MON_1336541745"/>
      <w:bookmarkEnd w:id="23"/>
      <w:bookmarkStart w:id="24" w:name="_MON_1397558023"/>
      <w:bookmarkEnd w:id="24"/>
      <w:bookmarkStart w:id="25" w:name="_MON_1188046269"/>
      <w:bookmarkEnd w:id="25"/>
      <w:bookmarkStart w:id="26" w:name="_MON_1188987452"/>
      <w:bookmarkEnd w:id="26"/>
      <w:bookmarkStart w:id="27" w:name="_MON_1191043020"/>
      <w:bookmarkEnd w:id="27"/>
      <w:bookmarkStart w:id="28" w:name="_MON_1188987102"/>
      <w:bookmarkEnd w:id="28"/>
      <w:bookmarkStart w:id="29" w:name="_MON_1167482531"/>
      <w:bookmarkEnd w:id="29"/>
      <w:bookmarkStart w:id="30" w:name="_MON_1491646792"/>
      <w:bookmarkEnd w:id="30"/>
      <w:bookmarkStart w:id="31" w:name="_MON_1491646910"/>
      <w:bookmarkEnd w:id="31"/>
      <w:bookmarkStart w:id="32" w:name="_MON_1258870959"/>
      <w:bookmarkEnd w:id="32"/>
      <w:bookmarkStart w:id="33" w:name="_MON_1539685244"/>
      <w:bookmarkEnd w:id="33"/>
      <w:bookmarkStart w:id="34" w:name="_MON_1255429682"/>
      <w:bookmarkEnd w:id="34"/>
      <w:bookmarkStart w:id="35" w:name="_MON_1255429551"/>
      <w:bookmarkEnd w:id="35"/>
      <w:bookmarkStart w:id="36" w:name="_MON_1255429981"/>
      <w:bookmarkEnd w:id="36"/>
      <w:bookmarkStart w:id="37" w:name="_MON_1344238791"/>
      <w:bookmarkEnd w:id="37"/>
      <w:bookmarkStart w:id="38" w:name="_MON_1188046326"/>
      <w:bookmarkEnd w:id="38"/>
      <w:bookmarkStart w:id="39" w:name="_MON_1537940431"/>
      <w:bookmarkEnd w:id="39"/>
      <w:bookmarkStart w:id="40" w:name="_MON_1531574860"/>
      <w:bookmarkEnd w:id="40"/>
      <w:bookmarkStart w:id="41" w:name="_MON_1542175955"/>
      <w:bookmarkEnd w:id="41"/>
      <w:bookmarkStart w:id="42" w:name="_MON_1256562664"/>
      <w:bookmarkEnd w:id="42"/>
      <w:bookmarkStart w:id="43" w:name="_MON_1255429991"/>
      <w:bookmarkEnd w:id="43"/>
      <w:bookmarkStart w:id="44" w:name="_MON_1551506983"/>
      <w:bookmarkEnd w:id="44"/>
      <w:bookmarkStart w:id="45" w:name="_MON_1395143531"/>
      <w:bookmarkEnd w:id="45"/>
      <w:bookmarkStart w:id="46" w:name="_MON_1333975255"/>
      <w:bookmarkEnd w:id="46"/>
      <w:bookmarkStart w:id="47" w:name="_MON_1333974991"/>
      <w:bookmarkEnd w:id="47"/>
      <w:bookmarkStart w:id="48" w:name="_MON_1257863824"/>
      <w:bookmarkEnd w:id="48"/>
      <w:bookmarkStart w:id="49" w:name="_MON_1246085784"/>
      <w:bookmarkEnd w:id="49"/>
      <w:bookmarkStart w:id="50" w:name="_MON_1183963304"/>
      <w:bookmarkEnd w:id="50"/>
      <w:bookmarkStart w:id="51" w:name="_MON_1242652158"/>
      <w:bookmarkEnd w:id="51"/>
      <w:bookmarkStart w:id="52" w:name="_MON_1491646818"/>
      <w:bookmarkEnd w:id="52"/>
      <w:bookmarkStart w:id="53" w:name="_MON_1539685509"/>
      <w:bookmarkEnd w:id="53"/>
      <w:bookmarkStart w:id="54" w:name="_MON_1256562313"/>
      <w:bookmarkEnd w:id="54"/>
      <w:bookmarkStart w:id="55" w:name="_MON_1172906952"/>
      <w:bookmarkEnd w:id="55"/>
      <w:bookmarkStart w:id="56" w:name="_MON_1335793467"/>
      <w:bookmarkEnd w:id="56"/>
      <w:bookmarkStart w:id="57" w:name="_MON_1261291943"/>
      <w:bookmarkEnd w:id="57"/>
      <w:bookmarkStart w:id="58" w:name="_MON_1531574960"/>
      <w:bookmarkEnd w:id="58"/>
      <w:bookmarkStart w:id="59" w:name="_MON_1539685459"/>
      <w:bookmarkEnd w:id="59"/>
      <w:bookmarkStart w:id="60" w:name="_MON_1188987457"/>
      <w:bookmarkEnd w:id="60"/>
      <w:bookmarkStart w:id="61" w:name="_MON_1329745524"/>
      <w:bookmarkEnd w:id="61"/>
      <w:bookmarkStart w:id="62" w:name="_MON_1539677591"/>
      <w:bookmarkEnd w:id="62"/>
      <w:bookmarkStart w:id="63" w:name="_MON_1256562288"/>
      <w:bookmarkEnd w:id="63"/>
      <w:bookmarkStart w:id="64" w:name="_MON_1542175962"/>
      <w:bookmarkEnd w:id="64"/>
      <w:bookmarkStart w:id="65" w:name="_MON_1539677897"/>
      <w:bookmarkEnd w:id="65"/>
      <w:bookmarkStart w:id="66" w:name="_MON_1262585799"/>
      <w:bookmarkEnd w:id="66"/>
      <w:bookmarkStart w:id="67" w:name="_MON_1539685334"/>
      <w:bookmarkEnd w:id="67"/>
      <w:bookmarkStart w:id="68" w:name="_MON_1261292888"/>
      <w:bookmarkEnd w:id="68"/>
      <w:bookmarkStart w:id="69" w:name="_MON_1519817005"/>
      <w:bookmarkEnd w:id="69"/>
      <w:bookmarkStart w:id="70" w:name="_MON_1494145221"/>
      <w:bookmarkEnd w:id="70"/>
      <w:bookmarkStart w:id="71" w:name="_MON_1329915285"/>
      <w:bookmarkEnd w:id="71"/>
      <w:bookmarkStart w:id="72" w:name="_MON_1551618749"/>
      <w:bookmarkEnd w:id="72"/>
      <w:bookmarkStart w:id="73" w:name="_MON_1542175918"/>
      <w:bookmarkEnd w:id="73"/>
      <w:bookmarkStart w:id="74" w:name="_MON_1183963352"/>
      <w:bookmarkEnd w:id="74"/>
      <w:bookmarkStart w:id="75" w:name="_MON_1225547009"/>
      <w:bookmarkEnd w:id="75"/>
      <w:bookmarkStart w:id="76" w:name="_MON_1255429782"/>
      <w:bookmarkEnd w:id="76"/>
      <w:bookmarkStart w:id="77" w:name="_MON_1262585942"/>
      <w:bookmarkEnd w:id="77"/>
      <w:bookmarkStart w:id="78" w:name="_MON_1539677877"/>
      <w:bookmarkEnd w:id="78"/>
      <w:bookmarkStart w:id="79" w:name="_MON_1333975165"/>
      <w:bookmarkEnd w:id="79"/>
      <w:bookmarkStart w:id="80" w:name="_MON_1302524990"/>
      <w:bookmarkEnd w:id="80"/>
      <w:bookmarkStart w:id="81" w:name="_MON_1234330485"/>
      <w:bookmarkEnd w:id="81"/>
      <w:bookmarkStart w:id="82" w:name="_MON_1188038964"/>
      <w:bookmarkEnd w:id="82"/>
      <w:bookmarkStart w:id="83" w:name="_MON_1171268067"/>
      <w:bookmarkEnd w:id="83"/>
      <w:bookmarkStart w:id="84" w:name="_MON_1493020456"/>
      <w:bookmarkEnd w:id="84"/>
      <w:bookmarkStart w:id="85" w:name="_MON_1139067982"/>
      <w:bookmarkEnd w:id="85"/>
      <w:bookmarkStart w:id="86" w:name="_MON_1188047059"/>
      <w:bookmarkEnd w:id="86"/>
      <w:bookmarkStart w:id="87" w:name="_MON_1535952292"/>
      <w:bookmarkEnd w:id="87"/>
      <w:bookmarkStart w:id="88" w:name="_MON_1329544587"/>
      <w:bookmarkEnd w:id="88"/>
      <w:bookmarkStart w:id="89" w:name="_MON_1543073892"/>
      <w:bookmarkEnd w:id="89"/>
      <w:bookmarkStart w:id="90" w:name="_MON_1258870968"/>
      <w:bookmarkEnd w:id="90"/>
      <w:bookmarkStart w:id="91" w:name="_MON_1255429731"/>
      <w:bookmarkEnd w:id="91"/>
      <w:bookmarkStart w:id="92" w:name="_MON_1361856944"/>
      <w:bookmarkEnd w:id="92"/>
      <w:bookmarkStart w:id="93" w:name="_MON_1257863927"/>
      <w:bookmarkEnd w:id="93"/>
      <w:bookmarkStart w:id="94" w:name="_MON_1261393334"/>
      <w:bookmarkEnd w:id="94"/>
      <w:bookmarkStart w:id="95" w:name="_MON_1331443284"/>
      <w:bookmarkEnd w:id="95"/>
      <w:bookmarkStart w:id="96" w:name="_MON_1188987116"/>
      <w:bookmarkEnd w:id="96"/>
      <w:bookmarkStart w:id="97" w:name="_MON_1262586029"/>
      <w:bookmarkEnd w:id="97"/>
      <w:bookmarkStart w:id="146" w:name="_GoBack"/>
      <w:r>
        <w:rPr>
          <w:rFonts w:eastAsiaTheme="minorEastAsia"/>
          <w:sz w:val="24"/>
          <w:szCs w:val="24"/>
          <w:highlight w:val="darkGreen"/>
        </w:rPr>
        <w:object>
          <v:shape id="_x0000_i1025" o:spt="75" alt="" type="#_x0000_t75" style="height:119.05pt;width:473.7pt;" o:ole="t" filled="f" o:preferrelative="t" stroked="f" coordsize="21600,21600">
            <v:path/>
            <v:fill on="f" focussize="0,0"/>
            <v:stroke on="f"/>
            <v:imagedata r:id="rId10" o:title=""/>
            <o:lock v:ext="edit" aspectratio="t"/>
            <w10:wrap type="none"/>
            <w10:anchorlock/>
          </v:shape>
          <o:OLEObject Type="Embed" ProgID="Excel.Sheet.8" ShapeID="_x0000_i1025" DrawAspect="Content" ObjectID="_1468075725" r:id="rId9">
            <o:LockedField>false</o:LockedField>
          </o:OLEObject>
        </w:object>
      </w:r>
      <w:bookmarkEnd w:id="146"/>
    </w:p>
    <w:p>
      <w:pPr>
        <w:pStyle w:val="20"/>
        <w:numPr>
          <w:ilvl w:val="0"/>
          <w:numId w:val="3"/>
        </w:numPr>
        <w:spacing w:line="360" w:lineRule="auto"/>
        <w:ind w:firstLineChars="0"/>
        <w:rPr>
          <w:rFonts w:eastAsiaTheme="minorEastAsia"/>
          <w:sz w:val="24"/>
          <w:highlight w:val="darkGreen"/>
        </w:rPr>
      </w:pPr>
      <w:r>
        <w:rPr>
          <w:rFonts w:eastAsiaTheme="minorEastAsia"/>
          <w:sz w:val="24"/>
          <w:highlight w:val="darkGreen"/>
        </w:rPr>
        <w:t>生产厂家（或来源地）：【 】。（注：本款为选择性条款，如无特殊要求，可不必规定。）</w:t>
      </w:r>
    </w:p>
    <w:p>
      <w:pPr>
        <w:pStyle w:val="20"/>
        <w:numPr>
          <w:ilvl w:val="0"/>
          <w:numId w:val="3"/>
        </w:numPr>
        <w:spacing w:line="360" w:lineRule="auto"/>
        <w:ind w:firstLineChars="0"/>
        <w:rPr>
          <w:rFonts w:eastAsiaTheme="minorEastAsia"/>
          <w:sz w:val="24"/>
          <w:highlight w:val="darkGreen"/>
        </w:rPr>
      </w:pPr>
      <w:r>
        <w:rPr>
          <w:rFonts w:eastAsiaTheme="minorEastAsia"/>
          <w:sz w:val="24"/>
          <w:highlight w:val="darkGreen"/>
        </w:rPr>
        <w:t>货物用途：【 】。（注：如果货物不是用于特定项目或工程，可不必列明。）</w:t>
      </w:r>
    </w:p>
    <w:p>
      <w:pPr>
        <w:pStyle w:val="20"/>
        <w:numPr>
          <w:ilvl w:val="0"/>
          <w:numId w:val="3"/>
        </w:numPr>
        <w:spacing w:line="360" w:lineRule="auto"/>
        <w:ind w:firstLineChars="0"/>
        <w:rPr>
          <w:rFonts w:eastAsiaTheme="minorEastAsia"/>
          <w:sz w:val="24"/>
          <w:highlight w:val="darkGreen"/>
        </w:rPr>
      </w:pPr>
      <w:r>
        <w:rPr>
          <w:rFonts w:eastAsiaTheme="minorEastAsia"/>
          <w:sz w:val="24"/>
          <w:highlight w:val="darkGreen"/>
        </w:rPr>
        <w:t>适用的标准名称与代号：【 】。</w:t>
      </w:r>
    </w:p>
    <w:p>
      <w:pPr>
        <w:pStyle w:val="20"/>
        <w:numPr>
          <w:ilvl w:val="0"/>
          <w:numId w:val="3"/>
        </w:numPr>
        <w:spacing w:line="360" w:lineRule="auto"/>
        <w:ind w:firstLineChars="0"/>
        <w:rPr>
          <w:rFonts w:eastAsiaTheme="minorEastAsia"/>
          <w:sz w:val="24"/>
          <w:highlight w:val="darkGreen"/>
        </w:rPr>
      </w:pPr>
      <w:r>
        <w:rPr>
          <w:rFonts w:eastAsiaTheme="minorEastAsia"/>
          <w:sz w:val="24"/>
          <w:highlight w:val="darkGreen"/>
        </w:rPr>
        <w:t>交货日期：【 】。</w:t>
      </w:r>
    </w:p>
    <w:p>
      <w:pPr>
        <w:pStyle w:val="20"/>
        <w:numPr>
          <w:ilvl w:val="0"/>
          <w:numId w:val="3"/>
        </w:numPr>
        <w:spacing w:line="360" w:lineRule="auto"/>
        <w:ind w:firstLineChars="0"/>
        <w:rPr>
          <w:rFonts w:eastAsiaTheme="minorEastAsia"/>
          <w:sz w:val="24"/>
          <w:highlight w:val="darkGreen"/>
        </w:rPr>
      </w:pPr>
      <w:r>
        <w:rPr>
          <w:rFonts w:eastAsiaTheme="minorEastAsia"/>
          <w:sz w:val="24"/>
          <w:highlight w:val="darkGreen"/>
        </w:rPr>
        <w:t>交货地点：【 】、</w:t>
      </w:r>
    </w:p>
    <w:p>
      <w:pPr>
        <w:pStyle w:val="2"/>
        <w:numPr>
          <w:ilvl w:val="0"/>
          <w:numId w:val="2"/>
        </w:numPr>
        <w:spacing w:before="0" w:after="0" w:line="360" w:lineRule="auto"/>
        <w:ind w:left="419" w:hanging="130"/>
        <w:jc w:val="center"/>
        <w:rPr>
          <w:iCs/>
          <w:sz w:val="24"/>
          <w:szCs w:val="24"/>
          <w:highlight w:val="none"/>
        </w:rPr>
      </w:pPr>
      <w:bookmarkStart w:id="98" w:name="_Toc152602301"/>
      <w:r>
        <w:rPr>
          <w:iCs/>
          <w:sz w:val="24"/>
          <w:szCs w:val="24"/>
          <w:highlight w:val="none"/>
        </w:rPr>
        <w:t>合同价款</w:t>
      </w:r>
      <w:bookmarkEnd w:id="98"/>
    </w:p>
    <w:p>
      <w:pPr>
        <w:pStyle w:val="20"/>
        <w:numPr>
          <w:ilvl w:val="0"/>
          <w:numId w:val="4"/>
        </w:numPr>
        <w:spacing w:line="360" w:lineRule="auto"/>
        <w:ind w:left="567" w:hanging="567" w:firstLineChars="0"/>
        <w:rPr>
          <w:rFonts w:eastAsiaTheme="minorEastAsia"/>
          <w:sz w:val="24"/>
          <w:highlight w:val="none"/>
        </w:rPr>
      </w:pPr>
      <w:r>
        <w:rPr>
          <w:rFonts w:eastAsiaTheme="minorEastAsia"/>
          <w:sz w:val="24"/>
          <w:highlight w:val="darkGreen"/>
        </w:rPr>
        <w:t>本合同为固定包干总价合同。含税</w:t>
      </w:r>
      <w:r>
        <w:rPr>
          <w:rFonts w:hint="eastAsia" w:eastAsiaTheme="minorEastAsia"/>
          <w:sz w:val="24"/>
          <w:highlight w:val="darkGreen"/>
        </w:rPr>
        <w:t>合同</w:t>
      </w:r>
      <w:r>
        <w:rPr>
          <w:rFonts w:eastAsiaTheme="minorEastAsia"/>
          <w:sz w:val="24"/>
          <w:highlight w:val="darkGreen"/>
        </w:rPr>
        <w:t>总价为人民币【 】元（大写：人民币【 】元整），增值税税率为【 】%，</w:t>
      </w:r>
      <w:r>
        <w:rPr>
          <w:rFonts w:hint="eastAsia" w:eastAsiaTheme="minorEastAsia"/>
          <w:sz w:val="24"/>
          <w:highlight w:val="darkGreen"/>
        </w:rPr>
        <w:t>增值税额为【 】元</w:t>
      </w:r>
      <w:r>
        <w:rPr>
          <w:rFonts w:hint="eastAsia" w:eastAsiaTheme="minorEastAsia"/>
          <w:sz w:val="24"/>
          <w:highlight w:val="darkGreen"/>
          <w:lang w:eastAsia="zh-CN"/>
        </w:rPr>
        <w:t>，</w:t>
      </w:r>
      <w:r>
        <w:rPr>
          <w:rFonts w:eastAsiaTheme="minorEastAsia"/>
          <w:sz w:val="24"/>
          <w:highlight w:val="darkGreen"/>
        </w:rPr>
        <w:t>不含税合同</w:t>
      </w:r>
      <w:r>
        <w:rPr>
          <w:rFonts w:hint="eastAsia" w:eastAsiaTheme="minorEastAsia"/>
          <w:sz w:val="24"/>
          <w:highlight w:val="darkGreen"/>
        </w:rPr>
        <w:t>总价</w:t>
      </w:r>
      <w:r>
        <w:rPr>
          <w:rFonts w:eastAsiaTheme="minorEastAsia"/>
          <w:sz w:val="24"/>
          <w:highlight w:val="darkGreen"/>
        </w:rPr>
        <w:t>为人民币【 】元。本合同执行期间，如遇增值税税率依法调整，则增值税以最新税率为准进行计算，合同不含税总价保持不变；含税总价相应自动调整。</w:t>
      </w:r>
    </w:p>
    <w:p>
      <w:pPr>
        <w:pStyle w:val="20"/>
        <w:numPr>
          <w:ilvl w:val="0"/>
          <w:numId w:val="4"/>
        </w:numPr>
        <w:spacing w:line="360" w:lineRule="auto"/>
        <w:ind w:left="567" w:hanging="567" w:firstLineChars="0"/>
        <w:rPr>
          <w:rFonts w:eastAsiaTheme="minorEastAsia"/>
          <w:sz w:val="24"/>
          <w:highlight w:val="none"/>
        </w:rPr>
      </w:pPr>
      <w:r>
        <w:rPr>
          <w:rFonts w:eastAsiaTheme="minorEastAsia"/>
          <w:sz w:val="24"/>
          <w:highlight w:val="none"/>
        </w:rPr>
        <w:t>双方同意，除非本合同另有明确规定，在本合同有效期内，上述第2.1款规定的不含税合同总价为固定价格，不因合同生效后物价上涨、原材料上涨、通货膨胀、汇率或利率变化、税收变化或政策性变化等因素而调整。卖方不得以情势变更或任何其他理由为由，要求增加合同价款。</w:t>
      </w:r>
    </w:p>
    <w:p>
      <w:pPr>
        <w:pStyle w:val="20"/>
        <w:numPr>
          <w:ilvl w:val="0"/>
          <w:numId w:val="4"/>
        </w:numPr>
        <w:spacing w:line="360" w:lineRule="auto"/>
        <w:ind w:left="567" w:hanging="567" w:firstLineChars="0"/>
        <w:rPr>
          <w:rFonts w:eastAsiaTheme="minorEastAsia"/>
          <w:sz w:val="24"/>
          <w:highlight w:val="none"/>
        </w:rPr>
      </w:pPr>
      <w:r>
        <w:rPr>
          <w:rFonts w:eastAsiaTheme="minorEastAsia"/>
          <w:sz w:val="24"/>
          <w:highlight w:val="none"/>
        </w:rPr>
        <w:t>上述第2.1款约定的合同总价是本合同项下买方向卖方支付的全部款项。除非合同另有规定，卖方应承担其在履行合同义务时所产生的全部费用和税费。卖方确认，其在同意合同价格前已经获得了所有的信息并已考虑了所有可能影响成本</w:t>
      </w:r>
      <w:r>
        <w:rPr>
          <w:rFonts w:hint="eastAsia" w:eastAsiaTheme="minorEastAsia"/>
          <w:sz w:val="24"/>
          <w:highlight w:val="none"/>
        </w:rPr>
        <w:t>、利润</w:t>
      </w:r>
      <w:r>
        <w:rPr>
          <w:rFonts w:eastAsiaTheme="minorEastAsia"/>
          <w:sz w:val="24"/>
          <w:highlight w:val="none"/>
        </w:rPr>
        <w:t>和费用的因素。为避免歧义，合同总价已覆盖物资成本、易耗品和易耗材料费用；税费（包括关税、增值税、所得税等）；运输、储存、包装、维修、保险、搬运、交付费用；管理费和利润；直接成本、间接成本、人力成本；技术服务费用；质保期费用；或有费用及合同没有列明但系为实现合同目的所必需的工作和服务的费用；卖方所有的风险、义务和责任，以及合同中明确说明由卖方承担的成本与费用等。除买方同意某项费用属于额外的工作项目需另行支付费用外，买方不向卖方支付任何超出合同总价的款项。</w:t>
      </w:r>
    </w:p>
    <w:p>
      <w:pPr>
        <w:pStyle w:val="2"/>
        <w:numPr>
          <w:ilvl w:val="0"/>
          <w:numId w:val="2"/>
        </w:numPr>
        <w:spacing w:before="0" w:after="0" w:line="360" w:lineRule="auto"/>
        <w:ind w:left="419" w:hanging="130"/>
        <w:jc w:val="center"/>
        <w:rPr>
          <w:iCs/>
          <w:sz w:val="24"/>
          <w:szCs w:val="24"/>
          <w:highlight w:val="none"/>
        </w:rPr>
      </w:pPr>
      <w:bookmarkStart w:id="99" w:name="_Toc152602305"/>
      <w:r>
        <w:rPr>
          <w:iCs/>
          <w:sz w:val="24"/>
          <w:szCs w:val="24"/>
          <w:highlight w:val="none"/>
        </w:rPr>
        <w:t>包装</w:t>
      </w:r>
      <w:bookmarkEnd w:id="99"/>
    </w:p>
    <w:p>
      <w:pPr>
        <w:numPr>
          <w:ilvl w:val="3"/>
          <w:numId w:val="5"/>
        </w:numPr>
        <w:tabs>
          <w:tab w:val="left" w:pos="3060"/>
          <w:tab w:val="clear" w:pos="1468"/>
        </w:tabs>
        <w:spacing w:line="360" w:lineRule="auto"/>
        <w:ind w:left="567" w:hanging="567"/>
        <w:rPr>
          <w:kern w:val="0"/>
          <w:sz w:val="24"/>
          <w:szCs w:val="24"/>
          <w:highlight w:val="darkGreen"/>
        </w:rPr>
      </w:pPr>
      <w:r>
        <w:rPr>
          <w:rFonts w:eastAsiaTheme="minorEastAsia"/>
          <w:sz w:val="24"/>
          <w:szCs w:val="24"/>
          <w:highlight w:val="darkGreen"/>
        </w:rPr>
        <w:t>本合同项下的货物由卖方负责包装，卖方应按货物的特点提供货物运至交货地点所需要的包装，并承担与包装相关的全部费用。所有货物均应当具有适合长途运输和多次搬运、装卸的坚固包装，以避免造成运输过程中箱件破损、设备和零件散失；并且，卖方应按货物的特点，按需要分别采用防潮、防霉、防锈、防晒、防腐蚀及防止其它损坏的保护措施，以保证货物在没有任何缺损和腐蚀的情况下完好、安全地运抵交货地点。</w:t>
      </w:r>
    </w:p>
    <w:p>
      <w:pPr>
        <w:numPr>
          <w:ilvl w:val="3"/>
          <w:numId w:val="5"/>
        </w:numPr>
        <w:tabs>
          <w:tab w:val="left" w:pos="3060"/>
          <w:tab w:val="clear" w:pos="1468"/>
        </w:tabs>
        <w:spacing w:line="360" w:lineRule="auto"/>
        <w:ind w:left="567" w:hanging="567"/>
        <w:rPr>
          <w:rFonts w:eastAsiaTheme="minorEastAsia"/>
          <w:sz w:val="24"/>
          <w:szCs w:val="24"/>
          <w:highlight w:val="darkGreen"/>
        </w:rPr>
      </w:pPr>
      <w:r>
        <w:rPr>
          <w:rFonts w:eastAsiaTheme="minorEastAsia"/>
          <w:sz w:val="24"/>
          <w:szCs w:val="24"/>
          <w:highlight w:val="darkGreen"/>
        </w:rPr>
        <w:t>卖方对包装箱内和捆内的各散装部件均应系加标签，并注明合同号、主机名称、部件名称以及该部件在装配图中的位号、零件号。备件和工具除注明上述内容外，还需注明“备件”或“工具”字样。</w:t>
      </w:r>
    </w:p>
    <w:p>
      <w:pPr>
        <w:numPr>
          <w:ilvl w:val="3"/>
          <w:numId w:val="5"/>
        </w:numPr>
        <w:tabs>
          <w:tab w:val="left" w:pos="3060"/>
          <w:tab w:val="clear" w:pos="1468"/>
        </w:tabs>
        <w:spacing w:line="360" w:lineRule="auto"/>
        <w:ind w:left="567" w:hanging="567"/>
        <w:rPr>
          <w:rFonts w:eastAsiaTheme="minorEastAsia"/>
          <w:sz w:val="24"/>
          <w:szCs w:val="24"/>
          <w:highlight w:val="darkGreen"/>
        </w:rPr>
      </w:pPr>
      <w:r>
        <w:rPr>
          <w:rFonts w:eastAsiaTheme="minorEastAsia"/>
          <w:sz w:val="24"/>
          <w:szCs w:val="24"/>
          <w:highlight w:val="darkGreen"/>
        </w:rPr>
        <w:t>卖方应在每件包装箱的邻接四个侧面上，用不褪色的油漆以明显易见的中文印刷以下标记：</w:t>
      </w:r>
    </w:p>
    <w:p>
      <w:pPr>
        <w:tabs>
          <w:tab w:val="left" w:pos="993"/>
        </w:tabs>
        <w:spacing w:line="360" w:lineRule="auto"/>
        <w:ind w:left="424" w:leftChars="202" w:firstLine="141" w:firstLineChars="59"/>
        <w:rPr>
          <w:rFonts w:eastAsiaTheme="minorEastAsia"/>
          <w:sz w:val="24"/>
          <w:szCs w:val="24"/>
          <w:highlight w:val="darkGreen"/>
        </w:rPr>
      </w:pPr>
      <w:r>
        <w:rPr>
          <w:rFonts w:eastAsiaTheme="minorEastAsia"/>
          <w:sz w:val="24"/>
          <w:szCs w:val="24"/>
          <w:highlight w:val="darkGreen"/>
        </w:rPr>
        <w:t>(1)</w:t>
      </w:r>
      <w:r>
        <w:rPr>
          <w:rFonts w:eastAsiaTheme="minorEastAsia"/>
          <w:sz w:val="24"/>
          <w:szCs w:val="24"/>
          <w:highlight w:val="darkGreen"/>
        </w:rPr>
        <w:tab/>
      </w:r>
      <w:r>
        <w:rPr>
          <w:rFonts w:eastAsiaTheme="minorEastAsia"/>
          <w:sz w:val="24"/>
          <w:szCs w:val="24"/>
          <w:highlight w:val="darkGreen"/>
        </w:rPr>
        <w:t>合同号；</w:t>
      </w:r>
    </w:p>
    <w:p>
      <w:pPr>
        <w:tabs>
          <w:tab w:val="left" w:pos="993"/>
        </w:tabs>
        <w:spacing w:line="360" w:lineRule="auto"/>
        <w:ind w:left="424" w:leftChars="202" w:firstLine="141" w:firstLineChars="59"/>
        <w:rPr>
          <w:rFonts w:eastAsiaTheme="minorEastAsia"/>
          <w:sz w:val="24"/>
          <w:szCs w:val="24"/>
          <w:highlight w:val="darkGreen"/>
        </w:rPr>
      </w:pPr>
      <w:r>
        <w:rPr>
          <w:rFonts w:eastAsiaTheme="minorEastAsia"/>
          <w:sz w:val="24"/>
          <w:szCs w:val="24"/>
          <w:highlight w:val="darkGreen"/>
        </w:rPr>
        <w:t>(2)</w:t>
      </w:r>
      <w:r>
        <w:rPr>
          <w:rFonts w:eastAsiaTheme="minorEastAsia"/>
          <w:sz w:val="24"/>
          <w:szCs w:val="24"/>
          <w:highlight w:val="darkGreen"/>
        </w:rPr>
        <w:tab/>
      </w:r>
      <w:r>
        <w:rPr>
          <w:rFonts w:eastAsiaTheme="minorEastAsia"/>
          <w:sz w:val="24"/>
          <w:szCs w:val="24"/>
          <w:highlight w:val="darkGreen"/>
        </w:rPr>
        <w:t>目的站／码头；</w:t>
      </w:r>
    </w:p>
    <w:p>
      <w:pPr>
        <w:tabs>
          <w:tab w:val="left" w:pos="993"/>
        </w:tabs>
        <w:spacing w:line="360" w:lineRule="auto"/>
        <w:ind w:left="424" w:leftChars="202" w:firstLine="141" w:firstLineChars="59"/>
        <w:rPr>
          <w:rFonts w:eastAsiaTheme="minorEastAsia"/>
          <w:sz w:val="24"/>
          <w:szCs w:val="24"/>
          <w:highlight w:val="darkGreen"/>
        </w:rPr>
      </w:pPr>
      <w:r>
        <w:rPr>
          <w:rFonts w:eastAsiaTheme="minorEastAsia"/>
          <w:sz w:val="24"/>
          <w:szCs w:val="24"/>
          <w:highlight w:val="darkGreen"/>
        </w:rPr>
        <w:t>(3)</w:t>
      </w:r>
      <w:r>
        <w:rPr>
          <w:rFonts w:eastAsiaTheme="minorEastAsia"/>
          <w:sz w:val="24"/>
          <w:szCs w:val="24"/>
          <w:highlight w:val="darkGreen"/>
        </w:rPr>
        <w:tab/>
      </w:r>
      <w:r>
        <w:rPr>
          <w:rFonts w:eastAsiaTheme="minorEastAsia"/>
          <w:sz w:val="24"/>
          <w:szCs w:val="24"/>
          <w:highlight w:val="darkGreen"/>
        </w:rPr>
        <w:t>收货人：        ；联系电话：    ；</w:t>
      </w:r>
    </w:p>
    <w:p>
      <w:pPr>
        <w:tabs>
          <w:tab w:val="left" w:pos="993"/>
        </w:tabs>
        <w:spacing w:line="360" w:lineRule="auto"/>
        <w:ind w:left="424" w:leftChars="202" w:firstLine="141" w:firstLineChars="59"/>
        <w:rPr>
          <w:rFonts w:eastAsiaTheme="minorEastAsia"/>
          <w:sz w:val="24"/>
          <w:szCs w:val="24"/>
          <w:highlight w:val="darkGreen"/>
        </w:rPr>
      </w:pPr>
      <w:r>
        <w:rPr>
          <w:rFonts w:eastAsiaTheme="minorEastAsia"/>
          <w:sz w:val="24"/>
          <w:szCs w:val="24"/>
          <w:highlight w:val="darkGreen"/>
        </w:rPr>
        <w:t>(4)</w:t>
      </w:r>
      <w:r>
        <w:rPr>
          <w:rFonts w:eastAsiaTheme="minorEastAsia"/>
          <w:sz w:val="24"/>
          <w:szCs w:val="24"/>
          <w:highlight w:val="darkGreen"/>
        </w:rPr>
        <w:tab/>
      </w:r>
      <w:r>
        <w:rPr>
          <w:rFonts w:eastAsiaTheme="minorEastAsia"/>
          <w:sz w:val="24"/>
          <w:szCs w:val="24"/>
          <w:highlight w:val="darkGreen"/>
        </w:rPr>
        <w:t>货物名称、机组号、图号；</w:t>
      </w:r>
    </w:p>
    <w:p>
      <w:pPr>
        <w:tabs>
          <w:tab w:val="left" w:pos="993"/>
        </w:tabs>
        <w:spacing w:line="360" w:lineRule="auto"/>
        <w:ind w:left="424" w:leftChars="202" w:firstLine="141" w:firstLineChars="59"/>
        <w:rPr>
          <w:rFonts w:eastAsiaTheme="minorEastAsia"/>
          <w:sz w:val="24"/>
          <w:szCs w:val="24"/>
          <w:highlight w:val="darkGreen"/>
        </w:rPr>
      </w:pPr>
      <w:r>
        <w:rPr>
          <w:rFonts w:eastAsiaTheme="minorEastAsia"/>
          <w:sz w:val="24"/>
          <w:szCs w:val="24"/>
          <w:highlight w:val="darkGreen"/>
        </w:rPr>
        <w:t>(5)</w:t>
      </w:r>
      <w:r>
        <w:rPr>
          <w:rFonts w:eastAsiaTheme="minorEastAsia"/>
          <w:sz w:val="24"/>
          <w:szCs w:val="24"/>
          <w:highlight w:val="darkGreen"/>
        </w:rPr>
        <w:tab/>
      </w:r>
      <w:r>
        <w:rPr>
          <w:rFonts w:eastAsiaTheme="minorEastAsia"/>
          <w:sz w:val="24"/>
          <w:szCs w:val="24"/>
          <w:highlight w:val="darkGreen"/>
        </w:rPr>
        <w:t>箱号／件号；</w:t>
      </w:r>
    </w:p>
    <w:p>
      <w:pPr>
        <w:tabs>
          <w:tab w:val="left" w:pos="993"/>
        </w:tabs>
        <w:spacing w:line="360" w:lineRule="auto"/>
        <w:ind w:left="424" w:leftChars="202" w:firstLine="141" w:firstLineChars="59"/>
        <w:rPr>
          <w:rFonts w:eastAsiaTheme="minorEastAsia"/>
          <w:sz w:val="24"/>
          <w:szCs w:val="24"/>
          <w:highlight w:val="darkGreen"/>
        </w:rPr>
      </w:pPr>
      <w:r>
        <w:rPr>
          <w:rFonts w:eastAsiaTheme="minorEastAsia"/>
          <w:sz w:val="24"/>
          <w:szCs w:val="24"/>
          <w:highlight w:val="darkGreen"/>
        </w:rPr>
        <w:t>(6)</w:t>
      </w:r>
      <w:r>
        <w:rPr>
          <w:rFonts w:eastAsiaTheme="minorEastAsia"/>
          <w:sz w:val="24"/>
          <w:szCs w:val="24"/>
          <w:highlight w:val="darkGreen"/>
        </w:rPr>
        <w:tab/>
      </w:r>
      <w:r>
        <w:rPr>
          <w:rFonts w:eastAsiaTheme="minorEastAsia"/>
          <w:sz w:val="24"/>
          <w:szCs w:val="24"/>
          <w:highlight w:val="darkGreen"/>
        </w:rPr>
        <w:t>毛重／净重（公斤）；</w:t>
      </w:r>
    </w:p>
    <w:p>
      <w:pPr>
        <w:tabs>
          <w:tab w:val="left" w:pos="993"/>
        </w:tabs>
        <w:spacing w:line="360" w:lineRule="auto"/>
        <w:ind w:left="424" w:leftChars="202" w:firstLine="141" w:firstLineChars="59"/>
        <w:rPr>
          <w:rFonts w:eastAsiaTheme="minorEastAsia"/>
          <w:sz w:val="24"/>
          <w:szCs w:val="24"/>
          <w:highlight w:val="darkGreen"/>
        </w:rPr>
      </w:pPr>
      <w:r>
        <w:rPr>
          <w:rFonts w:eastAsiaTheme="minorEastAsia"/>
          <w:sz w:val="24"/>
          <w:szCs w:val="24"/>
          <w:highlight w:val="darkGreen"/>
        </w:rPr>
        <w:t>(7)</w:t>
      </w:r>
      <w:r>
        <w:rPr>
          <w:rFonts w:eastAsiaTheme="minorEastAsia"/>
          <w:sz w:val="24"/>
          <w:szCs w:val="24"/>
          <w:highlight w:val="darkGreen"/>
        </w:rPr>
        <w:tab/>
      </w:r>
      <w:r>
        <w:rPr>
          <w:rFonts w:eastAsiaTheme="minorEastAsia"/>
          <w:sz w:val="24"/>
          <w:szCs w:val="24"/>
          <w:highlight w:val="darkGreen"/>
        </w:rPr>
        <w:t>体积（长×宽×高，以毫米表示）；</w:t>
      </w:r>
    </w:p>
    <w:p>
      <w:pPr>
        <w:tabs>
          <w:tab w:val="left" w:pos="993"/>
        </w:tabs>
        <w:spacing w:line="360" w:lineRule="auto"/>
        <w:ind w:left="424" w:leftChars="202" w:firstLine="141" w:firstLineChars="59"/>
        <w:rPr>
          <w:rFonts w:eastAsiaTheme="minorEastAsia"/>
          <w:sz w:val="24"/>
          <w:szCs w:val="24"/>
          <w:highlight w:val="darkGreen"/>
        </w:rPr>
      </w:pPr>
      <w:r>
        <w:rPr>
          <w:rFonts w:eastAsiaTheme="minorEastAsia"/>
          <w:sz w:val="24"/>
          <w:szCs w:val="24"/>
          <w:highlight w:val="darkGreen"/>
        </w:rPr>
        <w:t>(8)</w:t>
      </w:r>
      <w:r>
        <w:rPr>
          <w:rFonts w:eastAsiaTheme="minorEastAsia"/>
          <w:sz w:val="24"/>
          <w:szCs w:val="24"/>
          <w:highlight w:val="darkGreen"/>
        </w:rPr>
        <w:tab/>
      </w:r>
      <w:r>
        <w:rPr>
          <w:rFonts w:eastAsiaTheme="minorEastAsia"/>
          <w:sz w:val="24"/>
          <w:szCs w:val="24"/>
          <w:highlight w:val="darkGreen"/>
        </w:rPr>
        <w:t>吊点；（注：当货物重量超过2吨或体积超过2方时适用）</w:t>
      </w:r>
    </w:p>
    <w:p>
      <w:pPr>
        <w:tabs>
          <w:tab w:val="left" w:pos="993"/>
        </w:tabs>
        <w:spacing w:line="360" w:lineRule="auto"/>
        <w:ind w:left="424" w:leftChars="202" w:firstLine="141" w:firstLineChars="59"/>
        <w:rPr>
          <w:rFonts w:eastAsiaTheme="minorEastAsia"/>
          <w:sz w:val="24"/>
          <w:szCs w:val="24"/>
          <w:highlight w:val="darkGreen"/>
        </w:rPr>
      </w:pPr>
      <w:r>
        <w:rPr>
          <w:rFonts w:eastAsiaTheme="minorEastAsia"/>
          <w:sz w:val="24"/>
          <w:szCs w:val="24"/>
          <w:highlight w:val="darkGreen"/>
        </w:rPr>
        <w:t>(9)</w:t>
      </w:r>
      <w:r>
        <w:rPr>
          <w:rFonts w:eastAsiaTheme="minorEastAsia"/>
          <w:sz w:val="24"/>
          <w:szCs w:val="24"/>
          <w:highlight w:val="darkGreen"/>
        </w:rPr>
        <w:tab/>
      </w:r>
      <w:r>
        <w:rPr>
          <w:rFonts w:eastAsiaTheme="minorEastAsia"/>
          <w:sz w:val="24"/>
          <w:szCs w:val="24"/>
          <w:highlight w:val="darkGreen"/>
        </w:rPr>
        <w:t>其他：【】。（注：如有其它特殊需要请自行添加）</w:t>
      </w:r>
    </w:p>
    <w:p>
      <w:pPr>
        <w:numPr>
          <w:ilvl w:val="3"/>
          <w:numId w:val="5"/>
        </w:numPr>
        <w:tabs>
          <w:tab w:val="left" w:pos="3060"/>
          <w:tab w:val="clear" w:pos="1468"/>
        </w:tabs>
        <w:spacing w:line="360" w:lineRule="auto"/>
        <w:ind w:left="567" w:hanging="567"/>
        <w:rPr>
          <w:rFonts w:eastAsiaTheme="minorEastAsia"/>
          <w:sz w:val="24"/>
          <w:szCs w:val="24"/>
          <w:highlight w:val="darkGreen"/>
        </w:rPr>
      </w:pPr>
      <w:r>
        <w:rPr>
          <w:rFonts w:eastAsiaTheme="minorEastAsia"/>
          <w:sz w:val="24"/>
          <w:szCs w:val="24"/>
          <w:highlight w:val="darkGreen"/>
        </w:rPr>
        <w:t>凡重量超过2吨或体积超过2方的货物，应在包装箱的侧面以运输常用的标记和图案标明重心位置及起吊点。</w:t>
      </w:r>
    </w:p>
    <w:p>
      <w:pPr>
        <w:numPr>
          <w:ilvl w:val="3"/>
          <w:numId w:val="5"/>
        </w:numPr>
        <w:tabs>
          <w:tab w:val="left" w:pos="3060"/>
          <w:tab w:val="clear" w:pos="1468"/>
        </w:tabs>
        <w:spacing w:line="360" w:lineRule="auto"/>
        <w:ind w:left="567" w:hanging="567"/>
        <w:rPr>
          <w:rFonts w:eastAsiaTheme="minorEastAsia"/>
          <w:sz w:val="24"/>
          <w:szCs w:val="24"/>
          <w:highlight w:val="darkGreen"/>
        </w:rPr>
      </w:pPr>
      <w:r>
        <w:rPr>
          <w:rFonts w:eastAsiaTheme="minorEastAsia"/>
          <w:sz w:val="24"/>
          <w:szCs w:val="24"/>
          <w:highlight w:val="darkGreen"/>
        </w:rPr>
        <w:t>根据货物的特点和装卸、运输的不同要求，包装箱应显著标明“轻放”、“勿倒置”、“防潮”和“防雨”等字样。</w:t>
      </w:r>
    </w:p>
    <w:p>
      <w:pPr>
        <w:numPr>
          <w:ilvl w:val="3"/>
          <w:numId w:val="5"/>
        </w:numPr>
        <w:tabs>
          <w:tab w:val="left" w:pos="3060"/>
          <w:tab w:val="clear" w:pos="1468"/>
        </w:tabs>
        <w:spacing w:line="360" w:lineRule="auto"/>
        <w:ind w:left="567" w:hanging="567"/>
        <w:rPr>
          <w:rFonts w:eastAsiaTheme="minorEastAsia"/>
          <w:sz w:val="24"/>
          <w:szCs w:val="24"/>
          <w:highlight w:val="darkGreen"/>
        </w:rPr>
      </w:pPr>
      <w:r>
        <w:rPr>
          <w:rFonts w:eastAsiaTheme="minorEastAsia"/>
          <w:sz w:val="24"/>
          <w:szCs w:val="24"/>
          <w:highlight w:val="darkGreen"/>
        </w:rPr>
        <w:t>对裸装货物应以金属标签或直接在设备本体上注明本条第3.3款规定的内容。大件货物应带有足够的支架或包装垫木。</w:t>
      </w:r>
    </w:p>
    <w:p>
      <w:pPr>
        <w:numPr>
          <w:ilvl w:val="3"/>
          <w:numId w:val="5"/>
        </w:numPr>
        <w:tabs>
          <w:tab w:val="left" w:pos="3060"/>
          <w:tab w:val="clear" w:pos="1468"/>
        </w:tabs>
        <w:spacing w:line="360" w:lineRule="auto"/>
        <w:ind w:left="567" w:hanging="567"/>
        <w:rPr>
          <w:rFonts w:eastAsiaTheme="minorEastAsia"/>
          <w:sz w:val="24"/>
          <w:szCs w:val="24"/>
          <w:highlight w:val="darkGreen"/>
        </w:rPr>
      </w:pPr>
      <w:r>
        <w:rPr>
          <w:rFonts w:eastAsiaTheme="minorEastAsia"/>
          <w:sz w:val="24"/>
          <w:szCs w:val="24"/>
          <w:highlight w:val="darkGreen"/>
        </w:rPr>
        <w:t>每件包装箱内，应附有包括分件名称、数量、价格、机组号、图号的详细装箱单、合格证、保修单、使用说明书，外购件包装箱内还应有产品出厂质量合格证明书和技术说明（如有）各一份（上述各项合称为“货物资料”）。</w:t>
      </w:r>
    </w:p>
    <w:p>
      <w:pPr>
        <w:numPr>
          <w:ilvl w:val="3"/>
          <w:numId w:val="5"/>
        </w:numPr>
        <w:tabs>
          <w:tab w:val="left" w:pos="3060"/>
          <w:tab w:val="clear" w:pos="1468"/>
        </w:tabs>
        <w:spacing w:line="360" w:lineRule="auto"/>
        <w:ind w:left="567" w:hanging="567"/>
        <w:rPr>
          <w:rFonts w:eastAsiaTheme="minorEastAsia"/>
          <w:sz w:val="24"/>
          <w:szCs w:val="24"/>
          <w:highlight w:val="none"/>
        </w:rPr>
      </w:pPr>
      <w:r>
        <w:rPr>
          <w:rFonts w:eastAsiaTheme="minorEastAsia"/>
          <w:sz w:val="24"/>
          <w:szCs w:val="24"/>
          <w:highlight w:val="none"/>
        </w:rPr>
        <w:t>货物包装还应符合相应的国家标准或行业标准。</w:t>
      </w:r>
    </w:p>
    <w:p>
      <w:pPr>
        <w:numPr>
          <w:ilvl w:val="3"/>
          <w:numId w:val="5"/>
        </w:numPr>
        <w:tabs>
          <w:tab w:val="left" w:pos="3060"/>
          <w:tab w:val="clear" w:pos="1468"/>
        </w:tabs>
        <w:spacing w:line="360" w:lineRule="auto"/>
        <w:ind w:left="567" w:hanging="567"/>
        <w:rPr>
          <w:rFonts w:eastAsiaTheme="minorEastAsia"/>
          <w:sz w:val="24"/>
          <w:szCs w:val="24"/>
          <w:highlight w:val="none"/>
        </w:rPr>
      </w:pPr>
      <w:r>
        <w:rPr>
          <w:rFonts w:eastAsiaTheme="minorEastAsia"/>
          <w:sz w:val="24"/>
          <w:szCs w:val="24"/>
          <w:highlight w:val="none"/>
        </w:rPr>
        <w:t>如因包装、保护措施不当或因卖方保管不善引起货物或货物资料损坏、缺陷、短缺、遗失或质量不符合要求，卖方应予以替换、补充并赔偿买方因此遭受的全部损失。卖方应尽快将替换或补充的货物、货物资料运达目的地，并承担因此发生的任何费用。</w:t>
      </w:r>
    </w:p>
    <w:p>
      <w:pPr>
        <w:pStyle w:val="2"/>
        <w:numPr>
          <w:ilvl w:val="0"/>
          <w:numId w:val="2"/>
        </w:numPr>
        <w:spacing w:before="0" w:after="0" w:line="360" w:lineRule="auto"/>
        <w:ind w:left="419" w:hanging="130"/>
        <w:jc w:val="center"/>
        <w:rPr>
          <w:iCs/>
          <w:sz w:val="24"/>
          <w:szCs w:val="24"/>
          <w:highlight w:val="none"/>
        </w:rPr>
      </w:pPr>
      <w:bookmarkStart w:id="100" w:name="_Toc152601952"/>
      <w:bookmarkEnd w:id="100"/>
      <w:bookmarkStart w:id="101" w:name="_Toc152602306"/>
      <w:bookmarkEnd w:id="101"/>
      <w:bookmarkStart w:id="102" w:name="_Toc152602032"/>
      <w:bookmarkEnd w:id="102"/>
      <w:bookmarkStart w:id="103" w:name="_Toc152602307"/>
      <w:r>
        <w:rPr>
          <w:iCs/>
          <w:sz w:val="24"/>
          <w:szCs w:val="24"/>
          <w:highlight w:val="none"/>
        </w:rPr>
        <w:t>运输方式</w:t>
      </w:r>
      <w:bookmarkEnd w:id="103"/>
    </w:p>
    <w:p>
      <w:pPr>
        <w:pStyle w:val="20"/>
        <w:numPr>
          <w:ilvl w:val="0"/>
          <w:numId w:val="6"/>
        </w:numPr>
        <w:spacing w:line="360" w:lineRule="auto"/>
        <w:ind w:left="567" w:hanging="567" w:firstLineChars="0"/>
        <w:rPr>
          <w:rFonts w:eastAsiaTheme="minorEastAsia"/>
          <w:sz w:val="24"/>
          <w:highlight w:val="darkGreen"/>
        </w:rPr>
      </w:pPr>
      <w:r>
        <w:rPr>
          <w:rFonts w:eastAsiaTheme="minorEastAsia"/>
          <w:sz w:val="24"/>
          <w:highlight w:val="darkGreen"/>
        </w:rPr>
        <w:t>本合同项下的货物由卖方负责运输并承担与运输相关的全部费用，运输方式由卖方自行决定，但必须适合货物特点，满足买方对供货时间、地点和供货安全的需要。</w:t>
      </w:r>
    </w:p>
    <w:p>
      <w:pPr>
        <w:pStyle w:val="20"/>
        <w:numPr>
          <w:ilvl w:val="0"/>
          <w:numId w:val="6"/>
        </w:numPr>
        <w:spacing w:line="360" w:lineRule="auto"/>
        <w:ind w:left="567" w:hanging="567" w:firstLineChars="0"/>
        <w:rPr>
          <w:rFonts w:eastAsiaTheme="minorEastAsia"/>
          <w:sz w:val="24"/>
          <w:highlight w:val="darkGreen"/>
        </w:rPr>
      </w:pPr>
      <w:r>
        <w:rPr>
          <w:rFonts w:eastAsiaTheme="minorEastAsia"/>
          <w:sz w:val="24"/>
          <w:highlight w:val="darkGreen"/>
        </w:rPr>
        <w:t>如因运输不当引起货物或货物资料损坏、缺陷、短缺、遗失或质量不符合要求，卖方应在买方指定的时间内到达现场协助调查，并负责与承运人及保险公司交涉。但是，无论如何，卖方有义务对上述损坏、缺陷、短缺、遗失或质量不符合要求的货物或货物资料予以替换、补充并赔偿买方因此遭受的全部损失。卖方应尽快将替换或补充的货物、货物资料运达目的地，并承担因此发生的任何费用。</w:t>
      </w:r>
    </w:p>
    <w:p>
      <w:pPr>
        <w:pStyle w:val="2"/>
        <w:numPr>
          <w:ilvl w:val="0"/>
          <w:numId w:val="2"/>
        </w:numPr>
        <w:spacing w:before="0" w:after="0" w:line="360" w:lineRule="auto"/>
        <w:ind w:left="419" w:hanging="130"/>
        <w:jc w:val="center"/>
        <w:rPr>
          <w:iCs/>
          <w:sz w:val="24"/>
          <w:szCs w:val="24"/>
          <w:highlight w:val="none"/>
        </w:rPr>
      </w:pPr>
      <w:bookmarkStart w:id="104" w:name="_Toc152602308"/>
      <w:r>
        <w:rPr>
          <w:iCs/>
          <w:sz w:val="24"/>
          <w:szCs w:val="24"/>
          <w:highlight w:val="none"/>
        </w:rPr>
        <w:t>保险</w:t>
      </w:r>
      <w:bookmarkEnd w:id="104"/>
    </w:p>
    <w:p>
      <w:pPr>
        <w:pStyle w:val="20"/>
        <w:numPr>
          <w:ilvl w:val="0"/>
          <w:numId w:val="7"/>
        </w:numPr>
        <w:spacing w:line="360" w:lineRule="auto"/>
        <w:ind w:left="567" w:hanging="567" w:firstLineChars="0"/>
        <w:rPr>
          <w:rFonts w:eastAsiaTheme="minorEastAsia"/>
          <w:sz w:val="24"/>
          <w:highlight w:val="darkGreen"/>
        </w:rPr>
      </w:pPr>
      <w:r>
        <w:rPr>
          <w:rFonts w:eastAsiaTheme="minorEastAsia"/>
          <w:sz w:val="24"/>
          <w:highlight w:val="darkGreen"/>
        </w:rPr>
        <w:t>对于本合同项下的货物，卖方应向买方认可的、拥有合法资质的著名保险公司投保以下规定的保险金额和险种的保险，并将买方列为共同被保险人或受益人。保险保障区段为卖方制造厂存储货物的仓库到买方用于存储货物的仓库，投保的期限始于装货（含装货）止于卸货后【 】日：（删除不适用的选项）</w:t>
      </w:r>
    </w:p>
    <w:p>
      <w:pPr>
        <w:tabs>
          <w:tab w:val="left" w:pos="993"/>
        </w:tabs>
        <w:spacing w:line="360" w:lineRule="auto"/>
        <w:ind w:left="424" w:leftChars="202" w:firstLine="141" w:firstLineChars="59"/>
        <w:rPr>
          <w:rFonts w:eastAsiaTheme="minorEastAsia"/>
          <w:sz w:val="24"/>
          <w:szCs w:val="24"/>
          <w:highlight w:val="darkGreen"/>
        </w:rPr>
      </w:pPr>
      <w:r>
        <w:rPr>
          <w:rFonts w:eastAsiaTheme="minorEastAsia"/>
          <w:sz w:val="24"/>
          <w:szCs w:val="24"/>
          <w:highlight w:val="darkGreen"/>
        </w:rPr>
        <w:t>(1)</w:t>
      </w:r>
      <w:r>
        <w:rPr>
          <w:rFonts w:eastAsiaTheme="minorEastAsia"/>
          <w:sz w:val="24"/>
          <w:szCs w:val="24"/>
          <w:highlight w:val="darkGreen"/>
        </w:rPr>
        <w:tab/>
      </w:r>
      <w:r>
        <w:rPr>
          <w:rFonts w:eastAsiaTheme="minorEastAsia"/>
          <w:sz w:val="24"/>
          <w:szCs w:val="24"/>
          <w:highlight w:val="darkGreen"/>
        </w:rPr>
        <w:t>保险金额为合同总价【10%】的运输保险；</w:t>
      </w:r>
    </w:p>
    <w:p>
      <w:pPr>
        <w:tabs>
          <w:tab w:val="left" w:pos="993"/>
        </w:tabs>
        <w:spacing w:line="360" w:lineRule="auto"/>
        <w:ind w:left="424" w:leftChars="202" w:firstLine="141" w:firstLineChars="59"/>
        <w:rPr>
          <w:rFonts w:eastAsiaTheme="minorEastAsia"/>
          <w:sz w:val="24"/>
          <w:szCs w:val="24"/>
          <w:highlight w:val="darkGreen"/>
        </w:rPr>
      </w:pPr>
      <w:r>
        <w:rPr>
          <w:rFonts w:eastAsiaTheme="minorEastAsia"/>
          <w:sz w:val="24"/>
          <w:szCs w:val="24"/>
          <w:highlight w:val="darkGreen"/>
        </w:rPr>
        <w:t>(2)</w:t>
      </w:r>
      <w:r>
        <w:rPr>
          <w:rFonts w:eastAsiaTheme="minorEastAsia"/>
          <w:sz w:val="24"/>
          <w:szCs w:val="24"/>
          <w:highlight w:val="darkGreen"/>
        </w:rPr>
        <w:tab/>
      </w:r>
      <w:r>
        <w:rPr>
          <w:rFonts w:eastAsiaTheme="minorEastAsia"/>
          <w:sz w:val="24"/>
          <w:szCs w:val="24"/>
          <w:highlight w:val="darkGreen"/>
        </w:rPr>
        <w:t>____________________________________；</w:t>
      </w:r>
    </w:p>
    <w:p>
      <w:pPr>
        <w:tabs>
          <w:tab w:val="left" w:pos="993"/>
        </w:tabs>
        <w:spacing w:line="360" w:lineRule="auto"/>
        <w:ind w:left="424" w:leftChars="202" w:firstLine="141" w:firstLineChars="59"/>
        <w:rPr>
          <w:rFonts w:eastAsiaTheme="minorEastAsia"/>
          <w:sz w:val="24"/>
          <w:szCs w:val="24"/>
          <w:highlight w:val="darkGreen"/>
        </w:rPr>
      </w:pPr>
      <w:r>
        <w:rPr>
          <w:rFonts w:eastAsiaTheme="minorEastAsia"/>
          <w:sz w:val="24"/>
          <w:szCs w:val="24"/>
          <w:highlight w:val="darkGreen"/>
        </w:rPr>
        <w:t>(3)</w:t>
      </w:r>
      <w:r>
        <w:rPr>
          <w:rFonts w:eastAsiaTheme="minorEastAsia"/>
          <w:sz w:val="24"/>
          <w:szCs w:val="24"/>
          <w:highlight w:val="darkGreen"/>
        </w:rPr>
        <w:tab/>
      </w:r>
      <w:r>
        <w:rPr>
          <w:rFonts w:eastAsiaTheme="minorEastAsia"/>
          <w:sz w:val="24"/>
          <w:szCs w:val="24"/>
          <w:highlight w:val="darkGreen"/>
        </w:rPr>
        <w:t>____________________________________。</w:t>
      </w:r>
    </w:p>
    <w:p>
      <w:pPr>
        <w:pStyle w:val="20"/>
        <w:numPr>
          <w:ilvl w:val="0"/>
          <w:numId w:val="7"/>
        </w:numPr>
        <w:spacing w:line="360" w:lineRule="auto"/>
        <w:ind w:left="567" w:hanging="567" w:firstLineChars="0"/>
        <w:rPr>
          <w:rFonts w:eastAsiaTheme="minorEastAsia"/>
          <w:sz w:val="24"/>
          <w:highlight w:val="darkGreen"/>
        </w:rPr>
      </w:pPr>
      <w:r>
        <w:rPr>
          <w:rFonts w:eastAsiaTheme="minorEastAsia"/>
          <w:sz w:val="24"/>
          <w:highlight w:val="darkGreen"/>
        </w:rPr>
        <w:t>货物交付前【 】日内，卖方应向买方提交保险合同的复印件，并应至少提前【三十（30）】日向买方通知所有保险的取消或内容的变更。</w:t>
      </w:r>
    </w:p>
    <w:p>
      <w:pPr>
        <w:pStyle w:val="20"/>
        <w:numPr>
          <w:ilvl w:val="0"/>
          <w:numId w:val="7"/>
        </w:numPr>
        <w:spacing w:line="360" w:lineRule="auto"/>
        <w:ind w:left="567" w:hanging="567" w:firstLineChars="0"/>
        <w:rPr>
          <w:rFonts w:eastAsiaTheme="minorEastAsia"/>
          <w:sz w:val="24"/>
          <w:highlight w:val="darkGreen"/>
        </w:rPr>
      </w:pPr>
      <w:r>
        <w:rPr>
          <w:rFonts w:eastAsiaTheme="minorEastAsia"/>
          <w:sz w:val="24"/>
          <w:highlight w:val="darkGreen"/>
        </w:rPr>
        <w:t>如果卖方未按照买方的上述要求对货物进行投保或无法提供保险合同的复印件，应自行承担货物在制造及运输过程中所产生的任何风险和费用。买方有权自行对货物进行投保并有权从合同价款中直接扣除因此产生的所有费用。</w:t>
      </w:r>
    </w:p>
    <w:p>
      <w:pPr>
        <w:pStyle w:val="20"/>
        <w:numPr>
          <w:ilvl w:val="0"/>
          <w:numId w:val="7"/>
        </w:numPr>
        <w:spacing w:line="360" w:lineRule="auto"/>
        <w:ind w:left="567" w:hanging="567" w:firstLineChars="0"/>
        <w:rPr>
          <w:rFonts w:eastAsiaTheme="minorEastAsia"/>
          <w:sz w:val="24"/>
          <w:highlight w:val="none"/>
        </w:rPr>
      </w:pPr>
      <w:r>
        <w:rPr>
          <w:rFonts w:eastAsiaTheme="minorEastAsia"/>
          <w:sz w:val="24"/>
          <w:highlight w:val="none"/>
        </w:rPr>
        <w:t>卖方应根据合同规定的责任和义务购买其它保险（包括但不限于设计责任险、雇主责任险、员工意外伤害险、第三方责任险等）。卖方已购买的保险应足以覆盖本合同履行过程中可能产生的一切责任与风险，如果卖方未购买相应的保险，卖方应自行承担任何风险和损失。</w:t>
      </w:r>
    </w:p>
    <w:p>
      <w:pPr>
        <w:pStyle w:val="20"/>
        <w:numPr>
          <w:ilvl w:val="0"/>
          <w:numId w:val="7"/>
        </w:numPr>
        <w:spacing w:line="360" w:lineRule="auto"/>
        <w:ind w:left="567" w:hanging="567" w:firstLineChars="0"/>
        <w:rPr>
          <w:rFonts w:eastAsiaTheme="minorEastAsia"/>
          <w:sz w:val="24"/>
          <w:highlight w:val="none"/>
        </w:rPr>
      </w:pPr>
      <w:r>
        <w:rPr>
          <w:rFonts w:eastAsiaTheme="minorEastAsia"/>
          <w:sz w:val="24"/>
          <w:highlight w:val="none"/>
        </w:rPr>
        <w:t>卖方在本合同项下购买的所有保险合同均应明确规定，承保人放弃任何可能因为卖方而产生的对买方的代位求偿权或任何形式的追索权。</w:t>
      </w:r>
    </w:p>
    <w:p>
      <w:pPr>
        <w:pStyle w:val="20"/>
        <w:numPr>
          <w:ilvl w:val="0"/>
          <w:numId w:val="7"/>
        </w:numPr>
        <w:spacing w:line="360" w:lineRule="auto"/>
        <w:ind w:left="567" w:hanging="567" w:firstLineChars="0"/>
        <w:rPr>
          <w:rFonts w:eastAsiaTheme="minorEastAsia"/>
          <w:sz w:val="24"/>
          <w:highlight w:val="none"/>
        </w:rPr>
      </w:pPr>
      <w:r>
        <w:rPr>
          <w:rFonts w:eastAsiaTheme="minorEastAsia"/>
          <w:sz w:val="24"/>
          <w:highlight w:val="none"/>
        </w:rPr>
        <w:t>本第五条的规定不能限制并免除卖方在本合同项下的责任。</w:t>
      </w:r>
    </w:p>
    <w:p>
      <w:pPr>
        <w:pStyle w:val="2"/>
        <w:numPr>
          <w:ilvl w:val="0"/>
          <w:numId w:val="2"/>
        </w:numPr>
        <w:spacing w:before="0" w:after="0" w:line="360" w:lineRule="auto"/>
        <w:ind w:left="419" w:hanging="130"/>
        <w:jc w:val="center"/>
        <w:rPr>
          <w:iCs/>
          <w:sz w:val="24"/>
          <w:szCs w:val="24"/>
          <w:highlight w:val="none"/>
        </w:rPr>
      </w:pPr>
      <w:bookmarkStart w:id="105" w:name="_Toc152602309"/>
      <w:r>
        <w:rPr>
          <w:iCs/>
          <w:sz w:val="24"/>
          <w:szCs w:val="24"/>
          <w:highlight w:val="none"/>
        </w:rPr>
        <w:t>付款方式</w:t>
      </w:r>
      <w:bookmarkEnd w:id="105"/>
    </w:p>
    <w:p>
      <w:pPr>
        <w:pStyle w:val="20"/>
        <w:numPr>
          <w:ilvl w:val="0"/>
          <w:numId w:val="8"/>
        </w:numPr>
        <w:spacing w:line="360" w:lineRule="auto"/>
        <w:ind w:firstLineChars="0"/>
        <w:rPr>
          <w:rFonts w:eastAsiaTheme="minorEastAsia"/>
          <w:sz w:val="24"/>
          <w:highlight w:val="darkGreen"/>
        </w:rPr>
      </w:pPr>
      <w:r>
        <w:rPr>
          <w:rFonts w:eastAsiaTheme="minorEastAsia"/>
          <w:sz w:val="24"/>
          <w:highlight w:val="darkGreen"/>
        </w:rPr>
        <w:t>卖方应在依据本合同约定完成货物交付且验收合格后【 】天内向买方提供合法有效的增值税专用发票（依法只能开具增值税普通发票的除外）。买方应在收到卖方开具的有效税务发票后【 】天内，依据货物验收合格的数量及卖方提供的有效发票，通过银行以电汇/转帐方式将货款的【 】%（计人民币【】元，支付给卖方。其余【 】％（计人民币【】元）在质量保证期结束后【 】天内付清或在收到符合买方要求的与质量保证期同等有效期的银行保函后【 】天内付清。</w:t>
      </w:r>
    </w:p>
    <w:p>
      <w:pPr>
        <w:pStyle w:val="20"/>
        <w:numPr>
          <w:ilvl w:val="0"/>
          <w:numId w:val="8"/>
        </w:numPr>
        <w:spacing w:line="360" w:lineRule="auto"/>
        <w:ind w:firstLineChars="0"/>
        <w:rPr>
          <w:rFonts w:eastAsiaTheme="minorEastAsia"/>
          <w:sz w:val="24"/>
          <w:highlight w:val="none"/>
        </w:rPr>
      </w:pPr>
      <w:r>
        <w:rPr>
          <w:rFonts w:eastAsiaTheme="minorEastAsia"/>
          <w:sz w:val="24"/>
          <w:highlight w:val="none"/>
        </w:rPr>
        <w:t>卖方为买方开具上述发票所需信息如下：</w:t>
      </w:r>
    </w:p>
    <w:p>
      <w:pPr>
        <w:tabs>
          <w:tab w:val="left" w:pos="993"/>
        </w:tabs>
        <w:spacing w:line="360" w:lineRule="auto"/>
        <w:ind w:firstLine="566" w:firstLineChars="236"/>
        <w:rPr>
          <w:rFonts w:eastAsiaTheme="minorEastAsia"/>
          <w:sz w:val="24"/>
          <w:szCs w:val="24"/>
          <w:highlight w:val="darkGreen"/>
        </w:rPr>
      </w:pPr>
      <w:r>
        <w:rPr>
          <w:rFonts w:eastAsiaTheme="minorEastAsia"/>
          <w:sz w:val="24"/>
          <w:szCs w:val="24"/>
          <w:highlight w:val="none"/>
        </w:rPr>
        <w:t>(1)</w:t>
      </w:r>
      <w:r>
        <w:rPr>
          <w:rFonts w:eastAsiaTheme="minorEastAsia"/>
          <w:sz w:val="24"/>
          <w:szCs w:val="24"/>
          <w:highlight w:val="none"/>
        </w:rPr>
        <w:tab/>
      </w:r>
      <w:r>
        <w:rPr>
          <w:rFonts w:eastAsiaTheme="minorEastAsia"/>
          <w:sz w:val="24"/>
          <w:szCs w:val="24"/>
          <w:highlight w:val="darkGreen"/>
        </w:rPr>
        <w:t xml:space="preserve">公司名称： </w:t>
      </w:r>
    </w:p>
    <w:p>
      <w:pPr>
        <w:tabs>
          <w:tab w:val="left" w:pos="993"/>
        </w:tabs>
        <w:spacing w:line="360" w:lineRule="auto"/>
        <w:ind w:firstLine="566" w:firstLineChars="236"/>
        <w:rPr>
          <w:rFonts w:eastAsiaTheme="minorEastAsia"/>
          <w:sz w:val="24"/>
          <w:szCs w:val="24"/>
          <w:highlight w:val="darkGreen"/>
        </w:rPr>
      </w:pPr>
      <w:r>
        <w:rPr>
          <w:rFonts w:eastAsiaTheme="minorEastAsia"/>
          <w:sz w:val="24"/>
          <w:szCs w:val="24"/>
          <w:highlight w:val="darkGreen"/>
        </w:rPr>
        <w:t>(2)</w:t>
      </w:r>
      <w:r>
        <w:rPr>
          <w:rFonts w:eastAsiaTheme="minorEastAsia"/>
          <w:sz w:val="24"/>
          <w:szCs w:val="24"/>
          <w:highlight w:val="darkGreen"/>
        </w:rPr>
        <w:tab/>
      </w:r>
      <w:r>
        <w:rPr>
          <w:rFonts w:eastAsiaTheme="minorEastAsia"/>
          <w:sz w:val="24"/>
          <w:szCs w:val="24"/>
          <w:highlight w:val="darkGreen"/>
        </w:rPr>
        <w:t>经营地址：</w:t>
      </w:r>
    </w:p>
    <w:p>
      <w:pPr>
        <w:tabs>
          <w:tab w:val="left" w:pos="993"/>
        </w:tabs>
        <w:spacing w:line="360" w:lineRule="auto"/>
        <w:ind w:firstLine="566" w:firstLineChars="236"/>
        <w:rPr>
          <w:rFonts w:eastAsiaTheme="minorEastAsia"/>
          <w:sz w:val="24"/>
          <w:szCs w:val="24"/>
          <w:highlight w:val="darkGreen"/>
        </w:rPr>
      </w:pPr>
      <w:r>
        <w:rPr>
          <w:rFonts w:eastAsiaTheme="minorEastAsia"/>
          <w:sz w:val="24"/>
          <w:szCs w:val="24"/>
          <w:highlight w:val="darkGreen"/>
        </w:rPr>
        <w:t>(</w:t>
      </w:r>
      <w:r>
        <w:rPr>
          <w:rFonts w:hint="eastAsia" w:eastAsiaTheme="minorEastAsia"/>
          <w:sz w:val="24"/>
          <w:szCs w:val="24"/>
          <w:highlight w:val="darkGreen"/>
          <w:lang w:val="en-US" w:eastAsia="zh-CN"/>
        </w:rPr>
        <w:t>3</w:t>
      </w:r>
      <w:r>
        <w:rPr>
          <w:rFonts w:eastAsiaTheme="minorEastAsia"/>
          <w:sz w:val="24"/>
          <w:szCs w:val="24"/>
          <w:highlight w:val="darkGreen"/>
        </w:rPr>
        <w:t>)</w:t>
      </w:r>
      <w:r>
        <w:rPr>
          <w:rFonts w:eastAsiaTheme="minorEastAsia"/>
          <w:sz w:val="24"/>
          <w:szCs w:val="24"/>
          <w:highlight w:val="darkGreen"/>
        </w:rPr>
        <w:tab/>
      </w:r>
      <w:r>
        <w:rPr>
          <w:rFonts w:eastAsiaTheme="minorEastAsia"/>
          <w:sz w:val="24"/>
          <w:szCs w:val="24"/>
          <w:highlight w:val="darkGreen"/>
        </w:rPr>
        <w:t>联系电话：</w:t>
      </w:r>
    </w:p>
    <w:p>
      <w:pPr>
        <w:tabs>
          <w:tab w:val="left" w:pos="993"/>
        </w:tabs>
        <w:spacing w:line="360" w:lineRule="auto"/>
        <w:ind w:firstLine="566" w:firstLineChars="236"/>
        <w:rPr>
          <w:rFonts w:eastAsiaTheme="minorEastAsia"/>
          <w:sz w:val="24"/>
          <w:szCs w:val="24"/>
          <w:highlight w:val="darkGreen"/>
        </w:rPr>
      </w:pPr>
      <w:r>
        <w:rPr>
          <w:rFonts w:eastAsiaTheme="minorEastAsia"/>
          <w:sz w:val="24"/>
          <w:szCs w:val="24"/>
          <w:highlight w:val="darkGreen"/>
        </w:rPr>
        <w:t>(</w:t>
      </w:r>
      <w:r>
        <w:rPr>
          <w:rFonts w:hint="eastAsia" w:eastAsiaTheme="minorEastAsia"/>
          <w:sz w:val="24"/>
          <w:szCs w:val="24"/>
          <w:highlight w:val="darkGreen"/>
          <w:lang w:val="en-US" w:eastAsia="zh-CN"/>
        </w:rPr>
        <w:t>4</w:t>
      </w:r>
      <w:r>
        <w:rPr>
          <w:rFonts w:eastAsiaTheme="minorEastAsia"/>
          <w:sz w:val="24"/>
          <w:szCs w:val="24"/>
          <w:highlight w:val="darkGreen"/>
        </w:rPr>
        <w:t>)</w:t>
      </w:r>
      <w:r>
        <w:rPr>
          <w:rFonts w:eastAsiaTheme="minorEastAsia"/>
          <w:sz w:val="24"/>
          <w:szCs w:val="24"/>
          <w:highlight w:val="darkGreen"/>
        </w:rPr>
        <w:tab/>
      </w:r>
      <w:r>
        <w:rPr>
          <w:rFonts w:eastAsiaTheme="minorEastAsia"/>
          <w:sz w:val="24"/>
          <w:szCs w:val="24"/>
          <w:highlight w:val="darkGreen"/>
        </w:rPr>
        <w:t>开户行名称：</w:t>
      </w:r>
    </w:p>
    <w:p>
      <w:pPr>
        <w:tabs>
          <w:tab w:val="left" w:pos="993"/>
        </w:tabs>
        <w:spacing w:line="360" w:lineRule="auto"/>
        <w:ind w:firstLine="566" w:firstLineChars="236"/>
        <w:rPr>
          <w:rFonts w:eastAsiaTheme="minorEastAsia"/>
          <w:sz w:val="24"/>
          <w:szCs w:val="24"/>
          <w:highlight w:val="darkGreen"/>
        </w:rPr>
      </w:pPr>
      <w:r>
        <w:rPr>
          <w:rFonts w:eastAsiaTheme="minorEastAsia"/>
          <w:sz w:val="24"/>
          <w:szCs w:val="24"/>
          <w:highlight w:val="darkGreen"/>
        </w:rPr>
        <w:t>(</w:t>
      </w:r>
      <w:r>
        <w:rPr>
          <w:rFonts w:hint="eastAsia" w:eastAsiaTheme="minorEastAsia"/>
          <w:sz w:val="24"/>
          <w:szCs w:val="24"/>
          <w:highlight w:val="darkGreen"/>
          <w:lang w:val="en-US" w:eastAsia="zh-CN"/>
        </w:rPr>
        <w:t>5</w:t>
      </w:r>
      <w:r>
        <w:rPr>
          <w:rFonts w:eastAsiaTheme="minorEastAsia"/>
          <w:sz w:val="24"/>
          <w:szCs w:val="24"/>
          <w:highlight w:val="darkGreen"/>
        </w:rPr>
        <w:t>)</w:t>
      </w:r>
      <w:r>
        <w:rPr>
          <w:rFonts w:eastAsiaTheme="minorEastAsia"/>
          <w:sz w:val="24"/>
          <w:szCs w:val="24"/>
          <w:highlight w:val="darkGreen"/>
        </w:rPr>
        <w:tab/>
      </w:r>
      <w:r>
        <w:rPr>
          <w:rFonts w:eastAsiaTheme="minorEastAsia"/>
          <w:sz w:val="24"/>
          <w:szCs w:val="24"/>
          <w:highlight w:val="darkGreen"/>
        </w:rPr>
        <w:t>银行账号：</w:t>
      </w:r>
    </w:p>
    <w:p>
      <w:pPr>
        <w:pStyle w:val="20"/>
        <w:numPr>
          <w:ilvl w:val="0"/>
          <w:numId w:val="8"/>
        </w:numPr>
        <w:spacing w:line="360" w:lineRule="auto"/>
        <w:ind w:firstLineChars="0"/>
        <w:rPr>
          <w:rFonts w:eastAsiaTheme="minorEastAsia"/>
          <w:sz w:val="24"/>
          <w:highlight w:val="darkGreen"/>
        </w:rPr>
      </w:pPr>
      <w:r>
        <w:rPr>
          <w:rFonts w:eastAsiaTheme="minorEastAsia"/>
          <w:sz w:val="24"/>
          <w:highlight w:val="darkGreen"/>
        </w:rPr>
        <w:t>买方或买方指定的第三方将应付款支付至卖方指定的如下银行账户：</w:t>
      </w:r>
    </w:p>
    <w:p>
      <w:pPr>
        <w:tabs>
          <w:tab w:val="left" w:pos="993"/>
        </w:tabs>
        <w:spacing w:line="360" w:lineRule="auto"/>
        <w:ind w:firstLine="566" w:firstLineChars="236"/>
        <w:rPr>
          <w:rFonts w:eastAsiaTheme="minorEastAsia"/>
          <w:sz w:val="24"/>
          <w:szCs w:val="24"/>
          <w:highlight w:val="darkGreen"/>
        </w:rPr>
      </w:pPr>
      <w:r>
        <w:rPr>
          <w:rFonts w:eastAsiaTheme="minorEastAsia"/>
          <w:sz w:val="24"/>
          <w:szCs w:val="24"/>
          <w:highlight w:val="darkGreen"/>
        </w:rPr>
        <w:t>(1)</w:t>
      </w:r>
      <w:r>
        <w:rPr>
          <w:rFonts w:eastAsiaTheme="minorEastAsia"/>
          <w:sz w:val="24"/>
          <w:szCs w:val="24"/>
          <w:highlight w:val="darkGreen"/>
        </w:rPr>
        <w:tab/>
      </w:r>
      <w:r>
        <w:rPr>
          <w:rFonts w:eastAsiaTheme="minorEastAsia"/>
          <w:sz w:val="24"/>
          <w:szCs w:val="24"/>
          <w:highlight w:val="darkGreen"/>
        </w:rPr>
        <w:t>开户名称：</w:t>
      </w:r>
    </w:p>
    <w:p>
      <w:pPr>
        <w:tabs>
          <w:tab w:val="left" w:pos="993"/>
        </w:tabs>
        <w:spacing w:line="360" w:lineRule="auto"/>
        <w:ind w:firstLine="566" w:firstLineChars="236"/>
        <w:rPr>
          <w:rFonts w:eastAsiaTheme="minorEastAsia"/>
          <w:sz w:val="24"/>
          <w:szCs w:val="24"/>
          <w:highlight w:val="darkGreen"/>
        </w:rPr>
      </w:pPr>
      <w:r>
        <w:rPr>
          <w:rFonts w:eastAsiaTheme="minorEastAsia"/>
          <w:sz w:val="24"/>
          <w:szCs w:val="24"/>
          <w:highlight w:val="darkGreen"/>
        </w:rPr>
        <w:t>(2)</w:t>
      </w:r>
      <w:r>
        <w:rPr>
          <w:rFonts w:eastAsiaTheme="minorEastAsia"/>
          <w:sz w:val="24"/>
          <w:szCs w:val="24"/>
          <w:highlight w:val="darkGreen"/>
        </w:rPr>
        <w:tab/>
      </w:r>
      <w:r>
        <w:rPr>
          <w:rFonts w:eastAsiaTheme="minorEastAsia"/>
          <w:sz w:val="24"/>
          <w:szCs w:val="24"/>
          <w:highlight w:val="darkGreen"/>
        </w:rPr>
        <w:t>开户行：</w:t>
      </w:r>
    </w:p>
    <w:p>
      <w:pPr>
        <w:tabs>
          <w:tab w:val="left" w:pos="993"/>
        </w:tabs>
        <w:spacing w:line="360" w:lineRule="auto"/>
        <w:ind w:firstLine="566" w:firstLineChars="236"/>
        <w:rPr>
          <w:rFonts w:eastAsiaTheme="minorEastAsia"/>
          <w:sz w:val="24"/>
          <w:szCs w:val="24"/>
          <w:highlight w:val="darkGreen"/>
        </w:rPr>
      </w:pPr>
      <w:r>
        <w:rPr>
          <w:rFonts w:eastAsiaTheme="minorEastAsia"/>
          <w:sz w:val="24"/>
          <w:szCs w:val="24"/>
          <w:highlight w:val="darkGreen"/>
        </w:rPr>
        <w:t>(3)</w:t>
      </w:r>
      <w:r>
        <w:rPr>
          <w:rFonts w:eastAsiaTheme="minorEastAsia"/>
          <w:sz w:val="24"/>
          <w:szCs w:val="24"/>
          <w:highlight w:val="darkGreen"/>
        </w:rPr>
        <w:tab/>
      </w:r>
      <w:r>
        <w:rPr>
          <w:rFonts w:eastAsiaTheme="minorEastAsia"/>
          <w:sz w:val="24"/>
          <w:szCs w:val="24"/>
          <w:highlight w:val="darkGreen"/>
        </w:rPr>
        <w:t>开户行地址：</w:t>
      </w:r>
    </w:p>
    <w:p>
      <w:pPr>
        <w:tabs>
          <w:tab w:val="left" w:pos="993"/>
        </w:tabs>
        <w:spacing w:line="360" w:lineRule="auto"/>
        <w:ind w:firstLine="566" w:firstLineChars="236"/>
        <w:rPr>
          <w:rFonts w:eastAsiaTheme="minorEastAsia"/>
          <w:sz w:val="24"/>
          <w:szCs w:val="24"/>
          <w:highlight w:val="darkGreen"/>
        </w:rPr>
      </w:pPr>
      <w:r>
        <w:rPr>
          <w:rFonts w:eastAsiaTheme="minorEastAsia"/>
          <w:sz w:val="24"/>
          <w:szCs w:val="24"/>
          <w:highlight w:val="darkGreen"/>
        </w:rPr>
        <w:t>(4)</w:t>
      </w:r>
      <w:r>
        <w:rPr>
          <w:rFonts w:eastAsiaTheme="minorEastAsia"/>
          <w:sz w:val="24"/>
          <w:szCs w:val="24"/>
          <w:highlight w:val="darkGreen"/>
        </w:rPr>
        <w:tab/>
      </w:r>
      <w:r>
        <w:rPr>
          <w:rFonts w:eastAsiaTheme="minorEastAsia"/>
          <w:sz w:val="24"/>
          <w:szCs w:val="24"/>
          <w:highlight w:val="darkGreen"/>
        </w:rPr>
        <w:t>银行账号：</w:t>
      </w:r>
    </w:p>
    <w:p>
      <w:pPr>
        <w:pStyle w:val="2"/>
        <w:numPr>
          <w:ilvl w:val="0"/>
          <w:numId w:val="2"/>
        </w:numPr>
        <w:spacing w:before="0" w:after="0" w:line="360" w:lineRule="auto"/>
        <w:ind w:left="419" w:hanging="130"/>
        <w:jc w:val="center"/>
        <w:rPr>
          <w:iCs/>
          <w:sz w:val="24"/>
          <w:szCs w:val="24"/>
          <w:highlight w:val="none"/>
        </w:rPr>
      </w:pPr>
      <w:bookmarkStart w:id="106" w:name="_Toc152602310"/>
      <w:r>
        <w:rPr>
          <w:iCs/>
          <w:sz w:val="24"/>
          <w:szCs w:val="24"/>
          <w:highlight w:val="none"/>
        </w:rPr>
        <w:t>货物交付</w:t>
      </w:r>
      <w:bookmarkEnd w:id="106"/>
    </w:p>
    <w:p>
      <w:pPr>
        <w:pStyle w:val="20"/>
        <w:numPr>
          <w:ilvl w:val="0"/>
          <w:numId w:val="9"/>
        </w:numPr>
        <w:spacing w:line="360" w:lineRule="auto"/>
        <w:ind w:firstLineChars="0"/>
        <w:rPr>
          <w:rFonts w:eastAsiaTheme="minorEastAsia"/>
          <w:sz w:val="24"/>
          <w:highlight w:val="darkGreen"/>
        </w:rPr>
      </w:pPr>
      <w:r>
        <w:rPr>
          <w:rFonts w:eastAsiaTheme="minorEastAsia"/>
          <w:sz w:val="24"/>
          <w:highlight w:val="darkGreen"/>
        </w:rPr>
        <w:t>交付时间：卖方应在本合同第1.5款规定的交货日期之前【一次/分批次】完成全部货物的交付，此日期为本合同计算迟延交货违约金的根据。（若为分批次交货，补充下述约定）各批次货物交付时间和交付数量具体如下：</w:t>
      </w:r>
    </w:p>
    <w:p>
      <w:pPr>
        <w:tabs>
          <w:tab w:val="left" w:pos="993"/>
        </w:tabs>
        <w:spacing w:line="360" w:lineRule="auto"/>
        <w:ind w:firstLine="566" w:firstLineChars="236"/>
        <w:rPr>
          <w:rFonts w:eastAsiaTheme="minorEastAsia"/>
          <w:sz w:val="24"/>
          <w:szCs w:val="24"/>
          <w:highlight w:val="darkGreen"/>
        </w:rPr>
      </w:pPr>
      <w:r>
        <w:rPr>
          <w:rFonts w:eastAsiaTheme="minorEastAsia"/>
          <w:sz w:val="24"/>
          <w:szCs w:val="24"/>
          <w:highlight w:val="darkGreen"/>
        </w:rPr>
        <w:t>第一批次：卖方应在【日期】之前向买方交付【货物名称和数量】。</w:t>
      </w:r>
    </w:p>
    <w:p>
      <w:pPr>
        <w:tabs>
          <w:tab w:val="left" w:pos="993"/>
        </w:tabs>
        <w:spacing w:line="360" w:lineRule="auto"/>
        <w:ind w:firstLine="566" w:firstLineChars="236"/>
        <w:rPr>
          <w:rFonts w:eastAsiaTheme="minorEastAsia"/>
          <w:sz w:val="24"/>
          <w:szCs w:val="24"/>
          <w:highlight w:val="darkGreen"/>
        </w:rPr>
      </w:pPr>
      <w:r>
        <w:rPr>
          <w:rFonts w:eastAsiaTheme="minorEastAsia"/>
          <w:sz w:val="24"/>
          <w:szCs w:val="24"/>
          <w:highlight w:val="darkGreen"/>
        </w:rPr>
        <w:t>第二批次：卖方应在【日期】之前向买方交付【货物名称和数量】。</w:t>
      </w:r>
    </w:p>
    <w:p>
      <w:pPr>
        <w:pStyle w:val="20"/>
        <w:numPr>
          <w:ilvl w:val="0"/>
          <w:numId w:val="9"/>
        </w:numPr>
        <w:spacing w:line="360" w:lineRule="auto"/>
        <w:ind w:firstLineChars="0"/>
        <w:rPr>
          <w:rFonts w:eastAsiaTheme="minorEastAsia"/>
          <w:sz w:val="24"/>
          <w:highlight w:val="none"/>
        </w:rPr>
      </w:pPr>
      <w:r>
        <w:rPr>
          <w:rFonts w:eastAsiaTheme="minorEastAsia"/>
          <w:sz w:val="24"/>
          <w:highlight w:val="none"/>
        </w:rPr>
        <w:t>交付内容：当卖方依照本合同有关货物数量、质量、规格、包装、运输、交货方式、交货地点等方面的规定，完整依约交付所有货物以及本合同约定的装箱单、合格证、保修单、使用说明书、技术说明书等全部货物资料时，卖方的交货义务完成。若因卖方交付内容不符合本合同约定，而需修理、更换、补发或采取其他补救措施的，卖方完成交货义务的时间应以其最终完成符合本合同约定之交付的时间为准。</w:t>
      </w:r>
    </w:p>
    <w:p>
      <w:pPr>
        <w:pStyle w:val="20"/>
        <w:numPr>
          <w:ilvl w:val="0"/>
          <w:numId w:val="9"/>
        </w:numPr>
        <w:spacing w:line="360" w:lineRule="auto"/>
        <w:ind w:firstLineChars="0"/>
        <w:rPr>
          <w:rFonts w:eastAsiaTheme="minorEastAsia"/>
          <w:sz w:val="24"/>
          <w:highlight w:val="darkGreen"/>
        </w:rPr>
      </w:pPr>
      <w:r>
        <w:rPr>
          <w:rFonts w:eastAsiaTheme="minorEastAsia"/>
          <w:sz w:val="24"/>
          <w:highlight w:val="darkGreen"/>
        </w:rPr>
        <w:t>交付地点：本合同项下货物由卖方负责运至本合同第1.6款规定的交货地点。</w:t>
      </w:r>
    </w:p>
    <w:p>
      <w:pPr>
        <w:pStyle w:val="20"/>
        <w:numPr>
          <w:ilvl w:val="0"/>
          <w:numId w:val="9"/>
        </w:numPr>
        <w:spacing w:line="360" w:lineRule="auto"/>
        <w:ind w:firstLineChars="0"/>
        <w:rPr>
          <w:rFonts w:eastAsiaTheme="minorEastAsia"/>
          <w:sz w:val="24"/>
          <w:highlight w:val="darkGreen"/>
        </w:rPr>
      </w:pPr>
      <w:r>
        <w:rPr>
          <w:rFonts w:eastAsiaTheme="minorEastAsia"/>
          <w:sz w:val="24"/>
          <w:highlight w:val="darkGreen"/>
        </w:rPr>
        <w:t>卖方应于合同签订后每隔【 】日，通过传真、电子邮件、电话等方式将合同货物准备、发货交运等情况通知买方联系人。</w:t>
      </w:r>
    </w:p>
    <w:p>
      <w:pPr>
        <w:pStyle w:val="20"/>
        <w:numPr>
          <w:ilvl w:val="0"/>
          <w:numId w:val="9"/>
        </w:numPr>
        <w:spacing w:line="360" w:lineRule="auto"/>
        <w:ind w:firstLineChars="0"/>
        <w:rPr>
          <w:rFonts w:eastAsiaTheme="minorEastAsia"/>
          <w:sz w:val="24"/>
          <w:highlight w:val="darkGreen"/>
        </w:rPr>
      </w:pPr>
      <w:r>
        <w:rPr>
          <w:rFonts w:eastAsiaTheme="minorEastAsia"/>
          <w:sz w:val="24"/>
          <w:highlight w:val="darkGreen"/>
        </w:rPr>
        <w:t>卖方应于每一批次货物交货日前【 】日，通过传真、电子邮件、电话等方式将合同货物的如下情况通知买方：</w:t>
      </w:r>
    </w:p>
    <w:p>
      <w:pPr>
        <w:tabs>
          <w:tab w:val="left" w:pos="993"/>
        </w:tabs>
        <w:spacing w:line="360" w:lineRule="auto"/>
        <w:ind w:firstLine="566" w:firstLineChars="236"/>
        <w:rPr>
          <w:rFonts w:eastAsiaTheme="minorEastAsia"/>
          <w:sz w:val="24"/>
          <w:szCs w:val="24"/>
          <w:highlight w:val="darkGreen"/>
        </w:rPr>
      </w:pPr>
      <w:r>
        <w:rPr>
          <w:rFonts w:eastAsiaTheme="minorEastAsia"/>
          <w:sz w:val="24"/>
          <w:szCs w:val="24"/>
          <w:highlight w:val="darkGreen"/>
        </w:rPr>
        <w:t>(1)</w:t>
      </w:r>
      <w:r>
        <w:rPr>
          <w:rFonts w:eastAsiaTheme="minorEastAsia"/>
          <w:sz w:val="24"/>
          <w:szCs w:val="24"/>
          <w:highlight w:val="darkGreen"/>
        </w:rPr>
        <w:tab/>
      </w:r>
      <w:r>
        <w:rPr>
          <w:rFonts w:eastAsiaTheme="minorEastAsia"/>
          <w:sz w:val="24"/>
          <w:szCs w:val="24"/>
          <w:highlight w:val="darkGreen"/>
        </w:rPr>
        <w:t>合同号；</w:t>
      </w:r>
    </w:p>
    <w:p>
      <w:pPr>
        <w:tabs>
          <w:tab w:val="left" w:pos="993"/>
        </w:tabs>
        <w:spacing w:line="360" w:lineRule="auto"/>
        <w:ind w:firstLine="566" w:firstLineChars="236"/>
        <w:rPr>
          <w:rFonts w:eastAsiaTheme="minorEastAsia"/>
          <w:sz w:val="24"/>
          <w:szCs w:val="24"/>
          <w:highlight w:val="darkGreen"/>
        </w:rPr>
      </w:pPr>
      <w:r>
        <w:rPr>
          <w:rFonts w:eastAsiaTheme="minorEastAsia"/>
          <w:sz w:val="24"/>
          <w:szCs w:val="24"/>
          <w:highlight w:val="darkGreen"/>
        </w:rPr>
        <w:t>(2)</w:t>
      </w:r>
      <w:r>
        <w:rPr>
          <w:rFonts w:eastAsiaTheme="minorEastAsia"/>
          <w:sz w:val="24"/>
          <w:szCs w:val="24"/>
          <w:highlight w:val="darkGreen"/>
        </w:rPr>
        <w:tab/>
      </w:r>
      <w:r>
        <w:rPr>
          <w:rFonts w:eastAsiaTheme="minorEastAsia"/>
          <w:sz w:val="24"/>
          <w:szCs w:val="24"/>
          <w:highlight w:val="darkGreen"/>
        </w:rPr>
        <w:t>货物名称及编号和价格；</w:t>
      </w:r>
    </w:p>
    <w:p>
      <w:pPr>
        <w:tabs>
          <w:tab w:val="left" w:pos="993"/>
        </w:tabs>
        <w:spacing w:line="360" w:lineRule="auto"/>
        <w:ind w:firstLine="566" w:firstLineChars="236"/>
        <w:rPr>
          <w:rFonts w:eastAsiaTheme="minorEastAsia"/>
          <w:sz w:val="24"/>
          <w:szCs w:val="24"/>
          <w:highlight w:val="darkGreen"/>
        </w:rPr>
      </w:pPr>
      <w:r>
        <w:rPr>
          <w:rFonts w:eastAsiaTheme="minorEastAsia"/>
          <w:sz w:val="24"/>
          <w:szCs w:val="24"/>
          <w:highlight w:val="darkGreen"/>
        </w:rPr>
        <w:t>(3)</w:t>
      </w:r>
      <w:r>
        <w:rPr>
          <w:rFonts w:eastAsiaTheme="minorEastAsia"/>
          <w:sz w:val="24"/>
          <w:szCs w:val="24"/>
          <w:highlight w:val="darkGreen"/>
        </w:rPr>
        <w:tab/>
      </w:r>
      <w:r>
        <w:rPr>
          <w:rFonts w:eastAsiaTheme="minorEastAsia"/>
          <w:sz w:val="24"/>
          <w:szCs w:val="24"/>
          <w:highlight w:val="darkGreen"/>
        </w:rPr>
        <w:t>货物备妥发运日；</w:t>
      </w:r>
    </w:p>
    <w:p>
      <w:pPr>
        <w:tabs>
          <w:tab w:val="left" w:pos="993"/>
        </w:tabs>
        <w:spacing w:line="360" w:lineRule="auto"/>
        <w:ind w:firstLine="566" w:firstLineChars="236"/>
        <w:rPr>
          <w:rFonts w:eastAsiaTheme="minorEastAsia"/>
          <w:sz w:val="24"/>
          <w:szCs w:val="24"/>
          <w:highlight w:val="darkGreen"/>
        </w:rPr>
      </w:pPr>
      <w:r>
        <w:rPr>
          <w:rFonts w:eastAsiaTheme="minorEastAsia"/>
          <w:sz w:val="24"/>
          <w:szCs w:val="24"/>
          <w:highlight w:val="darkGreen"/>
        </w:rPr>
        <w:t>(4)</w:t>
      </w:r>
      <w:r>
        <w:rPr>
          <w:rFonts w:eastAsiaTheme="minorEastAsia"/>
          <w:sz w:val="24"/>
          <w:szCs w:val="24"/>
          <w:highlight w:val="darkGreen"/>
        </w:rPr>
        <w:tab/>
      </w:r>
      <w:r>
        <w:rPr>
          <w:rFonts w:eastAsiaTheme="minorEastAsia"/>
          <w:sz w:val="24"/>
          <w:szCs w:val="24"/>
          <w:highlight w:val="darkGreen"/>
        </w:rPr>
        <w:t>预计货物交付时间；</w:t>
      </w:r>
    </w:p>
    <w:p>
      <w:pPr>
        <w:tabs>
          <w:tab w:val="left" w:pos="993"/>
        </w:tabs>
        <w:spacing w:line="360" w:lineRule="auto"/>
        <w:ind w:firstLine="566" w:firstLineChars="236"/>
        <w:rPr>
          <w:rFonts w:eastAsiaTheme="minorEastAsia"/>
          <w:sz w:val="24"/>
          <w:szCs w:val="24"/>
          <w:highlight w:val="darkGreen"/>
        </w:rPr>
      </w:pPr>
      <w:r>
        <w:rPr>
          <w:rFonts w:eastAsiaTheme="minorEastAsia"/>
          <w:sz w:val="24"/>
          <w:szCs w:val="24"/>
          <w:highlight w:val="darkGreen"/>
        </w:rPr>
        <w:t>(5)</w:t>
      </w:r>
      <w:r>
        <w:rPr>
          <w:rFonts w:eastAsiaTheme="minorEastAsia"/>
          <w:sz w:val="24"/>
          <w:szCs w:val="24"/>
          <w:highlight w:val="darkGreen"/>
        </w:rPr>
        <w:tab/>
      </w:r>
      <w:r>
        <w:rPr>
          <w:rFonts w:eastAsiaTheme="minorEastAsia"/>
          <w:sz w:val="24"/>
          <w:szCs w:val="24"/>
          <w:highlight w:val="darkGreen"/>
        </w:rPr>
        <w:t>货物总毛重；</w:t>
      </w:r>
    </w:p>
    <w:p>
      <w:pPr>
        <w:tabs>
          <w:tab w:val="left" w:pos="993"/>
        </w:tabs>
        <w:spacing w:line="360" w:lineRule="auto"/>
        <w:ind w:firstLine="566" w:firstLineChars="236"/>
        <w:rPr>
          <w:rFonts w:eastAsiaTheme="minorEastAsia"/>
          <w:sz w:val="24"/>
          <w:szCs w:val="24"/>
          <w:highlight w:val="darkGreen"/>
        </w:rPr>
      </w:pPr>
      <w:r>
        <w:rPr>
          <w:rFonts w:eastAsiaTheme="minorEastAsia"/>
          <w:sz w:val="24"/>
          <w:szCs w:val="24"/>
          <w:highlight w:val="darkGreen"/>
        </w:rPr>
        <w:t>(6)</w:t>
      </w:r>
      <w:r>
        <w:rPr>
          <w:rFonts w:eastAsiaTheme="minorEastAsia"/>
          <w:sz w:val="24"/>
          <w:szCs w:val="24"/>
          <w:highlight w:val="darkGreen"/>
        </w:rPr>
        <w:tab/>
      </w:r>
      <w:r>
        <w:rPr>
          <w:rFonts w:eastAsiaTheme="minorEastAsia"/>
          <w:sz w:val="24"/>
          <w:szCs w:val="24"/>
          <w:highlight w:val="darkGreen"/>
        </w:rPr>
        <w:t>货物总体积；</w:t>
      </w:r>
    </w:p>
    <w:p>
      <w:pPr>
        <w:tabs>
          <w:tab w:val="left" w:pos="993"/>
        </w:tabs>
        <w:spacing w:line="360" w:lineRule="auto"/>
        <w:ind w:firstLine="566" w:firstLineChars="236"/>
        <w:rPr>
          <w:rFonts w:eastAsiaTheme="minorEastAsia"/>
          <w:sz w:val="24"/>
          <w:szCs w:val="24"/>
          <w:highlight w:val="darkGreen"/>
        </w:rPr>
      </w:pPr>
      <w:r>
        <w:rPr>
          <w:rFonts w:eastAsiaTheme="minorEastAsia"/>
          <w:sz w:val="24"/>
          <w:szCs w:val="24"/>
          <w:highlight w:val="darkGreen"/>
        </w:rPr>
        <w:t>(7)</w:t>
      </w:r>
      <w:r>
        <w:rPr>
          <w:rFonts w:eastAsiaTheme="minorEastAsia"/>
          <w:sz w:val="24"/>
          <w:szCs w:val="24"/>
          <w:highlight w:val="darkGreen"/>
        </w:rPr>
        <w:tab/>
      </w:r>
      <w:r>
        <w:rPr>
          <w:rFonts w:eastAsiaTheme="minorEastAsia"/>
          <w:sz w:val="24"/>
          <w:szCs w:val="24"/>
          <w:highlight w:val="darkGreen"/>
        </w:rPr>
        <w:t>总包装件数；</w:t>
      </w:r>
    </w:p>
    <w:p>
      <w:pPr>
        <w:tabs>
          <w:tab w:val="left" w:pos="993"/>
        </w:tabs>
        <w:spacing w:line="360" w:lineRule="auto"/>
        <w:ind w:firstLine="566" w:firstLineChars="236"/>
        <w:rPr>
          <w:rFonts w:eastAsiaTheme="minorEastAsia"/>
          <w:sz w:val="24"/>
          <w:szCs w:val="24"/>
          <w:highlight w:val="darkGreen"/>
        </w:rPr>
      </w:pPr>
      <w:r>
        <w:rPr>
          <w:rFonts w:eastAsiaTheme="minorEastAsia"/>
          <w:sz w:val="24"/>
          <w:szCs w:val="24"/>
          <w:highlight w:val="darkGreen"/>
        </w:rPr>
        <w:t>(8)</w:t>
      </w:r>
      <w:r>
        <w:rPr>
          <w:rFonts w:eastAsiaTheme="minorEastAsia"/>
          <w:sz w:val="24"/>
          <w:szCs w:val="24"/>
          <w:highlight w:val="darkGreen"/>
        </w:rPr>
        <w:tab/>
      </w:r>
      <w:r>
        <w:rPr>
          <w:rFonts w:eastAsiaTheme="minorEastAsia"/>
          <w:sz w:val="24"/>
          <w:szCs w:val="24"/>
          <w:highlight w:val="darkGreen"/>
        </w:rPr>
        <w:t>交运车站／港口／机场名称、车号／船号／航班号和运单号；</w:t>
      </w:r>
    </w:p>
    <w:p>
      <w:pPr>
        <w:tabs>
          <w:tab w:val="left" w:pos="993"/>
        </w:tabs>
        <w:spacing w:line="360" w:lineRule="auto"/>
        <w:ind w:left="991" w:leftChars="271" w:hanging="422" w:hangingChars="176"/>
        <w:rPr>
          <w:rFonts w:eastAsiaTheme="minorEastAsia"/>
          <w:sz w:val="24"/>
          <w:szCs w:val="24"/>
          <w:highlight w:val="darkGreen"/>
        </w:rPr>
      </w:pPr>
      <w:r>
        <w:rPr>
          <w:rFonts w:eastAsiaTheme="minorEastAsia"/>
          <w:sz w:val="24"/>
          <w:szCs w:val="24"/>
          <w:highlight w:val="darkGreen"/>
        </w:rPr>
        <w:t>(9)</w:t>
      </w:r>
      <w:r>
        <w:rPr>
          <w:rFonts w:eastAsiaTheme="minorEastAsia"/>
          <w:sz w:val="24"/>
          <w:szCs w:val="24"/>
          <w:highlight w:val="darkGreen"/>
        </w:rPr>
        <w:tab/>
      </w:r>
      <w:r>
        <w:rPr>
          <w:rFonts w:eastAsiaTheme="minorEastAsia"/>
          <w:sz w:val="24"/>
          <w:szCs w:val="24"/>
          <w:highlight w:val="darkGreen"/>
        </w:rPr>
        <w:t>重量超过20吨或尺寸超过9米×3米×3米的每件货物的名称、重量、体积和件数，对每件该类货物（部件）必须标明重心和吊点位置，并附有草图；</w:t>
      </w:r>
    </w:p>
    <w:p>
      <w:pPr>
        <w:tabs>
          <w:tab w:val="left" w:pos="993"/>
        </w:tabs>
        <w:spacing w:line="360" w:lineRule="auto"/>
        <w:ind w:left="991" w:leftChars="271" w:hanging="422" w:hangingChars="176"/>
        <w:rPr>
          <w:rFonts w:eastAsiaTheme="minorEastAsia"/>
          <w:sz w:val="24"/>
          <w:szCs w:val="24"/>
          <w:highlight w:val="none"/>
        </w:rPr>
      </w:pPr>
      <w:r>
        <w:rPr>
          <w:rFonts w:eastAsiaTheme="minorEastAsia"/>
          <w:sz w:val="24"/>
          <w:szCs w:val="24"/>
          <w:highlight w:val="none"/>
        </w:rPr>
        <w:t>(10)</w:t>
      </w:r>
      <w:r>
        <w:rPr>
          <w:rFonts w:eastAsiaTheme="minorEastAsia"/>
          <w:sz w:val="24"/>
          <w:szCs w:val="24"/>
          <w:highlight w:val="none"/>
        </w:rPr>
        <w:tab/>
      </w:r>
      <w:r>
        <w:rPr>
          <w:rFonts w:eastAsiaTheme="minorEastAsia"/>
          <w:sz w:val="24"/>
          <w:szCs w:val="24"/>
          <w:highlight w:val="none"/>
        </w:rPr>
        <w:t>对于特殊物品（易燃、易爆、有毒物品及其它危险品和运输过程中对温度等环境因素和震动有特殊要求的设备或物品）必须特别标明其品名、性质，特殊保护措施、保存方法以及处理意外情况的方法。</w:t>
      </w:r>
    </w:p>
    <w:p>
      <w:pPr>
        <w:pStyle w:val="2"/>
        <w:numPr>
          <w:ilvl w:val="0"/>
          <w:numId w:val="2"/>
        </w:numPr>
        <w:spacing w:before="0" w:after="0" w:line="360" w:lineRule="auto"/>
        <w:ind w:left="419" w:hanging="130"/>
        <w:jc w:val="center"/>
        <w:rPr>
          <w:iCs/>
          <w:sz w:val="24"/>
          <w:szCs w:val="24"/>
          <w:highlight w:val="none"/>
        </w:rPr>
      </w:pPr>
      <w:bookmarkStart w:id="107" w:name="_Toc152602311"/>
      <w:r>
        <w:rPr>
          <w:iCs/>
          <w:sz w:val="24"/>
          <w:szCs w:val="24"/>
          <w:highlight w:val="none"/>
        </w:rPr>
        <w:t>技术资料</w:t>
      </w:r>
      <w:bookmarkEnd w:id="107"/>
    </w:p>
    <w:p>
      <w:pPr>
        <w:pStyle w:val="20"/>
        <w:numPr>
          <w:ilvl w:val="0"/>
          <w:numId w:val="10"/>
        </w:numPr>
        <w:spacing w:line="360" w:lineRule="auto"/>
        <w:ind w:firstLineChars="0"/>
        <w:rPr>
          <w:rFonts w:eastAsiaTheme="minorEastAsia"/>
          <w:sz w:val="24"/>
          <w:highlight w:val="darkGreen"/>
        </w:rPr>
      </w:pPr>
      <w:r>
        <w:rPr>
          <w:rFonts w:eastAsiaTheme="minorEastAsia"/>
          <w:sz w:val="24"/>
          <w:highlight w:val="darkGreen"/>
        </w:rPr>
        <w:t>卖方应当按照本合同或双方另行签订的技术协议（如有）的规定向买方提供技术资料。</w:t>
      </w:r>
    </w:p>
    <w:p>
      <w:pPr>
        <w:pStyle w:val="20"/>
        <w:numPr>
          <w:ilvl w:val="0"/>
          <w:numId w:val="10"/>
        </w:numPr>
        <w:spacing w:line="360" w:lineRule="auto"/>
        <w:ind w:firstLineChars="0"/>
        <w:rPr>
          <w:rFonts w:eastAsiaTheme="minorEastAsia"/>
          <w:sz w:val="24"/>
          <w:highlight w:val="darkGreen"/>
        </w:rPr>
      </w:pPr>
      <w:r>
        <w:rPr>
          <w:rFonts w:eastAsiaTheme="minorEastAsia"/>
          <w:sz w:val="24"/>
          <w:highlight w:val="darkGreen"/>
        </w:rPr>
        <w:t>技术资料交付</w:t>
      </w:r>
    </w:p>
    <w:p>
      <w:pPr>
        <w:pStyle w:val="20"/>
        <w:numPr>
          <w:ilvl w:val="0"/>
          <w:numId w:val="11"/>
        </w:numPr>
        <w:spacing w:line="360" w:lineRule="auto"/>
        <w:ind w:left="709" w:hanging="709" w:firstLineChars="0"/>
        <w:rPr>
          <w:rFonts w:eastAsiaTheme="minorEastAsia"/>
          <w:sz w:val="24"/>
          <w:highlight w:val="darkGreen"/>
        </w:rPr>
      </w:pPr>
      <w:r>
        <w:rPr>
          <w:rFonts w:eastAsiaTheme="minorEastAsia"/>
          <w:sz w:val="24"/>
          <w:highlight w:val="darkGreen"/>
        </w:rPr>
        <w:t>卖方应于本合同生效日后【 】日内，将与合同货物有关的图纸、资料、技术文件等技术资料以当面递交/空运/邮寄方式交付给买方。卖方提供的技术资料详见【本合同附件二】。</w:t>
      </w:r>
    </w:p>
    <w:p>
      <w:pPr>
        <w:pStyle w:val="20"/>
        <w:numPr>
          <w:ilvl w:val="0"/>
          <w:numId w:val="11"/>
        </w:numPr>
        <w:spacing w:line="360" w:lineRule="auto"/>
        <w:ind w:left="709" w:hanging="709" w:firstLineChars="0"/>
        <w:rPr>
          <w:rFonts w:eastAsiaTheme="minorEastAsia"/>
          <w:sz w:val="24"/>
          <w:highlight w:val="darkGreen"/>
        </w:rPr>
      </w:pPr>
      <w:r>
        <w:rPr>
          <w:rFonts w:eastAsiaTheme="minorEastAsia"/>
          <w:sz w:val="24"/>
          <w:highlight w:val="darkGreen"/>
        </w:rPr>
        <w:t>技术资料采用空运方式交付的，【 】机场在技术资料空运提单上所加盖的日期戳为技术资料实际交付的日期。买方应在收到资料【 】日内将带有到达日期印戳的空运提单复印件一份寄送卖方。技术资料采用邮寄方式交付的，买方所在地所属邮局的落地印戳日期为技术资料的实际交付日期。买方在收到资料【 】日内将收到单据复印件一份寄送给卖方。</w:t>
      </w:r>
    </w:p>
    <w:p>
      <w:pPr>
        <w:pStyle w:val="20"/>
        <w:numPr>
          <w:ilvl w:val="0"/>
          <w:numId w:val="11"/>
        </w:numPr>
        <w:spacing w:line="360" w:lineRule="auto"/>
        <w:ind w:left="709" w:hanging="709" w:firstLineChars="0"/>
        <w:rPr>
          <w:rFonts w:eastAsiaTheme="minorEastAsia"/>
          <w:sz w:val="24"/>
          <w:highlight w:val="darkGreen"/>
        </w:rPr>
      </w:pPr>
      <w:r>
        <w:rPr>
          <w:rFonts w:eastAsiaTheme="minorEastAsia"/>
          <w:sz w:val="24"/>
          <w:highlight w:val="darkGreen"/>
        </w:rPr>
        <w:t>在技术资料发运后的四十八（48）小时内，卖方应将合同号、空运提单号/邮单号、发出日期、资料项号、件数、重量、航班号（如采用空运方式）用传真、电话、电子邮件等方式通知买方。采用空运方式的，还应将空运提单正本【 】份、副本【 】份和技术资料装箱清单【 】份航空邮寄给买方。</w:t>
      </w:r>
    </w:p>
    <w:p>
      <w:pPr>
        <w:pStyle w:val="20"/>
        <w:numPr>
          <w:ilvl w:val="0"/>
          <w:numId w:val="11"/>
        </w:numPr>
        <w:spacing w:line="360" w:lineRule="auto"/>
        <w:ind w:left="709" w:hanging="709" w:firstLineChars="0"/>
        <w:rPr>
          <w:rFonts w:eastAsiaTheme="minorEastAsia"/>
          <w:sz w:val="24"/>
          <w:highlight w:val="none"/>
        </w:rPr>
      </w:pPr>
      <w:r>
        <w:rPr>
          <w:rFonts w:eastAsiaTheme="minorEastAsia"/>
          <w:sz w:val="24"/>
          <w:highlight w:val="none"/>
        </w:rPr>
        <w:t>对于危险化学品物资，供应商在交付产品时，必须按照国家标准GB/T16483提供每种规格型号物资的MSDS（物料安全数据表），内容必须包括但不限于：化学品及企业标识；危险性概述；成分／组成信息；急救措施；消防措施；泄漏应急处理；操作处置与储存；接触控制和个体防护；理化特性；稳定性和反应性；毒理学信息；生态学信息；废弃处置；运输信息；法规信息；其他信息。</w:t>
      </w:r>
    </w:p>
    <w:p>
      <w:pPr>
        <w:pStyle w:val="2"/>
        <w:numPr>
          <w:ilvl w:val="0"/>
          <w:numId w:val="2"/>
        </w:numPr>
        <w:spacing w:before="0" w:after="0" w:line="360" w:lineRule="auto"/>
        <w:ind w:left="419" w:hanging="130"/>
        <w:jc w:val="center"/>
        <w:rPr>
          <w:iCs/>
          <w:sz w:val="24"/>
          <w:szCs w:val="24"/>
          <w:highlight w:val="none"/>
        </w:rPr>
      </w:pPr>
      <w:bookmarkStart w:id="108" w:name="_Toc152602312"/>
      <w:r>
        <w:rPr>
          <w:iCs/>
          <w:sz w:val="24"/>
          <w:szCs w:val="24"/>
          <w:highlight w:val="none"/>
        </w:rPr>
        <w:t>货物质量及质保期</w:t>
      </w:r>
      <w:bookmarkEnd w:id="108"/>
    </w:p>
    <w:p>
      <w:pPr>
        <w:pStyle w:val="20"/>
        <w:numPr>
          <w:ilvl w:val="0"/>
          <w:numId w:val="12"/>
        </w:numPr>
        <w:spacing w:line="360" w:lineRule="auto"/>
        <w:ind w:firstLineChars="0"/>
        <w:rPr>
          <w:rFonts w:eastAsiaTheme="minorEastAsia"/>
          <w:sz w:val="24"/>
          <w:highlight w:val="none"/>
        </w:rPr>
      </w:pPr>
      <w:r>
        <w:rPr>
          <w:rFonts w:eastAsiaTheme="minorEastAsia"/>
          <w:sz w:val="24"/>
          <w:highlight w:val="none"/>
        </w:rPr>
        <w:t>卖方应提供以一级工艺、采用一流材料制作的，全新的、未经使用的，并且在质量、规格等各方面均完全符合本合同相关要求的货物。</w:t>
      </w:r>
    </w:p>
    <w:p>
      <w:pPr>
        <w:pStyle w:val="20"/>
        <w:numPr>
          <w:ilvl w:val="0"/>
          <w:numId w:val="12"/>
        </w:numPr>
        <w:spacing w:line="360" w:lineRule="auto"/>
        <w:ind w:firstLineChars="0"/>
        <w:rPr>
          <w:rFonts w:eastAsiaTheme="minorEastAsia"/>
          <w:sz w:val="24"/>
          <w:highlight w:val="none"/>
        </w:rPr>
      </w:pPr>
      <w:r>
        <w:rPr>
          <w:rFonts w:eastAsiaTheme="minorEastAsia"/>
          <w:sz w:val="24"/>
          <w:highlight w:val="none"/>
        </w:rPr>
        <w:t>卖方按照本合同约定提供的货物应当符合本合同和合同附件中约定的规范、标准。如果本合同或合同附件中没有约定规范、标准的，应当适用货物交货前中国颁布并生效的最新标准作为执行的标准。标准的适用顺序为：</w:t>
      </w:r>
    </w:p>
    <w:p>
      <w:pPr>
        <w:pStyle w:val="20"/>
        <w:tabs>
          <w:tab w:val="left" w:pos="993"/>
        </w:tabs>
        <w:spacing w:line="360" w:lineRule="auto"/>
        <w:ind w:left="567" w:firstLine="0" w:firstLineChars="0"/>
        <w:rPr>
          <w:rFonts w:eastAsiaTheme="minorEastAsia"/>
          <w:sz w:val="24"/>
          <w:highlight w:val="none"/>
        </w:rPr>
      </w:pPr>
      <w:r>
        <w:rPr>
          <w:rFonts w:eastAsiaTheme="minorEastAsia"/>
          <w:sz w:val="24"/>
          <w:highlight w:val="none"/>
        </w:rPr>
        <w:t>(1)</w:t>
      </w:r>
      <w:r>
        <w:rPr>
          <w:rFonts w:eastAsiaTheme="minorEastAsia"/>
          <w:sz w:val="24"/>
          <w:highlight w:val="none"/>
        </w:rPr>
        <w:tab/>
      </w:r>
      <w:r>
        <w:rPr>
          <w:rFonts w:eastAsiaTheme="minorEastAsia"/>
          <w:sz w:val="24"/>
          <w:highlight w:val="none"/>
        </w:rPr>
        <w:t>本合同规定的标准和规范；</w:t>
      </w:r>
    </w:p>
    <w:p>
      <w:pPr>
        <w:pStyle w:val="20"/>
        <w:tabs>
          <w:tab w:val="left" w:pos="993"/>
        </w:tabs>
        <w:spacing w:line="360" w:lineRule="auto"/>
        <w:ind w:left="567" w:firstLine="0" w:firstLineChars="0"/>
        <w:rPr>
          <w:rFonts w:eastAsiaTheme="minorEastAsia"/>
          <w:sz w:val="24"/>
          <w:highlight w:val="none"/>
        </w:rPr>
      </w:pPr>
      <w:r>
        <w:rPr>
          <w:rFonts w:eastAsiaTheme="minorEastAsia"/>
          <w:sz w:val="24"/>
          <w:highlight w:val="none"/>
        </w:rPr>
        <w:t>(2)</w:t>
      </w:r>
      <w:r>
        <w:rPr>
          <w:rFonts w:eastAsiaTheme="minorEastAsia"/>
          <w:sz w:val="24"/>
          <w:highlight w:val="none"/>
        </w:rPr>
        <w:tab/>
      </w:r>
      <w:r>
        <w:rPr>
          <w:rFonts w:eastAsiaTheme="minorEastAsia"/>
          <w:sz w:val="24"/>
          <w:highlight w:val="none"/>
        </w:rPr>
        <w:t>中国最新颁布的相关标准和规范；</w:t>
      </w:r>
    </w:p>
    <w:p>
      <w:pPr>
        <w:pStyle w:val="20"/>
        <w:tabs>
          <w:tab w:val="left" w:pos="993"/>
        </w:tabs>
        <w:spacing w:line="360" w:lineRule="auto"/>
        <w:ind w:left="567" w:firstLine="0" w:firstLineChars="0"/>
        <w:rPr>
          <w:rFonts w:eastAsiaTheme="minorEastAsia"/>
          <w:sz w:val="24"/>
          <w:highlight w:val="none"/>
        </w:rPr>
      </w:pPr>
      <w:r>
        <w:rPr>
          <w:rFonts w:eastAsiaTheme="minorEastAsia"/>
          <w:sz w:val="24"/>
          <w:highlight w:val="none"/>
        </w:rPr>
        <w:t>(3)</w:t>
      </w:r>
      <w:r>
        <w:rPr>
          <w:rFonts w:eastAsiaTheme="minorEastAsia"/>
          <w:sz w:val="24"/>
          <w:highlight w:val="none"/>
        </w:rPr>
        <w:tab/>
      </w:r>
      <w:r>
        <w:rPr>
          <w:rFonts w:eastAsiaTheme="minorEastAsia"/>
          <w:sz w:val="24"/>
          <w:highlight w:val="none"/>
        </w:rPr>
        <w:t>如果没有中国国家标准，适用最新的行业标准；</w:t>
      </w:r>
    </w:p>
    <w:p>
      <w:pPr>
        <w:pStyle w:val="20"/>
        <w:tabs>
          <w:tab w:val="left" w:pos="993"/>
        </w:tabs>
        <w:spacing w:line="360" w:lineRule="auto"/>
        <w:ind w:left="567" w:firstLine="0" w:firstLineChars="0"/>
        <w:rPr>
          <w:rFonts w:eastAsiaTheme="minorEastAsia"/>
          <w:sz w:val="24"/>
          <w:highlight w:val="none"/>
        </w:rPr>
      </w:pPr>
      <w:r>
        <w:rPr>
          <w:rFonts w:eastAsiaTheme="minorEastAsia"/>
          <w:sz w:val="24"/>
          <w:highlight w:val="none"/>
        </w:rPr>
        <w:t>(4)</w:t>
      </w:r>
      <w:r>
        <w:rPr>
          <w:rFonts w:eastAsiaTheme="minorEastAsia"/>
          <w:sz w:val="24"/>
          <w:highlight w:val="none"/>
        </w:rPr>
        <w:tab/>
      </w:r>
      <w:r>
        <w:rPr>
          <w:rFonts w:eastAsiaTheme="minorEastAsia"/>
          <w:sz w:val="24"/>
          <w:highlight w:val="none"/>
        </w:rPr>
        <w:t>如果没有中国国家和行业标准，适用符合合同目的的标准。</w:t>
      </w:r>
    </w:p>
    <w:p>
      <w:pPr>
        <w:pStyle w:val="20"/>
        <w:numPr>
          <w:ilvl w:val="0"/>
          <w:numId w:val="12"/>
        </w:numPr>
        <w:spacing w:line="360" w:lineRule="auto"/>
        <w:ind w:firstLineChars="0"/>
        <w:rPr>
          <w:rFonts w:eastAsiaTheme="minorEastAsia"/>
          <w:sz w:val="24"/>
          <w:highlight w:val="darkGreen"/>
        </w:rPr>
      </w:pPr>
      <w:r>
        <w:rPr>
          <w:rFonts w:eastAsiaTheme="minorEastAsia"/>
          <w:sz w:val="24"/>
          <w:highlight w:val="darkGreen"/>
        </w:rPr>
        <w:t>本合同项下货物的质量保证期为卖方交付最后一批货物并经双方签署送货单后【 】个月。</w:t>
      </w:r>
    </w:p>
    <w:p>
      <w:pPr>
        <w:pStyle w:val="20"/>
        <w:numPr>
          <w:ilvl w:val="0"/>
          <w:numId w:val="12"/>
        </w:numPr>
        <w:spacing w:line="360" w:lineRule="auto"/>
        <w:ind w:firstLineChars="0"/>
        <w:rPr>
          <w:rFonts w:eastAsiaTheme="minorEastAsia"/>
          <w:sz w:val="24"/>
          <w:highlight w:val="darkGreen"/>
        </w:rPr>
      </w:pPr>
      <w:r>
        <w:rPr>
          <w:rFonts w:eastAsiaTheme="minorEastAsia"/>
          <w:sz w:val="24"/>
          <w:highlight w:val="darkGreen"/>
        </w:rPr>
        <w:t>质保期内，如发现货物违反本合同项下任何保证或存在任何缺陷或不符合情况，买方应及时书面通知卖方，卖方应在【 】日内提出合理的紧急处理建议，在【 】日内派遣合格的技术人员到现场进行免费检查；在【 】日内采取合理的临时紧急措施防止缺陷或损害扩大。对有缺陷的部分或全部货物，根据买方要求，采用符合本合同规定的规格、质量、性能、健康、安全、环保等要求的货物无偿进行更换。如买方在质保期届满后【 】日内发出货物缺陷或不符合通知，应视为在质保期内发出的有效通知。</w:t>
      </w:r>
    </w:p>
    <w:p>
      <w:pPr>
        <w:pStyle w:val="20"/>
        <w:numPr>
          <w:ilvl w:val="0"/>
          <w:numId w:val="12"/>
        </w:numPr>
        <w:spacing w:line="360" w:lineRule="auto"/>
        <w:ind w:firstLineChars="0"/>
        <w:rPr>
          <w:rFonts w:eastAsiaTheme="minorEastAsia"/>
          <w:sz w:val="24"/>
          <w:highlight w:val="darkGreen"/>
        </w:rPr>
      </w:pPr>
      <w:r>
        <w:rPr>
          <w:rFonts w:eastAsiaTheme="minorEastAsia"/>
          <w:sz w:val="24"/>
          <w:highlight w:val="darkGreen"/>
        </w:rPr>
        <w:t>对于任何在现场进行的更换，卖方应在收到货物更换通知后【 】日内完成，卖方应自行承担费用将相关货物或者货物部件运输到现场以外的地点。卖方应承担该等货物在运输过程中的风险。</w:t>
      </w:r>
    </w:p>
    <w:p>
      <w:pPr>
        <w:pStyle w:val="20"/>
        <w:numPr>
          <w:ilvl w:val="0"/>
          <w:numId w:val="12"/>
        </w:numPr>
        <w:spacing w:line="360" w:lineRule="auto"/>
        <w:ind w:firstLineChars="0"/>
        <w:rPr>
          <w:rFonts w:eastAsiaTheme="minorEastAsia"/>
          <w:sz w:val="24"/>
          <w:highlight w:val="darkGreen"/>
        </w:rPr>
      </w:pPr>
      <w:r>
        <w:rPr>
          <w:rFonts w:eastAsiaTheme="minorEastAsia"/>
          <w:sz w:val="24"/>
          <w:highlight w:val="darkGreen"/>
        </w:rPr>
        <w:t>如 (i) 卖方收到通知后【 】日内未进行任何回复；(ii) 卖方未在上述规定的时间内完成更换；或(iii) 经更换的货物仍存在缺陷或不符合合同规定，买方有权自行决定采取以下措施：</w:t>
      </w:r>
    </w:p>
    <w:p>
      <w:pPr>
        <w:pStyle w:val="20"/>
        <w:tabs>
          <w:tab w:val="left" w:pos="993"/>
        </w:tabs>
        <w:spacing w:line="360" w:lineRule="auto"/>
        <w:ind w:left="567" w:firstLine="0" w:firstLineChars="0"/>
        <w:rPr>
          <w:rFonts w:eastAsiaTheme="minorEastAsia"/>
          <w:sz w:val="24"/>
          <w:highlight w:val="none"/>
        </w:rPr>
      </w:pPr>
      <w:r>
        <w:rPr>
          <w:rFonts w:eastAsiaTheme="minorEastAsia"/>
          <w:sz w:val="24"/>
          <w:highlight w:val="none"/>
        </w:rPr>
        <w:t>(1)</w:t>
      </w:r>
      <w:r>
        <w:rPr>
          <w:rFonts w:eastAsiaTheme="minorEastAsia"/>
          <w:sz w:val="24"/>
          <w:highlight w:val="none"/>
        </w:rPr>
        <w:tab/>
      </w:r>
      <w:r>
        <w:rPr>
          <w:rFonts w:eastAsiaTheme="minorEastAsia"/>
          <w:sz w:val="24"/>
          <w:highlight w:val="none"/>
        </w:rPr>
        <w:t>自行（包括聘请第三方）消除货物缺陷，但买方对此不承担任何责任。卖方应承担因此发生的全部费用，包括但不限于向任何第三方支付的费用、设备费用、材料费用、零部件费用、人工费用等。</w:t>
      </w:r>
    </w:p>
    <w:p>
      <w:pPr>
        <w:pStyle w:val="20"/>
        <w:tabs>
          <w:tab w:val="left" w:pos="993"/>
        </w:tabs>
        <w:spacing w:line="360" w:lineRule="auto"/>
        <w:ind w:left="567" w:firstLine="0" w:firstLineChars="0"/>
        <w:rPr>
          <w:rFonts w:eastAsiaTheme="minorEastAsia"/>
          <w:sz w:val="24"/>
          <w:highlight w:val="none"/>
        </w:rPr>
      </w:pPr>
      <w:r>
        <w:rPr>
          <w:rFonts w:eastAsiaTheme="minorEastAsia"/>
          <w:sz w:val="24"/>
          <w:highlight w:val="none"/>
        </w:rPr>
        <w:t>(2)</w:t>
      </w:r>
      <w:r>
        <w:rPr>
          <w:rFonts w:eastAsiaTheme="minorEastAsia"/>
          <w:sz w:val="24"/>
          <w:highlight w:val="none"/>
        </w:rPr>
        <w:tab/>
      </w:r>
      <w:r>
        <w:rPr>
          <w:rFonts w:eastAsiaTheme="minorEastAsia"/>
          <w:sz w:val="24"/>
          <w:highlight w:val="none"/>
        </w:rPr>
        <w:t>直接扣减合同价款或要求卖方退还部分合同价款。</w:t>
      </w:r>
    </w:p>
    <w:p>
      <w:pPr>
        <w:pStyle w:val="20"/>
        <w:tabs>
          <w:tab w:val="left" w:pos="993"/>
        </w:tabs>
        <w:spacing w:line="360" w:lineRule="auto"/>
        <w:ind w:left="567" w:firstLine="0" w:firstLineChars="0"/>
        <w:rPr>
          <w:rFonts w:eastAsiaTheme="minorEastAsia"/>
          <w:sz w:val="24"/>
          <w:highlight w:val="none"/>
        </w:rPr>
      </w:pPr>
      <w:r>
        <w:rPr>
          <w:rFonts w:eastAsiaTheme="minorEastAsia"/>
          <w:sz w:val="24"/>
          <w:highlight w:val="none"/>
        </w:rPr>
        <w:t>(3)</w:t>
      </w:r>
      <w:r>
        <w:rPr>
          <w:rFonts w:eastAsiaTheme="minorEastAsia"/>
          <w:sz w:val="24"/>
          <w:highlight w:val="none"/>
        </w:rPr>
        <w:tab/>
      </w:r>
      <w:r>
        <w:rPr>
          <w:rFonts w:eastAsiaTheme="minorEastAsia"/>
          <w:sz w:val="24"/>
          <w:highlight w:val="none"/>
        </w:rPr>
        <w:t>要求退货，卖方应退还买方已经支付的全部合同价款，并赔偿买方因此遭受的全部损失。</w:t>
      </w:r>
    </w:p>
    <w:p>
      <w:pPr>
        <w:pStyle w:val="20"/>
        <w:numPr>
          <w:ilvl w:val="0"/>
          <w:numId w:val="12"/>
        </w:numPr>
        <w:spacing w:line="360" w:lineRule="auto"/>
        <w:ind w:firstLineChars="0"/>
        <w:rPr>
          <w:rFonts w:eastAsiaTheme="minorEastAsia"/>
          <w:sz w:val="24"/>
          <w:highlight w:val="none"/>
        </w:rPr>
      </w:pPr>
      <w:r>
        <w:rPr>
          <w:rFonts w:eastAsiaTheme="minorEastAsia"/>
          <w:sz w:val="24"/>
          <w:highlight w:val="none"/>
        </w:rPr>
        <w:t>更换后的货物应根据本合同的标准进行检验，并符合本合同规定的规格、技术、质量、性能、健康、安全和环保等要求。经更换的货物的质保期应从更换完成之日起重新计算。质保期内，如因货物缺陷造成任何设备停机、生产暂停等，该等货物的质保期应相应延长。</w:t>
      </w:r>
    </w:p>
    <w:p>
      <w:pPr>
        <w:pStyle w:val="20"/>
        <w:numPr>
          <w:ilvl w:val="0"/>
          <w:numId w:val="12"/>
        </w:numPr>
        <w:spacing w:line="360" w:lineRule="auto"/>
        <w:ind w:firstLineChars="0"/>
        <w:rPr>
          <w:rFonts w:eastAsiaTheme="minorEastAsia"/>
          <w:sz w:val="24"/>
          <w:highlight w:val="none"/>
        </w:rPr>
      </w:pPr>
      <w:r>
        <w:rPr>
          <w:rFonts w:eastAsiaTheme="minorEastAsia"/>
          <w:sz w:val="24"/>
          <w:highlight w:val="none"/>
        </w:rPr>
        <w:t>卖方应承担买方因货物缺陷或不符合本合同约定而进行更换导致的一切费用和损失，包括但不限于人员、设备、材料、零部件费用、运输费、保险费、检测费、仓储费、装卸费、修理费、税费等。</w:t>
      </w:r>
    </w:p>
    <w:p>
      <w:pPr>
        <w:pStyle w:val="2"/>
        <w:numPr>
          <w:ilvl w:val="0"/>
          <w:numId w:val="2"/>
        </w:numPr>
        <w:spacing w:before="0" w:after="0" w:line="360" w:lineRule="auto"/>
        <w:ind w:left="419" w:hanging="130"/>
        <w:jc w:val="center"/>
        <w:rPr>
          <w:iCs/>
          <w:sz w:val="24"/>
          <w:szCs w:val="24"/>
          <w:highlight w:val="none"/>
        </w:rPr>
      </w:pPr>
      <w:bookmarkStart w:id="109" w:name="_Toc152602313"/>
      <w:r>
        <w:rPr>
          <w:iCs/>
          <w:sz w:val="24"/>
          <w:szCs w:val="24"/>
          <w:highlight w:val="none"/>
        </w:rPr>
        <w:t>验收</w:t>
      </w:r>
      <w:bookmarkEnd w:id="109"/>
    </w:p>
    <w:p>
      <w:pPr>
        <w:pStyle w:val="20"/>
        <w:numPr>
          <w:ilvl w:val="0"/>
          <w:numId w:val="13"/>
        </w:numPr>
        <w:spacing w:line="360" w:lineRule="auto"/>
        <w:ind w:firstLineChars="0"/>
        <w:rPr>
          <w:rFonts w:eastAsiaTheme="minorEastAsia"/>
          <w:sz w:val="24"/>
          <w:highlight w:val="darkGreen"/>
        </w:rPr>
      </w:pPr>
      <w:r>
        <w:rPr>
          <w:rFonts w:eastAsiaTheme="minorEastAsia"/>
          <w:sz w:val="24"/>
          <w:highlight w:val="darkGreen"/>
        </w:rPr>
        <w:t>每一批次货物到达指定交货地点后，买方在【 】日内对货物进行验收，检验货物的数量、质量、所附资料及各项指标是否符合合同约定，危险化学品是否随产品提供MSDS（物料安全数据表）。验收由买方组织并指派专人参加，卖方应当指派人员参加。如检验时卖方人员未按买方通知的时间到达现场，买方有权自行验收，验收结果和记录对双方均有效，并可作为买方向卖方提出索赔的有效证据。验收标准见【本合同附件四】。</w:t>
      </w:r>
    </w:p>
    <w:p>
      <w:pPr>
        <w:pStyle w:val="20"/>
        <w:numPr>
          <w:ilvl w:val="0"/>
          <w:numId w:val="13"/>
        </w:numPr>
        <w:spacing w:line="360" w:lineRule="auto"/>
        <w:ind w:firstLineChars="0"/>
        <w:rPr>
          <w:rFonts w:eastAsiaTheme="minorEastAsia"/>
          <w:sz w:val="24"/>
          <w:highlight w:val="darkGreen"/>
        </w:rPr>
      </w:pPr>
      <w:r>
        <w:rPr>
          <w:rFonts w:eastAsiaTheme="minorEastAsia"/>
          <w:sz w:val="24"/>
          <w:highlight w:val="darkGreen"/>
        </w:rPr>
        <w:t>买方按照本合同约定的标准进行验收，并将验收结果通知卖方。对于验收合格的，由参与验收的人员在送货单（一式四联）上签字确认，买卖双方各留【 】份（送货单格式见【本合同附件三】。对于验收中买方发现的问题，卖方应当在【 】日内予以书面回复。对于验收中发现的任何短少、缺陷、与合同约定不符等质量问题，应做好记录，由双方代表签字，并由双方各执一份，作为买方向卖方提出修理、更换或索赔的依据（验收记录格式见【本合同附件四】），因此产生的所有费用由卖方承担，卖方应在验收后【 】日内根据买方的要求对上述问题予以解决。</w:t>
      </w:r>
    </w:p>
    <w:p>
      <w:pPr>
        <w:pStyle w:val="20"/>
        <w:numPr>
          <w:ilvl w:val="0"/>
          <w:numId w:val="13"/>
        </w:numPr>
        <w:spacing w:line="360" w:lineRule="auto"/>
        <w:ind w:firstLineChars="0"/>
        <w:rPr>
          <w:rFonts w:eastAsiaTheme="minorEastAsia"/>
          <w:sz w:val="24"/>
          <w:highlight w:val="none"/>
        </w:rPr>
      </w:pPr>
      <w:r>
        <w:rPr>
          <w:rFonts w:eastAsiaTheme="minorEastAsia"/>
          <w:sz w:val="24"/>
          <w:highlight w:val="none"/>
        </w:rPr>
        <w:t>卖方对验收结果提出异议的，由双方协商解决。协商不成的，买卖双方同意委托第三方检测机构进行检验并以该检验机构的检验结果为准。委托检验所发生的费用由卖方承担。</w:t>
      </w:r>
    </w:p>
    <w:p>
      <w:pPr>
        <w:pStyle w:val="2"/>
        <w:numPr>
          <w:ilvl w:val="0"/>
          <w:numId w:val="2"/>
        </w:numPr>
        <w:spacing w:before="0" w:after="0" w:line="360" w:lineRule="auto"/>
        <w:ind w:left="419" w:hanging="130"/>
        <w:jc w:val="center"/>
        <w:rPr>
          <w:iCs/>
          <w:sz w:val="24"/>
          <w:szCs w:val="24"/>
          <w:highlight w:val="none"/>
        </w:rPr>
      </w:pPr>
      <w:bookmarkStart w:id="110" w:name="_Toc152602040"/>
      <w:bookmarkEnd w:id="110"/>
      <w:bookmarkStart w:id="111" w:name="_Toc152602314"/>
      <w:bookmarkEnd w:id="111"/>
      <w:bookmarkStart w:id="112" w:name="_Toc152601960"/>
      <w:bookmarkEnd w:id="112"/>
      <w:bookmarkStart w:id="113" w:name="_Toc152602319"/>
      <w:r>
        <w:rPr>
          <w:iCs/>
          <w:sz w:val="24"/>
          <w:szCs w:val="24"/>
          <w:highlight w:val="none"/>
        </w:rPr>
        <w:t>风险负担</w:t>
      </w:r>
      <w:bookmarkEnd w:id="113"/>
    </w:p>
    <w:p>
      <w:pPr>
        <w:widowControl/>
        <w:numPr>
          <w:ilvl w:val="1"/>
          <w:numId w:val="14"/>
        </w:numPr>
        <w:tabs>
          <w:tab w:val="left" w:pos="709"/>
          <w:tab w:val="clear" w:pos="420"/>
        </w:tabs>
        <w:spacing w:line="360" w:lineRule="auto"/>
        <w:ind w:left="567" w:hanging="567"/>
        <w:jc w:val="left"/>
        <w:rPr>
          <w:sz w:val="24"/>
          <w:szCs w:val="24"/>
          <w:highlight w:val="none"/>
        </w:rPr>
      </w:pPr>
      <w:r>
        <w:rPr>
          <w:sz w:val="24"/>
          <w:szCs w:val="24"/>
          <w:highlight w:val="none"/>
        </w:rPr>
        <w:t>卖方在指定交货地点将货物交付给买方前，货物的一切风险（包括但不限于货物在制造、储存和自发货地点至指定交货地点运输及装卸货过程中毁损、灭失的风险）由卖方承担。卖方在指定交货地点将货物交付买方后，货物的毁损及灭失的风险由买方承担。未经买方同意，卖方将货物留置或自行处置，不得视为货物合法、有效地交付买方。未经合法、有效交付，货物的一切风险仍由卖方承担。</w:t>
      </w:r>
    </w:p>
    <w:p>
      <w:pPr>
        <w:widowControl/>
        <w:numPr>
          <w:ilvl w:val="1"/>
          <w:numId w:val="14"/>
        </w:numPr>
        <w:tabs>
          <w:tab w:val="left" w:pos="709"/>
          <w:tab w:val="clear" w:pos="420"/>
        </w:tabs>
        <w:spacing w:line="360" w:lineRule="auto"/>
        <w:ind w:left="567" w:hanging="567"/>
        <w:jc w:val="left"/>
        <w:rPr>
          <w:sz w:val="24"/>
          <w:szCs w:val="24"/>
          <w:highlight w:val="none"/>
        </w:rPr>
      </w:pPr>
      <w:r>
        <w:rPr>
          <w:sz w:val="24"/>
          <w:szCs w:val="24"/>
          <w:highlight w:val="none"/>
        </w:rPr>
        <w:t>因货物质量不符合要求，致使不能实现买方的需求或合同目的的，买方可以拒绝接受货物或者解除合同。买方拒绝接受货物或者解除合同的，货物毁损、灭失的风险由卖方承担。买方采取必要措施防止损失扩大的，费用由卖方承担。买方采取补救措施不影响买方的任何权利，也不能被视为是对卖方责任的免除或风险的承担。</w:t>
      </w:r>
    </w:p>
    <w:p>
      <w:pPr>
        <w:widowControl/>
        <w:numPr>
          <w:ilvl w:val="1"/>
          <w:numId w:val="14"/>
        </w:numPr>
        <w:tabs>
          <w:tab w:val="left" w:pos="709"/>
          <w:tab w:val="clear" w:pos="420"/>
        </w:tabs>
        <w:spacing w:line="360" w:lineRule="auto"/>
        <w:ind w:left="567" w:hanging="567"/>
        <w:jc w:val="left"/>
        <w:rPr>
          <w:sz w:val="24"/>
          <w:szCs w:val="24"/>
          <w:highlight w:val="none"/>
        </w:rPr>
      </w:pPr>
      <w:r>
        <w:rPr>
          <w:sz w:val="24"/>
          <w:szCs w:val="24"/>
          <w:highlight w:val="none"/>
        </w:rPr>
        <w:t>货物风险的转移不影响因卖方履行义务不符合约定，买方要求其承担违约责任的权利。</w:t>
      </w:r>
    </w:p>
    <w:p>
      <w:pPr>
        <w:pStyle w:val="2"/>
        <w:numPr>
          <w:ilvl w:val="0"/>
          <w:numId w:val="2"/>
        </w:numPr>
        <w:spacing w:before="0" w:after="0" w:line="360" w:lineRule="auto"/>
        <w:ind w:left="419" w:hanging="130"/>
        <w:jc w:val="center"/>
        <w:rPr>
          <w:iCs/>
          <w:sz w:val="24"/>
          <w:szCs w:val="24"/>
          <w:highlight w:val="none"/>
        </w:rPr>
      </w:pPr>
      <w:bookmarkStart w:id="114" w:name="_Toc152602320"/>
      <w:r>
        <w:rPr>
          <w:iCs/>
          <w:sz w:val="24"/>
          <w:szCs w:val="24"/>
          <w:highlight w:val="none"/>
        </w:rPr>
        <w:t>培训</w:t>
      </w:r>
      <w:bookmarkEnd w:id="114"/>
    </w:p>
    <w:p>
      <w:pPr>
        <w:pStyle w:val="20"/>
        <w:numPr>
          <w:ilvl w:val="0"/>
          <w:numId w:val="15"/>
        </w:numPr>
        <w:spacing w:line="360" w:lineRule="auto"/>
        <w:ind w:firstLineChars="0"/>
        <w:rPr>
          <w:rFonts w:eastAsiaTheme="minorEastAsia"/>
          <w:color w:val="000000"/>
          <w:sz w:val="24"/>
          <w:highlight w:val="darkGreen"/>
        </w:rPr>
      </w:pPr>
      <w:r>
        <w:rPr>
          <w:rFonts w:eastAsiaTheme="minorEastAsia"/>
          <w:sz w:val="24"/>
          <w:highlight w:val="darkGreen"/>
        </w:rPr>
        <w:t>卖方应指派技术人员驻厂对买方的技术人员进行培训，保证买方的技术人员能够掌握相应技术以便正确地使用货物，培训期间的卖方技术人员薪酬、住宿费、饮食、交通等相关费用已包含在合同价款内，应由卖方承担。</w:t>
      </w:r>
    </w:p>
    <w:p>
      <w:pPr>
        <w:pStyle w:val="2"/>
        <w:numPr>
          <w:ilvl w:val="0"/>
          <w:numId w:val="2"/>
        </w:numPr>
        <w:spacing w:before="0" w:after="0" w:line="360" w:lineRule="auto"/>
        <w:ind w:left="419" w:hanging="130"/>
        <w:jc w:val="center"/>
        <w:rPr>
          <w:iCs/>
          <w:sz w:val="24"/>
          <w:szCs w:val="24"/>
          <w:highlight w:val="none"/>
        </w:rPr>
      </w:pPr>
      <w:bookmarkStart w:id="115" w:name="_Toc152602321"/>
      <w:r>
        <w:rPr>
          <w:iCs/>
          <w:sz w:val="24"/>
          <w:szCs w:val="24"/>
          <w:highlight w:val="none"/>
        </w:rPr>
        <w:t>知识产权和其他权利保证</w:t>
      </w:r>
      <w:bookmarkEnd w:id="115"/>
    </w:p>
    <w:p>
      <w:pPr>
        <w:pStyle w:val="20"/>
        <w:numPr>
          <w:ilvl w:val="0"/>
          <w:numId w:val="16"/>
        </w:numPr>
        <w:spacing w:line="360" w:lineRule="auto"/>
        <w:ind w:firstLineChars="0"/>
        <w:rPr>
          <w:rFonts w:eastAsiaTheme="minorEastAsia"/>
          <w:color w:val="000000"/>
          <w:sz w:val="24"/>
          <w:highlight w:val="darkGreen"/>
        </w:rPr>
      </w:pPr>
      <w:r>
        <w:rPr>
          <w:rFonts w:eastAsiaTheme="minorEastAsia"/>
          <w:color w:val="000000"/>
          <w:sz w:val="24"/>
          <w:highlight w:val="darkGreen"/>
        </w:rPr>
        <w:t>双方同意，货物交付且买方按照本合同约定支付合同价款之后，买方：（删除不适用的选项）</w:t>
      </w:r>
    </w:p>
    <w:p>
      <w:pPr>
        <w:widowControl/>
        <w:numPr>
          <w:ilvl w:val="0"/>
          <w:numId w:val="17"/>
        </w:numPr>
        <w:tabs>
          <w:tab w:val="left" w:pos="426"/>
          <w:tab w:val="left" w:pos="540"/>
          <w:tab w:val="left" w:pos="993"/>
        </w:tabs>
        <w:spacing w:line="360" w:lineRule="auto"/>
        <w:ind w:left="964" w:hanging="397"/>
        <w:jc w:val="left"/>
        <w:rPr>
          <w:rFonts w:eastAsiaTheme="minorEastAsia"/>
          <w:kern w:val="0"/>
          <w:sz w:val="24"/>
          <w:szCs w:val="24"/>
          <w:highlight w:val="darkGreen"/>
        </w:rPr>
      </w:pPr>
      <w:r>
        <w:rPr>
          <w:rFonts w:eastAsiaTheme="minorEastAsia"/>
          <w:kern w:val="0"/>
          <w:sz w:val="24"/>
          <w:szCs w:val="24"/>
          <w:highlight w:val="darkGreen"/>
        </w:rPr>
        <w:t>自动获得并拥有货物自身附有的和/或为拥有、使用及维护货物所需的全部知识产权。</w:t>
      </w:r>
    </w:p>
    <w:p>
      <w:pPr>
        <w:widowControl/>
        <w:numPr>
          <w:ilvl w:val="0"/>
          <w:numId w:val="17"/>
        </w:numPr>
        <w:tabs>
          <w:tab w:val="left" w:pos="426"/>
          <w:tab w:val="left" w:pos="540"/>
          <w:tab w:val="left" w:pos="993"/>
        </w:tabs>
        <w:spacing w:line="360" w:lineRule="auto"/>
        <w:ind w:left="964" w:hanging="397"/>
        <w:jc w:val="left"/>
        <w:rPr>
          <w:rFonts w:eastAsiaTheme="minorEastAsia"/>
          <w:color w:val="000000"/>
          <w:sz w:val="24"/>
          <w:szCs w:val="24"/>
          <w:highlight w:val="darkGreen"/>
        </w:rPr>
      </w:pPr>
      <w:r>
        <w:rPr>
          <w:rFonts w:eastAsiaTheme="minorEastAsia"/>
          <w:color w:val="000000"/>
          <w:sz w:val="24"/>
          <w:szCs w:val="24"/>
          <w:highlight w:val="darkGreen"/>
        </w:rPr>
        <w:t>自动获得并拥有货物自身附有的和/或为拥有、使用及维护货物所需的以下知识产权，且卖方同意无偿许可买方使用与货物有关的所有知识产权：</w:t>
      </w:r>
    </w:p>
    <w:p>
      <w:pPr>
        <w:widowControl/>
        <w:numPr>
          <w:ilvl w:val="0"/>
          <w:numId w:val="18"/>
        </w:numPr>
        <w:tabs>
          <w:tab w:val="left" w:pos="426"/>
          <w:tab w:val="left" w:pos="567"/>
        </w:tabs>
        <w:spacing w:line="360" w:lineRule="auto"/>
        <w:ind w:left="729" w:leftChars="347" w:firstLine="180" w:firstLineChars="75"/>
        <w:jc w:val="left"/>
        <w:rPr>
          <w:rFonts w:eastAsiaTheme="minorEastAsia"/>
          <w:color w:val="000000"/>
          <w:sz w:val="24"/>
          <w:szCs w:val="24"/>
          <w:highlight w:val="darkGreen"/>
        </w:rPr>
      </w:pPr>
      <w:r>
        <w:rPr>
          <w:rFonts w:eastAsiaTheme="minorEastAsia"/>
          <w:color w:val="000000"/>
          <w:sz w:val="24"/>
          <w:szCs w:val="24"/>
          <w:highlight w:val="darkGreen"/>
        </w:rPr>
        <w:t>____________；</w:t>
      </w:r>
    </w:p>
    <w:p>
      <w:pPr>
        <w:widowControl/>
        <w:numPr>
          <w:ilvl w:val="0"/>
          <w:numId w:val="18"/>
        </w:numPr>
        <w:tabs>
          <w:tab w:val="left" w:pos="426"/>
          <w:tab w:val="left" w:pos="567"/>
        </w:tabs>
        <w:spacing w:line="360" w:lineRule="auto"/>
        <w:ind w:left="729" w:leftChars="347" w:firstLine="180" w:firstLineChars="75"/>
        <w:jc w:val="left"/>
        <w:rPr>
          <w:rFonts w:eastAsiaTheme="minorEastAsia"/>
          <w:color w:val="000000"/>
          <w:sz w:val="24"/>
          <w:szCs w:val="24"/>
          <w:highlight w:val="darkGreen"/>
        </w:rPr>
      </w:pPr>
      <w:r>
        <w:rPr>
          <w:rFonts w:eastAsiaTheme="minorEastAsia"/>
          <w:color w:val="000000"/>
          <w:sz w:val="24"/>
          <w:szCs w:val="24"/>
          <w:highlight w:val="darkGreen"/>
        </w:rPr>
        <w:t>____________；</w:t>
      </w:r>
    </w:p>
    <w:p>
      <w:pPr>
        <w:widowControl/>
        <w:numPr>
          <w:ilvl w:val="0"/>
          <w:numId w:val="18"/>
        </w:numPr>
        <w:tabs>
          <w:tab w:val="left" w:pos="426"/>
          <w:tab w:val="left" w:pos="567"/>
        </w:tabs>
        <w:spacing w:line="360" w:lineRule="auto"/>
        <w:ind w:left="729" w:leftChars="347" w:firstLine="180" w:firstLineChars="75"/>
        <w:jc w:val="left"/>
        <w:rPr>
          <w:rFonts w:eastAsiaTheme="minorEastAsia"/>
          <w:color w:val="000000"/>
          <w:sz w:val="24"/>
          <w:szCs w:val="24"/>
          <w:highlight w:val="darkGreen"/>
        </w:rPr>
      </w:pPr>
      <w:r>
        <w:rPr>
          <w:rFonts w:eastAsiaTheme="minorEastAsia"/>
          <w:color w:val="000000"/>
          <w:sz w:val="24"/>
          <w:szCs w:val="24"/>
          <w:highlight w:val="darkGreen"/>
        </w:rPr>
        <w:t>____________。</w:t>
      </w:r>
    </w:p>
    <w:p>
      <w:pPr>
        <w:widowControl/>
        <w:numPr>
          <w:ilvl w:val="0"/>
          <w:numId w:val="17"/>
        </w:numPr>
        <w:tabs>
          <w:tab w:val="left" w:pos="426"/>
          <w:tab w:val="left" w:pos="540"/>
          <w:tab w:val="left" w:pos="993"/>
        </w:tabs>
        <w:spacing w:line="360" w:lineRule="auto"/>
        <w:ind w:left="964" w:hanging="397"/>
        <w:jc w:val="left"/>
        <w:rPr>
          <w:rFonts w:eastAsiaTheme="minorEastAsia"/>
          <w:color w:val="000000"/>
          <w:sz w:val="24"/>
          <w:szCs w:val="24"/>
          <w:highlight w:val="darkGreen"/>
        </w:rPr>
      </w:pPr>
      <w:r>
        <w:rPr>
          <w:rFonts w:eastAsiaTheme="minorEastAsia"/>
          <w:color w:val="000000"/>
          <w:sz w:val="24"/>
          <w:szCs w:val="24"/>
          <w:highlight w:val="darkGreen"/>
        </w:rPr>
        <w:t>除非双方另有约定，不自动获得并拥有货物自身附有的相关知识产权，但卖方同意无偿许可买方使用与货物有关的所有知识产权。</w:t>
      </w:r>
    </w:p>
    <w:p>
      <w:pPr>
        <w:pStyle w:val="20"/>
        <w:numPr>
          <w:ilvl w:val="0"/>
          <w:numId w:val="16"/>
        </w:numPr>
        <w:spacing w:line="360" w:lineRule="auto"/>
        <w:ind w:firstLineChars="0"/>
        <w:rPr>
          <w:rFonts w:eastAsiaTheme="minorEastAsia"/>
          <w:color w:val="000000"/>
          <w:sz w:val="24"/>
          <w:highlight w:val="none"/>
        </w:rPr>
      </w:pPr>
      <w:r>
        <w:rPr>
          <w:rFonts w:eastAsiaTheme="minorEastAsia"/>
          <w:color w:val="000000"/>
          <w:sz w:val="24"/>
          <w:highlight w:val="none"/>
        </w:rPr>
        <w:t>本合同有效期内，如卖方对所许可的专利和/或专有技术有所改进，则卖方应向买方免费提供技术支持以使该技术改进能顺利投入本合同项下货物的使用过程中。</w:t>
      </w:r>
    </w:p>
    <w:p>
      <w:pPr>
        <w:pStyle w:val="20"/>
        <w:numPr>
          <w:ilvl w:val="0"/>
          <w:numId w:val="16"/>
        </w:numPr>
        <w:spacing w:line="360" w:lineRule="auto"/>
        <w:ind w:firstLineChars="0"/>
        <w:rPr>
          <w:rFonts w:eastAsiaTheme="minorEastAsia"/>
          <w:color w:val="000000"/>
          <w:sz w:val="24"/>
          <w:highlight w:val="none"/>
        </w:rPr>
      </w:pPr>
      <w:r>
        <w:rPr>
          <w:rFonts w:eastAsiaTheme="minorEastAsia"/>
          <w:color w:val="000000"/>
          <w:sz w:val="24"/>
          <w:highlight w:val="none"/>
        </w:rPr>
        <w:t>买方有权对卖方许可买方使用的专利和/或专有技术予以改进，买方所作的任何技术改进的专利申请权归买方所有。</w:t>
      </w:r>
    </w:p>
    <w:p>
      <w:pPr>
        <w:pStyle w:val="20"/>
        <w:numPr>
          <w:ilvl w:val="0"/>
          <w:numId w:val="16"/>
        </w:numPr>
        <w:spacing w:line="360" w:lineRule="auto"/>
        <w:ind w:firstLineChars="0"/>
        <w:rPr>
          <w:rFonts w:eastAsiaTheme="minorEastAsia"/>
          <w:color w:val="000000"/>
          <w:sz w:val="24"/>
          <w:highlight w:val="none"/>
        </w:rPr>
      </w:pPr>
      <w:r>
        <w:rPr>
          <w:rFonts w:eastAsiaTheme="minorEastAsia"/>
          <w:color w:val="000000"/>
          <w:sz w:val="24"/>
          <w:highlight w:val="none"/>
        </w:rPr>
        <w:t>在货物设计、制造、组装、调试及运行期间，如果买方为此提供任何构思、程序、软件、硬件、设计、图纸、技术、诀窍、发明、商标、专利及其它任何形式的保密信息或知识产权（“买方专有资料”），则无论该等买方专有资料是否构成货物不可分拆的一部分，且无论买方是否获得与货物有关的任何其它知识产权，买方应始终拥有该等买方专有资料的所有权及与之相关的知识产权。</w:t>
      </w:r>
    </w:p>
    <w:p>
      <w:pPr>
        <w:pStyle w:val="20"/>
        <w:numPr>
          <w:ilvl w:val="0"/>
          <w:numId w:val="16"/>
        </w:numPr>
        <w:spacing w:line="360" w:lineRule="auto"/>
        <w:ind w:firstLineChars="0"/>
        <w:rPr>
          <w:rFonts w:eastAsiaTheme="minorEastAsia"/>
          <w:color w:val="000000"/>
          <w:sz w:val="24"/>
          <w:highlight w:val="none"/>
        </w:rPr>
      </w:pPr>
      <w:r>
        <w:rPr>
          <w:rFonts w:eastAsiaTheme="minorEastAsia"/>
          <w:color w:val="000000"/>
          <w:sz w:val="24"/>
          <w:highlight w:val="none"/>
        </w:rPr>
        <w:t>卖方保证，货物未侵犯任何专利权、商标权或其它知识产权；货物包含的或为买方使用及维护货物所需的全部专利、商标及其它知识产权均为卖方合法拥有或已获得第三方的合法有效授权。如卖方违反前述保证，导致买方遭受任何损失、索赔或诉讼，卖方应赔偿买方因此产生的全部责任、义务及费用（包括但不限于律师费用、诉讼费用、鉴定费用、罚款和赔偿金等）。如卖方拒绝或怠于赔偿、处理或应诉，买方有权自行处理，卖方应承担买方因此发生的全部责任、义务和费用，买方有权从合同总价余额中直接扣除该等费用，不足部分由卖方予以补偿。</w:t>
      </w:r>
    </w:p>
    <w:p>
      <w:pPr>
        <w:pStyle w:val="20"/>
        <w:numPr>
          <w:ilvl w:val="0"/>
          <w:numId w:val="16"/>
        </w:numPr>
        <w:spacing w:line="360" w:lineRule="auto"/>
        <w:ind w:firstLineChars="0"/>
        <w:rPr>
          <w:rFonts w:eastAsiaTheme="minorEastAsia"/>
          <w:color w:val="000000"/>
          <w:sz w:val="24"/>
          <w:highlight w:val="none"/>
        </w:rPr>
      </w:pPr>
      <w:r>
        <w:rPr>
          <w:rFonts w:eastAsiaTheme="minorEastAsia"/>
          <w:color w:val="000000"/>
          <w:sz w:val="24"/>
          <w:highlight w:val="none"/>
        </w:rPr>
        <w:t>卖方保证，在货物交付前，卖方对其提供的货物享有完整的所有权，且货物上不存在任何形式的担保物权及其它任何权利负担，亦未侵犯任何第三方的权利。如卖方违反前述保证，买方有权解除本合同，并要求卖方赔偿买方因此遭受的全部损失。如卖方违反前述保证，导致买方遭受任何损失、索赔或诉讼，卖方应赔偿买方因此产生的全部责任、义务及费用（包括但不限于律师费用、诉讼费用、鉴定费用、罚款和赔偿金等）。如卖方拒绝或怠于赔偿、处理或应诉，买方有权自行处理，卖方应承担买方因此发生的全部责任、义务和费用，买方有权从合同总价余额中直接扣除该等费用，不足部分由卖方予以补偿。</w:t>
      </w:r>
    </w:p>
    <w:p>
      <w:pPr>
        <w:pStyle w:val="20"/>
        <w:numPr>
          <w:ilvl w:val="0"/>
          <w:numId w:val="16"/>
        </w:numPr>
        <w:spacing w:line="360" w:lineRule="auto"/>
        <w:ind w:firstLineChars="0"/>
        <w:rPr>
          <w:rFonts w:eastAsiaTheme="minorEastAsia"/>
          <w:color w:val="000000"/>
          <w:sz w:val="24"/>
          <w:highlight w:val="none"/>
        </w:rPr>
      </w:pPr>
      <w:r>
        <w:rPr>
          <w:rFonts w:eastAsiaTheme="minorEastAsia"/>
          <w:color w:val="000000"/>
          <w:sz w:val="24"/>
          <w:highlight w:val="none"/>
        </w:rPr>
        <w:t>卖方无权因本条的适用而获得额外的履约时间或合同价款。</w:t>
      </w:r>
    </w:p>
    <w:p>
      <w:pPr>
        <w:pStyle w:val="2"/>
        <w:numPr>
          <w:ilvl w:val="0"/>
          <w:numId w:val="2"/>
        </w:numPr>
        <w:spacing w:before="0" w:after="0" w:line="360" w:lineRule="auto"/>
        <w:ind w:left="419" w:hanging="130"/>
        <w:jc w:val="center"/>
        <w:rPr>
          <w:iCs/>
          <w:sz w:val="24"/>
          <w:szCs w:val="24"/>
          <w:highlight w:val="none"/>
        </w:rPr>
      </w:pPr>
      <w:bookmarkStart w:id="116" w:name="_Toc152602322"/>
      <w:r>
        <w:rPr>
          <w:iCs/>
          <w:sz w:val="24"/>
          <w:szCs w:val="24"/>
          <w:highlight w:val="none"/>
        </w:rPr>
        <w:t>延迟交货和违约金</w:t>
      </w:r>
      <w:bookmarkEnd w:id="116"/>
    </w:p>
    <w:p>
      <w:pPr>
        <w:pStyle w:val="20"/>
        <w:numPr>
          <w:ilvl w:val="0"/>
          <w:numId w:val="19"/>
        </w:numPr>
        <w:spacing w:line="360" w:lineRule="auto"/>
        <w:ind w:firstLineChars="0"/>
        <w:rPr>
          <w:rFonts w:eastAsiaTheme="minorEastAsia"/>
          <w:sz w:val="24"/>
          <w:highlight w:val="darkGreen"/>
        </w:rPr>
      </w:pPr>
      <w:r>
        <w:rPr>
          <w:rFonts w:eastAsiaTheme="minorEastAsia"/>
          <w:sz w:val="24"/>
          <w:highlight w:val="darkGreen"/>
        </w:rPr>
        <w:t>在合同执行期间，如果卖方延迟交货，则每延迟七（7）个日历天（不满7天按7天计算）应向买方支付</w:t>
      </w:r>
      <w:r>
        <w:rPr>
          <w:rFonts w:hint="eastAsia" w:eastAsiaTheme="minorEastAsia"/>
          <w:sz w:val="24"/>
          <w:highlight w:val="darkGreen"/>
          <w:lang w:val="en-US" w:eastAsia="zh-CN"/>
        </w:rPr>
        <w:t>延迟交货货物对应的合同</w:t>
      </w:r>
      <w:r>
        <w:rPr>
          <w:rFonts w:eastAsiaTheme="minorEastAsia"/>
          <w:sz w:val="24"/>
          <w:highlight w:val="darkGreen"/>
        </w:rPr>
        <w:t>总价的【1%】作为违约金。如果卖方延迟交货超过五（5）周，除要求卖方按本条规定向买方支付违约金至合同解除日外，买方有权解除本合同，并有权要求卖方赔偿买方因此遭受的全部损失。</w:t>
      </w:r>
    </w:p>
    <w:p>
      <w:pPr>
        <w:pStyle w:val="2"/>
        <w:numPr>
          <w:ilvl w:val="0"/>
          <w:numId w:val="2"/>
        </w:numPr>
        <w:spacing w:before="0" w:after="0" w:line="360" w:lineRule="auto"/>
        <w:ind w:left="419" w:hanging="130"/>
        <w:jc w:val="center"/>
        <w:rPr>
          <w:iCs/>
          <w:sz w:val="24"/>
          <w:szCs w:val="24"/>
          <w:highlight w:val="none"/>
        </w:rPr>
      </w:pPr>
      <w:bookmarkStart w:id="117" w:name="_Toc152602323"/>
      <w:r>
        <w:rPr>
          <w:iCs/>
          <w:sz w:val="24"/>
          <w:szCs w:val="24"/>
          <w:highlight w:val="none"/>
        </w:rPr>
        <w:t>违约责任</w:t>
      </w:r>
      <w:bookmarkEnd w:id="117"/>
    </w:p>
    <w:p>
      <w:pPr>
        <w:pStyle w:val="20"/>
        <w:numPr>
          <w:ilvl w:val="0"/>
          <w:numId w:val="20"/>
        </w:numPr>
        <w:spacing w:line="360" w:lineRule="auto"/>
        <w:ind w:firstLineChars="0"/>
        <w:rPr>
          <w:rFonts w:eastAsiaTheme="minorEastAsia"/>
          <w:sz w:val="24"/>
          <w:highlight w:val="none"/>
        </w:rPr>
      </w:pPr>
      <w:r>
        <w:rPr>
          <w:rFonts w:eastAsiaTheme="minorEastAsia"/>
          <w:sz w:val="24"/>
          <w:highlight w:val="none"/>
        </w:rPr>
        <w:t>在验收时如发现货物质量、型号、规格等方面不符合合同规定，或相关证书、货物资料不齐、有错误或破损的，买方有权选择退货、更换、补齐或拒付货款，所发生的一切费用应由卖方承担。由于上述原因导致延迟交货的，卖方还应按照本合同第十四条约定向买方支付违约金，并同时赔偿买方因此遭受的全部损失。</w:t>
      </w:r>
    </w:p>
    <w:p>
      <w:pPr>
        <w:pStyle w:val="20"/>
        <w:numPr>
          <w:ilvl w:val="0"/>
          <w:numId w:val="20"/>
        </w:numPr>
        <w:spacing w:line="360" w:lineRule="auto"/>
        <w:ind w:firstLineChars="0"/>
        <w:rPr>
          <w:rFonts w:eastAsiaTheme="minorEastAsia"/>
          <w:sz w:val="24"/>
          <w:highlight w:val="darkGreen"/>
        </w:rPr>
      </w:pPr>
      <w:r>
        <w:rPr>
          <w:rFonts w:eastAsiaTheme="minorEastAsia"/>
          <w:sz w:val="24"/>
          <w:highlight w:val="darkGreen"/>
        </w:rPr>
        <w:t>卖方未按时交付本合同约定的技术资料，每延期交付一日，卖方应支付违约金【 】元。如卖方延期交付技术资料超过【 】日，除要求卖方支付该等延期违约金外，买方有权解除本合同，并要求卖方赔偿买方因此遭受的全部损失。</w:t>
      </w:r>
    </w:p>
    <w:p>
      <w:pPr>
        <w:pStyle w:val="20"/>
        <w:numPr>
          <w:ilvl w:val="0"/>
          <w:numId w:val="20"/>
        </w:numPr>
        <w:spacing w:line="360" w:lineRule="auto"/>
        <w:ind w:firstLineChars="0"/>
        <w:rPr>
          <w:rFonts w:eastAsiaTheme="minorEastAsia"/>
          <w:sz w:val="24"/>
          <w:highlight w:val="none"/>
        </w:rPr>
      </w:pPr>
      <w:r>
        <w:rPr>
          <w:rFonts w:eastAsiaTheme="minorEastAsia"/>
          <w:sz w:val="24"/>
          <w:highlight w:val="none"/>
        </w:rPr>
        <w:t>卖方未按本合同规定的数量交货时，买方应及时通知卖方。如买方要求，卖方应在买方指定的时间内对不足的部分照数补齐。如卖方不能按照买方指定的时间全数补齐货物，卖方应赔偿买方因此遭受的全部损失。如因此导致延迟交货，卖方还应按本合同第十四条的规定向买方支付违约金，并赔偿买方因此遭受的全部损失。如买方不要求补齐，且已向卖方支付相应货款的，卖方应及时将货款退还买方，并按照合同签订日适用的中国人民银行授权银行间同业拆借中心发布的1年期银行贷款市场报价利率向买方支付从买方付款之日至卖方还款日期间的利息，卖方还应赔偿买方因此遭受的全部损失</w:t>
      </w:r>
    </w:p>
    <w:p>
      <w:pPr>
        <w:pStyle w:val="20"/>
        <w:numPr>
          <w:ilvl w:val="0"/>
          <w:numId w:val="20"/>
        </w:numPr>
        <w:spacing w:line="360" w:lineRule="auto"/>
        <w:ind w:firstLineChars="0"/>
        <w:rPr>
          <w:rFonts w:eastAsiaTheme="minorEastAsia"/>
          <w:sz w:val="24"/>
          <w:highlight w:val="darkGreen"/>
        </w:rPr>
      </w:pPr>
      <w:r>
        <w:rPr>
          <w:rFonts w:eastAsiaTheme="minorEastAsia"/>
          <w:sz w:val="24"/>
          <w:highlight w:val="darkGreen"/>
        </w:rPr>
        <w:t>货物包装不符合本合同规定时，卖方应负责返修或重新包装并承担所有相关费用，或按买方要求支付不超过合同总价【20％】的违约金，卖方应同时赔偿买方因此遭受的全部损失。</w:t>
      </w:r>
    </w:p>
    <w:p>
      <w:pPr>
        <w:pStyle w:val="20"/>
        <w:numPr>
          <w:ilvl w:val="0"/>
          <w:numId w:val="20"/>
        </w:numPr>
        <w:spacing w:line="360" w:lineRule="auto"/>
        <w:ind w:firstLineChars="0"/>
        <w:rPr>
          <w:rFonts w:eastAsiaTheme="minorEastAsia"/>
          <w:sz w:val="24"/>
          <w:highlight w:val="darkGreen"/>
        </w:rPr>
      </w:pPr>
      <w:r>
        <w:rPr>
          <w:rFonts w:eastAsiaTheme="minorEastAsia"/>
          <w:sz w:val="24"/>
          <w:highlight w:val="darkGreen"/>
        </w:rPr>
        <w:t>质保期内，如货物被发现存在任何缺陷或质量不符合本合同约定，且卖方未根据合同规定进行更换或更换仍无法消除该等缺陷或不符合项的，除行使合同规定的其它权利外，买方有权要求卖方支付该货物之合同价款【10%】的违约金，卖方应同时赔偿买方因此遭受的全部损失。</w:t>
      </w:r>
    </w:p>
    <w:p>
      <w:pPr>
        <w:pStyle w:val="20"/>
        <w:numPr>
          <w:ilvl w:val="0"/>
          <w:numId w:val="20"/>
        </w:numPr>
        <w:spacing w:line="360" w:lineRule="auto"/>
        <w:ind w:firstLineChars="0"/>
        <w:rPr>
          <w:rFonts w:eastAsiaTheme="minorEastAsia"/>
          <w:sz w:val="24"/>
          <w:highlight w:val="darkGreen"/>
        </w:rPr>
      </w:pPr>
      <w:r>
        <w:rPr>
          <w:rFonts w:eastAsiaTheme="minorEastAsia"/>
          <w:sz w:val="24"/>
          <w:highlight w:val="darkGreen"/>
        </w:rPr>
        <w:t>卖方为履行本合同提供的所有设备、材料均不能含有石棉材料，卖方需在合同签订起【 】日内向买方提交不含石棉材料的书面承诺书（或证明）；如果卖方违反承诺书规定使用石棉材料，买方有权解除本合同，卖方应向买方支付相当于合同总价【20％】的违约金并赔偿买方因此遭受的全部损失。</w:t>
      </w:r>
    </w:p>
    <w:p>
      <w:pPr>
        <w:pStyle w:val="20"/>
        <w:numPr>
          <w:ilvl w:val="0"/>
          <w:numId w:val="20"/>
        </w:numPr>
        <w:spacing w:line="360" w:lineRule="auto"/>
        <w:ind w:firstLineChars="0"/>
        <w:rPr>
          <w:rFonts w:eastAsiaTheme="minorEastAsia"/>
          <w:sz w:val="24"/>
          <w:highlight w:val="darkGreen"/>
        </w:rPr>
      </w:pPr>
      <w:r>
        <w:rPr>
          <w:rFonts w:eastAsiaTheme="minorEastAsia"/>
          <w:sz w:val="24"/>
          <w:highlight w:val="darkGreen"/>
        </w:rPr>
        <w:t>由于卖方不履行合同义务，或者严重违反本合同约定，造成本合同无法履行或履行成为不必要时，买方有权解除本合同，卖方应向买方支付相当于合同总价【20％】的违约金并赔偿买方因此遭受的全部损失。</w:t>
      </w:r>
    </w:p>
    <w:p>
      <w:pPr>
        <w:pStyle w:val="20"/>
        <w:numPr>
          <w:ilvl w:val="0"/>
          <w:numId w:val="20"/>
        </w:numPr>
        <w:spacing w:line="360" w:lineRule="auto"/>
        <w:ind w:firstLineChars="0"/>
        <w:rPr>
          <w:rFonts w:eastAsiaTheme="minorEastAsia"/>
          <w:sz w:val="24"/>
          <w:highlight w:val="darkGreen"/>
        </w:rPr>
      </w:pPr>
      <w:r>
        <w:rPr>
          <w:rFonts w:eastAsiaTheme="minorEastAsia"/>
          <w:sz w:val="24"/>
          <w:highlight w:val="darkGreen"/>
        </w:rPr>
        <w:t>未经买方同意，卖方擅自进行转让、分包，买方有权解除本合同，卖方应退还买方已支付的全部款项，并支付转让、分包货物之合同价款【100%】的违约金，卖方应同时赔偿买方因此遭受的全部损失。</w:t>
      </w:r>
    </w:p>
    <w:p>
      <w:pPr>
        <w:pStyle w:val="20"/>
        <w:numPr>
          <w:ilvl w:val="0"/>
          <w:numId w:val="20"/>
        </w:numPr>
        <w:spacing w:line="360" w:lineRule="auto"/>
        <w:ind w:firstLineChars="0"/>
        <w:rPr>
          <w:rFonts w:eastAsiaTheme="minorEastAsia"/>
          <w:sz w:val="24"/>
          <w:highlight w:val="none"/>
        </w:rPr>
      </w:pPr>
      <w:r>
        <w:rPr>
          <w:rFonts w:eastAsiaTheme="minorEastAsia"/>
          <w:sz w:val="24"/>
          <w:highlight w:val="none"/>
        </w:rPr>
        <w:t>除上述规定之外，若卖方存在任何其他违反本合同约定的行为，均应依法承担违约责任并赔偿买方因此遭受的全部损失。</w:t>
      </w:r>
    </w:p>
    <w:p>
      <w:pPr>
        <w:pStyle w:val="20"/>
        <w:numPr>
          <w:ilvl w:val="0"/>
          <w:numId w:val="20"/>
        </w:numPr>
        <w:spacing w:line="360" w:lineRule="auto"/>
        <w:ind w:firstLineChars="0"/>
        <w:rPr>
          <w:rFonts w:eastAsiaTheme="minorEastAsia"/>
          <w:sz w:val="24"/>
          <w:highlight w:val="none"/>
        </w:rPr>
      </w:pPr>
      <w:r>
        <w:rPr>
          <w:rFonts w:eastAsiaTheme="minorEastAsia"/>
          <w:sz w:val="24"/>
          <w:highlight w:val="none"/>
        </w:rPr>
        <w:t>卖方根据本合同规定应承担违约金或赔偿责任的，买方有权从合同价款余额中直接扣除。</w:t>
      </w:r>
    </w:p>
    <w:p>
      <w:pPr>
        <w:pStyle w:val="20"/>
        <w:numPr>
          <w:ilvl w:val="0"/>
          <w:numId w:val="20"/>
        </w:numPr>
        <w:spacing w:line="360" w:lineRule="auto"/>
        <w:ind w:firstLineChars="0"/>
        <w:rPr>
          <w:rFonts w:eastAsiaTheme="minorEastAsia"/>
          <w:sz w:val="24"/>
          <w:highlight w:val="none"/>
        </w:rPr>
      </w:pPr>
      <w:r>
        <w:rPr>
          <w:rFonts w:hint="eastAsia" w:eastAsiaTheme="minorEastAsia"/>
          <w:sz w:val="24"/>
          <w:highlight w:val="none"/>
        </w:rPr>
        <w:t>如卖方同一行为符合多个违约事由、适用多个违约金条款的，买方有权择一主张或同时主张。</w:t>
      </w:r>
    </w:p>
    <w:p>
      <w:pPr>
        <w:pStyle w:val="20"/>
        <w:numPr>
          <w:ilvl w:val="0"/>
          <w:numId w:val="20"/>
        </w:numPr>
        <w:spacing w:line="360" w:lineRule="auto"/>
        <w:ind w:firstLineChars="0"/>
        <w:rPr>
          <w:rFonts w:eastAsiaTheme="minorEastAsia"/>
          <w:sz w:val="24"/>
          <w:highlight w:val="darkGreen"/>
        </w:rPr>
      </w:pPr>
      <w:r>
        <w:rPr>
          <w:rFonts w:eastAsiaTheme="minorEastAsia"/>
          <w:sz w:val="24"/>
          <w:highlight w:val="darkGreen"/>
        </w:rPr>
        <w:t>买方因自身原因逾期向卖方支付货款的，应按照合同签订日适用的中国人民银行授权银行间同业拆借中心发布的1年期银行贷款市场报价利率向卖方支付逾期应付而未付的合同价款的利息（中小微企业适用）。</w:t>
      </w:r>
      <w:r>
        <w:rPr>
          <w:rFonts w:hint="eastAsia" w:eastAsiaTheme="minorEastAsia"/>
          <w:sz w:val="24"/>
          <w:highlight w:val="darkGreen"/>
        </w:rPr>
        <w:t>双方同意，该等利息的支付是买方就未能如期支付相关合同价款所需承担的全部责任。</w:t>
      </w:r>
    </w:p>
    <w:p>
      <w:pPr>
        <w:pStyle w:val="2"/>
        <w:numPr>
          <w:ilvl w:val="0"/>
          <w:numId w:val="2"/>
        </w:numPr>
        <w:spacing w:before="0" w:after="0" w:line="360" w:lineRule="auto"/>
        <w:ind w:left="419" w:hanging="130"/>
        <w:jc w:val="center"/>
        <w:rPr>
          <w:iCs/>
          <w:sz w:val="24"/>
          <w:szCs w:val="24"/>
          <w:highlight w:val="none"/>
        </w:rPr>
      </w:pPr>
      <w:bookmarkStart w:id="118" w:name="_Toc152602324"/>
      <w:r>
        <w:rPr>
          <w:iCs/>
          <w:sz w:val="24"/>
          <w:szCs w:val="24"/>
          <w:highlight w:val="none"/>
        </w:rPr>
        <w:t>不可抗力</w:t>
      </w:r>
      <w:bookmarkEnd w:id="118"/>
    </w:p>
    <w:p>
      <w:pPr>
        <w:pStyle w:val="20"/>
        <w:numPr>
          <w:ilvl w:val="0"/>
          <w:numId w:val="21"/>
        </w:numPr>
        <w:spacing w:line="360" w:lineRule="auto"/>
        <w:ind w:firstLineChars="0"/>
        <w:rPr>
          <w:rFonts w:eastAsiaTheme="minorEastAsia"/>
          <w:sz w:val="24"/>
          <w:highlight w:val="none"/>
        </w:rPr>
      </w:pPr>
      <w:r>
        <w:rPr>
          <w:rFonts w:eastAsiaTheme="minorEastAsia"/>
          <w:sz w:val="24"/>
          <w:highlight w:val="none"/>
        </w:rPr>
        <w:t>本条所称的“不可抗力”系指不能预见、不能避免并不能克服的客观事件或行为，包括但不限于如火灾、洪水、命名的台风、地震、爆炸、雷电、战争、政府管制等自然灾害或社会事件及行为。</w:t>
      </w:r>
    </w:p>
    <w:p>
      <w:pPr>
        <w:pStyle w:val="20"/>
        <w:numPr>
          <w:ilvl w:val="0"/>
          <w:numId w:val="21"/>
        </w:numPr>
        <w:spacing w:line="360" w:lineRule="auto"/>
        <w:ind w:firstLineChars="0"/>
        <w:rPr>
          <w:rFonts w:eastAsiaTheme="minorEastAsia"/>
          <w:sz w:val="24"/>
          <w:highlight w:val="none"/>
        </w:rPr>
      </w:pPr>
      <w:r>
        <w:rPr>
          <w:rFonts w:eastAsiaTheme="minorEastAsia"/>
          <w:sz w:val="24"/>
          <w:highlight w:val="none"/>
        </w:rPr>
        <w:t>任何一方因不可抗力不能或延迟履行本合同，不承担违约责任。</w:t>
      </w:r>
    </w:p>
    <w:p>
      <w:pPr>
        <w:pStyle w:val="20"/>
        <w:numPr>
          <w:ilvl w:val="0"/>
          <w:numId w:val="21"/>
        </w:numPr>
        <w:spacing w:line="360" w:lineRule="auto"/>
        <w:ind w:firstLineChars="0"/>
        <w:rPr>
          <w:rFonts w:eastAsiaTheme="minorEastAsia"/>
          <w:sz w:val="24"/>
          <w:highlight w:val="darkGreen"/>
        </w:rPr>
      </w:pPr>
      <w:r>
        <w:rPr>
          <w:rFonts w:eastAsiaTheme="minorEastAsia"/>
          <w:sz w:val="24"/>
          <w:highlight w:val="darkGreen"/>
        </w:rPr>
        <w:t>任何一方遇有不可抗力而全部或部分不能履行本合同或迟延履行本合同，应立即通知另一方，并在不可抗力事件发生之日起五（5）个工作日内，将当地市级以上有关政府部门或公证机构出具的证明不可抗力发生的书面文件或其他足以证明不可抗力发生的书面文件当面递交/空运/快速邮递给另一方，并于事件发生之日起十（10）天内，向另一方提交该等事件导致本合同全部或部分不能履行或迟延履行的证明。</w:t>
      </w:r>
    </w:p>
    <w:p>
      <w:pPr>
        <w:pStyle w:val="20"/>
        <w:numPr>
          <w:ilvl w:val="0"/>
          <w:numId w:val="21"/>
        </w:numPr>
        <w:spacing w:line="360" w:lineRule="auto"/>
        <w:ind w:firstLineChars="0"/>
        <w:rPr>
          <w:rFonts w:eastAsiaTheme="minorEastAsia"/>
          <w:sz w:val="24"/>
          <w:highlight w:val="darkGreen"/>
        </w:rPr>
      </w:pPr>
      <w:r>
        <w:rPr>
          <w:rFonts w:eastAsiaTheme="minorEastAsia"/>
          <w:sz w:val="24"/>
          <w:highlight w:val="darkGreen"/>
        </w:rPr>
        <w:t>各方应采取一切必要措施减少损失，并在事件消除后立即恢复本合同的履行，除非此履行已不可能或者不必要。一旦不可抗力事件的影响持续【 】周以上，买方有权解除本合同。</w:t>
      </w:r>
    </w:p>
    <w:p>
      <w:pPr>
        <w:pStyle w:val="2"/>
        <w:numPr>
          <w:ilvl w:val="0"/>
          <w:numId w:val="2"/>
        </w:numPr>
        <w:spacing w:before="0" w:after="0" w:line="360" w:lineRule="auto"/>
        <w:ind w:left="419" w:hanging="130"/>
        <w:jc w:val="center"/>
        <w:rPr>
          <w:iCs/>
          <w:sz w:val="24"/>
          <w:szCs w:val="24"/>
          <w:highlight w:val="none"/>
        </w:rPr>
      </w:pPr>
      <w:bookmarkStart w:id="119" w:name="_Toc152602325"/>
      <w:r>
        <w:rPr>
          <w:iCs/>
          <w:sz w:val="24"/>
          <w:szCs w:val="24"/>
          <w:highlight w:val="none"/>
        </w:rPr>
        <w:t>合同解除</w:t>
      </w:r>
      <w:bookmarkEnd w:id="119"/>
    </w:p>
    <w:p>
      <w:pPr>
        <w:widowControl/>
        <w:numPr>
          <w:ilvl w:val="0"/>
          <w:numId w:val="22"/>
        </w:numPr>
        <w:tabs>
          <w:tab w:val="left" w:pos="709"/>
        </w:tabs>
        <w:spacing w:line="360" w:lineRule="auto"/>
        <w:ind w:left="567" w:hanging="567"/>
        <w:jc w:val="left"/>
        <w:rPr>
          <w:sz w:val="24"/>
          <w:highlight w:val="none"/>
        </w:rPr>
      </w:pPr>
      <w:r>
        <w:rPr>
          <w:sz w:val="24"/>
          <w:highlight w:val="none"/>
        </w:rPr>
        <w:t>本合同在下列任一情形下解除：</w:t>
      </w:r>
    </w:p>
    <w:p>
      <w:pPr>
        <w:pStyle w:val="20"/>
        <w:tabs>
          <w:tab w:val="left" w:pos="993"/>
        </w:tabs>
        <w:spacing w:line="360" w:lineRule="auto"/>
        <w:ind w:left="567" w:firstLine="0" w:firstLineChars="0"/>
        <w:rPr>
          <w:rFonts w:eastAsiaTheme="minorEastAsia"/>
          <w:sz w:val="24"/>
          <w:highlight w:val="none"/>
        </w:rPr>
      </w:pPr>
      <w:r>
        <w:rPr>
          <w:rFonts w:eastAsiaTheme="minorEastAsia"/>
          <w:sz w:val="24"/>
          <w:highlight w:val="none"/>
        </w:rPr>
        <w:t>(1)</w:t>
      </w:r>
      <w:r>
        <w:rPr>
          <w:rFonts w:eastAsiaTheme="minorEastAsia"/>
          <w:sz w:val="24"/>
          <w:highlight w:val="none"/>
        </w:rPr>
        <w:tab/>
      </w:r>
      <w:r>
        <w:rPr>
          <w:rFonts w:eastAsiaTheme="minorEastAsia"/>
          <w:sz w:val="24"/>
          <w:highlight w:val="none"/>
        </w:rPr>
        <w:t>本合同明确约定买方有权解除合同的情形；</w:t>
      </w:r>
    </w:p>
    <w:p>
      <w:pPr>
        <w:pStyle w:val="20"/>
        <w:tabs>
          <w:tab w:val="left" w:pos="993"/>
        </w:tabs>
        <w:spacing w:line="360" w:lineRule="auto"/>
        <w:ind w:left="567" w:firstLine="0" w:firstLineChars="0"/>
        <w:rPr>
          <w:rFonts w:eastAsiaTheme="minorEastAsia"/>
          <w:sz w:val="24"/>
          <w:highlight w:val="none"/>
        </w:rPr>
      </w:pPr>
      <w:r>
        <w:rPr>
          <w:rFonts w:eastAsiaTheme="minorEastAsia"/>
          <w:sz w:val="24"/>
          <w:highlight w:val="none"/>
        </w:rPr>
        <w:t>(2)</w:t>
      </w:r>
      <w:r>
        <w:rPr>
          <w:rFonts w:eastAsiaTheme="minorEastAsia"/>
          <w:sz w:val="24"/>
          <w:highlight w:val="none"/>
        </w:rPr>
        <w:tab/>
      </w:r>
      <w:r>
        <w:rPr>
          <w:rFonts w:eastAsiaTheme="minorEastAsia"/>
          <w:sz w:val="24"/>
          <w:highlight w:val="none"/>
        </w:rPr>
        <w:t>卖方破产、资不抵债、停业、清算、解散、被兼并、被查封；</w:t>
      </w:r>
    </w:p>
    <w:p>
      <w:pPr>
        <w:pStyle w:val="20"/>
        <w:tabs>
          <w:tab w:val="left" w:pos="993"/>
        </w:tabs>
        <w:spacing w:line="360" w:lineRule="auto"/>
        <w:ind w:left="567" w:firstLine="0" w:firstLineChars="0"/>
        <w:rPr>
          <w:rFonts w:eastAsiaTheme="minorEastAsia"/>
          <w:sz w:val="24"/>
          <w:highlight w:val="none"/>
        </w:rPr>
      </w:pPr>
      <w:r>
        <w:rPr>
          <w:rFonts w:eastAsiaTheme="minorEastAsia"/>
          <w:sz w:val="24"/>
          <w:highlight w:val="none"/>
        </w:rPr>
        <w:t>(3)</w:t>
      </w:r>
      <w:r>
        <w:rPr>
          <w:rFonts w:eastAsiaTheme="minorEastAsia"/>
          <w:sz w:val="24"/>
          <w:highlight w:val="none"/>
        </w:rPr>
        <w:tab/>
      </w:r>
      <w:r>
        <w:rPr>
          <w:rFonts w:eastAsiaTheme="minorEastAsia"/>
          <w:sz w:val="24"/>
          <w:highlight w:val="none"/>
        </w:rPr>
        <w:t>卖方发生其它严重违约，且未在买方要求的合同期限内纠正。</w:t>
      </w:r>
    </w:p>
    <w:p>
      <w:pPr>
        <w:pStyle w:val="20"/>
        <w:spacing w:line="360" w:lineRule="auto"/>
        <w:ind w:left="567" w:leftChars="270" w:firstLine="0" w:firstLineChars="0"/>
        <w:rPr>
          <w:rFonts w:eastAsiaTheme="minorEastAsia"/>
          <w:sz w:val="24"/>
          <w:highlight w:val="none"/>
        </w:rPr>
      </w:pPr>
      <w:r>
        <w:rPr>
          <w:rFonts w:eastAsiaTheme="minorEastAsia"/>
          <w:sz w:val="24"/>
          <w:highlight w:val="none"/>
        </w:rPr>
        <w:t>如买方因上述第（1）、（3）项主张解除本合同的，应当书面通知卖方，本合同自解除合同的通知到达卖方时解除。</w:t>
      </w:r>
    </w:p>
    <w:p>
      <w:pPr>
        <w:widowControl/>
        <w:numPr>
          <w:ilvl w:val="0"/>
          <w:numId w:val="22"/>
        </w:numPr>
        <w:tabs>
          <w:tab w:val="left" w:pos="709"/>
        </w:tabs>
        <w:spacing w:line="360" w:lineRule="auto"/>
        <w:ind w:left="567" w:hanging="567"/>
        <w:jc w:val="left"/>
        <w:rPr>
          <w:sz w:val="24"/>
          <w:highlight w:val="none"/>
        </w:rPr>
      </w:pPr>
      <w:r>
        <w:rPr>
          <w:sz w:val="24"/>
          <w:highlight w:val="none"/>
        </w:rPr>
        <w:t>如因卖方违约买方解除本合同，卖方应退回买方已经支付的全部款项（且未支付的款项不再支付），根据本合同规定支付违约金，并赔偿</w:t>
      </w:r>
      <w:r>
        <w:rPr>
          <w:rFonts w:hint="eastAsia"/>
          <w:sz w:val="24"/>
          <w:highlight w:val="none"/>
        </w:rPr>
        <w:t>买方</w:t>
      </w:r>
      <w:r>
        <w:rPr>
          <w:sz w:val="24"/>
          <w:highlight w:val="none"/>
        </w:rPr>
        <w:t>因此遭受的全部损失。买方有权以适当的条件和方式购买同等货物，卖方应承担买方购买同等货物的差额费用。</w:t>
      </w:r>
    </w:p>
    <w:p>
      <w:pPr>
        <w:widowControl/>
        <w:numPr>
          <w:ilvl w:val="0"/>
          <w:numId w:val="22"/>
        </w:numPr>
        <w:tabs>
          <w:tab w:val="left" w:pos="709"/>
        </w:tabs>
        <w:spacing w:line="360" w:lineRule="auto"/>
        <w:ind w:left="567" w:hanging="567"/>
        <w:jc w:val="left"/>
        <w:rPr>
          <w:sz w:val="24"/>
          <w:highlight w:val="darkGreen"/>
        </w:rPr>
      </w:pPr>
      <w:r>
        <w:rPr>
          <w:sz w:val="24"/>
          <w:highlight w:val="darkGreen"/>
        </w:rPr>
        <w:t>无论基于何种原因，经提前【10】日书面通知卖方，买方有权随时终止合同。卖方收到买方终止合同的书面通知后，应立即停止实施与本合同有关的工作，并配合买方对已履行的部分进行结算。结算金额应以卖方为履行合同已实际发生的直接、合理费用为限，卖方应提供书面证明文件。如买方已支付的合同价款不足以覆盖结算金额，经卖方提供证明文件后，买方应向卖方支付差额部分。如买方已支付的合同价款超过结算金额，卖方应向买方返还超额部分。买方向卖方支付的结算金额涵盖买方根据本款规定终止合同时，卖方可获得的全部赔偿及补偿。任何时候卖方均无权要求买方赔偿因合同终止而引起的预期利润的损失或损害。</w:t>
      </w:r>
    </w:p>
    <w:p>
      <w:pPr>
        <w:pStyle w:val="2"/>
        <w:numPr>
          <w:ilvl w:val="0"/>
          <w:numId w:val="2"/>
        </w:numPr>
        <w:spacing w:before="0" w:after="0" w:line="360" w:lineRule="auto"/>
        <w:ind w:left="419" w:hanging="130"/>
        <w:jc w:val="center"/>
        <w:rPr>
          <w:iCs/>
          <w:sz w:val="24"/>
          <w:szCs w:val="24"/>
          <w:highlight w:val="none"/>
        </w:rPr>
      </w:pPr>
      <w:bookmarkStart w:id="120" w:name="_Toc152602326"/>
      <w:r>
        <w:rPr>
          <w:iCs/>
          <w:sz w:val="24"/>
          <w:szCs w:val="24"/>
          <w:highlight w:val="none"/>
        </w:rPr>
        <w:t>适用法律和争议解决</w:t>
      </w:r>
      <w:bookmarkEnd w:id="120"/>
    </w:p>
    <w:p>
      <w:pPr>
        <w:pStyle w:val="20"/>
        <w:numPr>
          <w:ilvl w:val="0"/>
          <w:numId w:val="23"/>
        </w:numPr>
        <w:tabs>
          <w:tab w:val="left" w:pos="567"/>
          <w:tab w:val="left" w:pos="710"/>
        </w:tabs>
        <w:spacing w:line="360" w:lineRule="auto"/>
        <w:ind w:right="-512" w:rightChars="-244" w:firstLineChars="0"/>
        <w:rPr>
          <w:rFonts w:eastAsiaTheme="minorEastAsia"/>
          <w:sz w:val="24"/>
          <w:highlight w:val="none"/>
        </w:rPr>
      </w:pPr>
      <w:r>
        <w:rPr>
          <w:rFonts w:eastAsiaTheme="minorEastAsia"/>
          <w:sz w:val="24"/>
          <w:highlight w:val="none"/>
        </w:rPr>
        <w:t>本合同适用中华人民共和国法律。</w:t>
      </w:r>
    </w:p>
    <w:p>
      <w:pPr>
        <w:pStyle w:val="20"/>
        <w:numPr>
          <w:ilvl w:val="0"/>
          <w:numId w:val="23"/>
        </w:numPr>
        <w:tabs>
          <w:tab w:val="left" w:pos="567"/>
          <w:tab w:val="left" w:pos="710"/>
        </w:tabs>
        <w:spacing w:line="360" w:lineRule="auto"/>
        <w:ind w:right="-512" w:rightChars="-244" w:firstLineChars="0"/>
        <w:rPr>
          <w:rFonts w:eastAsiaTheme="minorEastAsia"/>
          <w:sz w:val="24"/>
          <w:highlight w:val="darkGreen"/>
        </w:rPr>
      </w:pPr>
      <w:r>
        <w:rPr>
          <w:rFonts w:eastAsiaTheme="minorEastAsia"/>
          <w:sz w:val="24"/>
          <w:highlight w:val="darkGreen"/>
        </w:rPr>
        <w:t>因履行本合同发生的或与本合同有关的一切争议，双方首先应友好协商解决，如经协商仍不能解决，双方同意选择以下方式予以解决（不适用选项请删除）：</w:t>
      </w:r>
    </w:p>
    <w:p>
      <w:pPr>
        <w:tabs>
          <w:tab w:val="left" w:pos="567"/>
          <w:tab w:val="left" w:pos="709"/>
        </w:tabs>
        <w:spacing w:line="360" w:lineRule="auto"/>
        <w:ind w:left="567" w:right="-57" w:rightChars="-27"/>
        <w:rPr>
          <w:rFonts w:eastAsiaTheme="minorEastAsia"/>
          <w:sz w:val="24"/>
          <w:szCs w:val="24"/>
          <w:highlight w:val="darkGreen"/>
        </w:rPr>
      </w:pPr>
      <w:r>
        <w:rPr>
          <w:rFonts w:eastAsiaTheme="minorEastAsia"/>
          <w:sz w:val="24"/>
          <w:szCs w:val="24"/>
          <w:highlight w:val="darkGreen"/>
        </w:rPr>
        <w:t>(1)</w:t>
      </w:r>
      <w:r>
        <w:rPr>
          <w:rFonts w:eastAsiaTheme="minorEastAsia"/>
          <w:sz w:val="24"/>
          <w:szCs w:val="24"/>
          <w:highlight w:val="darkGreen"/>
        </w:rPr>
        <w:tab/>
      </w:r>
      <w:r>
        <w:rPr>
          <w:rFonts w:eastAsiaTheme="minorEastAsia"/>
          <w:sz w:val="24"/>
          <w:szCs w:val="24"/>
          <w:highlight w:val="darkGreen"/>
        </w:rPr>
        <w:t>向买方所在地人民法院起诉；</w:t>
      </w:r>
    </w:p>
    <w:p>
      <w:pPr>
        <w:tabs>
          <w:tab w:val="left" w:pos="567"/>
          <w:tab w:val="left" w:pos="709"/>
        </w:tabs>
        <w:spacing w:line="360" w:lineRule="auto"/>
        <w:ind w:left="567" w:right="-57" w:rightChars="-27"/>
        <w:rPr>
          <w:rFonts w:eastAsiaTheme="minorEastAsia"/>
          <w:bCs/>
          <w:sz w:val="24"/>
          <w:szCs w:val="24"/>
          <w:highlight w:val="darkGreen"/>
        </w:rPr>
      </w:pPr>
      <w:r>
        <w:rPr>
          <w:rFonts w:eastAsiaTheme="minorEastAsia"/>
          <w:sz w:val="24"/>
          <w:szCs w:val="24"/>
          <w:highlight w:val="darkGreen"/>
        </w:rPr>
        <w:t>(2)</w:t>
      </w:r>
      <w:r>
        <w:rPr>
          <w:rFonts w:eastAsiaTheme="minorEastAsia"/>
          <w:sz w:val="24"/>
          <w:szCs w:val="24"/>
          <w:highlight w:val="darkGreen"/>
        </w:rPr>
        <w:tab/>
      </w:r>
      <w:r>
        <w:rPr>
          <w:rFonts w:eastAsiaTheme="minorEastAsia"/>
          <w:sz w:val="24"/>
          <w:szCs w:val="24"/>
          <w:highlight w:val="darkGreen"/>
        </w:rPr>
        <w:t>提交（□中国国际经济贸易仲裁委员会；□</w:t>
      </w:r>
      <w:r>
        <w:rPr>
          <w:rFonts w:hint="eastAsia" w:eastAsiaTheme="minorEastAsia"/>
          <w:sz w:val="24"/>
          <w:szCs w:val="24"/>
          <w:highlight w:val="darkGreen"/>
        </w:rPr>
        <w:t>深圳国际仲裁院；</w:t>
      </w:r>
      <w:r>
        <w:rPr>
          <w:rFonts w:eastAsiaTheme="minorEastAsia"/>
          <w:sz w:val="24"/>
          <w:szCs w:val="24"/>
          <w:highlight w:val="darkGreen"/>
        </w:rPr>
        <w:t>□</w:t>
      </w:r>
      <w:r>
        <w:rPr>
          <w:rFonts w:hint="eastAsia" w:eastAsiaTheme="minorEastAsia"/>
          <w:sz w:val="24"/>
          <w:szCs w:val="24"/>
          <w:highlight w:val="darkGreen"/>
        </w:rPr>
        <w:t>上海国际经济贸易仲裁委员会</w:t>
      </w:r>
      <w:r>
        <w:rPr>
          <w:rFonts w:eastAsiaTheme="minorEastAsia"/>
          <w:sz w:val="24"/>
          <w:szCs w:val="24"/>
          <w:highlight w:val="darkGreen"/>
        </w:rPr>
        <w:t>；□北京仲裁委员会；□天津仲裁委员会）进行仲裁。仲裁地点在【 】。仲裁员人数为【 】名。仲裁程序采用【 】（语言）进行。仲裁应根据申请仲裁时该仲裁委员会现行有效的仲裁规则进行。仲裁裁决是终局的，对双方均有约束力。除仲裁庭另有裁决外，仲裁费用由败诉方承担</w:t>
      </w:r>
      <w:r>
        <w:rPr>
          <w:rFonts w:eastAsiaTheme="minorEastAsia"/>
          <w:bCs/>
          <w:sz w:val="24"/>
          <w:szCs w:val="24"/>
          <w:highlight w:val="darkGreen"/>
        </w:rPr>
        <w:t>。（注：仅可选择一家仲裁机构，删除其它选项。）</w:t>
      </w:r>
    </w:p>
    <w:p>
      <w:pPr>
        <w:pStyle w:val="2"/>
        <w:numPr>
          <w:ilvl w:val="0"/>
          <w:numId w:val="2"/>
        </w:numPr>
        <w:spacing w:before="0" w:after="0" w:line="360" w:lineRule="auto"/>
        <w:ind w:left="419" w:hanging="130"/>
        <w:jc w:val="center"/>
        <w:rPr>
          <w:iCs/>
          <w:sz w:val="24"/>
          <w:szCs w:val="24"/>
          <w:highlight w:val="none"/>
        </w:rPr>
      </w:pPr>
      <w:bookmarkStart w:id="121" w:name="_Toc152602327"/>
      <w:r>
        <w:rPr>
          <w:iCs/>
          <w:sz w:val="24"/>
          <w:szCs w:val="24"/>
          <w:highlight w:val="none"/>
        </w:rPr>
        <w:t>保密</w:t>
      </w:r>
      <w:bookmarkEnd w:id="121"/>
    </w:p>
    <w:p>
      <w:pPr>
        <w:pStyle w:val="20"/>
        <w:numPr>
          <w:ilvl w:val="0"/>
          <w:numId w:val="24"/>
        </w:numPr>
        <w:tabs>
          <w:tab w:val="left" w:pos="567"/>
          <w:tab w:val="left" w:pos="710"/>
        </w:tabs>
        <w:spacing w:line="360" w:lineRule="auto"/>
        <w:ind w:right="-512" w:rightChars="-244" w:firstLineChars="0"/>
        <w:rPr>
          <w:rFonts w:eastAsiaTheme="minorEastAsia"/>
          <w:kern w:val="0"/>
          <w:sz w:val="24"/>
          <w:highlight w:val="none"/>
        </w:rPr>
      </w:pPr>
      <w:r>
        <w:rPr>
          <w:rFonts w:eastAsiaTheme="minorEastAsia"/>
          <w:kern w:val="0"/>
          <w:sz w:val="24"/>
          <w:highlight w:val="none"/>
        </w:rPr>
        <w:t>未经买方同意，卖方不得将买方保密信息披露给任何第三方（包括与合同无关的卖方员工和政府部门），亦不得将该等信息用于与本合同无关的用途。买方保密信息包括但不限于：</w:t>
      </w:r>
    </w:p>
    <w:p>
      <w:pPr>
        <w:widowControl/>
        <w:numPr>
          <w:ilvl w:val="0"/>
          <w:numId w:val="25"/>
        </w:numPr>
        <w:tabs>
          <w:tab w:val="left" w:pos="1134"/>
          <w:tab w:val="left" w:pos="3060"/>
        </w:tabs>
        <w:spacing w:line="360" w:lineRule="auto"/>
        <w:jc w:val="left"/>
        <w:rPr>
          <w:rFonts w:eastAsiaTheme="minorEastAsia"/>
          <w:kern w:val="0"/>
          <w:sz w:val="24"/>
          <w:szCs w:val="24"/>
          <w:highlight w:val="none"/>
        </w:rPr>
      </w:pPr>
      <w:r>
        <w:rPr>
          <w:rFonts w:eastAsiaTheme="minorEastAsia"/>
          <w:kern w:val="0"/>
          <w:sz w:val="24"/>
          <w:szCs w:val="24"/>
          <w:highlight w:val="none"/>
        </w:rPr>
        <w:t>本合同的内容；</w:t>
      </w:r>
    </w:p>
    <w:p>
      <w:pPr>
        <w:widowControl/>
        <w:numPr>
          <w:ilvl w:val="0"/>
          <w:numId w:val="25"/>
        </w:numPr>
        <w:tabs>
          <w:tab w:val="left" w:pos="1134"/>
          <w:tab w:val="left" w:pos="3060"/>
        </w:tabs>
        <w:spacing w:line="360" w:lineRule="auto"/>
        <w:jc w:val="left"/>
        <w:rPr>
          <w:rFonts w:eastAsiaTheme="minorEastAsia"/>
          <w:kern w:val="0"/>
          <w:sz w:val="24"/>
          <w:szCs w:val="24"/>
          <w:highlight w:val="none"/>
        </w:rPr>
      </w:pPr>
      <w:r>
        <w:rPr>
          <w:rFonts w:eastAsiaTheme="minorEastAsia"/>
          <w:kern w:val="0"/>
          <w:sz w:val="24"/>
          <w:szCs w:val="24"/>
          <w:highlight w:val="none"/>
        </w:rPr>
        <w:t>与本合同相关的谈判内容；</w:t>
      </w:r>
    </w:p>
    <w:p>
      <w:pPr>
        <w:widowControl/>
        <w:numPr>
          <w:ilvl w:val="0"/>
          <w:numId w:val="25"/>
        </w:numPr>
        <w:tabs>
          <w:tab w:val="left" w:pos="1134"/>
          <w:tab w:val="left" w:pos="3060"/>
        </w:tabs>
        <w:spacing w:line="360" w:lineRule="auto"/>
        <w:jc w:val="left"/>
        <w:rPr>
          <w:rFonts w:eastAsiaTheme="minorEastAsia"/>
          <w:kern w:val="0"/>
          <w:sz w:val="24"/>
          <w:szCs w:val="24"/>
          <w:highlight w:val="none"/>
        </w:rPr>
      </w:pPr>
      <w:r>
        <w:rPr>
          <w:rFonts w:eastAsiaTheme="minorEastAsia"/>
          <w:kern w:val="0"/>
          <w:sz w:val="24"/>
          <w:szCs w:val="24"/>
          <w:highlight w:val="none"/>
        </w:rPr>
        <w:t>买方提供的与本合同有关的任何技术信息、图纸、样本、资料等；</w:t>
      </w:r>
    </w:p>
    <w:p>
      <w:pPr>
        <w:widowControl/>
        <w:numPr>
          <w:ilvl w:val="0"/>
          <w:numId w:val="25"/>
        </w:numPr>
        <w:tabs>
          <w:tab w:val="left" w:pos="1134"/>
          <w:tab w:val="left" w:pos="3060"/>
        </w:tabs>
        <w:spacing w:line="360" w:lineRule="auto"/>
        <w:jc w:val="left"/>
        <w:rPr>
          <w:rFonts w:eastAsiaTheme="minorEastAsia"/>
          <w:kern w:val="0"/>
          <w:sz w:val="24"/>
          <w:szCs w:val="24"/>
          <w:highlight w:val="none"/>
        </w:rPr>
      </w:pPr>
      <w:r>
        <w:rPr>
          <w:rFonts w:eastAsiaTheme="minorEastAsia"/>
          <w:kern w:val="0"/>
          <w:sz w:val="24"/>
          <w:szCs w:val="24"/>
          <w:highlight w:val="none"/>
        </w:rPr>
        <w:t>本合同的履行情况；</w:t>
      </w:r>
    </w:p>
    <w:p>
      <w:pPr>
        <w:widowControl/>
        <w:numPr>
          <w:ilvl w:val="0"/>
          <w:numId w:val="25"/>
        </w:numPr>
        <w:tabs>
          <w:tab w:val="left" w:pos="1134"/>
          <w:tab w:val="left" w:pos="3060"/>
        </w:tabs>
        <w:spacing w:line="360" w:lineRule="auto"/>
        <w:jc w:val="left"/>
        <w:rPr>
          <w:rFonts w:eastAsiaTheme="minorEastAsia"/>
          <w:kern w:val="0"/>
          <w:sz w:val="24"/>
          <w:szCs w:val="24"/>
          <w:highlight w:val="none"/>
        </w:rPr>
      </w:pPr>
      <w:r>
        <w:rPr>
          <w:rFonts w:eastAsiaTheme="minorEastAsia"/>
          <w:kern w:val="0"/>
          <w:sz w:val="24"/>
          <w:szCs w:val="24"/>
          <w:highlight w:val="none"/>
        </w:rPr>
        <w:t>买方提供的或履行合同过程中卖方获得的与项目或买方有关的任何技术和商务信息。</w:t>
      </w:r>
    </w:p>
    <w:p>
      <w:pPr>
        <w:pStyle w:val="20"/>
        <w:numPr>
          <w:ilvl w:val="0"/>
          <w:numId w:val="24"/>
        </w:numPr>
        <w:tabs>
          <w:tab w:val="left" w:pos="567"/>
          <w:tab w:val="left" w:pos="710"/>
        </w:tabs>
        <w:spacing w:line="360" w:lineRule="auto"/>
        <w:ind w:right="-512" w:rightChars="-244" w:firstLineChars="0"/>
        <w:rPr>
          <w:rFonts w:eastAsiaTheme="minorEastAsia"/>
          <w:kern w:val="0"/>
          <w:sz w:val="24"/>
          <w:highlight w:val="none"/>
        </w:rPr>
      </w:pPr>
      <w:r>
        <w:rPr>
          <w:rFonts w:eastAsiaTheme="minorEastAsia"/>
          <w:kern w:val="0"/>
          <w:sz w:val="24"/>
          <w:highlight w:val="none"/>
        </w:rPr>
        <w:t>买方有权将上述卖方保密信息提供给实施相关项目或为买方提供相关服务的第三方，买方向第三方披露卖方保密信息以第三方必须获得相关信息并对信息承担保密义务为前提条件。</w:t>
      </w:r>
    </w:p>
    <w:p>
      <w:pPr>
        <w:pStyle w:val="20"/>
        <w:numPr>
          <w:ilvl w:val="0"/>
          <w:numId w:val="24"/>
        </w:numPr>
        <w:tabs>
          <w:tab w:val="left" w:pos="567"/>
          <w:tab w:val="left" w:pos="710"/>
        </w:tabs>
        <w:spacing w:line="360" w:lineRule="auto"/>
        <w:ind w:right="-512" w:rightChars="-244" w:firstLineChars="0"/>
        <w:rPr>
          <w:rFonts w:eastAsiaTheme="minorEastAsia"/>
          <w:kern w:val="0"/>
          <w:sz w:val="24"/>
          <w:highlight w:val="none"/>
        </w:rPr>
      </w:pPr>
      <w:r>
        <w:rPr>
          <w:rFonts w:eastAsiaTheme="minorEastAsia"/>
          <w:kern w:val="0"/>
          <w:sz w:val="24"/>
          <w:highlight w:val="none"/>
        </w:rPr>
        <w:t>任何一方可在下列情况及范围内披露本属于保密的信息：</w:t>
      </w:r>
    </w:p>
    <w:p>
      <w:pPr>
        <w:widowControl/>
        <w:numPr>
          <w:ilvl w:val="0"/>
          <w:numId w:val="26"/>
        </w:numPr>
        <w:tabs>
          <w:tab w:val="left" w:pos="840"/>
          <w:tab w:val="left" w:pos="1134"/>
          <w:tab w:val="left" w:pos="3060"/>
        </w:tabs>
        <w:spacing w:line="360" w:lineRule="auto"/>
        <w:jc w:val="left"/>
        <w:rPr>
          <w:rFonts w:eastAsiaTheme="minorEastAsia"/>
          <w:kern w:val="0"/>
          <w:sz w:val="24"/>
          <w:szCs w:val="24"/>
          <w:highlight w:val="none"/>
        </w:rPr>
      </w:pPr>
      <w:r>
        <w:rPr>
          <w:rFonts w:eastAsiaTheme="minorEastAsia"/>
          <w:kern w:val="0"/>
          <w:sz w:val="24"/>
          <w:szCs w:val="24"/>
          <w:highlight w:val="none"/>
        </w:rPr>
        <w:t>为履行其在本合同下义务之需要披露给一方员工，但仅限于有合理需要并已作出本条第19.1款承诺的员工；</w:t>
      </w:r>
    </w:p>
    <w:p>
      <w:pPr>
        <w:widowControl/>
        <w:numPr>
          <w:ilvl w:val="0"/>
          <w:numId w:val="26"/>
        </w:numPr>
        <w:tabs>
          <w:tab w:val="left" w:pos="840"/>
          <w:tab w:val="left" w:pos="1134"/>
          <w:tab w:val="left" w:pos="3060"/>
        </w:tabs>
        <w:spacing w:line="360" w:lineRule="auto"/>
        <w:jc w:val="left"/>
        <w:rPr>
          <w:rFonts w:eastAsiaTheme="minorEastAsia"/>
          <w:kern w:val="0"/>
          <w:sz w:val="24"/>
          <w:szCs w:val="24"/>
          <w:highlight w:val="none"/>
        </w:rPr>
      </w:pPr>
      <w:r>
        <w:rPr>
          <w:rFonts w:eastAsiaTheme="minorEastAsia"/>
          <w:kern w:val="0"/>
          <w:sz w:val="24"/>
          <w:szCs w:val="24"/>
          <w:highlight w:val="none"/>
        </w:rPr>
        <w:t>任何对披露信息有管辖权的法律法规或政府机关强制要求的披露；</w:t>
      </w:r>
    </w:p>
    <w:p>
      <w:pPr>
        <w:widowControl/>
        <w:numPr>
          <w:ilvl w:val="0"/>
          <w:numId w:val="26"/>
        </w:numPr>
        <w:tabs>
          <w:tab w:val="left" w:pos="840"/>
          <w:tab w:val="left" w:pos="1134"/>
          <w:tab w:val="left" w:pos="3060"/>
        </w:tabs>
        <w:spacing w:line="360" w:lineRule="auto"/>
        <w:jc w:val="left"/>
        <w:rPr>
          <w:rFonts w:eastAsiaTheme="minorEastAsia"/>
          <w:kern w:val="0"/>
          <w:sz w:val="24"/>
          <w:szCs w:val="24"/>
          <w:highlight w:val="none"/>
        </w:rPr>
      </w:pPr>
      <w:r>
        <w:rPr>
          <w:rFonts w:eastAsiaTheme="minorEastAsia"/>
          <w:kern w:val="0"/>
          <w:sz w:val="24"/>
          <w:szCs w:val="24"/>
          <w:highlight w:val="none"/>
        </w:rPr>
        <w:t>为本合同或与本合同有关的索赔而透露给其专业顾问、或其审计人员、或该方的任何实际或潜在的银行或融资方，或向法院、仲裁庭或其它争议解决机构披露；或</w:t>
      </w:r>
    </w:p>
    <w:p>
      <w:pPr>
        <w:widowControl/>
        <w:numPr>
          <w:ilvl w:val="0"/>
          <w:numId w:val="26"/>
        </w:numPr>
        <w:tabs>
          <w:tab w:val="left" w:pos="840"/>
          <w:tab w:val="left" w:pos="1134"/>
          <w:tab w:val="left" w:pos="3060"/>
        </w:tabs>
        <w:spacing w:line="360" w:lineRule="auto"/>
        <w:jc w:val="left"/>
        <w:rPr>
          <w:rFonts w:eastAsiaTheme="minorEastAsia"/>
          <w:kern w:val="0"/>
          <w:sz w:val="24"/>
          <w:szCs w:val="24"/>
          <w:highlight w:val="none"/>
        </w:rPr>
      </w:pPr>
      <w:r>
        <w:rPr>
          <w:rFonts w:eastAsiaTheme="minorEastAsia"/>
          <w:kern w:val="0"/>
          <w:sz w:val="24"/>
          <w:szCs w:val="24"/>
          <w:highlight w:val="none"/>
        </w:rPr>
        <w:t>另一方已对此等披露事先给予明确的批准。</w:t>
      </w:r>
    </w:p>
    <w:p>
      <w:pPr>
        <w:pStyle w:val="20"/>
        <w:numPr>
          <w:ilvl w:val="0"/>
          <w:numId w:val="24"/>
        </w:numPr>
        <w:tabs>
          <w:tab w:val="left" w:pos="567"/>
          <w:tab w:val="left" w:pos="710"/>
        </w:tabs>
        <w:spacing w:line="360" w:lineRule="auto"/>
        <w:ind w:right="-512" w:rightChars="-244" w:firstLineChars="0"/>
        <w:rPr>
          <w:rFonts w:eastAsiaTheme="minorEastAsia"/>
          <w:kern w:val="0"/>
          <w:sz w:val="24"/>
          <w:highlight w:val="none"/>
        </w:rPr>
      </w:pPr>
      <w:r>
        <w:rPr>
          <w:rFonts w:eastAsiaTheme="minorEastAsia"/>
          <w:kern w:val="0"/>
          <w:sz w:val="24"/>
          <w:highlight w:val="none"/>
        </w:rPr>
        <w:t>本条不应适用于任何由一方披露的本属于保密的信息，但该信息在被披露时：</w:t>
      </w:r>
    </w:p>
    <w:p>
      <w:pPr>
        <w:widowControl/>
        <w:numPr>
          <w:ilvl w:val="0"/>
          <w:numId w:val="27"/>
        </w:numPr>
        <w:tabs>
          <w:tab w:val="left" w:pos="1134"/>
          <w:tab w:val="left" w:pos="3060"/>
        </w:tabs>
        <w:spacing w:line="360" w:lineRule="auto"/>
        <w:jc w:val="left"/>
        <w:rPr>
          <w:rFonts w:eastAsiaTheme="minorEastAsia"/>
          <w:kern w:val="0"/>
          <w:sz w:val="24"/>
          <w:szCs w:val="24"/>
          <w:highlight w:val="none"/>
        </w:rPr>
      </w:pPr>
      <w:r>
        <w:rPr>
          <w:rFonts w:eastAsiaTheme="minorEastAsia"/>
          <w:kern w:val="0"/>
          <w:sz w:val="24"/>
          <w:szCs w:val="24"/>
          <w:highlight w:val="none"/>
        </w:rPr>
        <w:t>已进入公众领域；</w:t>
      </w:r>
    </w:p>
    <w:p>
      <w:pPr>
        <w:widowControl/>
        <w:numPr>
          <w:ilvl w:val="0"/>
          <w:numId w:val="27"/>
        </w:numPr>
        <w:tabs>
          <w:tab w:val="left" w:pos="1134"/>
          <w:tab w:val="left" w:pos="3060"/>
        </w:tabs>
        <w:spacing w:line="360" w:lineRule="auto"/>
        <w:jc w:val="left"/>
        <w:rPr>
          <w:rFonts w:eastAsiaTheme="minorEastAsia"/>
          <w:kern w:val="0"/>
          <w:sz w:val="24"/>
          <w:szCs w:val="24"/>
          <w:highlight w:val="none"/>
        </w:rPr>
      </w:pPr>
      <w:r>
        <w:rPr>
          <w:rFonts w:eastAsiaTheme="minorEastAsia"/>
          <w:kern w:val="0"/>
          <w:sz w:val="24"/>
          <w:szCs w:val="24"/>
          <w:highlight w:val="none"/>
        </w:rPr>
        <w:t>披露方事前已从非另一方的合法途径获得，且对其使用及披露无任何限制；</w:t>
      </w:r>
    </w:p>
    <w:p>
      <w:pPr>
        <w:widowControl/>
        <w:numPr>
          <w:ilvl w:val="0"/>
          <w:numId w:val="27"/>
        </w:numPr>
        <w:tabs>
          <w:tab w:val="left" w:pos="1134"/>
          <w:tab w:val="left" w:pos="3060"/>
        </w:tabs>
        <w:spacing w:line="360" w:lineRule="auto"/>
        <w:jc w:val="left"/>
        <w:rPr>
          <w:rFonts w:eastAsiaTheme="minorEastAsia"/>
          <w:kern w:val="0"/>
          <w:sz w:val="24"/>
          <w:szCs w:val="24"/>
          <w:highlight w:val="none"/>
        </w:rPr>
      </w:pPr>
      <w:r>
        <w:rPr>
          <w:rFonts w:eastAsiaTheme="minorEastAsia"/>
          <w:kern w:val="0"/>
          <w:sz w:val="24"/>
          <w:szCs w:val="24"/>
          <w:highlight w:val="none"/>
        </w:rPr>
        <w:t>由第三方合法、独立地提供给披露方，且该第三方不受任何对该信息使用或披露的限制。</w:t>
      </w:r>
    </w:p>
    <w:p>
      <w:pPr>
        <w:pStyle w:val="2"/>
        <w:numPr>
          <w:ilvl w:val="0"/>
          <w:numId w:val="2"/>
        </w:numPr>
        <w:spacing w:before="0" w:after="0" w:line="360" w:lineRule="auto"/>
        <w:ind w:left="419" w:hanging="130"/>
        <w:jc w:val="center"/>
        <w:rPr>
          <w:iCs/>
          <w:sz w:val="24"/>
          <w:szCs w:val="24"/>
          <w:highlight w:val="none"/>
        </w:rPr>
      </w:pPr>
      <w:bookmarkStart w:id="122" w:name="_Toc152602328"/>
      <w:r>
        <w:rPr>
          <w:iCs/>
          <w:sz w:val="24"/>
          <w:szCs w:val="24"/>
          <w:highlight w:val="none"/>
        </w:rPr>
        <w:t>转让与分包</w:t>
      </w:r>
      <w:bookmarkEnd w:id="122"/>
    </w:p>
    <w:p>
      <w:pPr>
        <w:numPr>
          <w:ilvl w:val="0"/>
          <w:numId w:val="28"/>
        </w:numPr>
        <w:tabs>
          <w:tab w:val="left" w:pos="567"/>
          <w:tab w:val="clear" w:pos="0"/>
        </w:tabs>
        <w:spacing w:line="360" w:lineRule="auto"/>
        <w:ind w:left="567" w:right="-57" w:rightChars="-27" w:hanging="567"/>
        <w:rPr>
          <w:rFonts w:eastAsiaTheme="minorEastAsia"/>
          <w:sz w:val="24"/>
          <w:szCs w:val="24"/>
          <w:highlight w:val="none"/>
        </w:rPr>
      </w:pPr>
      <w:r>
        <w:rPr>
          <w:rFonts w:eastAsiaTheme="minorEastAsia"/>
          <w:sz w:val="24"/>
          <w:szCs w:val="24"/>
          <w:highlight w:val="none"/>
        </w:rPr>
        <w:t>未经买方事先书面同意，卖方不得将其在本合同项下的任何权利和义务全部或部分转让给任何第三方，包括卖方关联企业。</w:t>
      </w:r>
    </w:p>
    <w:p>
      <w:pPr>
        <w:numPr>
          <w:ilvl w:val="0"/>
          <w:numId w:val="28"/>
        </w:numPr>
        <w:tabs>
          <w:tab w:val="left" w:pos="567"/>
          <w:tab w:val="clear" w:pos="0"/>
        </w:tabs>
        <w:spacing w:line="360" w:lineRule="auto"/>
        <w:ind w:left="567" w:right="-57" w:rightChars="-27" w:hanging="567"/>
        <w:rPr>
          <w:rFonts w:eastAsiaTheme="minorEastAsia"/>
          <w:sz w:val="24"/>
          <w:szCs w:val="24"/>
          <w:highlight w:val="none"/>
        </w:rPr>
      </w:pPr>
      <w:r>
        <w:rPr>
          <w:rFonts w:eastAsiaTheme="minorEastAsia"/>
          <w:sz w:val="24"/>
          <w:szCs w:val="24"/>
          <w:highlight w:val="none"/>
        </w:rPr>
        <w:t>未经买方事先书面同意，卖方不得将本合同分包给任何第三方，包括卖方关联企业。卖方应对分包商的工作负责，其合同项下责任和义务不因分包而减轻或免除。如果分包商的工作不符合本合同的规定，买方有权要求卖方终止分包合同，因分包合同终止产生的纠纷或责任，卖方承担全部责任，买方不承担任何责任。</w:t>
      </w:r>
    </w:p>
    <w:p>
      <w:pPr>
        <w:numPr>
          <w:ilvl w:val="0"/>
          <w:numId w:val="28"/>
        </w:numPr>
        <w:tabs>
          <w:tab w:val="left" w:pos="567"/>
          <w:tab w:val="clear" w:pos="0"/>
        </w:tabs>
        <w:spacing w:line="360" w:lineRule="auto"/>
        <w:ind w:left="567" w:right="-57" w:rightChars="-27" w:hanging="567"/>
        <w:rPr>
          <w:rFonts w:eastAsiaTheme="minorEastAsia"/>
          <w:sz w:val="24"/>
          <w:szCs w:val="24"/>
          <w:highlight w:val="none"/>
        </w:rPr>
      </w:pPr>
      <w:r>
        <w:rPr>
          <w:rFonts w:eastAsiaTheme="minorEastAsia"/>
          <w:sz w:val="24"/>
          <w:szCs w:val="24"/>
          <w:highlight w:val="none"/>
        </w:rPr>
        <w:t>卖方不得将本合同转包给任何第三方或将本合同主体义务分包给任何第三方，包括卖方关联企业。</w:t>
      </w:r>
    </w:p>
    <w:p>
      <w:pPr>
        <w:numPr>
          <w:ilvl w:val="0"/>
          <w:numId w:val="28"/>
        </w:numPr>
        <w:tabs>
          <w:tab w:val="left" w:pos="567"/>
          <w:tab w:val="clear" w:pos="0"/>
        </w:tabs>
        <w:spacing w:line="360" w:lineRule="auto"/>
        <w:ind w:left="567" w:right="-57" w:rightChars="-27" w:hanging="567"/>
        <w:rPr>
          <w:rFonts w:eastAsiaTheme="minorEastAsia"/>
          <w:sz w:val="24"/>
          <w:szCs w:val="24"/>
          <w:highlight w:val="none"/>
        </w:rPr>
      </w:pPr>
      <w:r>
        <w:rPr>
          <w:rFonts w:eastAsiaTheme="minorEastAsia"/>
          <w:sz w:val="24"/>
          <w:szCs w:val="24"/>
          <w:highlight w:val="none"/>
        </w:rPr>
        <w:t>如经买方事先书面同意，卖方将本合同项下的权利义务转让、分包的，应保证受让人或分包商知晓并完全接受和执行本合同的所有条款。</w:t>
      </w:r>
    </w:p>
    <w:p>
      <w:pPr>
        <w:pStyle w:val="2"/>
        <w:numPr>
          <w:ilvl w:val="0"/>
          <w:numId w:val="2"/>
        </w:numPr>
        <w:spacing w:before="0" w:after="0" w:line="360" w:lineRule="auto"/>
        <w:ind w:left="419" w:hanging="130"/>
        <w:jc w:val="center"/>
        <w:rPr>
          <w:iCs/>
          <w:sz w:val="24"/>
          <w:szCs w:val="24"/>
          <w:highlight w:val="none"/>
        </w:rPr>
      </w:pPr>
      <w:bookmarkStart w:id="123" w:name="_Toc152602329"/>
      <w:r>
        <w:rPr>
          <w:iCs/>
          <w:sz w:val="24"/>
          <w:szCs w:val="24"/>
          <w:highlight w:val="none"/>
        </w:rPr>
        <w:t>通知</w:t>
      </w:r>
      <w:bookmarkEnd w:id="123"/>
    </w:p>
    <w:p>
      <w:pPr>
        <w:pStyle w:val="20"/>
        <w:numPr>
          <w:ilvl w:val="0"/>
          <w:numId w:val="29"/>
        </w:numPr>
        <w:spacing w:line="360" w:lineRule="auto"/>
        <w:ind w:left="567" w:hanging="567" w:firstLineChars="0"/>
        <w:rPr>
          <w:rFonts w:eastAsiaTheme="minorEastAsia"/>
          <w:sz w:val="24"/>
          <w:highlight w:val="none"/>
        </w:rPr>
      </w:pPr>
      <w:r>
        <w:rPr>
          <w:rFonts w:eastAsiaTheme="minorEastAsia"/>
          <w:sz w:val="24"/>
          <w:highlight w:val="none"/>
        </w:rPr>
        <w:t>本合同要求或允许的通知或通讯，均应按照如下的联系信息，单独或同时以书面形式作出。不论以何种方式作出，均自被通知一方实际收到时起生效。</w:t>
      </w:r>
    </w:p>
    <w:tbl>
      <w:tblPr>
        <w:tblStyle w:val="13"/>
        <w:tblW w:w="0" w:type="auto"/>
        <w:tblInd w:w="720" w:type="dxa"/>
        <w:tblLayout w:type="autofit"/>
        <w:tblCellMar>
          <w:top w:w="0" w:type="dxa"/>
          <w:left w:w="108" w:type="dxa"/>
          <w:bottom w:w="0" w:type="dxa"/>
          <w:right w:w="108" w:type="dxa"/>
        </w:tblCellMar>
      </w:tblPr>
      <w:tblGrid>
        <w:gridCol w:w="7576"/>
      </w:tblGrid>
      <w:tr>
        <w:tblPrEx>
          <w:tblCellMar>
            <w:top w:w="0" w:type="dxa"/>
            <w:left w:w="108" w:type="dxa"/>
            <w:bottom w:w="0" w:type="dxa"/>
            <w:right w:w="108" w:type="dxa"/>
          </w:tblCellMar>
        </w:tblPrEx>
        <w:tc>
          <w:tcPr>
            <w:tcW w:w="7576" w:type="dxa"/>
          </w:tcPr>
          <w:p>
            <w:pPr>
              <w:pStyle w:val="20"/>
              <w:adjustRightInd w:val="0"/>
              <w:snapToGrid w:val="0"/>
              <w:spacing w:line="360" w:lineRule="auto"/>
              <w:ind w:firstLine="0" w:firstLineChars="0"/>
              <w:rPr>
                <w:rFonts w:eastAsiaTheme="minorEastAsia"/>
                <w:sz w:val="24"/>
                <w:highlight w:val="darkGreen"/>
                <w:lang w:val="en-GB"/>
              </w:rPr>
            </w:pPr>
            <w:r>
              <w:rPr>
                <w:rFonts w:eastAsiaTheme="minorEastAsia"/>
                <w:b/>
                <w:sz w:val="24"/>
                <w:highlight w:val="darkGreen"/>
              </w:rPr>
              <w:t>买方</w:t>
            </w:r>
            <w:r>
              <w:rPr>
                <w:rFonts w:eastAsiaTheme="minorEastAsia"/>
                <w:sz w:val="24"/>
                <w:highlight w:val="darkGreen"/>
                <w:lang w:val="en-GB"/>
              </w:rPr>
              <w:t>：</w:t>
            </w:r>
          </w:p>
        </w:tc>
      </w:tr>
      <w:tr>
        <w:tblPrEx>
          <w:tblCellMar>
            <w:top w:w="0" w:type="dxa"/>
            <w:left w:w="108" w:type="dxa"/>
            <w:bottom w:w="0" w:type="dxa"/>
            <w:right w:w="108" w:type="dxa"/>
          </w:tblCellMar>
        </w:tblPrEx>
        <w:tc>
          <w:tcPr>
            <w:tcW w:w="7576" w:type="dxa"/>
          </w:tcPr>
          <w:p>
            <w:pPr>
              <w:adjustRightInd w:val="0"/>
              <w:snapToGrid w:val="0"/>
              <w:spacing w:line="360" w:lineRule="auto"/>
              <w:rPr>
                <w:rFonts w:eastAsiaTheme="minorEastAsia"/>
                <w:sz w:val="24"/>
                <w:szCs w:val="24"/>
                <w:highlight w:val="darkGreen"/>
                <w:lang w:val="en-GB"/>
              </w:rPr>
            </w:pPr>
            <w:r>
              <w:rPr>
                <w:rFonts w:eastAsiaTheme="minorEastAsia"/>
                <w:sz w:val="24"/>
                <w:szCs w:val="24"/>
                <w:highlight w:val="darkGreen"/>
                <w:lang w:val="en-GB"/>
              </w:rPr>
              <w:t>联系人：【】</w:t>
            </w:r>
          </w:p>
          <w:p>
            <w:pPr>
              <w:adjustRightInd w:val="0"/>
              <w:snapToGrid w:val="0"/>
              <w:spacing w:line="360" w:lineRule="auto"/>
              <w:rPr>
                <w:rFonts w:eastAsiaTheme="minorEastAsia"/>
                <w:sz w:val="24"/>
                <w:szCs w:val="24"/>
                <w:highlight w:val="darkGreen"/>
                <w:lang w:val="en-GB"/>
              </w:rPr>
            </w:pPr>
            <w:r>
              <w:rPr>
                <w:rFonts w:eastAsiaTheme="minorEastAsia"/>
                <w:sz w:val="24"/>
                <w:szCs w:val="24"/>
                <w:highlight w:val="darkGreen"/>
                <w:lang w:val="en-GB"/>
              </w:rPr>
              <w:t>通讯地址：</w:t>
            </w:r>
            <w:bookmarkStart w:id="124" w:name="OLE_LINK84"/>
            <w:bookmarkStart w:id="125" w:name="OLE_LINK85"/>
            <w:r>
              <w:rPr>
                <w:rFonts w:eastAsiaTheme="minorEastAsia"/>
                <w:sz w:val="24"/>
                <w:szCs w:val="24"/>
                <w:highlight w:val="darkGreen"/>
                <w:lang w:val="en-GB"/>
              </w:rPr>
              <w:t>【</w:t>
            </w:r>
            <w:bookmarkEnd w:id="124"/>
            <w:bookmarkEnd w:id="125"/>
            <w:r>
              <w:rPr>
                <w:rFonts w:eastAsiaTheme="minorEastAsia"/>
                <w:sz w:val="24"/>
                <w:szCs w:val="24"/>
                <w:highlight w:val="darkGreen"/>
                <w:lang w:val="en-GB"/>
              </w:rPr>
              <w:t>】</w:t>
            </w:r>
          </w:p>
          <w:p>
            <w:pPr>
              <w:adjustRightInd w:val="0"/>
              <w:snapToGrid w:val="0"/>
              <w:spacing w:line="360" w:lineRule="auto"/>
              <w:rPr>
                <w:rFonts w:eastAsiaTheme="minorEastAsia"/>
                <w:sz w:val="24"/>
                <w:szCs w:val="24"/>
                <w:highlight w:val="darkGreen"/>
                <w:lang w:val="en-GB"/>
              </w:rPr>
            </w:pPr>
            <w:r>
              <w:rPr>
                <w:rFonts w:eastAsiaTheme="minorEastAsia"/>
                <w:sz w:val="24"/>
                <w:szCs w:val="24"/>
                <w:highlight w:val="darkGreen"/>
                <w:lang w:val="en-GB"/>
              </w:rPr>
              <w:t>邮编：【】</w:t>
            </w:r>
          </w:p>
          <w:p>
            <w:pPr>
              <w:adjustRightInd w:val="0"/>
              <w:snapToGrid w:val="0"/>
              <w:spacing w:line="360" w:lineRule="auto"/>
              <w:rPr>
                <w:rFonts w:eastAsiaTheme="minorEastAsia"/>
                <w:sz w:val="24"/>
                <w:szCs w:val="24"/>
                <w:highlight w:val="darkGreen"/>
                <w:lang w:val="en-GB"/>
              </w:rPr>
            </w:pPr>
            <w:r>
              <w:rPr>
                <w:rFonts w:eastAsiaTheme="minorEastAsia"/>
                <w:sz w:val="24"/>
                <w:szCs w:val="24"/>
                <w:highlight w:val="darkGreen"/>
                <w:lang w:val="en-GB"/>
              </w:rPr>
              <w:t>电话：【】</w:t>
            </w:r>
          </w:p>
          <w:p>
            <w:pPr>
              <w:adjustRightInd w:val="0"/>
              <w:snapToGrid w:val="0"/>
              <w:spacing w:line="360" w:lineRule="auto"/>
              <w:rPr>
                <w:rFonts w:eastAsiaTheme="minorEastAsia"/>
                <w:sz w:val="24"/>
                <w:szCs w:val="24"/>
                <w:highlight w:val="darkGreen"/>
                <w:lang w:val="en-GB"/>
              </w:rPr>
            </w:pPr>
            <w:r>
              <w:rPr>
                <w:rFonts w:eastAsiaTheme="minorEastAsia"/>
                <w:sz w:val="24"/>
                <w:szCs w:val="24"/>
                <w:highlight w:val="darkGreen"/>
                <w:lang w:val="en-GB"/>
              </w:rPr>
              <w:t>电子邮件：【】</w:t>
            </w:r>
          </w:p>
          <w:p>
            <w:pPr>
              <w:adjustRightInd w:val="0"/>
              <w:snapToGrid w:val="0"/>
              <w:spacing w:line="360" w:lineRule="auto"/>
              <w:rPr>
                <w:rFonts w:eastAsiaTheme="minorEastAsia"/>
                <w:sz w:val="24"/>
                <w:szCs w:val="24"/>
                <w:highlight w:val="darkGreen"/>
                <w:lang w:val="en-GB"/>
              </w:rPr>
            </w:pPr>
          </w:p>
        </w:tc>
      </w:tr>
      <w:tr>
        <w:tblPrEx>
          <w:tblCellMar>
            <w:top w:w="0" w:type="dxa"/>
            <w:left w:w="108" w:type="dxa"/>
            <w:bottom w:w="0" w:type="dxa"/>
            <w:right w:w="108" w:type="dxa"/>
          </w:tblCellMar>
        </w:tblPrEx>
        <w:tc>
          <w:tcPr>
            <w:tcW w:w="7576" w:type="dxa"/>
          </w:tcPr>
          <w:p>
            <w:pPr>
              <w:adjustRightInd w:val="0"/>
              <w:snapToGrid w:val="0"/>
              <w:spacing w:line="360" w:lineRule="auto"/>
              <w:rPr>
                <w:rFonts w:eastAsiaTheme="minorEastAsia"/>
                <w:b/>
                <w:sz w:val="24"/>
                <w:szCs w:val="24"/>
                <w:highlight w:val="darkGreen"/>
                <w:lang w:val="en-GB"/>
              </w:rPr>
            </w:pPr>
            <w:r>
              <w:rPr>
                <w:rFonts w:eastAsiaTheme="minorEastAsia"/>
                <w:b/>
                <w:sz w:val="24"/>
                <w:szCs w:val="24"/>
                <w:highlight w:val="darkGreen"/>
                <w:lang w:val="en-GB"/>
              </w:rPr>
              <w:t>卖方：</w:t>
            </w:r>
          </w:p>
        </w:tc>
      </w:tr>
      <w:tr>
        <w:tblPrEx>
          <w:tblCellMar>
            <w:top w:w="0" w:type="dxa"/>
            <w:left w:w="108" w:type="dxa"/>
            <w:bottom w:w="0" w:type="dxa"/>
            <w:right w:w="108" w:type="dxa"/>
          </w:tblCellMar>
        </w:tblPrEx>
        <w:tc>
          <w:tcPr>
            <w:tcW w:w="7576" w:type="dxa"/>
          </w:tcPr>
          <w:p>
            <w:pPr>
              <w:adjustRightInd w:val="0"/>
              <w:snapToGrid w:val="0"/>
              <w:spacing w:line="360" w:lineRule="auto"/>
              <w:rPr>
                <w:rFonts w:eastAsiaTheme="minorEastAsia"/>
                <w:sz w:val="24"/>
                <w:szCs w:val="24"/>
                <w:highlight w:val="darkGreen"/>
                <w:lang w:val="en-GB"/>
              </w:rPr>
            </w:pPr>
            <w:r>
              <w:rPr>
                <w:rFonts w:eastAsiaTheme="minorEastAsia"/>
                <w:sz w:val="24"/>
                <w:szCs w:val="24"/>
                <w:highlight w:val="darkGreen"/>
                <w:lang w:val="en-GB"/>
              </w:rPr>
              <w:t>联系人：【】</w:t>
            </w:r>
          </w:p>
          <w:p>
            <w:pPr>
              <w:adjustRightInd w:val="0"/>
              <w:snapToGrid w:val="0"/>
              <w:spacing w:line="360" w:lineRule="auto"/>
              <w:rPr>
                <w:rFonts w:eastAsiaTheme="minorEastAsia"/>
                <w:sz w:val="24"/>
                <w:szCs w:val="24"/>
                <w:highlight w:val="darkGreen"/>
                <w:lang w:val="en-GB"/>
              </w:rPr>
            </w:pPr>
            <w:r>
              <w:rPr>
                <w:rFonts w:eastAsiaTheme="minorEastAsia"/>
                <w:sz w:val="24"/>
                <w:szCs w:val="24"/>
                <w:highlight w:val="darkGreen"/>
                <w:lang w:val="en-GB"/>
              </w:rPr>
              <w:t>通讯地址：【】</w:t>
            </w:r>
          </w:p>
          <w:p>
            <w:pPr>
              <w:adjustRightInd w:val="0"/>
              <w:snapToGrid w:val="0"/>
              <w:spacing w:line="360" w:lineRule="auto"/>
              <w:rPr>
                <w:rFonts w:eastAsiaTheme="minorEastAsia"/>
                <w:sz w:val="24"/>
                <w:szCs w:val="24"/>
                <w:highlight w:val="darkGreen"/>
                <w:lang w:val="en-GB"/>
              </w:rPr>
            </w:pPr>
            <w:r>
              <w:rPr>
                <w:rFonts w:eastAsiaTheme="minorEastAsia"/>
                <w:sz w:val="24"/>
                <w:szCs w:val="24"/>
                <w:highlight w:val="darkGreen"/>
                <w:lang w:val="en-GB"/>
              </w:rPr>
              <w:t>邮编：【】</w:t>
            </w:r>
          </w:p>
          <w:p>
            <w:pPr>
              <w:adjustRightInd w:val="0"/>
              <w:snapToGrid w:val="0"/>
              <w:spacing w:line="360" w:lineRule="auto"/>
              <w:rPr>
                <w:rFonts w:eastAsiaTheme="minorEastAsia"/>
                <w:sz w:val="24"/>
                <w:szCs w:val="24"/>
                <w:highlight w:val="darkGreen"/>
                <w:lang w:val="en-GB"/>
              </w:rPr>
            </w:pPr>
            <w:r>
              <w:rPr>
                <w:rFonts w:eastAsiaTheme="minorEastAsia"/>
                <w:sz w:val="24"/>
                <w:szCs w:val="24"/>
                <w:highlight w:val="darkGreen"/>
                <w:lang w:val="en-GB"/>
              </w:rPr>
              <w:t>电话：【】</w:t>
            </w:r>
          </w:p>
          <w:p>
            <w:pPr>
              <w:adjustRightInd w:val="0"/>
              <w:snapToGrid w:val="0"/>
              <w:spacing w:line="360" w:lineRule="auto"/>
              <w:rPr>
                <w:rFonts w:eastAsiaTheme="minorEastAsia"/>
                <w:sz w:val="24"/>
                <w:szCs w:val="24"/>
                <w:highlight w:val="darkGreen"/>
                <w:lang w:val="en-GB"/>
              </w:rPr>
            </w:pPr>
            <w:r>
              <w:rPr>
                <w:rFonts w:eastAsiaTheme="minorEastAsia"/>
                <w:sz w:val="24"/>
                <w:szCs w:val="24"/>
                <w:highlight w:val="darkGreen"/>
                <w:lang w:val="en-GB"/>
              </w:rPr>
              <w:t>电子邮件：【】</w:t>
            </w:r>
          </w:p>
        </w:tc>
      </w:tr>
    </w:tbl>
    <w:p>
      <w:pPr>
        <w:pStyle w:val="20"/>
        <w:numPr>
          <w:ilvl w:val="0"/>
          <w:numId w:val="29"/>
        </w:numPr>
        <w:spacing w:line="360" w:lineRule="auto"/>
        <w:ind w:left="567" w:hanging="567" w:firstLineChars="0"/>
        <w:rPr>
          <w:rFonts w:eastAsiaTheme="minorEastAsia"/>
          <w:sz w:val="24"/>
          <w:highlight w:val="none"/>
        </w:rPr>
      </w:pPr>
      <w:r>
        <w:rPr>
          <w:rFonts w:eastAsiaTheme="minorEastAsia"/>
          <w:sz w:val="24"/>
          <w:highlight w:val="none"/>
        </w:rPr>
        <w:t>上款中的“实际收到”系指通知或通讯内容到达被通知人的法定住所或其指定的通讯地址/通讯系统范围。</w:t>
      </w:r>
    </w:p>
    <w:p>
      <w:pPr>
        <w:pStyle w:val="20"/>
        <w:numPr>
          <w:ilvl w:val="0"/>
          <w:numId w:val="29"/>
        </w:numPr>
        <w:spacing w:line="360" w:lineRule="auto"/>
        <w:ind w:left="567" w:hanging="567" w:firstLineChars="0"/>
        <w:rPr>
          <w:rFonts w:eastAsiaTheme="minorEastAsia"/>
          <w:sz w:val="24"/>
          <w:highlight w:val="darkGreen"/>
        </w:rPr>
      </w:pPr>
      <w:r>
        <w:rPr>
          <w:rFonts w:eastAsiaTheme="minorEastAsia"/>
          <w:sz w:val="24"/>
          <w:highlight w:val="darkGreen"/>
        </w:rPr>
        <w:t>一方变更通讯地址或通讯方式，应在变更前五（5）个工作日，将变更后的地址及联系方式通知另一方，否则变更方应对此造成的一切后果承担责任。</w:t>
      </w:r>
    </w:p>
    <w:p>
      <w:pPr>
        <w:pStyle w:val="2"/>
        <w:numPr>
          <w:ilvl w:val="0"/>
          <w:numId w:val="2"/>
        </w:numPr>
        <w:spacing w:before="0" w:after="0" w:line="360" w:lineRule="auto"/>
        <w:ind w:left="419" w:hanging="130"/>
        <w:jc w:val="center"/>
        <w:rPr>
          <w:iCs/>
          <w:sz w:val="24"/>
          <w:szCs w:val="24"/>
          <w:highlight w:val="none"/>
        </w:rPr>
      </w:pPr>
      <w:bookmarkStart w:id="126" w:name="_Toc152602335"/>
      <w:r>
        <w:rPr>
          <w:iCs/>
          <w:sz w:val="24"/>
          <w:szCs w:val="24"/>
          <w:highlight w:val="none"/>
        </w:rPr>
        <w:t>保障与赔偿</w:t>
      </w:r>
      <w:bookmarkEnd w:id="126"/>
    </w:p>
    <w:p>
      <w:pPr>
        <w:pStyle w:val="20"/>
        <w:numPr>
          <w:ilvl w:val="0"/>
          <w:numId w:val="30"/>
        </w:numPr>
        <w:spacing w:line="360" w:lineRule="auto"/>
        <w:ind w:left="567" w:hanging="567" w:firstLineChars="0"/>
        <w:rPr>
          <w:rFonts w:eastAsiaTheme="minorEastAsia"/>
          <w:sz w:val="24"/>
          <w:highlight w:val="none"/>
        </w:rPr>
      </w:pPr>
      <w:r>
        <w:rPr>
          <w:rFonts w:eastAsiaTheme="minorEastAsia"/>
          <w:sz w:val="24"/>
          <w:highlight w:val="none"/>
        </w:rPr>
        <w:t>无论时间、地点、方式和原因，卖方、卖方代理或分包商（如有）因履行本合同或因货物存在缺陷造成任何第三方财产损失、损坏、人身伤亡或疾病，卖方应承担全部责任，并应确保买方免于所有相关的索赔、损失、损害、费用和责任，包括但不限于在买方因此需向第三方支付任何赔偿时，卖方均应全额予以补偿。</w:t>
      </w:r>
    </w:p>
    <w:p>
      <w:pPr>
        <w:pStyle w:val="20"/>
        <w:numPr>
          <w:ilvl w:val="0"/>
          <w:numId w:val="30"/>
        </w:numPr>
        <w:spacing w:line="360" w:lineRule="auto"/>
        <w:ind w:left="567" w:hanging="567" w:firstLineChars="0"/>
        <w:rPr>
          <w:rFonts w:eastAsiaTheme="minorEastAsia"/>
          <w:sz w:val="24"/>
          <w:highlight w:val="none"/>
        </w:rPr>
      </w:pPr>
      <w:r>
        <w:rPr>
          <w:rFonts w:eastAsiaTheme="minorEastAsia"/>
          <w:sz w:val="24"/>
          <w:highlight w:val="none"/>
        </w:rPr>
        <w:t>无论时间、地点、方式和原因，如因履行本合同，卖方及其人员、卖方代理、分包商及其人员（如有）的任何财产（包括但不限于设备、装置、器材等，且无论该等财产属于自有、租用、租赁或以其它方式提供）发生毁损、灭失或其它损失，除非该等损失系因买方故意或重大过失所致，卖方应自行承担全部损失，并应确保买方免于所有相关的索赔、损失、损害、费用和责任，包括但不限于在买方因此需要支付任何赔偿时，卖方均应全额予以补偿。</w:t>
      </w:r>
    </w:p>
    <w:p>
      <w:pPr>
        <w:pStyle w:val="20"/>
        <w:numPr>
          <w:ilvl w:val="0"/>
          <w:numId w:val="30"/>
        </w:numPr>
        <w:spacing w:line="360" w:lineRule="auto"/>
        <w:ind w:left="567" w:hanging="567" w:firstLineChars="0"/>
        <w:rPr>
          <w:rFonts w:eastAsiaTheme="minorEastAsia"/>
          <w:sz w:val="24"/>
          <w:highlight w:val="none"/>
        </w:rPr>
      </w:pPr>
      <w:r>
        <w:rPr>
          <w:rFonts w:eastAsiaTheme="minorEastAsia"/>
          <w:sz w:val="24"/>
          <w:highlight w:val="none"/>
        </w:rPr>
        <w:t>无论时间、地点、方式和原因，如因履行本合同而发生的或与履行本合同有关的卖方、卖方代理及分包商（如有）的人员发生人身伤亡或疾病，除非该等人身伤亡或疾病系因买方故意或重大过失所致，卖方应对上述人员的人身伤亡或疾病负责，并应确保买方免于所有相关的索赔、损失、损害、费用和责任，包括但不限于在买方因此需要支付任何赔偿时，卖方均应全额予以补偿。</w:t>
      </w:r>
    </w:p>
    <w:p>
      <w:pPr>
        <w:pStyle w:val="20"/>
        <w:numPr>
          <w:ilvl w:val="0"/>
          <w:numId w:val="30"/>
        </w:numPr>
        <w:spacing w:line="360" w:lineRule="auto"/>
        <w:ind w:left="567" w:hanging="567" w:firstLineChars="0"/>
        <w:rPr>
          <w:rFonts w:eastAsiaTheme="minorEastAsia"/>
          <w:sz w:val="24"/>
          <w:highlight w:val="none"/>
        </w:rPr>
      </w:pPr>
      <w:r>
        <w:rPr>
          <w:rFonts w:eastAsiaTheme="minorEastAsia"/>
          <w:sz w:val="24"/>
          <w:highlight w:val="none"/>
        </w:rPr>
        <w:t>双方承诺，上述约定在合同终止但在处理合同标的事宜相关期间或卖方售后服务期间（如有）仍然有效。</w:t>
      </w:r>
    </w:p>
    <w:p>
      <w:pPr>
        <w:pStyle w:val="2"/>
        <w:numPr>
          <w:ilvl w:val="0"/>
          <w:numId w:val="2"/>
        </w:numPr>
        <w:spacing w:before="0" w:after="0" w:line="360" w:lineRule="auto"/>
        <w:ind w:left="419" w:hanging="130"/>
        <w:jc w:val="center"/>
        <w:rPr>
          <w:iCs/>
          <w:sz w:val="24"/>
          <w:szCs w:val="24"/>
          <w:highlight w:val="none"/>
        </w:rPr>
      </w:pPr>
      <w:bookmarkStart w:id="127" w:name="_Toc152602336"/>
      <w:r>
        <w:rPr>
          <w:iCs/>
          <w:sz w:val="24"/>
          <w:szCs w:val="24"/>
          <w:highlight w:val="none"/>
        </w:rPr>
        <w:t>其他</w:t>
      </w:r>
      <w:bookmarkEnd w:id="127"/>
    </w:p>
    <w:p>
      <w:pPr>
        <w:pStyle w:val="20"/>
        <w:numPr>
          <w:ilvl w:val="0"/>
          <w:numId w:val="31"/>
        </w:numPr>
        <w:spacing w:line="360" w:lineRule="auto"/>
        <w:ind w:left="567" w:hanging="567" w:firstLineChars="0"/>
        <w:rPr>
          <w:rFonts w:eastAsiaTheme="minorEastAsia"/>
          <w:color w:val="000000"/>
          <w:sz w:val="24"/>
          <w:highlight w:val="none"/>
        </w:rPr>
      </w:pPr>
      <w:r>
        <w:rPr>
          <w:rFonts w:eastAsiaTheme="minorEastAsia"/>
          <w:color w:val="000000"/>
          <w:sz w:val="24"/>
          <w:highlight w:val="none"/>
        </w:rPr>
        <w:t>本合同履行过程中，如卖方发生重组、合并、分立、重大股权或资产转让，应及时通知买方。经买方事先书面同意，卖方应安排具有相应资质的主体继续履行本合同，否则卖方不得执行前述重组、合并、分立或转让。卖方应根据买方的要求，为继续履行本合同的主体安排履约担保。</w:t>
      </w:r>
    </w:p>
    <w:p>
      <w:pPr>
        <w:pStyle w:val="20"/>
        <w:numPr>
          <w:ilvl w:val="0"/>
          <w:numId w:val="31"/>
        </w:numPr>
        <w:spacing w:line="360" w:lineRule="auto"/>
        <w:ind w:left="567" w:hanging="567" w:firstLineChars="0"/>
        <w:rPr>
          <w:rFonts w:eastAsiaTheme="minorEastAsia"/>
          <w:color w:val="000000"/>
          <w:sz w:val="24"/>
          <w:highlight w:val="darkGreen"/>
        </w:rPr>
      </w:pPr>
      <w:r>
        <w:rPr>
          <w:rFonts w:eastAsiaTheme="minorEastAsia"/>
          <w:color w:val="000000"/>
          <w:sz w:val="24"/>
          <w:highlight w:val="darkGreen"/>
        </w:rPr>
        <w:t>卖方应根据买方要求，无条件接受和配合买方或买方委托的会计师事务所进行的与本合同相关的审计。卖方应保存与本合同相关的记录和账目，保存期限为本合同终止后【 】年。经提前通知，买方或买方委托的会计师事务所有权检查并复制该等记录和账目</w:t>
      </w:r>
    </w:p>
    <w:p>
      <w:pPr>
        <w:pStyle w:val="20"/>
        <w:numPr>
          <w:ilvl w:val="0"/>
          <w:numId w:val="31"/>
        </w:numPr>
        <w:spacing w:line="360" w:lineRule="auto"/>
        <w:ind w:left="567" w:hanging="567" w:firstLineChars="0"/>
        <w:rPr>
          <w:rFonts w:eastAsiaTheme="minorEastAsia"/>
          <w:color w:val="000000"/>
          <w:sz w:val="24"/>
          <w:highlight w:val="none"/>
        </w:rPr>
      </w:pPr>
      <w:r>
        <w:rPr>
          <w:rFonts w:eastAsiaTheme="minorEastAsia"/>
          <w:color w:val="000000"/>
          <w:sz w:val="24"/>
          <w:highlight w:val="none"/>
        </w:rPr>
        <w:t>本合同系买卖双方反复协商、讨论的结果，合同内容非一方当事人事先拟定。本合同不属于格式合同，条款内容不属于格式条款。</w:t>
      </w:r>
    </w:p>
    <w:p>
      <w:pPr>
        <w:pStyle w:val="20"/>
        <w:numPr>
          <w:ilvl w:val="0"/>
          <w:numId w:val="31"/>
        </w:numPr>
        <w:spacing w:line="360" w:lineRule="auto"/>
        <w:ind w:left="567" w:hanging="567" w:firstLineChars="0"/>
        <w:rPr>
          <w:rFonts w:eastAsiaTheme="minorEastAsia"/>
          <w:color w:val="000000"/>
          <w:sz w:val="24"/>
          <w:highlight w:val="none"/>
        </w:rPr>
      </w:pPr>
      <w:r>
        <w:rPr>
          <w:rFonts w:eastAsiaTheme="minorEastAsia"/>
          <w:color w:val="000000"/>
          <w:sz w:val="24"/>
          <w:highlight w:val="none"/>
        </w:rPr>
        <w:t>未经另一方事先书面同意，任何一方不得以任何方式在其机构外使用另一方的名称、商品商标、服务商标、企业标志、商号或品牌。</w:t>
      </w:r>
    </w:p>
    <w:p>
      <w:pPr>
        <w:pStyle w:val="20"/>
        <w:numPr>
          <w:ilvl w:val="0"/>
          <w:numId w:val="31"/>
        </w:numPr>
        <w:spacing w:line="360" w:lineRule="auto"/>
        <w:ind w:left="567" w:hanging="567" w:firstLineChars="0"/>
        <w:rPr>
          <w:rFonts w:eastAsiaTheme="minorEastAsia"/>
          <w:color w:val="000000"/>
          <w:sz w:val="24"/>
          <w:highlight w:val="none"/>
        </w:rPr>
      </w:pPr>
      <w:r>
        <w:rPr>
          <w:rFonts w:eastAsiaTheme="minorEastAsia"/>
          <w:color w:val="000000"/>
          <w:sz w:val="24"/>
          <w:highlight w:val="none"/>
        </w:rPr>
        <w:t>如果本合同的任何条款或规定被裁定为无效、不合法或不可执行，该条款或规定应视为被删除，本合同其它条款不受影响，仍继续有效。</w:t>
      </w:r>
    </w:p>
    <w:p>
      <w:pPr>
        <w:pStyle w:val="20"/>
        <w:numPr>
          <w:ilvl w:val="0"/>
          <w:numId w:val="31"/>
        </w:numPr>
        <w:spacing w:line="360" w:lineRule="auto"/>
        <w:ind w:left="567" w:hanging="567" w:firstLineChars="0"/>
        <w:rPr>
          <w:rFonts w:eastAsiaTheme="minorEastAsia"/>
          <w:color w:val="000000"/>
          <w:sz w:val="24"/>
          <w:highlight w:val="none"/>
        </w:rPr>
      </w:pPr>
      <w:r>
        <w:rPr>
          <w:rFonts w:eastAsiaTheme="minorEastAsia"/>
          <w:color w:val="000000"/>
          <w:sz w:val="24"/>
          <w:highlight w:val="none"/>
        </w:rPr>
        <w:t>本合同的任何补充、变更和修改应当以书面签订补充协议的方式进行，于双方授权代表共同签字之日起生效。补充协议与本合同具有同等法律效力，补充协议的内容与本合同不一致的，以补充协议为准。</w:t>
      </w:r>
    </w:p>
    <w:p>
      <w:pPr>
        <w:pStyle w:val="20"/>
        <w:numPr>
          <w:ilvl w:val="0"/>
          <w:numId w:val="31"/>
        </w:numPr>
        <w:spacing w:line="360" w:lineRule="auto"/>
        <w:ind w:left="567" w:hanging="567" w:firstLineChars="0"/>
        <w:rPr>
          <w:rFonts w:eastAsiaTheme="minorEastAsia"/>
          <w:color w:val="000000"/>
          <w:sz w:val="24"/>
          <w:highlight w:val="darkGreen"/>
        </w:rPr>
      </w:pPr>
      <w:r>
        <w:rPr>
          <w:rFonts w:eastAsiaTheme="minorEastAsia"/>
          <w:color w:val="000000"/>
          <w:sz w:val="24"/>
          <w:highlight w:val="darkGreen"/>
        </w:rPr>
        <w:t>本合同正本贰（2）份，合同双方各持壹（1）份，具有同等法律效力。</w:t>
      </w:r>
    </w:p>
    <w:p>
      <w:pPr>
        <w:pStyle w:val="20"/>
        <w:numPr>
          <w:ilvl w:val="0"/>
          <w:numId w:val="31"/>
        </w:numPr>
        <w:spacing w:line="360" w:lineRule="auto"/>
        <w:ind w:left="567" w:hanging="567" w:firstLineChars="0"/>
        <w:rPr>
          <w:rFonts w:eastAsiaTheme="minorEastAsia"/>
          <w:color w:val="000000"/>
          <w:sz w:val="24"/>
          <w:highlight w:val="none"/>
        </w:rPr>
      </w:pPr>
      <w:r>
        <w:rPr>
          <w:rFonts w:eastAsiaTheme="minorEastAsia"/>
          <w:color w:val="000000"/>
          <w:sz w:val="24"/>
          <w:highlight w:val="none"/>
        </w:rPr>
        <w:t>本合同经双方授权代表签字并加盖双方合同专用章/公章后生效。</w:t>
      </w:r>
    </w:p>
    <w:p>
      <w:pPr>
        <w:pStyle w:val="20"/>
        <w:numPr>
          <w:ilvl w:val="0"/>
          <w:numId w:val="31"/>
        </w:numPr>
        <w:spacing w:line="360" w:lineRule="auto"/>
        <w:ind w:left="567" w:hanging="567" w:firstLineChars="0"/>
        <w:rPr>
          <w:rFonts w:eastAsiaTheme="minorEastAsia"/>
          <w:sz w:val="24"/>
          <w:highlight w:val="none"/>
        </w:rPr>
      </w:pPr>
      <w:r>
        <w:rPr>
          <w:rFonts w:eastAsiaTheme="minorEastAsia"/>
          <w:color w:val="000000"/>
          <w:sz w:val="24"/>
          <w:highlight w:val="none"/>
        </w:rPr>
        <w:t>本合同解除或终止后，本合同项下关于知识产权、保密、保证、责任、适用法律、争议解决和其它具有持续性效力的条款继续有效。</w:t>
      </w:r>
    </w:p>
    <w:p>
      <w:pPr>
        <w:pStyle w:val="2"/>
        <w:numPr>
          <w:ilvl w:val="0"/>
          <w:numId w:val="2"/>
        </w:numPr>
        <w:spacing w:before="0" w:after="0" w:line="360" w:lineRule="auto"/>
        <w:ind w:left="419" w:hanging="130"/>
        <w:jc w:val="center"/>
        <w:rPr>
          <w:iCs/>
          <w:sz w:val="24"/>
          <w:szCs w:val="24"/>
          <w:highlight w:val="none"/>
        </w:rPr>
      </w:pPr>
      <w:bookmarkStart w:id="128" w:name="_Toc152602337"/>
      <w:r>
        <w:rPr>
          <w:iCs/>
          <w:sz w:val="24"/>
          <w:szCs w:val="24"/>
          <w:highlight w:val="none"/>
        </w:rPr>
        <w:t>附件</w:t>
      </w:r>
      <w:bookmarkEnd w:id="128"/>
    </w:p>
    <w:p>
      <w:pPr>
        <w:pStyle w:val="20"/>
        <w:numPr>
          <w:ilvl w:val="0"/>
          <w:numId w:val="32"/>
        </w:numPr>
        <w:spacing w:line="360" w:lineRule="auto"/>
        <w:ind w:left="567" w:hanging="567" w:firstLineChars="0"/>
        <w:rPr>
          <w:rFonts w:eastAsiaTheme="minorEastAsia"/>
          <w:b/>
          <w:sz w:val="24"/>
          <w:highlight w:val="none"/>
        </w:rPr>
      </w:pPr>
      <w:r>
        <w:rPr>
          <w:rFonts w:eastAsiaTheme="minorEastAsia"/>
          <w:color w:val="000000"/>
          <w:sz w:val="24"/>
          <w:highlight w:val="none"/>
        </w:rPr>
        <w:t>本合同所有正文条款、本合同附件和双方届时按照本合同约定签署的送货单、验收记录均为本合同不可分割的组成部分，各部分之间的内容相互补充、说明，以便对合同予以完整理解。如合同各组成部分之间存在冲突或不一致，以上述序列作为优先顺序进行解释。</w:t>
      </w:r>
    </w:p>
    <w:p>
      <w:pPr>
        <w:pStyle w:val="20"/>
        <w:numPr>
          <w:ilvl w:val="0"/>
          <w:numId w:val="32"/>
        </w:numPr>
        <w:spacing w:line="360" w:lineRule="auto"/>
        <w:ind w:left="567" w:hanging="567" w:firstLineChars="0"/>
        <w:rPr>
          <w:rFonts w:eastAsiaTheme="minorEastAsia"/>
          <w:b/>
          <w:sz w:val="24"/>
          <w:highlight w:val="none"/>
        </w:rPr>
      </w:pPr>
      <w:r>
        <w:rPr>
          <w:rFonts w:eastAsiaTheme="minorEastAsia"/>
          <w:color w:val="000000"/>
          <w:sz w:val="24"/>
          <w:highlight w:val="none"/>
        </w:rPr>
        <w:t>本合同附件包括：</w:t>
      </w:r>
    </w:p>
    <w:p>
      <w:pPr>
        <w:spacing w:line="360" w:lineRule="auto"/>
        <w:ind w:firstLine="566" w:firstLineChars="236"/>
        <w:rPr>
          <w:rFonts w:eastAsiaTheme="minorEastAsia"/>
          <w:bCs/>
          <w:sz w:val="24"/>
          <w:szCs w:val="24"/>
          <w:highlight w:val="darkGreen"/>
        </w:rPr>
      </w:pPr>
      <w:r>
        <w:rPr>
          <w:rFonts w:eastAsiaTheme="minorEastAsia"/>
          <w:bCs/>
          <w:sz w:val="24"/>
          <w:szCs w:val="24"/>
          <w:highlight w:val="darkGreen"/>
        </w:rPr>
        <w:t>附件一：廉洁备忘录</w:t>
      </w:r>
    </w:p>
    <w:p>
      <w:pPr>
        <w:spacing w:line="360" w:lineRule="auto"/>
        <w:ind w:firstLine="566" w:firstLineChars="236"/>
        <w:rPr>
          <w:rFonts w:eastAsiaTheme="minorEastAsia"/>
          <w:bCs/>
          <w:sz w:val="24"/>
          <w:szCs w:val="24"/>
          <w:highlight w:val="darkGreen"/>
        </w:rPr>
      </w:pPr>
      <w:r>
        <w:rPr>
          <w:rFonts w:eastAsiaTheme="minorEastAsia"/>
          <w:bCs/>
          <w:sz w:val="24"/>
          <w:szCs w:val="24"/>
          <w:highlight w:val="darkGreen"/>
        </w:rPr>
        <w:t>附件二：技术资料清单</w:t>
      </w:r>
    </w:p>
    <w:p>
      <w:pPr>
        <w:spacing w:line="360" w:lineRule="auto"/>
        <w:ind w:firstLine="566" w:firstLineChars="236"/>
        <w:rPr>
          <w:rFonts w:eastAsiaTheme="minorEastAsia"/>
          <w:bCs/>
          <w:sz w:val="24"/>
          <w:szCs w:val="24"/>
          <w:highlight w:val="darkGreen"/>
        </w:rPr>
      </w:pPr>
      <w:r>
        <w:rPr>
          <w:rFonts w:eastAsiaTheme="minorEastAsia"/>
          <w:bCs/>
          <w:sz w:val="24"/>
          <w:szCs w:val="24"/>
          <w:highlight w:val="darkGreen"/>
        </w:rPr>
        <w:t>附件三：送货单（格式）</w:t>
      </w:r>
    </w:p>
    <w:p>
      <w:pPr>
        <w:spacing w:line="360" w:lineRule="auto"/>
        <w:ind w:firstLine="566" w:firstLineChars="236"/>
        <w:rPr>
          <w:rFonts w:eastAsiaTheme="minorEastAsia"/>
          <w:bCs/>
          <w:sz w:val="24"/>
          <w:szCs w:val="24"/>
          <w:highlight w:val="darkGreen"/>
        </w:rPr>
      </w:pPr>
      <w:r>
        <w:rPr>
          <w:rFonts w:eastAsiaTheme="minorEastAsia"/>
          <w:bCs/>
          <w:sz w:val="24"/>
          <w:szCs w:val="24"/>
          <w:highlight w:val="darkGreen"/>
        </w:rPr>
        <w:t>附件四：验收标准及验收记录（格式）</w:t>
      </w:r>
    </w:p>
    <w:p>
      <w:pPr>
        <w:spacing w:line="360" w:lineRule="auto"/>
        <w:ind w:firstLine="566" w:firstLineChars="236"/>
        <w:rPr>
          <w:rFonts w:eastAsiaTheme="minorEastAsia"/>
          <w:b/>
          <w:sz w:val="24"/>
          <w:szCs w:val="24"/>
          <w:highlight w:val="darkGreen"/>
        </w:rPr>
      </w:pPr>
      <w:r>
        <w:rPr>
          <w:rFonts w:eastAsiaTheme="minorEastAsia"/>
          <w:bCs/>
          <w:sz w:val="24"/>
          <w:szCs w:val="24"/>
          <w:highlight w:val="darkGreen"/>
        </w:rPr>
        <w:t>（注：请根据项目实际情况增删附件）</w:t>
      </w:r>
    </w:p>
    <w:p>
      <w:pPr>
        <w:spacing w:line="360" w:lineRule="auto"/>
        <w:rPr>
          <w:rFonts w:eastAsiaTheme="minorEastAsia"/>
          <w:sz w:val="24"/>
          <w:szCs w:val="24"/>
          <w:highlight w:val="none"/>
        </w:rPr>
      </w:pPr>
      <w:r>
        <w:rPr>
          <w:rFonts w:eastAsiaTheme="minorEastAsia"/>
          <w:b/>
          <w:sz w:val="24"/>
          <w:szCs w:val="24"/>
          <w:highlight w:val="none"/>
        </w:rPr>
        <w:t>有鉴于此</w:t>
      </w:r>
      <w:r>
        <w:rPr>
          <w:rFonts w:eastAsiaTheme="minorEastAsia"/>
          <w:sz w:val="24"/>
          <w:szCs w:val="24"/>
          <w:highlight w:val="none"/>
        </w:rPr>
        <w:t>，本合同由各方的授权代表签署。</w:t>
      </w:r>
    </w:p>
    <w:p>
      <w:pPr>
        <w:spacing w:line="360" w:lineRule="auto"/>
        <w:rPr>
          <w:rFonts w:eastAsiaTheme="minorEastAsia"/>
          <w:sz w:val="24"/>
          <w:szCs w:val="24"/>
          <w:highlight w:val="none"/>
        </w:rPr>
      </w:pPr>
    </w:p>
    <w:tbl>
      <w:tblPr>
        <w:tblStyle w:val="13"/>
        <w:tblW w:w="5000" w:type="pct"/>
        <w:tblInd w:w="-106" w:type="dxa"/>
        <w:tblLayout w:type="autofit"/>
        <w:tblCellMar>
          <w:top w:w="0" w:type="dxa"/>
          <w:left w:w="108" w:type="dxa"/>
          <w:bottom w:w="0" w:type="dxa"/>
          <w:right w:w="108" w:type="dxa"/>
        </w:tblCellMar>
      </w:tblPr>
      <w:tblGrid>
        <w:gridCol w:w="4983"/>
        <w:gridCol w:w="4588"/>
      </w:tblGrid>
      <w:tr>
        <w:tblPrEx>
          <w:tblCellMar>
            <w:top w:w="0" w:type="dxa"/>
            <w:left w:w="108" w:type="dxa"/>
            <w:bottom w:w="0" w:type="dxa"/>
            <w:right w:w="108" w:type="dxa"/>
          </w:tblCellMar>
        </w:tblPrEx>
        <w:trPr>
          <w:trHeight w:val="711" w:hRule="atLeast"/>
        </w:trPr>
        <w:tc>
          <w:tcPr>
            <w:tcW w:w="2603" w:type="pct"/>
          </w:tcPr>
          <w:p>
            <w:pPr>
              <w:tabs>
                <w:tab w:val="left" w:pos="850"/>
              </w:tabs>
              <w:autoSpaceDE w:val="0"/>
              <w:autoSpaceDN w:val="0"/>
              <w:spacing w:before="147" w:beforeLines="50" w:after="147" w:afterLines="50" w:line="360" w:lineRule="auto"/>
              <w:textAlignment w:val="bottom"/>
              <w:rPr>
                <w:rFonts w:eastAsiaTheme="minorEastAsia"/>
                <w:sz w:val="24"/>
                <w:szCs w:val="24"/>
                <w:highlight w:val="darkGreen"/>
              </w:rPr>
            </w:pPr>
            <w:r>
              <w:rPr>
                <w:rFonts w:eastAsiaTheme="minorEastAsia"/>
                <w:sz w:val="24"/>
                <w:szCs w:val="24"/>
                <w:highlight w:val="darkGreen"/>
              </w:rPr>
              <w:t>买方：【】（盖章）</w:t>
            </w:r>
          </w:p>
        </w:tc>
        <w:tc>
          <w:tcPr>
            <w:tcW w:w="2397" w:type="pct"/>
          </w:tcPr>
          <w:p>
            <w:pPr>
              <w:tabs>
                <w:tab w:val="left" w:pos="850"/>
              </w:tabs>
              <w:autoSpaceDE w:val="0"/>
              <w:autoSpaceDN w:val="0"/>
              <w:spacing w:before="147" w:beforeLines="50" w:after="147" w:afterLines="50" w:line="360" w:lineRule="auto"/>
              <w:textAlignment w:val="bottom"/>
              <w:rPr>
                <w:rFonts w:eastAsiaTheme="minorEastAsia"/>
                <w:sz w:val="24"/>
                <w:szCs w:val="24"/>
                <w:highlight w:val="darkGreen"/>
              </w:rPr>
            </w:pPr>
            <w:r>
              <w:rPr>
                <w:rFonts w:eastAsiaTheme="minorEastAsia"/>
                <w:sz w:val="24"/>
                <w:szCs w:val="24"/>
                <w:highlight w:val="darkGreen"/>
              </w:rPr>
              <w:t>卖方：【】（盖章）</w:t>
            </w:r>
          </w:p>
        </w:tc>
      </w:tr>
      <w:tr>
        <w:tblPrEx>
          <w:tblCellMar>
            <w:top w:w="0" w:type="dxa"/>
            <w:left w:w="108" w:type="dxa"/>
            <w:bottom w:w="0" w:type="dxa"/>
            <w:right w:w="108" w:type="dxa"/>
          </w:tblCellMar>
        </w:tblPrEx>
        <w:trPr>
          <w:trHeight w:val="1084" w:hRule="atLeast"/>
        </w:trPr>
        <w:tc>
          <w:tcPr>
            <w:tcW w:w="2603" w:type="pct"/>
            <w:vAlign w:val="center"/>
          </w:tcPr>
          <w:p>
            <w:pPr>
              <w:tabs>
                <w:tab w:val="left" w:pos="850"/>
              </w:tabs>
              <w:autoSpaceDE w:val="0"/>
              <w:autoSpaceDN w:val="0"/>
              <w:spacing w:before="147" w:beforeLines="50" w:after="147" w:afterLines="50" w:line="360" w:lineRule="auto"/>
              <w:textAlignment w:val="bottom"/>
              <w:rPr>
                <w:rFonts w:eastAsiaTheme="minorEastAsia"/>
                <w:sz w:val="24"/>
                <w:szCs w:val="24"/>
                <w:highlight w:val="darkGreen"/>
              </w:rPr>
            </w:pPr>
            <w:r>
              <w:rPr>
                <w:rFonts w:eastAsiaTheme="minorEastAsia"/>
                <w:sz w:val="24"/>
                <w:szCs w:val="24"/>
                <w:highlight w:val="darkGreen"/>
              </w:rPr>
              <w:t>法定代表人或授权代表签字：</w:t>
            </w:r>
          </w:p>
          <w:p>
            <w:pPr>
              <w:tabs>
                <w:tab w:val="left" w:pos="850"/>
              </w:tabs>
              <w:autoSpaceDE w:val="0"/>
              <w:autoSpaceDN w:val="0"/>
              <w:spacing w:before="147" w:beforeLines="50" w:after="147" w:afterLines="50" w:line="360" w:lineRule="auto"/>
              <w:textAlignment w:val="bottom"/>
              <w:rPr>
                <w:rFonts w:eastAsiaTheme="minorEastAsia"/>
                <w:sz w:val="24"/>
                <w:szCs w:val="24"/>
                <w:highlight w:val="darkGreen"/>
                <w:u w:val="single"/>
              </w:rPr>
            </w:pPr>
          </w:p>
          <w:p>
            <w:pPr>
              <w:tabs>
                <w:tab w:val="left" w:pos="850"/>
              </w:tabs>
              <w:autoSpaceDE w:val="0"/>
              <w:autoSpaceDN w:val="0"/>
              <w:spacing w:before="147" w:beforeLines="50" w:after="147" w:afterLines="50" w:line="360" w:lineRule="auto"/>
              <w:textAlignment w:val="bottom"/>
              <w:rPr>
                <w:rFonts w:eastAsiaTheme="minorEastAsia"/>
                <w:sz w:val="24"/>
                <w:szCs w:val="24"/>
                <w:highlight w:val="darkGreen"/>
              </w:rPr>
            </w:pPr>
            <w:r>
              <w:rPr>
                <w:rFonts w:eastAsiaTheme="minorEastAsia"/>
                <w:sz w:val="24"/>
                <w:szCs w:val="24"/>
                <w:highlight w:val="darkGreen"/>
                <w:u w:val="single"/>
              </w:rPr>
              <w:t xml:space="preserve">                                  </w:t>
            </w:r>
          </w:p>
          <w:p>
            <w:pPr>
              <w:tabs>
                <w:tab w:val="left" w:pos="850"/>
              </w:tabs>
              <w:autoSpaceDE w:val="0"/>
              <w:autoSpaceDN w:val="0"/>
              <w:spacing w:before="147" w:beforeLines="50" w:after="147" w:afterLines="50" w:line="360" w:lineRule="auto"/>
              <w:textAlignment w:val="bottom"/>
              <w:rPr>
                <w:rFonts w:eastAsiaTheme="minorEastAsia"/>
                <w:sz w:val="24"/>
                <w:szCs w:val="24"/>
                <w:highlight w:val="darkGreen"/>
              </w:rPr>
            </w:pPr>
            <w:r>
              <w:rPr>
                <w:rFonts w:eastAsiaTheme="minorEastAsia"/>
                <w:sz w:val="24"/>
                <w:szCs w:val="24"/>
                <w:highlight w:val="darkGreen"/>
              </w:rPr>
              <w:t>日期：</w:t>
            </w:r>
          </w:p>
          <w:p>
            <w:pPr>
              <w:tabs>
                <w:tab w:val="left" w:pos="850"/>
              </w:tabs>
              <w:autoSpaceDE w:val="0"/>
              <w:autoSpaceDN w:val="0"/>
              <w:spacing w:before="147" w:beforeLines="50" w:after="147" w:afterLines="50" w:line="360" w:lineRule="auto"/>
              <w:textAlignment w:val="bottom"/>
              <w:rPr>
                <w:rFonts w:eastAsiaTheme="minorEastAsia"/>
                <w:sz w:val="24"/>
                <w:szCs w:val="24"/>
                <w:highlight w:val="darkGreen"/>
              </w:rPr>
            </w:pPr>
          </w:p>
        </w:tc>
        <w:tc>
          <w:tcPr>
            <w:tcW w:w="2397" w:type="pct"/>
            <w:vAlign w:val="center"/>
          </w:tcPr>
          <w:p>
            <w:pPr>
              <w:tabs>
                <w:tab w:val="left" w:pos="850"/>
              </w:tabs>
              <w:autoSpaceDE w:val="0"/>
              <w:autoSpaceDN w:val="0"/>
              <w:spacing w:before="147" w:beforeLines="50" w:after="147" w:afterLines="50" w:line="360" w:lineRule="auto"/>
              <w:textAlignment w:val="bottom"/>
              <w:rPr>
                <w:rFonts w:eastAsiaTheme="minorEastAsia"/>
                <w:sz w:val="24"/>
                <w:szCs w:val="24"/>
                <w:highlight w:val="darkGreen"/>
              </w:rPr>
            </w:pPr>
            <w:r>
              <w:rPr>
                <w:rFonts w:eastAsiaTheme="minorEastAsia"/>
                <w:sz w:val="24"/>
                <w:szCs w:val="24"/>
                <w:highlight w:val="darkGreen"/>
              </w:rPr>
              <w:t>法定代表人或授权代表签字：</w:t>
            </w:r>
          </w:p>
          <w:p>
            <w:pPr>
              <w:tabs>
                <w:tab w:val="left" w:pos="850"/>
              </w:tabs>
              <w:autoSpaceDE w:val="0"/>
              <w:autoSpaceDN w:val="0"/>
              <w:spacing w:before="147" w:beforeLines="50" w:after="147" w:afterLines="50" w:line="360" w:lineRule="auto"/>
              <w:textAlignment w:val="bottom"/>
              <w:rPr>
                <w:rFonts w:eastAsiaTheme="minorEastAsia"/>
                <w:sz w:val="24"/>
                <w:szCs w:val="24"/>
                <w:highlight w:val="darkGreen"/>
                <w:u w:val="single"/>
              </w:rPr>
            </w:pPr>
          </w:p>
          <w:p>
            <w:pPr>
              <w:tabs>
                <w:tab w:val="left" w:pos="850"/>
              </w:tabs>
              <w:autoSpaceDE w:val="0"/>
              <w:autoSpaceDN w:val="0"/>
              <w:spacing w:before="147" w:beforeLines="50" w:after="147" w:afterLines="50" w:line="360" w:lineRule="auto"/>
              <w:textAlignment w:val="bottom"/>
              <w:rPr>
                <w:rFonts w:eastAsiaTheme="minorEastAsia"/>
                <w:sz w:val="24"/>
                <w:szCs w:val="24"/>
                <w:highlight w:val="darkGreen"/>
              </w:rPr>
            </w:pPr>
            <w:r>
              <w:rPr>
                <w:rFonts w:eastAsiaTheme="minorEastAsia"/>
                <w:sz w:val="24"/>
                <w:szCs w:val="24"/>
                <w:highlight w:val="darkGreen"/>
                <w:u w:val="single"/>
              </w:rPr>
              <w:t xml:space="preserve">                                </w:t>
            </w:r>
          </w:p>
          <w:p>
            <w:pPr>
              <w:tabs>
                <w:tab w:val="left" w:pos="850"/>
              </w:tabs>
              <w:autoSpaceDE w:val="0"/>
              <w:autoSpaceDN w:val="0"/>
              <w:spacing w:before="147" w:beforeLines="50" w:after="147" w:afterLines="50" w:line="360" w:lineRule="auto"/>
              <w:textAlignment w:val="bottom"/>
              <w:rPr>
                <w:rFonts w:eastAsiaTheme="minorEastAsia"/>
                <w:sz w:val="24"/>
                <w:szCs w:val="24"/>
                <w:highlight w:val="darkGreen"/>
              </w:rPr>
            </w:pPr>
            <w:r>
              <w:rPr>
                <w:rFonts w:eastAsiaTheme="minorEastAsia"/>
                <w:sz w:val="24"/>
                <w:szCs w:val="24"/>
                <w:highlight w:val="darkGreen"/>
              </w:rPr>
              <w:t>日期：</w:t>
            </w:r>
          </w:p>
          <w:p>
            <w:pPr>
              <w:tabs>
                <w:tab w:val="left" w:pos="850"/>
              </w:tabs>
              <w:autoSpaceDE w:val="0"/>
              <w:autoSpaceDN w:val="0"/>
              <w:spacing w:before="147" w:beforeLines="50" w:after="147" w:afterLines="50" w:line="360" w:lineRule="auto"/>
              <w:textAlignment w:val="bottom"/>
              <w:rPr>
                <w:rFonts w:eastAsiaTheme="minorEastAsia"/>
                <w:sz w:val="24"/>
                <w:szCs w:val="24"/>
                <w:highlight w:val="darkGreen"/>
              </w:rPr>
            </w:pPr>
          </w:p>
        </w:tc>
      </w:tr>
    </w:tbl>
    <w:p>
      <w:pPr>
        <w:spacing w:line="360" w:lineRule="auto"/>
        <w:rPr>
          <w:rFonts w:eastAsiaTheme="minorEastAsia"/>
          <w:sz w:val="24"/>
          <w:szCs w:val="24"/>
          <w:highlight w:val="none"/>
        </w:rPr>
      </w:pPr>
    </w:p>
    <w:p>
      <w:pPr>
        <w:spacing w:line="360" w:lineRule="auto"/>
        <w:rPr>
          <w:rFonts w:eastAsiaTheme="minorEastAsia"/>
          <w:sz w:val="24"/>
          <w:szCs w:val="24"/>
          <w:highlight w:val="none"/>
        </w:rPr>
      </w:pPr>
    </w:p>
    <w:p>
      <w:pPr>
        <w:spacing w:line="360" w:lineRule="auto"/>
        <w:rPr>
          <w:rFonts w:eastAsiaTheme="minorEastAsia"/>
          <w:sz w:val="24"/>
          <w:szCs w:val="24"/>
          <w:highlight w:val="none"/>
        </w:rPr>
      </w:pPr>
    </w:p>
    <w:p>
      <w:pPr>
        <w:spacing w:line="360" w:lineRule="auto"/>
        <w:rPr>
          <w:rFonts w:eastAsiaTheme="minorEastAsia"/>
          <w:sz w:val="24"/>
          <w:szCs w:val="24"/>
          <w:highlight w:val="none"/>
        </w:rPr>
      </w:pPr>
    </w:p>
    <w:p>
      <w:pPr>
        <w:pStyle w:val="2"/>
        <w:spacing w:before="0" w:after="0" w:line="360" w:lineRule="auto"/>
        <w:rPr>
          <w:sz w:val="24"/>
          <w:szCs w:val="24"/>
          <w:highlight w:val="none"/>
        </w:rPr>
      </w:pPr>
      <w:r>
        <w:rPr>
          <w:sz w:val="24"/>
          <w:szCs w:val="24"/>
          <w:highlight w:val="none"/>
        </w:rPr>
        <w:br w:type="page"/>
      </w:r>
      <w:bookmarkStart w:id="129" w:name="_Toc11418"/>
      <w:bookmarkStart w:id="130" w:name="_Toc152088852"/>
      <w:bookmarkStart w:id="131" w:name="_Toc152602338"/>
      <w:r>
        <w:rPr>
          <w:sz w:val="24"/>
          <w:szCs w:val="24"/>
          <w:highlight w:val="none"/>
        </w:rPr>
        <w:t>附件一：</w:t>
      </w:r>
      <w:bookmarkEnd w:id="129"/>
      <w:r>
        <w:rPr>
          <w:sz w:val="24"/>
          <w:szCs w:val="24"/>
          <w:highlight w:val="none"/>
        </w:rPr>
        <w:t xml:space="preserve">                      廉 洁 备 忘 录</w:t>
      </w:r>
      <w:bookmarkEnd w:id="130"/>
      <w:bookmarkEnd w:id="131"/>
    </w:p>
    <w:p>
      <w:pPr>
        <w:pStyle w:val="6"/>
        <w:spacing w:line="360" w:lineRule="auto"/>
        <w:ind w:firstLine="0" w:firstLineChars="0"/>
        <w:rPr>
          <w:rFonts w:eastAsiaTheme="minorEastAsia"/>
          <w:color w:val="000000"/>
          <w:sz w:val="24"/>
          <w:szCs w:val="24"/>
          <w:highlight w:val="none"/>
        </w:rPr>
      </w:pPr>
      <w:r>
        <w:rPr>
          <w:rFonts w:eastAsiaTheme="minorEastAsia"/>
          <w:color w:val="000000"/>
          <w:sz w:val="24"/>
          <w:szCs w:val="24"/>
          <w:highlight w:val="none"/>
        </w:rPr>
        <w:t>鉴于，</w:t>
      </w:r>
      <w:r>
        <w:rPr>
          <w:rFonts w:eastAsiaTheme="minorEastAsia"/>
          <w:color w:val="000000"/>
          <w:sz w:val="24"/>
          <w:szCs w:val="24"/>
          <w:highlight w:val="darkGreen"/>
        </w:rPr>
        <w:t>【】（买方）以严格遵守法律、法规为企业基本政策；</w:t>
      </w:r>
    </w:p>
    <w:p>
      <w:pPr>
        <w:pStyle w:val="6"/>
        <w:spacing w:line="360" w:lineRule="auto"/>
        <w:ind w:firstLine="0" w:firstLineChars="0"/>
        <w:rPr>
          <w:rFonts w:eastAsiaTheme="minorEastAsia"/>
          <w:color w:val="000000"/>
          <w:sz w:val="24"/>
          <w:szCs w:val="24"/>
          <w:highlight w:val="none"/>
        </w:rPr>
      </w:pPr>
      <w:r>
        <w:rPr>
          <w:rFonts w:eastAsiaTheme="minorEastAsia"/>
          <w:color w:val="000000"/>
          <w:sz w:val="24"/>
          <w:szCs w:val="24"/>
          <w:highlight w:val="none"/>
        </w:rPr>
        <w:t>鉴于，买方要求其工作人员严格遵守有关廉洁规定并信守职业道德；</w:t>
      </w:r>
    </w:p>
    <w:p>
      <w:pPr>
        <w:overflowPunct w:val="0"/>
        <w:autoSpaceDE w:val="0"/>
        <w:autoSpaceDN w:val="0"/>
        <w:adjustRightInd w:val="0"/>
        <w:spacing w:line="360" w:lineRule="auto"/>
        <w:rPr>
          <w:rFonts w:eastAsiaTheme="minorEastAsia"/>
          <w:color w:val="000000"/>
          <w:sz w:val="24"/>
          <w:szCs w:val="24"/>
          <w:highlight w:val="darkGreen"/>
        </w:rPr>
      </w:pPr>
      <w:r>
        <w:rPr>
          <w:rFonts w:eastAsiaTheme="minorEastAsia"/>
          <w:color w:val="000000"/>
          <w:sz w:val="24"/>
          <w:szCs w:val="24"/>
          <w:highlight w:val="none"/>
        </w:rPr>
        <w:t>鉴于，</w:t>
      </w:r>
      <w:r>
        <w:rPr>
          <w:rFonts w:eastAsiaTheme="minorEastAsia"/>
          <w:color w:val="000000"/>
          <w:sz w:val="24"/>
          <w:szCs w:val="24"/>
          <w:highlight w:val="darkGreen"/>
        </w:rPr>
        <w:t>【】（卖方）将与买方或其关联公司进行业务往来；</w:t>
      </w:r>
    </w:p>
    <w:p>
      <w:pPr>
        <w:overflowPunct w:val="0"/>
        <w:autoSpaceDE w:val="0"/>
        <w:autoSpaceDN w:val="0"/>
        <w:adjustRightInd w:val="0"/>
        <w:spacing w:line="360" w:lineRule="auto"/>
        <w:rPr>
          <w:rFonts w:eastAsiaTheme="minorEastAsia"/>
          <w:color w:val="000000"/>
          <w:sz w:val="24"/>
          <w:szCs w:val="24"/>
          <w:highlight w:val="none"/>
        </w:rPr>
      </w:pPr>
      <w:r>
        <w:rPr>
          <w:rFonts w:eastAsiaTheme="minorEastAsia"/>
          <w:color w:val="000000"/>
          <w:sz w:val="24"/>
          <w:szCs w:val="24"/>
          <w:highlight w:val="none"/>
        </w:rPr>
        <w:t>鉴于，卖方完全赞同买方并同意共同遵守有关廉洁规定和信守职业道德。</w:t>
      </w:r>
    </w:p>
    <w:p>
      <w:pPr>
        <w:overflowPunct w:val="0"/>
        <w:autoSpaceDE w:val="0"/>
        <w:autoSpaceDN w:val="0"/>
        <w:adjustRightInd w:val="0"/>
        <w:spacing w:line="360" w:lineRule="auto"/>
        <w:rPr>
          <w:rFonts w:eastAsiaTheme="minorEastAsia"/>
          <w:color w:val="000000"/>
          <w:sz w:val="24"/>
          <w:szCs w:val="24"/>
          <w:highlight w:val="none"/>
        </w:rPr>
      </w:pPr>
      <w:r>
        <w:rPr>
          <w:rFonts w:eastAsiaTheme="minorEastAsia"/>
          <w:color w:val="000000"/>
          <w:sz w:val="24"/>
          <w:szCs w:val="24"/>
          <w:highlight w:val="none"/>
        </w:rPr>
        <w:t>据此，双方达成如下协议：</w:t>
      </w:r>
    </w:p>
    <w:p>
      <w:pPr>
        <w:pStyle w:val="20"/>
        <w:numPr>
          <w:ilvl w:val="0"/>
          <w:numId w:val="33"/>
        </w:numPr>
        <w:overflowPunct w:val="0"/>
        <w:autoSpaceDE w:val="0"/>
        <w:autoSpaceDN w:val="0"/>
        <w:adjustRightInd w:val="0"/>
        <w:spacing w:line="360" w:lineRule="auto"/>
        <w:ind w:left="0" w:firstLine="426" w:firstLineChars="0"/>
        <w:rPr>
          <w:rFonts w:eastAsiaTheme="minorEastAsia"/>
          <w:color w:val="000000"/>
          <w:sz w:val="24"/>
          <w:highlight w:val="none"/>
        </w:rPr>
      </w:pPr>
      <w:r>
        <w:rPr>
          <w:rFonts w:eastAsiaTheme="minorEastAsia"/>
          <w:color w:val="000000"/>
          <w:sz w:val="24"/>
          <w:highlight w:val="none"/>
        </w:rPr>
        <w:t>买方工作人员不得要求或接受卖方或通过第三方提供的任何个人利益，包括各类礼金、礼品、有价证券和支付凭证。</w:t>
      </w:r>
    </w:p>
    <w:p>
      <w:pPr>
        <w:pStyle w:val="20"/>
        <w:numPr>
          <w:ilvl w:val="0"/>
          <w:numId w:val="33"/>
        </w:numPr>
        <w:overflowPunct w:val="0"/>
        <w:autoSpaceDE w:val="0"/>
        <w:autoSpaceDN w:val="0"/>
        <w:adjustRightInd w:val="0"/>
        <w:spacing w:line="360" w:lineRule="auto"/>
        <w:ind w:left="0" w:firstLine="426" w:firstLineChars="0"/>
        <w:rPr>
          <w:rFonts w:eastAsiaTheme="minorEastAsia"/>
          <w:color w:val="000000"/>
          <w:sz w:val="24"/>
          <w:highlight w:val="none"/>
        </w:rPr>
      </w:pPr>
      <w:r>
        <w:rPr>
          <w:rFonts w:eastAsiaTheme="minorEastAsia"/>
          <w:color w:val="000000"/>
          <w:sz w:val="24"/>
          <w:highlight w:val="none"/>
        </w:rPr>
        <w:t>卖方不得向买方工作人员主动或被动提供上款述及的任何利益。</w:t>
      </w:r>
    </w:p>
    <w:p>
      <w:pPr>
        <w:pStyle w:val="20"/>
        <w:numPr>
          <w:ilvl w:val="0"/>
          <w:numId w:val="33"/>
        </w:numPr>
        <w:overflowPunct w:val="0"/>
        <w:autoSpaceDE w:val="0"/>
        <w:autoSpaceDN w:val="0"/>
        <w:adjustRightInd w:val="0"/>
        <w:spacing w:line="360" w:lineRule="auto"/>
        <w:ind w:left="0" w:firstLine="426" w:firstLineChars="0"/>
        <w:rPr>
          <w:rFonts w:eastAsiaTheme="minorEastAsia"/>
          <w:color w:val="000000"/>
          <w:sz w:val="24"/>
          <w:highlight w:val="none"/>
        </w:rPr>
      </w:pPr>
      <w:r>
        <w:rPr>
          <w:rFonts w:eastAsiaTheme="minorEastAsia"/>
          <w:color w:val="000000"/>
          <w:sz w:val="24"/>
          <w:highlight w:val="none"/>
        </w:rPr>
        <w:t>卖方不得向买方工作人员（包括其直系亲属）主动或被动提供：（1）可能对进行正常业务有影响的宴请和礼品馈赠（礼品、礼金、有价证券、支付凭证以及象征性低价物品）；（2）任何营业性歌舞厅、夜总会等娱乐活动；（3）免费旅游、度假等；</w:t>
      </w:r>
    </w:p>
    <w:p>
      <w:pPr>
        <w:pStyle w:val="20"/>
        <w:numPr>
          <w:ilvl w:val="0"/>
          <w:numId w:val="33"/>
        </w:numPr>
        <w:overflowPunct w:val="0"/>
        <w:autoSpaceDE w:val="0"/>
        <w:autoSpaceDN w:val="0"/>
        <w:adjustRightInd w:val="0"/>
        <w:spacing w:line="360" w:lineRule="auto"/>
        <w:ind w:left="0" w:firstLine="426" w:firstLineChars="0"/>
        <w:rPr>
          <w:rFonts w:eastAsiaTheme="minorEastAsia"/>
          <w:color w:val="000000"/>
          <w:sz w:val="24"/>
          <w:highlight w:val="none"/>
        </w:rPr>
      </w:pPr>
      <w:r>
        <w:rPr>
          <w:rFonts w:eastAsiaTheme="minorEastAsia"/>
          <w:color w:val="000000"/>
          <w:sz w:val="24"/>
          <w:highlight w:val="none"/>
        </w:rPr>
        <w:t>卖方应加强对本单位员工在双方业务交往中相关行为的检查与监督，对发现违反本协议规定的行为及时予以制止和纠正。</w:t>
      </w:r>
    </w:p>
    <w:p>
      <w:pPr>
        <w:pStyle w:val="20"/>
        <w:numPr>
          <w:ilvl w:val="0"/>
          <w:numId w:val="33"/>
        </w:numPr>
        <w:overflowPunct w:val="0"/>
        <w:autoSpaceDE w:val="0"/>
        <w:autoSpaceDN w:val="0"/>
        <w:adjustRightInd w:val="0"/>
        <w:spacing w:line="360" w:lineRule="auto"/>
        <w:ind w:left="0" w:firstLine="426" w:firstLineChars="0"/>
        <w:rPr>
          <w:rFonts w:eastAsiaTheme="minorEastAsia"/>
          <w:color w:val="000000"/>
          <w:sz w:val="24"/>
          <w:highlight w:val="none"/>
        </w:rPr>
      </w:pPr>
      <w:r>
        <w:rPr>
          <w:rFonts w:eastAsiaTheme="minorEastAsia"/>
          <w:color w:val="000000"/>
          <w:sz w:val="24"/>
          <w:highlight w:val="none"/>
        </w:rPr>
        <w:t>卖方应加强对买方工作人员在彼此业务交往活动中相关行为的监督，对买方工作人员违反本协议规定的行为应及时给予制止，并向买方相关部门反映。</w:t>
      </w:r>
    </w:p>
    <w:p>
      <w:pPr>
        <w:pStyle w:val="20"/>
        <w:numPr>
          <w:ilvl w:val="0"/>
          <w:numId w:val="33"/>
        </w:numPr>
        <w:overflowPunct w:val="0"/>
        <w:autoSpaceDE w:val="0"/>
        <w:autoSpaceDN w:val="0"/>
        <w:adjustRightInd w:val="0"/>
        <w:spacing w:line="360" w:lineRule="auto"/>
        <w:ind w:left="0" w:firstLine="426" w:firstLineChars="0"/>
        <w:rPr>
          <w:rFonts w:eastAsiaTheme="minorEastAsia"/>
          <w:color w:val="000000"/>
          <w:sz w:val="24"/>
          <w:highlight w:val="none"/>
        </w:rPr>
      </w:pPr>
      <w:r>
        <w:rPr>
          <w:rFonts w:eastAsiaTheme="minorEastAsia"/>
          <w:color w:val="000000"/>
          <w:sz w:val="24"/>
          <w:highlight w:val="none"/>
        </w:rPr>
        <w:t>卖方如向买方告知买方工作人员违反本协议规定，买方将保证其正常的业务往来不因此受到负面影响。</w:t>
      </w:r>
    </w:p>
    <w:p>
      <w:pPr>
        <w:pStyle w:val="20"/>
        <w:numPr>
          <w:ilvl w:val="0"/>
          <w:numId w:val="33"/>
        </w:numPr>
        <w:overflowPunct w:val="0"/>
        <w:autoSpaceDE w:val="0"/>
        <w:autoSpaceDN w:val="0"/>
        <w:adjustRightInd w:val="0"/>
        <w:spacing w:line="360" w:lineRule="auto"/>
        <w:ind w:left="0" w:firstLine="426" w:firstLineChars="0"/>
        <w:rPr>
          <w:rFonts w:eastAsiaTheme="minorEastAsia"/>
          <w:color w:val="000000"/>
          <w:sz w:val="24"/>
          <w:highlight w:val="none"/>
        </w:rPr>
      </w:pPr>
      <w:r>
        <w:rPr>
          <w:rFonts w:eastAsiaTheme="minorEastAsia"/>
          <w:color w:val="000000"/>
          <w:sz w:val="24"/>
          <w:highlight w:val="none"/>
        </w:rPr>
        <w:t>卖方如向买方告知竞争第三方的行为确实违反其与买方签订的类似廉洁协议，买方将把第三方支付的违约金全部款项支付给卖方。</w:t>
      </w:r>
    </w:p>
    <w:p>
      <w:pPr>
        <w:pStyle w:val="20"/>
        <w:numPr>
          <w:ilvl w:val="0"/>
          <w:numId w:val="33"/>
        </w:numPr>
        <w:overflowPunct w:val="0"/>
        <w:autoSpaceDE w:val="0"/>
        <w:autoSpaceDN w:val="0"/>
        <w:adjustRightInd w:val="0"/>
        <w:spacing w:line="360" w:lineRule="auto"/>
        <w:ind w:left="0" w:firstLine="426" w:firstLineChars="0"/>
        <w:rPr>
          <w:rFonts w:eastAsiaTheme="minorEastAsia"/>
          <w:color w:val="000000"/>
          <w:sz w:val="24"/>
          <w:highlight w:val="none"/>
        </w:rPr>
      </w:pPr>
      <w:r>
        <w:rPr>
          <w:rFonts w:eastAsiaTheme="minorEastAsia"/>
          <w:color w:val="000000"/>
          <w:sz w:val="24"/>
          <w:highlight w:val="none"/>
        </w:rPr>
        <w:t>卖方或其工作人员违反本协议规定，应向买方支付采办项目报价或合同总额5%的违约金，买方有权不予对其投标或报价评价，或者终止有关合同，断绝与其一切业务往来。</w:t>
      </w:r>
    </w:p>
    <w:p>
      <w:pPr>
        <w:widowControl/>
        <w:spacing w:line="360" w:lineRule="auto"/>
        <w:jc w:val="left"/>
        <w:rPr>
          <w:rFonts w:eastAsiaTheme="minorEastAsia"/>
          <w:color w:val="000000"/>
          <w:sz w:val="24"/>
          <w:szCs w:val="24"/>
          <w:highlight w:val="none"/>
        </w:rPr>
      </w:pPr>
      <w:r>
        <w:rPr>
          <w:rFonts w:eastAsiaTheme="minorEastAsia"/>
          <w:color w:val="000000"/>
          <w:sz w:val="24"/>
          <w:szCs w:val="24"/>
          <w:highlight w:val="none"/>
        </w:rPr>
        <w:br w:type="page"/>
      </w:r>
    </w:p>
    <w:p>
      <w:pPr>
        <w:pStyle w:val="2"/>
        <w:spacing w:before="0" w:after="0" w:line="360" w:lineRule="auto"/>
        <w:rPr>
          <w:sz w:val="24"/>
          <w:szCs w:val="24"/>
          <w:highlight w:val="none"/>
        </w:rPr>
      </w:pPr>
      <w:bookmarkStart w:id="132" w:name="_Toc1453"/>
      <w:bookmarkStart w:id="133" w:name="_Toc152602339"/>
      <w:bookmarkStart w:id="134" w:name="_Toc26666"/>
      <w:bookmarkStart w:id="135" w:name="_Toc152088853"/>
      <w:r>
        <w:rPr>
          <w:sz w:val="24"/>
          <w:szCs w:val="24"/>
          <w:highlight w:val="none"/>
        </w:rPr>
        <w:t>附件二：技术资料清单</w:t>
      </w:r>
      <w:bookmarkEnd w:id="132"/>
      <w:bookmarkEnd w:id="133"/>
      <w:bookmarkEnd w:id="134"/>
      <w:bookmarkEnd w:id="135"/>
    </w:p>
    <w:p>
      <w:pPr>
        <w:widowControl/>
        <w:spacing w:line="360" w:lineRule="auto"/>
        <w:jc w:val="left"/>
        <w:rPr>
          <w:rFonts w:eastAsiaTheme="minorEastAsia"/>
          <w:sz w:val="24"/>
          <w:szCs w:val="24"/>
          <w:highlight w:val="none"/>
        </w:rPr>
      </w:pPr>
      <w:r>
        <w:rPr>
          <w:rFonts w:eastAsiaTheme="minorEastAsia"/>
          <w:sz w:val="24"/>
          <w:szCs w:val="24"/>
          <w:highlight w:val="none"/>
        </w:rPr>
        <w:br w:type="page"/>
      </w:r>
    </w:p>
    <w:p>
      <w:pPr>
        <w:pStyle w:val="2"/>
        <w:spacing w:before="0" w:after="0" w:line="360" w:lineRule="auto"/>
        <w:rPr>
          <w:sz w:val="24"/>
          <w:szCs w:val="24"/>
          <w:highlight w:val="none"/>
        </w:rPr>
      </w:pPr>
      <w:bookmarkStart w:id="136" w:name="_Toc8416"/>
      <w:bookmarkStart w:id="137" w:name="_Toc414277864"/>
      <w:bookmarkStart w:id="138" w:name="_Toc152088854"/>
      <w:bookmarkStart w:id="139" w:name="_Toc2211"/>
      <w:bookmarkStart w:id="140" w:name="_Toc152602340"/>
      <w:r>
        <w:rPr>
          <w:sz w:val="24"/>
          <w:szCs w:val="24"/>
          <w:highlight w:val="none"/>
        </w:rPr>
        <w:t>附件三：</w:t>
      </w:r>
      <w:bookmarkEnd w:id="136"/>
      <w:bookmarkEnd w:id="137"/>
      <w:bookmarkEnd w:id="138"/>
      <w:bookmarkEnd w:id="139"/>
      <w:r>
        <w:rPr>
          <w:sz w:val="24"/>
          <w:szCs w:val="24"/>
          <w:highlight w:val="none"/>
        </w:rPr>
        <w:t>送货单（格式）</w:t>
      </w:r>
      <w:bookmarkEnd w:id="140"/>
    </w:p>
    <w:p>
      <w:pPr>
        <w:spacing w:line="360" w:lineRule="auto"/>
        <w:rPr>
          <w:rFonts w:eastAsiaTheme="minorEastAsia"/>
          <w:b/>
          <w:sz w:val="24"/>
          <w:szCs w:val="24"/>
          <w:highlight w:val="none"/>
        </w:rPr>
      </w:pPr>
    </w:p>
    <w:p>
      <w:pPr>
        <w:spacing w:line="360" w:lineRule="auto"/>
        <w:ind w:right="141" w:rightChars="67" w:firstLine="240" w:firstLineChars="100"/>
        <w:jc w:val="right"/>
        <w:rPr>
          <w:rFonts w:eastAsiaTheme="minorEastAsia"/>
          <w:kern w:val="0"/>
          <w:sz w:val="24"/>
          <w:szCs w:val="24"/>
          <w:highlight w:val="none"/>
        </w:rPr>
      </w:pPr>
      <w:r>
        <w:rPr>
          <w:rFonts w:eastAsiaTheme="minorEastAsia"/>
          <w:sz w:val="24"/>
          <w:szCs w:val="24"/>
          <w:highlight w:val="none"/>
        </w:rPr>
        <w:t xml:space="preserve">             </w:t>
      </w:r>
      <w:r>
        <w:rPr>
          <w:rFonts w:eastAsiaTheme="minorEastAsia"/>
          <w:color w:val="FF0000"/>
          <w:sz w:val="24"/>
          <w:szCs w:val="24"/>
          <w:highlight w:val="none"/>
        </w:rPr>
        <w:t xml:space="preserve">             </w:t>
      </w:r>
      <w:r>
        <w:rPr>
          <w:rFonts w:eastAsiaTheme="minorEastAsia"/>
          <w:b/>
          <w:bCs/>
          <w:sz w:val="24"/>
          <w:szCs w:val="24"/>
          <w:highlight w:val="none"/>
        </w:rPr>
        <w:t xml:space="preserve">                 </w:t>
      </w:r>
      <w:r>
        <w:rPr>
          <w:rFonts w:eastAsiaTheme="minorEastAsia"/>
          <w:sz w:val="24"/>
          <w:szCs w:val="24"/>
          <w:highlight w:val="none"/>
        </w:rPr>
        <w:t xml:space="preserve">           </w:t>
      </w:r>
      <w:r>
        <w:rPr>
          <w:rFonts w:eastAsiaTheme="minorEastAsia"/>
          <w:b/>
          <w:bCs/>
          <w:sz w:val="24"/>
          <w:szCs w:val="24"/>
          <w:highlight w:val="none"/>
        </w:rPr>
        <w:t xml:space="preserve"> No.</w:t>
      </w:r>
      <w:r>
        <w:rPr>
          <w:rFonts w:eastAsiaTheme="minorEastAsia"/>
          <w:sz w:val="24"/>
          <w:szCs w:val="24"/>
          <w:highlight w:val="none"/>
        </w:rPr>
        <w:t xml:space="preserve"> XXX</w:t>
      </w:r>
    </w:p>
    <w:p>
      <w:pPr>
        <w:spacing w:line="360" w:lineRule="auto"/>
        <w:ind w:left="139" w:right="-519" w:rightChars="-247" w:hanging="139" w:hangingChars="58"/>
        <w:rPr>
          <w:rFonts w:eastAsiaTheme="minorEastAsia"/>
          <w:sz w:val="24"/>
          <w:szCs w:val="24"/>
          <w:highlight w:val="none"/>
        </w:rPr>
      </w:pPr>
      <w:r>
        <w:rPr>
          <w:rFonts w:eastAsiaTheme="minorEastAsia"/>
          <w:sz w:val="24"/>
          <w:szCs w:val="24"/>
          <w:highlight w:val="none"/>
        </w:rPr>
        <w:t>收货单位:</w:t>
      </w:r>
      <w:r>
        <w:rPr>
          <w:rFonts w:eastAsiaTheme="minorEastAsia"/>
          <w:sz w:val="24"/>
          <w:szCs w:val="24"/>
          <w:highlight w:val="none"/>
          <w:u w:val="single"/>
        </w:rPr>
        <w:t xml:space="preserve">                            </w:t>
      </w:r>
      <w:r>
        <w:rPr>
          <w:rFonts w:eastAsiaTheme="minorEastAsia"/>
          <w:sz w:val="24"/>
          <w:szCs w:val="24"/>
          <w:highlight w:val="none"/>
        </w:rPr>
        <w:t xml:space="preserve">   送货单位：</w:t>
      </w:r>
      <w:r>
        <w:rPr>
          <w:rFonts w:eastAsiaTheme="minorEastAsia"/>
          <w:sz w:val="24"/>
          <w:szCs w:val="24"/>
          <w:highlight w:val="none"/>
          <w:u w:val="single"/>
        </w:rPr>
        <w:t xml:space="preserve">                           </w:t>
      </w:r>
      <w:r>
        <w:rPr>
          <w:rFonts w:eastAsiaTheme="minorEastAsia"/>
          <w:sz w:val="24"/>
          <w:szCs w:val="24"/>
          <w:highlight w:val="none"/>
        </w:rPr>
        <w:t xml:space="preserve">   </w:t>
      </w:r>
    </w:p>
    <w:p>
      <w:pPr>
        <w:spacing w:line="360" w:lineRule="auto"/>
        <w:ind w:left="-210" w:leftChars="-100" w:right="-519" w:rightChars="-247" w:firstLine="208" w:firstLineChars="87"/>
        <w:rPr>
          <w:rFonts w:eastAsiaTheme="minorEastAsia"/>
          <w:sz w:val="24"/>
          <w:szCs w:val="24"/>
          <w:highlight w:val="none"/>
        </w:rPr>
      </w:pPr>
      <w:r>
        <w:rPr>
          <w:rFonts w:eastAsiaTheme="minorEastAsia"/>
          <w:sz w:val="24"/>
          <w:szCs w:val="24"/>
          <w:highlight w:val="none"/>
        </w:rPr>
        <w:t>交货地点:</w:t>
      </w:r>
      <w:r>
        <w:rPr>
          <w:rFonts w:eastAsiaTheme="minorEastAsia"/>
          <w:sz w:val="24"/>
          <w:szCs w:val="24"/>
          <w:highlight w:val="none"/>
          <w:u w:val="single"/>
        </w:rPr>
        <w:t xml:space="preserve">                            </w:t>
      </w:r>
      <w:r>
        <w:rPr>
          <w:rFonts w:eastAsiaTheme="minorEastAsia"/>
          <w:sz w:val="24"/>
          <w:szCs w:val="24"/>
          <w:highlight w:val="none"/>
        </w:rPr>
        <w:t xml:space="preserve"> </w:t>
      </w:r>
    </w:p>
    <w:p>
      <w:pPr>
        <w:spacing w:line="360" w:lineRule="auto"/>
        <w:ind w:left="-210" w:leftChars="-100" w:right="-519" w:rightChars="-247" w:firstLine="208" w:firstLineChars="87"/>
        <w:rPr>
          <w:rFonts w:eastAsiaTheme="minorEastAsia"/>
          <w:sz w:val="24"/>
          <w:szCs w:val="24"/>
          <w:highlight w:val="none"/>
        </w:rPr>
      </w:pPr>
      <w:r>
        <w:rPr>
          <w:rFonts w:eastAsiaTheme="minorEastAsia"/>
          <w:sz w:val="24"/>
          <w:szCs w:val="24"/>
          <w:highlight w:val="none"/>
        </w:rPr>
        <w:t>合同号:</w:t>
      </w:r>
      <w:r>
        <w:rPr>
          <w:rFonts w:eastAsiaTheme="minorEastAsia"/>
          <w:sz w:val="24"/>
          <w:szCs w:val="24"/>
          <w:highlight w:val="none"/>
          <w:u w:val="single"/>
        </w:rPr>
        <w:t xml:space="preserve">                               </w:t>
      </w:r>
      <w:r>
        <w:rPr>
          <w:rFonts w:eastAsiaTheme="minorEastAsia"/>
          <w:sz w:val="24"/>
          <w:szCs w:val="24"/>
          <w:highlight w:val="none"/>
        </w:rPr>
        <w:t xml:space="preserve">  ERP采购订单号：</w:t>
      </w:r>
      <w:r>
        <w:rPr>
          <w:rFonts w:eastAsiaTheme="minorEastAsia"/>
          <w:sz w:val="24"/>
          <w:szCs w:val="24"/>
          <w:highlight w:val="none"/>
          <w:u w:val="single"/>
        </w:rPr>
        <w:t xml:space="preserve">                      </w:t>
      </w:r>
      <w:r>
        <w:rPr>
          <w:rFonts w:eastAsiaTheme="minorEastAsia"/>
          <w:sz w:val="24"/>
          <w:szCs w:val="24"/>
          <w:highlight w:val="none"/>
        </w:rPr>
        <w:t xml:space="preserve">                                                   </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1748"/>
        <w:gridCol w:w="3182"/>
        <w:gridCol w:w="821"/>
        <w:gridCol w:w="1026"/>
        <w:gridCol w:w="2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tcBorders>
              <w:top w:val="single" w:color="auto" w:sz="4" w:space="0"/>
              <w:left w:val="single" w:color="auto" w:sz="4" w:space="0"/>
              <w:bottom w:val="single" w:color="auto" w:sz="4" w:space="0"/>
              <w:right w:val="single" w:color="auto" w:sz="4" w:space="0"/>
            </w:tcBorders>
          </w:tcPr>
          <w:p>
            <w:pPr>
              <w:spacing w:line="360" w:lineRule="auto"/>
              <w:jc w:val="center"/>
              <w:rPr>
                <w:rFonts w:eastAsiaTheme="minorEastAsia"/>
                <w:sz w:val="24"/>
                <w:szCs w:val="24"/>
                <w:highlight w:val="none"/>
              </w:rPr>
            </w:pPr>
            <w:r>
              <w:rPr>
                <w:rFonts w:eastAsiaTheme="minorEastAsia"/>
                <w:sz w:val="24"/>
                <w:szCs w:val="24"/>
                <w:highlight w:val="none"/>
              </w:rPr>
              <w:t>序号</w:t>
            </w:r>
          </w:p>
        </w:tc>
        <w:tc>
          <w:tcPr>
            <w:tcW w:w="913" w:type="pct"/>
            <w:tcBorders>
              <w:top w:val="single" w:color="auto" w:sz="4" w:space="0"/>
              <w:left w:val="single" w:color="auto" w:sz="4" w:space="0"/>
              <w:bottom w:val="single" w:color="auto" w:sz="4" w:space="0"/>
              <w:right w:val="single" w:color="auto" w:sz="4" w:space="0"/>
            </w:tcBorders>
          </w:tcPr>
          <w:p>
            <w:pPr>
              <w:spacing w:line="360" w:lineRule="auto"/>
              <w:jc w:val="center"/>
              <w:rPr>
                <w:rFonts w:eastAsiaTheme="minorEastAsia"/>
                <w:sz w:val="24"/>
                <w:szCs w:val="24"/>
                <w:highlight w:val="none"/>
              </w:rPr>
            </w:pPr>
            <w:r>
              <w:rPr>
                <w:rFonts w:eastAsiaTheme="minorEastAsia"/>
                <w:sz w:val="24"/>
                <w:szCs w:val="24"/>
                <w:highlight w:val="none"/>
              </w:rPr>
              <w:t>SAP物料号</w:t>
            </w:r>
          </w:p>
        </w:tc>
        <w:tc>
          <w:tcPr>
            <w:tcW w:w="1662" w:type="pct"/>
            <w:tcBorders>
              <w:top w:val="single" w:color="auto" w:sz="4" w:space="0"/>
              <w:left w:val="single" w:color="auto" w:sz="4" w:space="0"/>
              <w:bottom w:val="single" w:color="auto" w:sz="4" w:space="0"/>
              <w:right w:val="single" w:color="auto" w:sz="4" w:space="0"/>
            </w:tcBorders>
          </w:tcPr>
          <w:p>
            <w:pPr>
              <w:spacing w:line="360" w:lineRule="auto"/>
              <w:jc w:val="center"/>
              <w:rPr>
                <w:rFonts w:eastAsiaTheme="minorEastAsia"/>
                <w:sz w:val="24"/>
                <w:szCs w:val="24"/>
                <w:highlight w:val="none"/>
              </w:rPr>
            </w:pPr>
            <w:r>
              <w:rPr>
                <w:rFonts w:eastAsiaTheme="minorEastAsia"/>
                <w:sz w:val="24"/>
                <w:szCs w:val="24"/>
                <w:highlight w:val="none"/>
              </w:rPr>
              <w:t>货物品牌、名称、规格</w:t>
            </w:r>
          </w:p>
        </w:tc>
        <w:tc>
          <w:tcPr>
            <w:tcW w:w="429" w:type="pct"/>
            <w:tcBorders>
              <w:top w:val="single" w:color="auto" w:sz="4" w:space="0"/>
              <w:left w:val="single" w:color="auto" w:sz="4" w:space="0"/>
              <w:bottom w:val="single" w:color="auto" w:sz="4" w:space="0"/>
              <w:right w:val="single" w:color="auto" w:sz="4" w:space="0"/>
            </w:tcBorders>
          </w:tcPr>
          <w:p>
            <w:pPr>
              <w:spacing w:line="360" w:lineRule="auto"/>
              <w:jc w:val="center"/>
              <w:rPr>
                <w:rFonts w:eastAsiaTheme="minorEastAsia"/>
                <w:sz w:val="24"/>
                <w:szCs w:val="24"/>
                <w:highlight w:val="none"/>
              </w:rPr>
            </w:pPr>
            <w:r>
              <w:rPr>
                <w:rFonts w:eastAsiaTheme="minorEastAsia"/>
                <w:sz w:val="24"/>
                <w:szCs w:val="24"/>
                <w:highlight w:val="none"/>
              </w:rPr>
              <w:t>单位</w:t>
            </w:r>
          </w:p>
        </w:tc>
        <w:tc>
          <w:tcPr>
            <w:tcW w:w="536" w:type="pct"/>
            <w:tcBorders>
              <w:top w:val="single" w:color="auto" w:sz="4" w:space="0"/>
              <w:left w:val="single" w:color="auto" w:sz="4" w:space="0"/>
              <w:bottom w:val="single" w:color="auto" w:sz="4" w:space="0"/>
              <w:right w:val="single" w:color="auto" w:sz="4" w:space="0"/>
            </w:tcBorders>
          </w:tcPr>
          <w:p>
            <w:pPr>
              <w:spacing w:line="360" w:lineRule="auto"/>
              <w:jc w:val="center"/>
              <w:rPr>
                <w:rFonts w:eastAsiaTheme="minorEastAsia"/>
                <w:sz w:val="24"/>
                <w:szCs w:val="24"/>
                <w:highlight w:val="none"/>
              </w:rPr>
            </w:pPr>
            <w:r>
              <w:rPr>
                <w:rFonts w:eastAsiaTheme="minorEastAsia"/>
                <w:sz w:val="24"/>
                <w:szCs w:val="24"/>
                <w:highlight w:val="none"/>
              </w:rPr>
              <w:t>数量</w:t>
            </w:r>
          </w:p>
        </w:tc>
        <w:tc>
          <w:tcPr>
            <w:tcW w:w="1073" w:type="pct"/>
            <w:tcBorders>
              <w:top w:val="single" w:color="auto" w:sz="4" w:space="0"/>
              <w:left w:val="single" w:color="auto" w:sz="4" w:space="0"/>
              <w:bottom w:val="single" w:color="auto" w:sz="4" w:space="0"/>
              <w:right w:val="single" w:color="auto" w:sz="4" w:space="0"/>
            </w:tcBorders>
          </w:tcPr>
          <w:p>
            <w:pPr>
              <w:spacing w:line="360" w:lineRule="auto"/>
              <w:jc w:val="center"/>
              <w:rPr>
                <w:rFonts w:eastAsiaTheme="minorEastAsia"/>
                <w:sz w:val="24"/>
                <w:szCs w:val="24"/>
                <w:highlight w:val="none"/>
              </w:rPr>
            </w:pPr>
            <w:r>
              <w:rPr>
                <w:rFonts w:eastAsiaTheme="minorEastAsia"/>
                <w:sz w:val="24"/>
                <w:szCs w:val="24"/>
                <w:highlight w:val="none"/>
              </w:rPr>
              <w:t>合同清单序号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913"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1662"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429"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536"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1073"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913"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1662"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429"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536"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1073"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913"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1662"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429"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536"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1073"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913"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1662"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429"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536"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1073"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913"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1662"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429"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536"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1073"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913"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1662"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429"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536"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1073"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913"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1662"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429"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536"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1073"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913"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1662"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429"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536"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1073"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913"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1662"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429"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536"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1073"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913"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1662"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429"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536"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1073"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913"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1662"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429"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536"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1073"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913"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1662"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429"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536"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1073"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913"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1662"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429"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536"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1073"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r>
    </w:tbl>
    <w:p>
      <w:pPr>
        <w:spacing w:line="360" w:lineRule="auto"/>
        <w:ind w:left="-210" w:leftChars="-100" w:right="-519" w:rightChars="-247" w:firstLine="208" w:firstLineChars="87"/>
        <w:rPr>
          <w:rFonts w:eastAsiaTheme="minorEastAsia"/>
          <w:sz w:val="24"/>
          <w:szCs w:val="24"/>
          <w:highlight w:val="none"/>
        </w:rPr>
      </w:pPr>
      <w:r>
        <w:rPr>
          <w:rFonts w:eastAsiaTheme="minorEastAsia"/>
          <w:sz w:val="24"/>
          <w:szCs w:val="24"/>
          <w:highlight w:val="none"/>
        </w:rPr>
        <w:t>收货人（签名）：</w:t>
      </w:r>
      <w:r>
        <w:rPr>
          <w:rFonts w:eastAsiaTheme="minorEastAsia"/>
          <w:sz w:val="24"/>
          <w:szCs w:val="24"/>
          <w:highlight w:val="none"/>
          <w:u w:val="single"/>
        </w:rPr>
        <w:t xml:space="preserve">                  </w:t>
      </w:r>
      <w:r>
        <w:rPr>
          <w:rFonts w:eastAsiaTheme="minorEastAsia"/>
          <w:sz w:val="24"/>
          <w:szCs w:val="24"/>
          <w:highlight w:val="none"/>
        </w:rPr>
        <w:t xml:space="preserve">       送货人（签名）：</w:t>
      </w:r>
      <w:r>
        <w:rPr>
          <w:rFonts w:eastAsiaTheme="minorEastAsia"/>
          <w:sz w:val="24"/>
          <w:szCs w:val="24"/>
          <w:highlight w:val="none"/>
          <w:u w:val="single"/>
        </w:rPr>
        <w:t xml:space="preserve">                 </w:t>
      </w:r>
      <w:r>
        <w:rPr>
          <w:rFonts w:eastAsiaTheme="minorEastAsia"/>
          <w:sz w:val="24"/>
          <w:szCs w:val="24"/>
          <w:highlight w:val="none"/>
        </w:rPr>
        <w:t xml:space="preserve"> </w:t>
      </w:r>
    </w:p>
    <w:p>
      <w:pPr>
        <w:spacing w:line="360" w:lineRule="auto"/>
        <w:ind w:left="-210" w:leftChars="-100" w:right="-519" w:rightChars="-247" w:firstLine="208" w:firstLineChars="87"/>
        <w:rPr>
          <w:rFonts w:eastAsiaTheme="minorEastAsia"/>
          <w:sz w:val="24"/>
          <w:szCs w:val="24"/>
          <w:highlight w:val="none"/>
        </w:rPr>
      </w:pPr>
      <w:r>
        <w:rPr>
          <w:rFonts w:eastAsiaTheme="minorEastAsia"/>
          <w:sz w:val="24"/>
          <w:szCs w:val="24"/>
          <w:highlight w:val="none"/>
        </w:rPr>
        <w:t>日期：</w:t>
      </w:r>
      <w:r>
        <w:rPr>
          <w:rFonts w:eastAsiaTheme="minorEastAsia"/>
          <w:sz w:val="24"/>
          <w:szCs w:val="24"/>
          <w:highlight w:val="none"/>
          <w:u w:val="single"/>
        </w:rPr>
        <w:t xml:space="preserve">                           </w:t>
      </w:r>
      <w:r>
        <w:rPr>
          <w:rFonts w:eastAsiaTheme="minorEastAsia"/>
          <w:sz w:val="24"/>
          <w:szCs w:val="24"/>
          <w:highlight w:val="none"/>
        </w:rPr>
        <w:t xml:space="preserve">        日期：</w:t>
      </w:r>
      <w:r>
        <w:rPr>
          <w:rFonts w:eastAsiaTheme="minorEastAsia"/>
          <w:sz w:val="24"/>
          <w:szCs w:val="24"/>
          <w:highlight w:val="none"/>
          <w:u w:val="single"/>
        </w:rPr>
        <w:t xml:space="preserve">                          </w:t>
      </w:r>
    </w:p>
    <w:p>
      <w:pPr>
        <w:spacing w:line="360" w:lineRule="auto"/>
        <w:ind w:left="-210" w:leftChars="-100" w:right="-519" w:rightChars="-247"/>
        <w:rPr>
          <w:rFonts w:eastAsiaTheme="minorEastAsia"/>
          <w:sz w:val="24"/>
          <w:szCs w:val="24"/>
          <w:highlight w:val="none"/>
        </w:rPr>
      </w:pPr>
    </w:p>
    <w:p>
      <w:pPr>
        <w:spacing w:line="360" w:lineRule="auto"/>
        <w:ind w:left="-210" w:leftChars="-100" w:right="-519" w:rightChars="-247" w:firstLine="208" w:firstLineChars="87"/>
        <w:rPr>
          <w:rFonts w:eastAsiaTheme="minorEastAsia"/>
          <w:sz w:val="24"/>
          <w:szCs w:val="24"/>
          <w:highlight w:val="none"/>
        </w:rPr>
      </w:pPr>
      <w:r>
        <w:rPr>
          <w:rFonts w:eastAsiaTheme="minorEastAsia"/>
          <w:sz w:val="24"/>
          <w:szCs w:val="24"/>
          <w:highlight w:val="none"/>
        </w:rPr>
        <w:t>买方验收审核人：</w:t>
      </w:r>
      <w:r>
        <w:rPr>
          <w:rFonts w:eastAsiaTheme="minorEastAsia"/>
          <w:sz w:val="24"/>
          <w:szCs w:val="24"/>
          <w:highlight w:val="none"/>
          <w:u w:val="single"/>
        </w:rPr>
        <w:t xml:space="preserve">                </w:t>
      </w:r>
    </w:p>
    <w:p>
      <w:pPr>
        <w:widowControl/>
        <w:spacing w:line="360" w:lineRule="auto"/>
        <w:jc w:val="left"/>
        <w:rPr>
          <w:rFonts w:eastAsiaTheme="minorEastAsia"/>
          <w:b/>
          <w:sz w:val="24"/>
          <w:szCs w:val="24"/>
          <w:highlight w:val="none"/>
        </w:rPr>
      </w:pPr>
      <w:r>
        <w:rPr>
          <w:rFonts w:eastAsiaTheme="minorEastAsia"/>
          <w:b/>
          <w:sz w:val="24"/>
          <w:szCs w:val="24"/>
          <w:highlight w:val="none"/>
        </w:rPr>
        <w:br w:type="page"/>
      </w:r>
    </w:p>
    <w:p>
      <w:pPr>
        <w:pStyle w:val="2"/>
        <w:spacing w:before="0" w:after="0" w:line="360" w:lineRule="auto"/>
        <w:rPr>
          <w:sz w:val="24"/>
          <w:szCs w:val="24"/>
          <w:highlight w:val="none"/>
        </w:rPr>
      </w:pPr>
      <w:bookmarkStart w:id="141" w:name="_Toc152088855"/>
      <w:bookmarkStart w:id="142" w:name="_Toc3521"/>
      <w:bookmarkStart w:id="143" w:name="_Toc414277865"/>
      <w:bookmarkStart w:id="144" w:name="_Toc29171"/>
      <w:bookmarkStart w:id="145" w:name="_Toc152602341"/>
      <w:r>
        <w:rPr>
          <w:sz w:val="24"/>
          <w:szCs w:val="24"/>
          <w:highlight w:val="none"/>
        </w:rPr>
        <w:t>附件四：验收标准及验收记录（格式）</w:t>
      </w:r>
      <w:bookmarkEnd w:id="141"/>
      <w:bookmarkEnd w:id="142"/>
      <w:bookmarkEnd w:id="143"/>
      <w:bookmarkEnd w:id="144"/>
      <w:bookmarkEnd w:id="145"/>
    </w:p>
    <w:p>
      <w:pPr>
        <w:spacing w:line="360" w:lineRule="auto"/>
        <w:ind w:left="-372" w:leftChars="-177"/>
        <w:rPr>
          <w:rFonts w:eastAsiaTheme="minorEastAsia"/>
          <w:b/>
          <w:iCs/>
          <w:sz w:val="24"/>
          <w:szCs w:val="24"/>
          <w:highlight w:val="none"/>
        </w:rPr>
      </w:pPr>
    </w:p>
    <w:p>
      <w:pPr>
        <w:spacing w:line="360" w:lineRule="auto"/>
        <w:ind w:left="-372" w:leftChars="-177" w:firstLine="229" w:firstLineChars="95"/>
        <w:rPr>
          <w:rFonts w:eastAsiaTheme="minorEastAsia"/>
          <w:kern w:val="0"/>
          <w:sz w:val="24"/>
          <w:szCs w:val="24"/>
          <w:highlight w:val="none"/>
        </w:rPr>
      </w:pPr>
      <w:r>
        <w:rPr>
          <w:rFonts w:eastAsiaTheme="minorEastAsia"/>
          <w:b/>
          <w:iCs/>
          <w:sz w:val="24"/>
          <w:szCs w:val="24"/>
          <w:highlight w:val="none"/>
        </w:rPr>
        <w:t>（一）验收标准</w:t>
      </w:r>
    </w:p>
    <w:p>
      <w:pPr>
        <w:spacing w:line="360" w:lineRule="auto"/>
        <w:rPr>
          <w:rFonts w:eastAsiaTheme="minorEastAsia"/>
          <w:sz w:val="24"/>
          <w:szCs w:val="24"/>
          <w:highlight w:val="none"/>
        </w:rPr>
      </w:pPr>
    </w:p>
    <w:p>
      <w:pPr>
        <w:spacing w:line="360" w:lineRule="auto"/>
        <w:ind w:left="-372" w:leftChars="-177" w:firstLine="229" w:firstLineChars="95"/>
        <w:rPr>
          <w:rFonts w:eastAsiaTheme="minorEastAsia"/>
          <w:iCs/>
          <w:sz w:val="24"/>
          <w:szCs w:val="24"/>
          <w:highlight w:val="none"/>
        </w:rPr>
      </w:pPr>
      <w:r>
        <w:rPr>
          <w:rFonts w:eastAsiaTheme="minorEastAsia"/>
          <w:b/>
          <w:sz w:val="24"/>
          <w:szCs w:val="24"/>
          <w:highlight w:val="none"/>
        </w:rPr>
        <w:t>（二）</w:t>
      </w:r>
      <w:r>
        <w:rPr>
          <w:rFonts w:eastAsiaTheme="minorEastAsia"/>
          <w:b/>
          <w:iCs/>
          <w:sz w:val="24"/>
          <w:szCs w:val="24"/>
          <w:highlight w:val="none"/>
        </w:rPr>
        <w:t>验收记录</w:t>
      </w:r>
    </w:p>
    <w:p>
      <w:pPr>
        <w:spacing w:line="360" w:lineRule="auto"/>
        <w:rPr>
          <w:rFonts w:eastAsiaTheme="minorEastAsia"/>
          <w:sz w:val="24"/>
          <w:szCs w:val="24"/>
          <w:highlight w:val="none"/>
        </w:rPr>
      </w:pPr>
    </w:p>
    <w:p>
      <w:pPr>
        <w:tabs>
          <w:tab w:val="left" w:pos="8505"/>
        </w:tabs>
        <w:spacing w:line="360" w:lineRule="auto"/>
        <w:ind w:right="-124" w:rightChars="-59" w:firstLine="241" w:firstLineChars="100"/>
        <w:jc w:val="right"/>
        <w:rPr>
          <w:rFonts w:eastAsiaTheme="minorEastAsia"/>
          <w:sz w:val="24"/>
          <w:szCs w:val="24"/>
          <w:highlight w:val="none"/>
        </w:rPr>
      </w:pPr>
      <w:r>
        <w:rPr>
          <w:rFonts w:eastAsiaTheme="minorEastAsia"/>
          <w:b/>
          <w:bCs/>
          <w:sz w:val="24"/>
          <w:szCs w:val="24"/>
          <w:highlight w:val="none"/>
        </w:rPr>
        <w:t>No.</w:t>
      </w:r>
      <w:r>
        <w:rPr>
          <w:rFonts w:eastAsiaTheme="minorEastAsia"/>
          <w:sz w:val="24"/>
          <w:szCs w:val="24"/>
          <w:highlight w:val="none"/>
        </w:rPr>
        <w:t xml:space="preserve"> XXX</w:t>
      </w:r>
    </w:p>
    <w:p>
      <w:pPr>
        <w:spacing w:line="360" w:lineRule="auto"/>
        <w:ind w:left="-210" w:leftChars="-100" w:right="-519" w:rightChars="-247" w:firstLine="208" w:firstLineChars="87"/>
        <w:rPr>
          <w:rFonts w:eastAsiaTheme="minorEastAsia"/>
          <w:sz w:val="24"/>
          <w:szCs w:val="24"/>
          <w:highlight w:val="none"/>
        </w:rPr>
      </w:pPr>
      <w:r>
        <w:rPr>
          <w:rFonts w:eastAsiaTheme="minorEastAsia"/>
          <w:sz w:val="24"/>
          <w:szCs w:val="24"/>
          <w:highlight w:val="none"/>
        </w:rPr>
        <w:t>收货单位:</w:t>
      </w:r>
      <w:r>
        <w:rPr>
          <w:rFonts w:eastAsiaTheme="minorEastAsia"/>
          <w:sz w:val="24"/>
          <w:szCs w:val="24"/>
          <w:highlight w:val="none"/>
          <w:u w:val="single"/>
        </w:rPr>
        <w:t xml:space="preserve">                            </w:t>
      </w:r>
      <w:r>
        <w:rPr>
          <w:rFonts w:eastAsiaTheme="minorEastAsia"/>
          <w:sz w:val="24"/>
          <w:szCs w:val="24"/>
          <w:highlight w:val="none"/>
        </w:rPr>
        <w:t xml:space="preserve">   送货单位：</w:t>
      </w:r>
      <w:r>
        <w:rPr>
          <w:rFonts w:eastAsiaTheme="minorEastAsia"/>
          <w:sz w:val="24"/>
          <w:szCs w:val="24"/>
          <w:highlight w:val="none"/>
          <w:u w:val="single"/>
        </w:rPr>
        <w:t xml:space="preserve">                           </w:t>
      </w:r>
      <w:r>
        <w:rPr>
          <w:rFonts w:eastAsiaTheme="minorEastAsia"/>
          <w:sz w:val="24"/>
          <w:szCs w:val="24"/>
          <w:highlight w:val="none"/>
        </w:rPr>
        <w:t xml:space="preserve">   </w:t>
      </w:r>
    </w:p>
    <w:p>
      <w:pPr>
        <w:spacing w:line="360" w:lineRule="auto"/>
        <w:ind w:left="-210" w:leftChars="-100" w:right="-519" w:rightChars="-247" w:firstLine="208" w:firstLineChars="87"/>
        <w:rPr>
          <w:rFonts w:eastAsiaTheme="minorEastAsia"/>
          <w:sz w:val="24"/>
          <w:szCs w:val="24"/>
          <w:highlight w:val="none"/>
        </w:rPr>
      </w:pPr>
      <w:r>
        <w:rPr>
          <w:rFonts w:eastAsiaTheme="minorEastAsia"/>
          <w:sz w:val="24"/>
          <w:szCs w:val="24"/>
          <w:highlight w:val="none"/>
        </w:rPr>
        <w:t>交货地点:</w:t>
      </w:r>
      <w:r>
        <w:rPr>
          <w:rFonts w:eastAsiaTheme="minorEastAsia"/>
          <w:sz w:val="24"/>
          <w:szCs w:val="24"/>
          <w:highlight w:val="none"/>
          <w:u w:val="single"/>
        </w:rPr>
        <w:t xml:space="preserve">                            </w:t>
      </w:r>
      <w:r>
        <w:rPr>
          <w:rFonts w:eastAsiaTheme="minorEastAsia"/>
          <w:sz w:val="24"/>
          <w:szCs w:val="24"/>
          <w:highlight w:val="none"/>
        </w:rPr>
        <w:t xml:space="preserve"> </w:t>
      </w:r>
    </w:p>
    <w:p>
      <w:pPr>
        <w:spacing w:line="360" w:lineRule="auto"/>
        <w:ind w:left="-210" w:leftChars="-100" w:right="-519" w:rightChars="-247" w:firstLine="208" w:firstLineChars="87"/>
        <w:rPr>
          <w:rFonts w:eastAsiaTheme="minorEastAsia"/>
          <w:sz w:val="24"/>
          <w:szCs w:val="24"/>
          <w:highlight w:val="none"/>
        </w:rPr>
      </w:pPr>
      <w:r>
        <w:rPr>
          <w:rFonts w:eastAsiaTheme="minorEastAsia"/>
          <w:sz w:val="24"/>
          <w:szCs w:val="24"/>
          <w:highlight w:val="none"/>
        </w:rPr>
        <w:t>合同号:</w:t>
      </w:r>
      <w:r>
        <w:rPr>
          <w:rFonts w:eastAsiaTheme="minorEastAsia"/>
          <w:sz w:val="24"/>
          <w:szCs w:val="24"/>
          <w:highlight w:val="none"/>
          <w:u w:val="single"/>
        </w:rPr>
        <w:t xml:space="preserve">                               </w:t>
      </w:r>
      <w:r>
        <w:rPr>
          <w:rFonts w:eastAsiaTheme="minorEastAsia"/>
          <w:sz w:val="24"/>
          <w:szCs w:val="24"/>
          <w:highlight w:val="none"/>
        </w:rPr>
        <w:t xml:space="preserve">  ERP采购订单号：</w:t>
      </w:r>
      <w:r>
        <w:rPr>
          <w:rFonts w:eastAsiaTheme="minorEastAsia"/>
          <w:sz w:val="24"/>
          <w:szCs w:val="24"/>
          <w:highlight w:val="none"/>
          <w:u w:val="single"/>
        </w:rPr>
        <w:t xml:space="preserve">                      </w:t>
      </w:r>
      <w:r>
        <w:rPr>
          <w:rFonts w:eastAsiaTheme="minorEastAsia"/>
          <w:sz w:val="24"/>
          <w:szCs w:val="24"/>
          <w:highlight w:val="none"/>
        </w:rPr>
        <w:t xml:space="preserve">                                                   </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1493"/>
        <w:gridCol w:w="2758"/>
        <w:gridCol w:w="727"/>
        <w:gridCol w:w="871"/>
        <w:gridCol w:w="1744"/>
        <w:gridCol w:w="1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Theme="minorEastAsia"/>
                <w:sz w:val="24"/>
                <w:szCs w:val="24"/>
                <w:highlight w:val="none"/>
              </w:rPr>
            </w:pPr>
            <w:r>
              <w:rPr>
                <w:rFonts w:eastAsiaTheme="minorEastAsia"/>
                <w:sz w:val="24"/>
                <w:szCs w:val="24"/>
                <w:highlight w:val="none"/>
              </w:rPr>
              <w:t>序号</w:t>
            </w:r>
          </w:p>
        </w:tc>
        <w:tc>
          <w:tcPr>
            <w:tcW w:w="78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Theme="minorEastAsia"/>
                <w:sz w:val="24"/>
                <w:szCs w:val="24"/>
                <w:highlight w:val="none"/>
              </w:rPr>
            </w:pPr>
            <w:r>
              <w:rPr>
                <w:rFonts w:eastAsiaTheme="minorEastAsia"/>
                <w:sz w:val="24"/>
                <w:szCs w:val="24"/>
                <w:highlight w:val="none"/>
              </w:rPr>
              <w:t>SAP物料号</w:t>
            </w:r>
          </w:p>
        </w:tc>
        <w:tc>
          <w:tcPr>
            <w:tcW w:w="144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Theme="minorEastAsia"/>
                <w:sz w:val="24"/>
                <w:szCs w:val="24"/>
                <w:highlight w:val="none"/>
              </w:rPr>
            </w:pPr>
            <w:r>
              <w:rPr>
                <w:rFonts w:eastAsiaTheme="minorEastAsia"/>
                <w:sz w:val="24"/>
                <w:szCs w:val="24"/>
                <w:highlight w:val="none"/>
              </w:rPr>
              <w:t>货物品牌、名称、规格</w:t>
            </w:r>
          </w:p>
        </w:tc>
        <w:tc>
          <w:tcPr>
            <w:tcW w:w="38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Theme="minorEastAsia"/>
                <w:sz w:val="24"/>
                <w:szCs w:val="24"/>
                <w:highlight w:val="none"/>
              </w:rPr>
            </w:pPr>
            <w:r>
              <w:rPr>
                <w:rFonts w:eastAsiaTheme="minorEastAsia"/>
                <w:sz w:val="24"/>
                <w:szCs w:val="24"/>
                <w:highlight w:val="none"/>
              </w:rPr>
              <w:t>单位</w:t>
            </w:r>
          </w:p>
        </w:tc>
        <w:tc>
          <w:tcPr>
            <w:tcW w:w="45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Theme="minorEastAsia"/>
                <w:sz w:val="24"/>
                <w:szCs w:val="24"/>
                <w:highlight w:val="none"/>
              </w:rPr>
            </w:pPr>
            <w:r>
              <w:rPr>
                <w:rFonts w:eastAsiaTheme="minorEastAsia"/>
                <w:sz w:val="24"/>
                <w:szCs w:val="24"/>
                <w:highlight w:val="none"/>
              </w:rPr>
              <w:t>数量</w:t>
            </w:r>
          </w:p>
        </w:tc>
        <w:tc>
          <w:tcPr>
            <w:tcW w:w="91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Theme="minorEastAsia"/>
                <w:sz w:val="24"/>
                <w:szCs w:val="24"/>
                <w:highlight w:val="none"/>
              </w:rPr>
            </w:pPr>
            <w:r>
              <w:rPr>
                <w:rFonts w:eastAsiaTheme="minorEastAsia"/>
                <w:sz w:val="24"/>
                <w:szCs w:val="24"/>
                <w:highlight w:val="none"/>
              </w:rPr>
              <w:t>合同清单序号</w:t>
            </w:r>
          </w:p>
        </w:tc>
        <w:tc>
          <w:tcPr>
            <w:tcW w:w="75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Theme="minorEastAsia"/>
                <w:sz w:val="24"/>
                <w:szCs w:val="24"/>
                <w:highlight w:val="none"/>
              </w:rPr>
            </w:pPr>
            <w:r>
              <w:rPr>
                <w:rFonts w:eastAsiaTheme="minorEastAsia"/>
                <w:sz w:val="24"/>
                <w:szCs w:val="24"/>
                <w:highlight w:val="none"/>
              </w:rPr>
              <w:t>验收结论</w:t>
            </w:r>
          </w:p>
          <w:p>
            <w:pPr>
              <w:spacing w:line="360" w:lineRule="auto"/>
              <w:jc w:val="center"/>
              <w:rPr>
                <w:rFonts w:eastAsiaTheme="minorEastAsia"/>
                <w:sz w:val="24"/>
                <w:szCs w:val="24"/>
                <w:highlight w:val="none"/>
              </w:rPr>
            </w:pPr>
            <w:r>
              <w:rPr>
                <w:rFonts w:eastAsiaTheme="minorEastAsia"/>
                <w:sz w:val="24"/>
                <w:szCs w:val="24"/>
                <w:highlight w:val="none"/>
              </w:rPr>
              <w:t>/不符项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780"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1441"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380"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455"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911"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755"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780"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1441"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380"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455"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911"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755"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780"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1441"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380"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455"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911"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755"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780"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1441"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380"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455"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911"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755"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780"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1441"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380"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455"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911"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755"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780"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1441"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380"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455"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911"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755"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780"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1441"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380"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455"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911"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755"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780"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1441"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380"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455"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911"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755"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780"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1441"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380"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455"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911"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755"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780"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1441"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380"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455"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911"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755"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780"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1441"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380"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455"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911"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755"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780"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1441"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380"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455"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911"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755"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780"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1441"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380"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455"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911"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c>
          <w:tcPr>
            <w:tcW w:w="755" w:type="pct"/>
            <w:tcBorders>
              <w:top w:val="single" w:color="auto" w:sz="4" w:space="0"/>
              <w:left w:val="single" w:color="auto" w:sz="4" w:space="0"/>
              <w:bottom w:val="single" w:color="auto" w:sz="4" w:space="0"/>
              <w:right w:val="single" w:color="auto" w:sz="4" w:space="0"/>
            </w:tcBorders>
          </w:tcPr>
          <w:p>
            <w:pPr>
              <w:spacing w:line="360" w:lineRule="auto"/>
              <w:ind w:right="-519" w:rightChars="-247"/>
              <w:rPr>
                <w:rFonts w:eastAsiaTheme="minorEastAsia"/>
                <w:sz w:val="24"/>
                <w:szCs w:val="24"/>
                <w:highlight w:val="none"/>
              </w:rPr>
            </w:pPr>
          </w:p>
        </w:tc>
      </w:tr>
    </w:tbl>
    <w:p>
      <w:pPr>
        <w:spacing w:line="360" w:lineRule="auto"/>
        <w:ind w:left="-210" w:leftChars="-100" w:right="-519" w:rightChars="-247" w:firstLine="208" w:firstLineChars="87"/>
        <w:rPr>
          <w:rFonts w:eastAsiaTheme="minorEastAsia"/>
          <w:sz w:val="24"/>
          <w:szCs w:val="24"/>
          <w:highlight w:val="none"/>
        </w:rPr>
      </w:pPr>
      <w:r>
        <w:rPr>
          <w:rFonts w:eastAsiaTheme="minorEastAsia"/>
          <w:sz w:val="24"/>
          <w:szCs w:val="24"/>
          <w:highlight w:val="none"/>
        </w:rPr>
        <w:t>收货人（签名）：</w:t>
      </w:r>
      <w:r>
        <w:rPr>
          <w:rFonts w:eastAsiaTheme="minorEastAsia"/>
          <w:sz w:val="24"/>
          <w:szCs w:val="24"/>
          <w:highlight w:val="none"/>
          <w:u w:val="single"/>
        </w:rPr>
        <w:t xml:space="preserve">                  </w:t>
      </w:r>
      <w:r>
        <w:rPr>
          <w:rFonts w:eastAsiaTheme="minorEastAsia"/>
          <w:sz w:val="24"/>
          <w:szCs w:val="24"/>
          <w:highlight w:val="none"/>
        </w:rPr>
        <w:t xml:space="preserve">       送货人（签名）：</w:t>
      </w:r>
      <w:r>
        <w:rPr>
          <w:rFonts w:eastAsiaTheme="minorEastAsia"/>
          <w:sz w:val="24"/>
          <w:szCs w:val="24"/>
          <w:highlight w:val="none"/>
          <w:u w:val="single"/>
        </w:rPr>
        <w:t xml:space="preserve">                 </w:t>
      </w:r>
      <w:r>
        <w:rPr>
          <w:rFonts w:eastAsiaTheme="minorEastAsia"/>
          <w:sz w:val="24"/>
          <w:szCs w:val="24"/>
          <w:highlight w:val="none"/>
        </w:rPr>
        <w:t xml:space="preserve"> </w:t>
      </w:r>
    </w:p>
    <w:p>
      <w:pPr>
        <w:spacing w:line="360" w:lineRule="auto"/>
        <w:ind w:left="-210" w:leftChars="-100" w:right="-519" w:rightChars="-247" w:firstLine="208" w:firstLineChars="87"/>
        <w:rPr>
          <w:rFonts w:eastAsiaTheme="minorEastAsia"/>
          <w:sz w:val="24"/>
          <w:szCs w:val="24"/>
          <w:highlight w:val="none"/>
        </w:rPr>
      </w:pPr>
      <w:r>
        <w:rPr>
          <w:rFonts w:eastAsiaTheme="minorEastAsia"/>
          <w:sz w:val="24"/>
          <w:szCs w:val="24"/>
          <w:highlight w:val="none"/>
        </w:rPr>
        <w:t>日期：</w:t>
      </w:r>
      <w:r>
        <w:rPr>
          <w:rFonts w:eastAsiaTheme="minorEastAsia"/>
          <w:sz w:val="24"/>
          <w:szCs w:val="24"/>
          <w:highlight w:val="none"/>
          <w:u w:val="single"/>
        </w:rPr>
        <w:t xml:space="preserve">                           </w:t>
      </w:r>
      <w:r>
        <w:rPr>
          <w:rFonts w:eastAsiaTheme="minorEastAsia"/>
          <w:sz w:val="24"/>
          <w:szCs w:val="24"/>
          <w:highlight w:val="none"/>
        </w:rPr>
        <w:t xml:space="preserve">        日期：</w:t>
      </w:r>
      <w:r>
        <w:rPr>
          <w:rFonts w:eastAsiaTheme="minorEastAsia"/>
          <w:sz w:val="24"/>
          <w:szCs w:val="24"/>
          <w:highlight w:val="none"/>
          <w:u w:val="single"/>
        </w:rPr>
        <w:t xml:space="preserve">                          </w:t>
      </w:r>
    </w:p>
    <w:p>
      <w:pPr>
        <w:spacing w:line="360" w:lineRule="auto"/>
        <w:ind w:left="-210" w:leftChars="-100" w:right="-519" w:rightChars="-247"/>
        <w:rPr>
          <w:rFonts w:eastAsiaTheme="minorEastAsia"/>
          <w:sz w:val="24"/>
          <w:szCs w:val="24"/>
          <w:highlight w:val="none"/>
        </w:rPr>
      </w:pPr>
    </w:p>
    <w:p>
      <w:pPr>
        <w:spacing w:line="360" w:lineRule="auto"/>
        <w:rPr>
          <w:rFonts w:eastAsiaTheme="minorEastAsia"/>
          <w:b/>
          <w:sz w:val="24"/>
          <w:szCs w:val="24"/>
          <w:highlight w:val="none"/>
        </w:rPr>
      </w:pPr>
      <w:r>
        <w:rPr>
          <w:rFonts w:eastAsiaTheme="minorEastAsia"/>
          <w:sz w:val="24"/>
          <w:szCs w:val="24"/>
          <w:highlight w:val="none"/>
        </w:rPr>
        <w:t>买方验收审核人：</w:t>
      </w:r>
      <w:r>
        <w:rPr>
          <w:rFonts w:eastAsiaTheme="minorEastAsia"/>
          <w:sz w:val="24"/>
          <w:szCs w:val="24"/>
          <w:highlight w:val="none"/>
          <w:u w:val="single"/>
        </w:rPr>
        <w:t xml:space="preserve">                </w:t>
      </w:r>
    </w:p>
    <w:sectPr>
      <w:footerReference r:id="rId7" w:type="default"/>
      <w:pgSz w:w="11906" w:h="16838"/>
      <w:pgMar w:top="1134" w:right="1134" w:bottom="1020" w:left="1417" w:header="567" w:footer="567" w:gutter="0"/>
      <w:pgNumType w:start="1"/>
      <w:cols w:space="425" w:num="1"/>
      <w:docGrid w:type="lines" w:linePitch="2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楷体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4805732"/>
    </w:sdtPr>
    <w:sdtContent>
      <w:sdt>
        <w:sdtPr>
          <w:id w:val="1728636285"/>
        </w:sdtPr>
        <w:sdtContent>
          <w:p>
            <w:pPr>
              <w:pStyle w:val="9"/>
              <w:jc w:val="center"/>
            </w:pPr>
            <w:r>
              <w:rPr>
                <w:lang w:val="zh-CN"/>
              </w:rPr>
              <w:t xml:space="preserve"> </w:t>
            </w:r>
          </w:p>
        </w:sdtContent>
      </w:sdt>
    </w:sdtContent>
  </w:sdt>
  <w:p>
    <w:pPr>
      <w:rPr>
        <w:rFonts w:eastAsia="方正楷体简体"/>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5"/>
      </w:rPr>
    </w:pPr>
    <w:r>
      <w:rPr>
        <w:rStyle w:val="15"/>
      </w:rPr>
      <w:fldChar w:fldCharType="begin"/>
    </w:r>
    <w:r>
      <w:rPr>
        <w:rStyle w:val="15"/>
      </w:rPr>
      <w:instrText xml:space="preserve">PAGE  </w:instrText>
    </w:r>
    <w:r>
      <w:rPr>
        <w:rStyle w:val="15"/>
      </w:rP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color w:val="auto"/>
      </w:rPr>
      <w:id w:val="1709991812"/>
      <w:docPartObj>
        <w:docPartGallery w:val="autotext"/>
      </w:docPartObj>
    </w:sdtPr>
    <w:sdtEndPr>
      <w:rPr>
        <w:color w:val="auto"/>
        <w:sz w:val="21"/>
        <w:szCs w:val="21"/>
      </w:rPr>
    </w:sdtEndPr>
    <w:sdtContent>
      <w:sdt>
        <w:sdtPr>
          <w:rPr>
            <w:color w:val="auto"/>
          </w:rPr>
          <w:id w:val="-223528752"/>
          <w:docPartObj>
            <w:docPartGallery w:val="autotext"/>
          </w:docPartObj>
        </w:sdtPr>
        <w:sdtEndPr>
          <w:rPr>
            <w:color w:val="auto"/>
            <w:sz w:val="21"/>
            <w:szCs w:val="21"/>
          </w:rPr>
        </w:sdtEndPr>
        <w:sdtContent>
          <w:p>
            <w:pPr>
              <w:pStyle w:val="9"/>
              <w:jc w:val="center"/>
              <w:rPr>
                <w:sz w:val="21"/>
                <w:szCs w:val="21"/>
              </w:rPr>
            </w:pPr>
            <w:r>
              <w:rPr>
                <w:color w:val="auto"/>
                <w:sz w:val="21"/>
                <w:szCs w:val="21"/>
                <w:lang w:val="zh-CN"/>
              </w:rPr>
              <w:t xml:space="preserve"> </w:t>
            </w:r>
            <w:r>
              <w:rPr>
                <w:bCs/>
                <w:color w:val="auto"/>
                <w:sz w:val="21"/>
                <w:szCs w:val="21"/>
              </w:rPr>
              <w:fldChar w:fldCharType="begin"/>
            </w:r>
            <w:r>
              <w:rPr>
                <w:bCs/>
                <w:color w:val="auto"/>
                <w:sz w:val="21"/>
                <w:szCs w:val="21"/>
              </w:rPr>
              <w:instrText xml:space="preserve">PAGE</w:instrText>
            </w:r>
            <w:r>
              <w:rPr>
                <w:bCs/>
                <w:color w:val="auto"/>
                <w:sz w:val="21"/>
                <w:szCs w:val="21"/>
              </w:rPr>
              <w:fldChar w:fldCharType="separate"/>
            </w:r>
            <w:r>
              <w:rPr>
                <w:bCs/>
                <w:color w:val="auto"/>
                <w:sz w:val="21"/>
                <w:szCs w:val="21"/>
              </w:rPr>
              <w:t>6</w:t>
            </w:r>
            <w:r>
              <w:rPr>
                <w:bCs/>
                <w:color w:val="auto"/>
                <w:sz w:val="21"/>
                <w:szCs w:val="21"/>
              </w:rPr>
              <w:fldChar w:fldCharType="end"/>
            </w:r>
            <w:r>
              <w:rPr>
                <w:color w:val="auto"/>
                <w:sz w:val="21"/>
                <w:szCs w:val="21"/>
                <w:lang w:val="zh-CN"/>
              </w:rPr>
              <w:t xml:space="preserve"> / </w:t>
            </w:r>
            <w:r>
              <w:rPr>
                <w:color w:val="FF0000"/>
                <w:sz w:val="21"/>
                <w:szCs w:val="21"/>
                <w:u w:val="single"/>
                <w:lang w:val="zh-CN"/>
              </w:rPr>
              <w:t>2</w:t>
            </w:r>
            <w:r>
              <w:rPr>
                <w:rFonts w:hint="eastAsia"/>
                <w:color w:val="FF0000"/>
                <w:sz w:val="21"/>
                <w:szCs w:val="21"/>
                <w:u w:val="single"/>
                <w:lang w:val="en-US" w:eastAsia="zh-CN"/>
              </w:rPr>
              <w:t>4</w:t>
            </w:r>
            <w:r>
              <w:rPr>
                <w:bCs/>
                <w:color w:val="auto"/>
                <w:sz w:val="21"/>
                <w:szCs w:val="21"/>
              </w:rPr>
              <w:t xml:space="preserve"> </w:t>
            </w:r>
          </w:p>
        </w:sdtContent>
      </w:sdt>
    </w:sdtContent>
  </w:sdt>
  <w:p>
    <w:pPr>
      <w:rPr>
        <w:rFonts w:eastAsia="方正楷体简体"/>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b/>
      </w:rPr>
    </w:pPr>
    <w:r>
      <w:rPr>
        <w:rFonts w:hint="eastAsia"/>
        <w:b/>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ordWrap w:val="0"/>
      <w:jc w:val="right"/>
    </w:pPr>
  </w:p>
  <w:p>
    <w:pPr>
      <w:pStyle w:val="10"/>
      <w:wordWrap w:val="0"/>
      <w:jc w:val="right"/>
      <w:rPr>
        <w:rFonts w:ascii="楷体_GB2312" w:eastAsia="楷体_GB2312"/>
        <w:sz w:val="21"/>
        <w:szCs w:val="21"/>
      </w:rPr>
    </w:pPr>
    <w:r>
      <w:rPr>
        <w:rFonts w:hint="eastAsia"/>
      </w:rPr>
      <w:t xml:space="preserve">                                                   </w:t>
    </w:r>
    <w:r>
      <w:rPr>
        <w:sz w:val="21"/>
        <w:szCs w:val="21"/>
      </w:rPr>
      <w:t xml:space="preserve">    </w:t>
    </w:r>
    <w:r>
      <w:rPr>
        <w:rFonts w:hint="eastAsia" w:ascii="楷体_GB2312" w:eastAsia="楷体_GB2312"/>
        <w:sz w:val="21"/>
        <w:szCs w:val="21"/>
      </w:rPr>
      <w:t xml:space="preserve">合同号： </w:t>
    </w:r>
    <w:r>
      <w:rPr>
        <w:rFonts w:ascii="楷体_GB2312" w:eastAsia="楷体_GB2312"/>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3C320C"/>
    <w:multiLevelType w:val="multilevel"/>
    <w:tmpl w:val="E53C320C"/>
    <w:lvl w:ilvl="0" w:tentative="0">
      <w:start w:val="1"/>
      <w:numFmt w:val="decimal"/>
      <w:lvlText w:val="20.%1"/>
      <w:lvlJc w:val="left"/>
      <w:pPr>
        <w:tabs>
          <w:tab w:val="left" w:pos="0"/>
        </w:tabs>
        <w:ind w:left="0" w:firstLine="0"/>
      </w:pPr>
      <w:rPr>
        <w:rFonts w:hint="default" w:ascii="Times New Roman" w:hAnsi="Times New Roman" w:cs="宋体"/>
        <w:b w:val="0"/>
        <w:i w:val="0"/>
        <w:color w:val="auto"/>
        <w:sz w:val="24"/>
        <w:szCs w:val="21"/>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
    <w:nsid w:val="044D2367"/>
    <w:multiLevelType w:val="multilevel"/>
    <w:tmpl w:val="044D236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7FE3D1D"/>
    <w:multiLevelType w:val="multilevel"/>
    <w:tmpl w:val="07FE3D1D"/>
    <w:lvl w:ilvl="0" w:tentative="0">
      <w:start w:val="1"/>
      <w:numFmt w:val="decimal"/>
      <w:lvlText w:val="24.%1"/>
      <w:lvlJc w:val="left"/>
      <w:pPr>
        <w:tabs>
          <w:tab w:val="left" w:pos="0"/>
        </w:tabs>
        <w:ind w:left="0" w:firstLine="0"/>
      </w:pPr>
      <w:rPr>
        <w:rFonts w:hint="default" w:ascii="Times New Roman" w:hAnsi="Times New Roman" w:cs="宋体"/>
        <w:b w:val="0"/>
        <w:i w:val="0"/>
        <w:color w:val="auto"/>
        <w:sz w:val="24"/>
        <w:szCs w:val="21"/>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
    <w:nsid w:val="0A15007F"/>
    <w:multiLevelType w:val="multilevel"/>
    <w:tmpl w:val="0A15007F"/>
    <w:lvl w:ilvl="0" w:tentative="0">
      <w:start w:val="1"/>
      <w:numFmt w:val="decimal"/>
      <w:lvlText w:val="23.%1"/>
      <w:lvlJc w:val="left"/>
      <w:pPr>
        <w:tabs>
          <w:tab w:val="left" w:pos="0"/>
        </w:tabs>
        <w:ind w:left="0" w:firstLine="0"/>
      </w:pPr>
      <w:rPr>
        <w:rFonts w:hint="default" w:ascii="Times New Roman" w:hAnsi="Times New Roman" w:cs="宋体"/>
        <w:b w:val="0"/>
        <w:i w:val="0"/>
        <w:color w:val="auto"/>
        <w:sz w:val="24"/>
        <w:szCs w:val="21"/>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4">
    <w:nsid w:val="0BBA0094"/>
    <w:multiLevelType w:val="multilevel"/>
    <w:tmpl w:val="0BBA0094"/>
    <w:lvl w:ilvl="0" w:tentative="0">
      <w:start w:val="1"/>
      <w:numFmt w:val="ideographDigital"/>
      <w:lvlText w:val="第%1条"/>
      <w:lvlJc w:val="left"/>
      <w:pPr>
        <w:tabs>
          <w:tab w:val="left" w:pos="3688"/>
        </w:tabs>
        <w:ind w:left="3688" w:hanging="960"/>
      </w:pPr>
    </w:lvl>
    <w:lvl w:ilvl="1" w:tentative="0">
      <w:start w:val="1"/>
      <w:numFmt w:val="ideographDigital"/>
      <w:lvlText w:val="第%2条"/>
      <w:lvlJc w:val="left"/>
      <w:pPr>
        <w:tabs>
          <w:tab w:val="left" w:pos="1380"/>
        </w:tabs>
        <w:ind w:left="1380" w:hanging="960"/>
      </w:pPr>
    </w:lvl>
    <w:lvl w:ilvl="2" w:tentative="0">
      <w:start w:val="1"/>
      <w:numFmt w:val="decimal"/>
      <w:lvlText w:val="1.%3"/>
      <w:lvlJc w:val="left"/>
      <w:pPr>
        <w:tabs>
          <w:tab w:val="left" w:pos="1468"/>
        </w:tabs>
        <w:ind w:left="1468" w:firstLine="1260"/>
      </w:pPr>
      <w:rPr>
        <w:rFonts w:hint="default" w:ascii="Times New Roman" w:hAnsi="Times New Roman" w:eastAsia="宋体" w:cs="Times New Roman"/>
      </w:rPr>
    </w:lvl>
    <w:lvl w:ilvl="3" w:tentative="0">
      <w:start w:val="1"/>
      <w:numFmt w:val="decimal"/>
      <w:lvlText w:val="3.%4"/>
      <w:lvlJc w:val="left"/>
      <w:pPr>
        <w:tabs>
          <w:tab w:val="left" w:pos="1468"/>
        </w:tabs>
        <w:ind w:left="1468" w:firstLine="1260"/>
      </w:pPr>
      <w:rPr>
        <w:rFonts w:hint="default" w:ascii="Times New Roman" w:hAnsi="Times New Roman" w:eastAsia="宋体" w:cs="Times New Roman"/>
      </w:rPr>
    </w:lvl>
    <w:lvl w:ilvl="4" w:tentative="0">
      <w:start w:val="1"/>
      <w:numFmt w:val="lowerLetter"/>
      <w:lvlText w:val="%5)"/>
      <w:lvlJc w:val="left"/>
      <w:pPr>
        <w:tabs>
          <w:tab w:val="left" w:pos="2100"/>
        </w:tabs>
        <w:ind w:left="2100" w:hanging="420"/>
      </w:pPr>
    </w:lvl>
    <w:lvl w:ilvl="5" w:tentative="0">
      <w:start w:val="1"/>
      <w:numFmt w:val="decimal"/>
      <w:lvlText w:val="(%6)"/>
      <w:lvlJc w:val="left"/>
      <w:pPr>
        <w:ind w:left="2490" w:hanging="390"/>
      </w:pPr>
      <w:rPr>
        <w:rFonts w:hint="default" w:ascii="Times New Roman" w:hAnsi="Times New Roman" w:cs="Times New Roman"/>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C170FD6"/>
    <w:multiLevelType w:val="multilevel"/>
    <w:tmpl w:val="0C170FD6"/>
    <w:lvl w:ilvl="0" w:tentative="0">
      <w:start w:val="1"/>
      <w:numFmt w:val="decimal"/>
      <w:lvlText w:val="13.%1"/>
      <w:lvlJc w:val="left"/>
      <w:pPr>
        <w:ind w:left="567" w:hanging="567"/>
      </w:pPr>
      <w:rPr>
        <w:rFonts w:hint="default" w:ascii="Times New Roman" w:hAnsi="Times New Roman"/>
        <w:sz w:val="24"/>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0D7E4736"/>
    <w:multiLevelType w:val="multilevel"/>
    <w:tmpl w:val="0D7E4736"/>
    <w:lvl w:ilvl="0" w:tentative="0">
      <w:start w:val="1"/>
      <w:numFmt w:val="decimal"/>
      <w:lvlText w:val="7.%1"/>
      <w:lvlJc w:val="left"/>
      <w:pPr>
        <w:ind w:left="567" w:hanging="567"/>
      </w:pPr>
      <w:rPr>
        <w:rFonts w:hint="default" w:ascii="Times New Roman" w:hAnsi="Times New Roman"/>
        <w:sz w:val="24"/>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12352274"/>
    <w:multiLevelType w:val="multilevel"/>
    <w:tmpl w:val="12352274"/>
    <w:lvl w:ilvl="0" w:tentative="0">
      <w:start w:val="1"/>
      <w:numFmt w:val="decimal"/>
      <w:lvlText w:val="(%1)"/>
      <w:lvlJc w:val="left"/>
      <w:pPr>
        <w:ind w:left="825" w:hanging="405"/>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9B033E8"/>
    <w:multiLevelType w:val="multilevel"/>
    <w:tmpl w:val="19B033E8"/>
    <w:lvl w:ilvl="0" w:tentative="0">
      <w:start w:val="1"/>
      <w:numFmt w:val="decimal"/>
      <w:lvlText w:val="4.%1"/>
      <w:lvlJc w:val="left"/>
      <w:pPr>
        <w:ind w:left="425" w:hanging="425"/>
      </w:pPr>
      <w:rPr>
        <w:rFonts w:hint="default" w:ascii="Times New Roman" w:hAnsi="Times New Roman"/>
        <w:sz w:val="24"/>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1F08341E"/>
    <w:multiLevelType w:val="multilevel"/>
    <w:tmpl w:val="1F08341E"/>
    <w:lvl w:ilvl="0" w:tentative="0">
      <w:start w:val="1"/>
      <w:numFmt w:val="decimal"/>
      <w:lvlText w:val="2.%1"/>
      <w:lvlJc w:val="left"/>
      <w:pPr>
        <w:ind w:left="425" w:hanging="425"/>
      </w:pPr>
      <w:rPr>
        <w:rFonts w:hint="default" w:ascii="Times New Roman" w:hAnsi="Times New Roman"/>
        <w:sz w:val="24"/>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28087B8B"/>
    <w:multiLevelType w:val="multilevel"/>
    <w:tmpl w:val="28087B8B"/>
    <w:lvl w:ilvl="0" w:tentative="0">
      <w:start w:val="1"/>
      <w:numFmt w:val="lowerLetter"/>
      <w:lvlText w:val="%1)"/>
      <w:lvlJc w:val="left"/>
      <w:pPr>
        <w:ind w:left="1140" w:hanging="420"/>
      </w:p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1">
    <w:nsid w:val="28C82F16"/>
    <w:multiLevelType w:val="multilevel"/>
    <w:tmpl w:val="28C82F16"/>
    <w:lvl w:ilvl="0" w:tentative="0">
      <w:start w:val="1"/>
      <w:numFmt w:val="decimal"/>
      <w:lvlText w:val="1.%1"/>
      <w:lvlJc w:val="left"/>
      <w:pPr>
        <w:ind w:left="425" w:hanging="425"/>
      </w:pPr>
      <w:rPr>
        <w:rFonts w:hint="default" w:ascii="Times New Roman" w:hAnsi="Times New Roman"/>
        <w:sz w:val="24"/>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
    <w:nsid w:val="290F53F1"/>
    <w:multiLevelType w:val="multilevel"/>
    <w:tmpl w:val="290F53F1"/>
    <w:lvl w:ilvl="0" w:tentative="0">
      <w:start w:val="1"/>
      <w:numFmt w:val="decimal"/>
      <w:lvlText w:val="5.%1"/>
      <w:lvlJc w:val="left"/>
      <w:pPr>
        <w:ind w:left="425" w:hanging="425"/>
      </w:pPr>
      <w:rPr>
        <w:rFonts w:hint="default" w:ascii="Times New Roman" w:hAnsi="Times New Roman"/>
        <w:sz w:val="24"/>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3">
    <w:nsid w:val="298041F5"/>
    <w:multiLevelType w:val="multilevel"/>
    <w:tmpl w:val="298041F5"/>
    <w:lvl w:ilvl="0" w:tentative="0">
      <w:start w:val="1"/>
      <w:numFmt w:val="decimal"/>
      <w:lvlText w:val="（%1）"/>
      <w:lvlJc w:val="left"/>
      <w:pPr>
        <w:tabs>
          <w:tab w:val="left" w:pos="280"/>
        </w:tabs>
        <w:ind w:left="1965" w:hanging="112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E912890"/>
    <w:multiLevelType w:val="multilevel"/>
    <w:tmpl w:val="2E912890"/>
    <w:lvl w:ilvl="0" w:tentative="0">
      <w:start w:val="1"/>
      <w:numFmt w:val="decimal"/>
      <w:lvlText w:val="19.%1"/>
      <w:lvlJc w:val="left"/>
      <w:pPr>
        <w:ind w:left="567" w:hanging="567"/>
      </w:pPr>
      <w:rPr>
        <w:rFonts w:hint="default" w:ascii="Times New Roman" w:hAnsi="Times New Roman"/>
        <w:sz w:val="24"/>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5">
    <w:nsid w:val="31182819"/>
    <w:multiLevelType w:val="multilevel"/>
    <w:tmpl w:val="31182819"/>
    <w:lvl w:ilvl="0" w:tentative="0">
      <w:start w:val="1"/>
      <w:numFmt w:val="decimal"/>
      <w:lvlText w:val="16.%1"/>
      <w:lvlJc w:val="left"/>
      <w:pPr>
        <w:ind w:left="567" w:hanging="567"/>
      </w:pPr>
      <w:rPr>
        <w:rFonts w:hint="default" w:ascii="Times New Roman" w:hAnsi="Times New Roman"/>
        <w:sz w:val="24"/>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6">
    <w:nsid w:val="387768FB"/>
    <w:multiLevelType w:val="multilevel"/>
    <w:tmpl w:val="387768FB"/>
    <w:lvl w:ilvl="0" w:tentative="0">
      <w:start w:val="1"/>
      <w:numFmt w:val="decimal"/>
      <w:lvlText w:val="(%1)"/>
      <w:lvlJc w:val="left"/>
      <w:pPr>
        <w:tabs>
          <w:tab w:val="left" w:pos="900"/>
        </w:tabs>
        <w:ind w:left="900" w:hanging="420"/>
      </w:pPr>
      <w:rPr>
        <w:rFonts w:hint="eastAsia" w:ascii="Times New Roman" w:hAnsi="宋体" w:eastAsia="宋体"/>
      </w:rPr>
    </w:lvl>
    <w:lvl w:ilvl="1" w:tentative="0">
      <w:start w:val="3"/>
      <w:numFmt w:val="decimal"/>
      <w:isLgl/>
      <w:lvlText w:val="%1.%2"/>
      <w:lvlJc w:val="left"/>
      <w:pPr>
        <w:tabs>
          <w:tab w:val="left" w:pos="840"/>
        </w:tabs>
        <w:ind w:left="840" w:hanging="360"/>
      </w:pPr>
      <w:rPr>
        <w:rFonts w:hint="default"/>
      </w:rPr>
    </w:lvl>
    <w:lvl w:ilvl="2" w:tentative="0">
      <w:start w:val="1"/>
      <w:numFmt w:val="decimal"/>
      <w:isLgl/>
      <w:lvlText w:val="%1.%2.%3"/>
      <w:lvlJc w:val="left"/>
      <w:pPr>
        <w:tabs>
          <w:tab w:val="left" w:pos="1200"/>
        </w:tabs>
        <w:ind w:left="1200" w:hanging="720"/>
      </w:pPr>
      <w:rPr>
        <w:rFonts w:hint="default"/>
      </w:rPr>
    </w:lvl>
    <w:lvl w:ilvl="3" w:tentative="0">
      <w:start w:val="1"/>
      <w:numFmt w:val="decimal"/>
      <w:isLgl/>
      <w:lvlText w:val="%1.%2.%3.%4"/>
      <w:lvlJc w:val="left"/>
      <w:pPr>
        <w:tabs>
          <w:tab w:val="left" w:pos="1200"/>
        </w:tabs>
        <w:ind w:left="1200" w:hanging="720"/>
      </w:pPr>
      <w:rPr>
        <w:rFonts w:hint="default"/>
      </w:rPr>
    </w:lvl>
    <w:lvl w:ilvl="4" w:tentative="0">
      <w:start w:val="1"/>
      <w:numFmt w:val="decimal"/>
      <w:isLgl/>
      <w:lvlText w:val="%1.%2.%3.%4.%5"/>
      <w:lvlJc w:val="left"/>
      <w:pPr>
        <w:tabs>
          <w:tab w:val="left" w:pos="1560"/>
        </w:tabs>
        <w:ind w:left="1560" w:hanging="1080"/>
      </w:pPr>
      <w:rPr>
        <w:rFonts w:hint="default"/>
      </w:rPr>
    </w:lvl>
    <w:lvl w:ilvl="5" w:tentative="0">
      <w:start w:val="1"/>
      <w:numFmt w:val="decimal"/>
      <w:isLgl/>
      <w:lvlText w:val="%1.%2.%3.%4.%5.%6"/>
      <w:lvlJc w:val="left"/>
      <w:pPr>
        <w:tabs>
          <w:tab w:val="left" w:pos="1560"/>
        </w:tabs>
        <w:ind w:left="1560" w:hanging="1080"/>
      </w:pPr>
      <w:rPr>
        <w:rFonts w:hint="default"/>
      </w:rPr>
    </w:lvl>
    <w:lvl w:ilvl="6" w:tentative="0">
      <w:start w:val="1"/>
      <w:numFmt w:val="decimal"/>
      <w:isLgl/>
      <w:lvlText w:val="%1.%2.%3.%4.%5.%6.%7"/>
      <w:lvlJc w:val="left"/>
      <w:pPr>
        <w:tabs>
          <w:tab w:val="left" w:pos="1920"/>
        </w:tabs>
        <w:ind w:left="1920" w:hanging="1440"/>
      </w:pPr>
      <w:rPr>
        <w:rFonts w:hint="default"/>
      </w:rPr>
    </w:lvl>
    <w:lvl w:ilvl="7" w:tentative="0">
      <w:start w:val="1"/>
      <w:numFmt w:val="decimal"/>
      <w:isLgl/>
      <w:lvlText w:val="%1.%2.%3.%4.%5.%6.%7.%8"/>
      <w:lvlJc w:val="left"/>
      <w:pPr>
        <w:tabs>
          <w:tab w:val="left" w:pos="1920"/>
        </w:tabs>
        <w:ind w:left="1920" w:hanging="1440"/>
      </w:pPr>
      <w:rPr>
        <w:rFonts w:hint="default"/>
      </w:rPr>
    </w:lvl>
    <w:lvl w:ilvl="8" w:tentative="0">
      <w:start w:val="1"/>
      <w:numFmt w:val="decimal"/>
      <w:isLgl/>
      <w:lvlText w:val="%1.%2.%3.%4.%5.%6.%7.%8.%9"/>
      <w:lvlJc w:val="left"/>
      <w:pPr>
        <w:tabs>
          <w:tab w:val="left" w:pos="2280"/>
        </w:tabs>
        <w:ind w:left="2280" w:hanging="1800"/>
      </w:pPr>
      <w:rPr>
        <w:rFonts w:hint="default"/>
      </w:rPr>
    </w:lvl>
  </w:abstractNum>
  <w:abstractNum w:abstractNumId="17">
    <w:nsid w:val="3F46185D"/>
    <w:multiLevelType w:val="multilevel"/>
    <w:tmpl w:val="3F46185D"/>
    <w:lvl w:ilvl="0" w:tentative="0">
      <w:start w:val="1"/>
      <w:numFmt w:val="decimal"/>
      <w:lvlText w:val="8.%1"/>
      <w:lvlJc w:val="left"/>
      <w:pPr>
        <w:ind w:left="567" w:hanging="567"/>
      </w:pPr>
      <w:rPr>
        <w:rFonts w:hint="default" w:ascii="Times New Roman" w:hAnsi="Times New Roman"/>
        <w:sz w:val="24"/>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8">
    <w:nsid w:val="42697F45"/>
    <w:multiLevelType w:val="multilevel"/>
    <w:tmpl w:val="42697F45"/>
    <w:lvl w:ilvl="0" w:tentative="0">
      <w:start w:val="1"/>
      <w:numFmt w:val="decimal"/>
      <w:lvlText w:val="15.%1"/>
      <w:lvlJc w:val="left"/>
      <w:pPr>
        <w:ind w:left="567" w:hanging="567"/>
      </w:pPr>
      <w:rPr>
        <w:rFonts w:hint="default" w:ascii="Times New Roman" w:hAnsi="Times New Roman"/>
        <w:sz w:val="24"/>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485C2E96"/>
    <w:multiLevelType w:val="multilevel"/>
    <w:tmpl w:val="485C2E96"/>
    <w:lvl w:ilvl="0" w:tentative="0">
      <w:start w:val="1"/>
      <w:numFmt w:val="chineseCountingThousand"/>
      <w:lvlText w:val="第%1条"/>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4E6132F4"/>
    <w:multiLevelType w:val="multilevel"/>
    <w:tmpl w:val="4E6132F4"/>
    <w:lvl w:ilvl="0" w:tentative="0">
      <w:start w:val="1"/>
      <w:numFmt w:val="decimal"/>
      <w:lvlText w:val="21.%1"/>
      <w:lvlJc w:val="left"/>
      <w:pPr>
        <w:tabs>
          <w:tab w:val="left" w:pos="0"/>
        </w:tabs>
        <w:ind w:left="0" w:firstLine="0"/>
      </w:pPr>
      <w:rPr>
        <w:rFonts w:hint="default" w:ascii="Times New Roman" w:hAnsi="Times New Roman" w:cs="宋体"/>
        <w:b w:val="0"/>
        <w:i w:val="0"/>
        <w:color w:val="auto"/>
        <w:sz w:val="24"/>
        <w:szCs w:val="21"/>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1">
    <w:nsid w:val="519463F5"/>
    <w:multiLevelType w:val="multilevel"/>
    <w:tmpl w:val="519463F5"/>
    <w:lvl w:ilvl="0" w:tentative="0">
      <w:start w:val="1"/>
      <w:numFmt w:val="decimal"/>
      <w:lvlText w:val="6.%1"/>
      <w:lvlJc w:val="left"/>
      <w:pPr>
        <w:ind w:left="567" w:hanging="567"/>
      </w:pPr>
      <w:rPr>
        <w:rFonts w:hint="default" w:ascii="Times New Roman" w:hAnsi="Times New Roman"/>
        <w:sz w:val="24"/>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2">
    <w:nsid w:val="55711659"/>
    <w:multiLevelType w:val="multilevel"/>
    <w:tmpl w:val="55711659"/>
    <w:lvl w:ilvl="0" w:tentative="0">
      <w:start w:val="1"/>
      <w:numFmt w:val="decimal"/>
      <w:lvlText w:val="14.%1"/>
      <w:lvlJc w:val="left"/>
      <w:pPr>
        <w:ind w:left="567" w:hanging="567"/>
      </w:pPr>
      <w:rPr>
        <w:rFonts w:hint="default" w:ascii="Times New Roman" w:hAnsi="Times New Roman"/>
        <w:sz w:val="24"/>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3">
    <w:nsid w:val="62257693"/>
    <w:multiLevelType w:val="multilevel"/>
    <w:tmpl w:val="62257693"/>
    <w:lvl w:ilvl="0" w:tentative="0">
      <w:start w:val="1"/>
      <w:numFmt w:val="decimal"/>
      <w:lvlText w:val="17.%1"/>
      <w:lvlJc w:val="left"/>
      <w:pPr>
        <w:ind w:left="420" w:hanging="420"/>
      </w:pPr>
      <w:rPr>
        <w:rFonts w:hint="default" w:ascii="Times New Roman" w:hAnsi="Times New Roman" w:cs="Times New Roman"/>
        <w:b w:val="0"/>
        <w:bCs w:val="0"/>
        <w:i w:val="0"/>
        <w:iCs w:val="0"/>
        <w:strike w:val="0"/>
        <w:dstrike w:val="0"/>
        <w:color w:val="auto"/>
        <w:spacing w:val="0"/>
        <w:kern w:val="2"/>
        <w:sz w:val="24"/>
        <w:szCs w:val="24"/>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69AB0083"/>
    <w:multiLevelType w:val="multilevel"/>
    <w:tmpl w:val="69AB0083"/>
    <w:lvl w:ilvl="0" w:tentative="0">
      <w:start w:val="1"/>
      <w:numFmt w:val="decimal"/>
      <w:lvlText w:val="18.%1"/>
      <w:lvlJc w:val="left"/>
      <w:pPr>
        <w:ind w:left="567" w:hanging="567"/>
      </w:pPr>
      <w:rPr>
        <w:rFonts w:hint="default" w:ascii="Times New Roman" w:hAnsi="Times New Roman"/>
        <w:sz w:val="24"/>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5">
    <w:nsid w:val="725B5612"/>
    <w:multiLevelType w:val="multilevel"/>
    <w:tmpl w:val="725B5612"/>
    <w:lvl w:ilvl="0" w:tentative="0">
      <w:start w:val="1"/>
      <w:numFmt w:val="decimal"/>
      <w:lvlText w:val="12.%1"/>
      <w:lvlJc w:val="left"/>
      <w:pPr>
        <w:ind w:left="567" w:hanging="567"/>
      </w:pPr>
      <w:rPr>
        <w:rFonts w:hint="default" w:ascii="Times New Roman" w:hAnsi="Times New Roman"/>
        <w:sz w:val="24"/>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6">
    <w:nsid w:val="72A62AB9"/>
    <w:multiLevelType w:val="multilevel"/>
    <w:tmpl w:val="72A62AB9"/>
    <w:lvl w:ilvl="0" w:tentative="0">
      <w:start w:val="1"/>
      <w:numFmt w:val="decimal"/>
      <w:lvlText w:val="(%1)"/>
      <w:lvlJc w:val="left"/>
      <w:pPr>
        <w:tabs>
          <w:tab w:val="left" w:pos="900"/>
        </w:tabs>
        <w:ind w:left="900" w:hanging="420"/>
      </w:pPr>
      <w:rPr>
        <w:rFonts w:hint="eastAsia" w:ascii="Times New Roman" w:hAnsi="宋体" w:eastAsia="宋体"/>
      </w:rPr>
    </w:lvl>
    <w:lvl w:ilvl="1" w:tentative="0">
      <w:start w:val="3"/>
      <w:numFmt w:val="decimal"/>
      <w:isLgl/>
      <w:lvlText w:val="%1.%2"/>
      <w:lvlJc w:val="left"/>
      <w:pPr>
        <w:tabs>
          <w:tab w:val="left" w:pos="840"/>
        </w:tabs>
        <w:ind w:left="840" w:hanging="360"/>
      </w:pPr>
      <w:rPr>
        <w:rFonts w:hint="default"/>
      </w:rPr>
    </w:lvl>
    <w:lvl w:ilvl="2" w:tentative="0">
      <w:start w:val="1"/>
      <w:numFmt w:val="decimal"/>
      <w:isLgl/>
      <w:lvlText w:val="%1.%2.%3"/>
      <w:lvlJc w:val="left"/>
      <w:pPr>
        <w:tabs>
          <w:tab w:val="left" w:pos="1200"/>
        </w:tabs>
        <w:ind w:left="1200" w:hanging="720"/>
      </w:pPr>
      <w:rPr>
        <w:rFonts w:hint="default"/>
      </w:rPr>
    </w:lvl>
    <w:lvl w:ilvl="3" w:tentative="0">
      <w:start w:val="1"/>
      <w:numFmt w:val="decimal"/>
      <w:isLgl/>
      <w:lvlText w:val="%1.%2.%3.%4"/>
      <w:lvlJc w:val="left"/>
      <w:pPr>
        <w:tabs>
          <w:tab w:val="left" w:pos="1200"/>
        </w:tabs>
        <w:ind w:left="1200" w:hanging="720"/>
      </w:pPr>
      <w:rPr>
        <w:rFonts w:hint="default"/>
      </w:rPr>
    </w:lvl>
    <w:lvl w:ilvl="4" w:tentative="0">
      <w:start w:val="1"/>
      <w:numFmt w:val="decimal"/>
      <w:isLgl/>
      <w:lvlText w:val="%1.%2.%3.%4.%5"/>
      <w:lvlJc w:val="left"/>
      <w:pPr>
        <w:tabs>
          <w:tab w:val="left" w:pos="1560"/>
        </w:tabs>
        <w:ind w:left="1560" w:hanging="1080"/>
      </w:pPr>
      <w:rPr>
        <w:rFonts w:hint="default"/>
      </w:rPr>
    </w:lvl>
    <w:lvl w:ilvl="5" w:tentative="0">
      <w:start w:val="1"/>
      <w:numFmt w:val="decimal"/>
      <w:isLgl/>
      <w:lvlText w:val="%1.%2.%3.%4.%5.%6"/>
      <w:lvlJc w:val="left"/>
      <w:pPr>
        <w:tabs>
          <w:tab w:val="left" w:pos="1560"/>
        </w:tabs>
        <w:ind w:left="1560" w:hanging="1080"/>
      </w:pPr>
      <w:rPr>
        <w:rFonts w:hint="default"/>
      </w:rPr>
    </w:lvl>
    <w:lvl w:ilvl="6" w:tentative="0">
      <w:start w:val="1"/>
      <w:numFmt w:val="decimal"/>
      <w:isLgl/>
      <w:lvlText w:val="%1.%2.%3.%4.%5.%6.%7"/>
      <w:lvlJc w:val="left"/>
      <w:pPr>
        <w:tabs>
          <w:tab w:val="left" w:pos="1920"/>
        </w:tabs>
        <w:ind w:left="1920" w:hanging="1440"/>
      </w:pPr>
      <w:rPr>
        <w:rFonts w:hint="default"/>
      </w:rPr>
    </w:lvl>
    <w:lvl w:ilvl="7" w:tentative="0">
      <w:start w:val="1"/>
      <w:numFmt w:val="decimal"/>
      <w:isLgl/>
      <w:lvlText w:val="%1.%2.%3.%4.%5.%6.%7.%8"/>
      <w:lvlJc w:val="left"/>
      <w:pPr>
        <w:tabs>
          <w:tab w:val="left" w:pos="1920"/>
        </w:tabs>
        <w:ind w:left="1920" w:hanging="1440"/>
      </w:pPr>
      <w:rPr>
        <w:rFonts w:hint="default"/>
      </w:rPr>
    </w:lvl>
    <w:lvl w:ilvl="8" w:tentative="0">
      <w:start w:val="1"/>
      <w:numFmt w:val="decimal"/>
      <w:isLgl/>
      <w:lvlText w:val="%1.%2.%3.%4.%5.%6.%7.%8.%9"/>
      <w:lvlJc w:val="left"/>
      <w:pPr>
        <w:tabs>
          <w:tab w:val="left" w:pos="2280"/>
        </w:tabs>
        <w:ind w:left="2280" w:hanging="1800"/>
      </w:pPr>
      <w:rPr>
        <w:rFonts w:hint="default"/>
      </w:rPr>
    </w:lvl>
  </w:abstractNum>
  <w:abstractNum w:abstractNumId="27">
    <w:nsid w:val="73927A22"/>
    <w:multiLevelType w:val="multilevel"/>
    <w:tmpl w:val="73927A22"/>
    <w:lvl w:ilvl="0" w:tentative="0">
      <w:start w:val="1"/>
      <w:numFmt w:val="decimal"/>
      <w:lvlText w:val="9.%1"/>
      <w:lvlJc w:val="left"/>
      <w:pPr>
        <w:ind w:left="567" w:hanging="567"/>
      </w:pPr>
      <w:rPr>
        <w:rFonts w:hint="default" w:ascii="Times New Roman" w:hAnsi="Times New Roman"/>
        <w:sz w:val="24"/>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8">
    <w:nsid w:val="74786FD9"/>
    <w:multiLevelType w:val="multilevel"/>
    <w:tmpl w:val="74786FD9"/>
    <w:lvl w:ilvl="0" w:tentative="0">
      <w:start w:val="1"/>
      <w:numFmt w:val="decimal"/>
      <w:lvlText w:val="(%1)"/>
      <w:lvlJc w:val="left"/>
      <w:pPr>
        <w:tabs>
          <w:tab w:val="left" w:pos="900"/>
        </w:tabs>
        <w:ind w:left="900" w:hanging="420"/>
      </w:pPr>
      <w:rPr>
        <w:rFonts w:hint="eastAsia" w:ascii="Times New Roman" w:hAnsi="宋体" w:eastAsia="宋体"/>
      </w:rPr>
    </w:lvl>
    <w:lvl w:ilvl="1" w:tentative="0">
      <w:start w:val="3"/>
      <w:numFmt w:val="decimal"/>
      <w:isLgl/>
      <w:lvlText w:val="%1.%2"/>
      <w:lvlJc w:val="left"/>
      <w:pPr>
        <w:tabs>
          <w:tab w:val="left" w:pos="840"/>
        </w:tabs>
        <w:ind w:left="840" w:hanging="360"/>
      </w:pPr>
      <w:rPr>
        <w:rFonts w:hint="default"/>
      </w:rPr>
    </w:lvl>
    <w:lvl w:ilvl="2" w:tentative="0">
      <w:start w:val="1"/>
      <w:numFmt w:val="decimal"/>
      <w:isLgl/>
      <w:lvlText w:val="%1.%2.%3"/>
      <w:lvlJc w:val="left"/>
      <w:pPr>
        <w:tabs>
          <w:tab w:val="left" w:pos="1200"/>
        </w:tabs>
        <w:ind w:left="1200" w:hanging="720"/>
      </w:pPr>
      <w:rPr>
        <w:rFonts w:hint="default"/>
      </w:rPr>
    </w:lvl>
    <w:lvl w:ilvl="3" w:tentative="0">
      <w:start w:val="1"/>
      <w:numFmt w:val="decimal"/>
      <w:isLgl/>
      <w:lvlText w:val="%1.%2.%3.%4"/>
      <w:lvlJc w:val="left"/>
      <w:pPr>
        <w:tabs>
          <w:tab w:val="left" w:pos="1200"/>
        </w:tabs>
        <w:ind w:left="1200" w:hanging="720"/>
      </w:pPr>
      <w:rPr>
        <w:rFonts w:hint="default"/>
      </w:rPr>
    </w:lvl>
    <w:lvl w:ilvl="4" w:tentative="0">
      <w:start w:val="1"/>
      <w:numFmt w:val="decimal"/>
      <w:isLgl/>
      <w:lvlText w:val="%1.%2.%3.%4.%5"/>
      <w:lvlJc w:val="left"/>
      <w:pPr>
        <w:tabs>
          <w:tab w:val="left" w:pos="1560"/>
        </w:tabs>
        <w:ind w:left="1560" w:hanging="1080"/>
      </w:pPr>
      <w:rPr>
        <w:rFonts w:hint="default"/>
      </w:rPr>
    </w:lvl>
    <w:lvl w:ilvl="5" w:tentative="0">
      <w:start w:val="1"/>
      <w:numFmt w:val="decimal"/>
      <w:isLgl/>
      <w:lvlText w:val="%1.%2.%3.%4.%5.%6"/>
      <w:lvlJc w:val="left"/>
      <w:pPr>
        <w:tabs>
          <w:tab w:val="left" w:pos="1560"/>
        </w:tabs>
        <w:ind w:left="1560" w:hanging="1080"/>
      </w:pPr>
      <w:rPr>
        <w:rFonts w:hint="default"/>
      </w:rPr>
    </w:lvl>
    <w:lvl w:ilvl="6" w:tentative="0">
      <w:start w:val="1"/>
      <w:numFmt w:val="decimal"/>
      <w:isLgl/>
      <w:lvlText w:val="%1.%2.%3.%4.%5.%6.%7"/>
      <w:lvlJc w:val="left"/>
      <w:pPr>
        <w:tabs>
          <w:tab w:val="left" w:pos="1920"/>
        </w:tabs>
        <w:ind w:left="1920" w:hanging="1440"/>
      </w:pPr>
      <w:rPr>
        <w:rFonts w:hint="default"/>
      </w:rPr>
    </w:lvl>
    <w:lvl w:ilvl="7" w:tentative="0">
      <w:start w:val="1"/>
      <w:numFmt w:val="decimal"/>
      <w:isLgl/>
      <w:lvlText w:val="%1.%2.%3.%4.%5.%6.%7.%8"/>
      <w:lvlJc w:val="left"/>
      <w:pPr>
        <w:tabs>
          <w:tab w:val="left" w:pos="1920"/>
        </w:tabs>
        <w:ind w:left="1920" w:hanging="1440"/>
      </w:pPr>
      <w:rPr>
        <w:rFonts w:hint="default"/>
      </w:rPr>
    </w:lvl>
    <w:lvl w:ilvl="8" w:tentative="0">
      <w:start w:val="1"/>
      <w:numFmt w:val="decimal"/>
      <w:isLgl/>
      <w:lvlText w:val="%1.%2.%3.%4.%5.%6.%7.%8.%9"/>
      <w:lvlJc w:val="left"/>
      <w:pPr>
        <w:tabs>
          <w:tab w:val="left" w:pos="2280"/>
        </w:tabs>
        <w:ind w:left="2280" w:hanging="1800"/>
      </w:pPr>
      <w:rPr>
        <w:rFonts w:hint="default"/>
      </w:rPr>
    </w:lvl>
  </w:abstractNum>
  <w:abstractNum w:abstractNumId="29">
    <w:nsid w:val="761731AB"/>
    <w:multiLevelType w:val="multilevel"/>
    <w:tmpl w:val="761731AB"/>
    <w:lvl w:ilvl="0" w:tentative="0">
      <w:start w:val="1"/>
      <w:numFmt w:val="decimal"/>
      <w:lvlText w:val="8.2.%1"/>
      <w:lvlJc w:val="left"/>
      <w:pPr>
        <w:ind w:left="567" w:hanging="567"/>
      </w:pPr>
      <w:rPr>
        <w:rFonts w:hint="default" w:ascii="Times New Roman" w:hAnsi="Times New Roman"/>
        <w:sz w:val="24"/>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0">
    <w:nsid w:val="790A3410"/>
    <w:multiLevelType w:val="multilevel"/>
    <w:tmpl w:val="790A3410"/>
    <w:lvl w:ilvl="0" w:tentative="0">
      <w:start w:val="1"/>
      <w:numFmt w:val="decimal"/>
      <w:lvlText w:val="10.%1"/>
      <w:lvlJc w:val="left"/>
      <w:pPr>
        <w:ind w:left="567" w:hanging="567"/>
      </w:pPr>
      <w:rPr>
        <w:rFonts w:hint="default" w:ascii="Times New Roman" w:hAnsi="Times New Roman"/>
        <w:sz w:val="24"/>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1">
    <w:nsid w:val="7A57321B"/>
    <w:multiLevelType w:val="multilevel"/>
    <w:tmpl w:val="7A57321B"/>
    <w:lvl w:ilvl="0" w:tentative="0">
      <w:start w:val="10"/>
      <w:numFmt w:val="decimal"/>
      <w:lvlText w:val="%1"/>
      <w:lvlJc w:val="left"/>
      <w:pPr>
        <w:tabs>
          <w:tab w:val="left" w:pos="420"/>
        </w:tabs>
        <w:ind w:left="420" w:hanging="420"/>
      </w:pPr>
    </w:lvl>
    <w:lvl w:ilvl="1" w:tentative="0">
      <w:start w:val="1"/>
      <w:numFmt w:val="decimal"/>
      <w:lvlText w:val="11.%2"/>
      <w:lvlJc w:val="left"/>
      <w:pPr>
        <w:tabs>
          <w:tab w:val="left" w:pos="420"/>
        </w:tabs>
        <w:ind w:left="420" w:hanging="420"/>
      </w:pPr>
      <w:rPr>
        <w:rFonts w:hint="default" w:ascii="Times New Roman" w:hAnsi="Times New Roman" w:eastAsia="宋体" w:cs="Times New Roman"/>
        <w:b w:val="0"/>
        <w:i w:val="0"/>
        <w:color w:val="auto"/>
        <w:sz w:val="24"/>
        <w:szCs w:val="24"/>
      </w:r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720"/>
        </w:tabs>
        <w:ind w:left="720" w:hanging="72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080"/>
        </w:tabs>
        <w:ind w:left="1080" w:hanging="1080"/>
      </w:pPr>
    </w:lvl>
    <w:lvl w:ilvl="6" w:tentative="0">
      <w:start w:val="1"/>
      <w:numFmt w:val="decimal"/>
      <w:lvlText w:val="%1.%2.%3.%4.%5.%6.%7"/>
      <w:lvlJc w:val="left"/>
      <w:pPr>
        <w:tabs>
          <w:tab w:val="left" w:pos="1440"/>
        </w:tabs>
        <w:ind w:left="1440" w:hanging="1440"/>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800"/>
        </w:tabs>
        <w:ind w:left="1800" w:hanging="1800"/>
      </w:pPr>
    </w:lvl>
  </w:abstractNum>
  <w:abstractNum w:abstractNumId="32">
    <w:nsid w:val="7C632751"/>
    <w:multiLevelType w:val="multilevel"/>
    <w:tmpl w:val="7C632751"/>
    <w:lvl w:ilvl="0" w:tentative="0">
      <w:start w:val="1"/>
      <w:numFmt w:val="decimal"/>
      <w:lvlText w:val="22.%1"/>
      <w:lvlJc w:val="left"/>
      <w:pPr>
        <w:tabs>
          <w:tab w:val="left" w:pos="0"/>
        </w:tabs>
        <w:ind w:left="0" w:firstLine="0"/>
      </w:pPr>
      <w:rPr>
        <w:rFonts w:hint="default" w:ascii="Times New Roman" w:hAnsi="Times New Roman" w:cs="宋体"/>
        <w:b w:val="0"/>
        <w:i w:val="0"/>
        <w:color w:val="auto"/>
        <w:sz w:val="24"/>
        <w:szCs w:val="21"/>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13"/>
  </w:num>
  <w:num w:numId="2">
    <w:abstractNumId w:val="19"/>
  </w:num>
  <w:num w:numId="3">
    <w:abstractNumId w:val="11"/>
  </w:num>
  <w:num w:numId="4">
    <w:abstractNumId w:val="9"/>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2"/>
  </w:num>
  <w:num w:numId="8">
    <w:abstractNumId w:val="21"/>
  </w:num>
  <w:num w:numId="9">
    <w:abstractNumId w:val="6"/>
  </w:num>
  <w:num w:numId="10">
    <w:abstractNumId w:val="17"/>
  </w:num>
  <w:num w:numId="11">
    <w:abstractNumId w:val="29"/>
  </w:num>
  <w:num w:numId="12">
    <w:abstractNumId w:val="27"/>
  </w:num>
  <w:num w:numId="13">
    <w:abstractNumId w:val="30"/>
  </w:num>
  <w:num w:numId="14">
    <w:abstractNumId w:val="3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5"/>
  </w:num>
  <w:num w:numId="17">
    <w:abstractNumId w:val="7"/>
  </w:num>
  <w:num w:numId="18">
    <w:abstractNumId w:val="10"/>
  </w:num>
  <w:num w:numId="19">
    <w:abstractNumId w:val="22"/>
  </w:num>
  <w:num w:numId="20">
    <w:abstractNumId w:val="18"/>
  </w:num>
  <w:num w:numId="21">
    <w:abstractNumId w:val="15"/>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4"/>
  </w:num>
  <w:num w:numId="25">
    <w:abstractNumId w:val="28"/>
  </w:num>
  <w:num w:numId="26">
    <w:abstractNumId w:val="16"/>
  </w:num>
  <w:num w:numId="27">
    <w:abstractNumId w:val="26"/>
  </w:num>
  <w:num w:numId="28">
    <w:abstractNumId w:val="0"/>
  </w:num>
  <w:num w:numId="29">
    <w:abstractNumId w:val="20"/>
  </w:num>
  <w:num w:numId="30">
    <w:abstractNumId w:val="32"/>
  </w:num>
  <w:num w:numId="31">
    <w:abstractNumId w:val="3"/>
  </w:num>
  <w:num w:numId="32">
    <w:abstractNumId w:val="2"/>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29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EC5"/>
    <w:rsid w:val="000004CA"/>
    <w:rsid w:val="0000746E"/>
    <w:rsid w:val="00011A37"/>
    <w:rsid w:val="0001231F"/>
    <w:rsid w:val="000126B1"/>
    <w:rsid w:val="00021724"/>
    <w:rsid w:val="00024F31"/>
    <w:rsid w:val="00025522"/>
    <w:rsid w:val="000311D0"/>
    <w:rsid w:val="000344D4"/>
    <w:rsid w:val="00034D15"/>
    <w:rsid w:val="00036136"/>
    <w:rsid w:val="000374EF"/>
    <w:rsid w:val="00041EC5"/>
    <w:rsid w:val="0004298B"/>
    <w:rsid w:val="000438D2"/>
    <w:rsid w:val="00045342"/>
    <w:rsid w:val="00050A97"/>
    <w:rsid w:val="00051436"/>
    <w:rsid w:val="0005563E"/>
    <w:rsid w:val="000561C3"/>
    <w:rsid w:val="00056767"/>
    <w:rsid w:val="00063F1E"/>
    <w:rsid w:val="00064D4E"/>
    <w:rsid w:val="00065D95"/>
    <w:rsid w:val="00071421"/>
    <w:rsid w:val="00071C4C"/>
    <w:rsid w:val="0007219B"/>
    <w:rsid w:val="00072A7C"/>
    <w:rsid w:val="0007477B"/>
    <w:rsid w:val="0007489B"/>
    <w:rsid w:val="00074ACC"/>
    <w:rsid w:val="00074E04"/>
    <w:rsid w:val="00074E88"/>
    <w:rsid w:val="00074EF8"/>
    <w:rsid w:val="00075F2E"/>
    <w:rsid w:val="00080625"/>
    <w:rsid w:val="00081EDF"/>
    <w:rsid w:val="00084516"/>
    <w:rsid w:val="00085D23"/>
    <w:rsid w:val="00087715"/>
    <w:rsid w:val="00090B99"/>
    <w:rsid w:val="00091849"/>
    <w:rsid w:val="00091ECA"/>
    <w:rsid w:val="00094894"/>
    <w:rsid w:val="000964EB"/>
    <w:rsid w:val="00097065"/>
    <w:rsid w:val="000A0F3D"/>
    <w:rsid w:val="000B097F"/>
    <w:rsid w:val="000B415D"/>
    <w:rsid w:val="000C566B"/>
    <w:rsid w:val="000C6008"/>
    <w:rsid w:val="000D4993"/>
    <w:rsid w:val="000D684F"/>
    <w:rsid w:val="000D6C37"/>
    <w:rsid w:val="000E2CEE"/>
    <w:rsid w:val="000E3D15"/>
    <w:rsid w:val="000E41D9"/>
    <w:rsid w:val="000E4DD0"/>
    <w:rsid w:val="000F0382"/>
    <w:rsid w:val="000F06B4"/>
    <w:rsid w:val="000F6398"/>
    <w:rsid w:val="001009E9"/>
    <w:rsid w:val="00101B25"/>
    <w:rsid w:val="00104574"/>
    <w:rsid w:val="00107133"/>
    <w:rsid w:val="00107A94"/>
    <w:rsid w:val="001114E4"/>
    <w:rsid w:val="00113BD5"/>
    <w:rsid w:val="001151FA"/>
    <w:rsid w:val="00115A76"/>
    <w:rsid w:val="00120F4A"/>
    <w:rsid w:val="00122CDF"/>
    <w:rsid w:val="00124C91"/>
    <w:rsid w:val="001260BF"/>
    <w:rsid w:val="00133F36"/>
    <w:rsid w:val="0013597E"/>
    <w:rsid w:val="00136593"/>
    <w:rsid w:val="001404E3"/>
    <w:rsid w:val="001413D9"/>
    <w:rsid w:val="001440FD"/>
    <w:rsid w:val="00147D03"/>
    <w:rsid w:val="001552C0"/>
    <w:rsid w:val="00155B2C"/>
    <w:rsid w:val="00170195"/>
    <w:rsid w:val="00172E29"/>
    <w:rsid w:val="00173A68"/>
    <w:rsid w:val="00174A69"/>
    <w:rsid w:val="00191235"/>
    <w:rsid w:val="00192633"/>
    <w:rsid w:val="0019388A"/>
    <w:rsid w:val="001967AC"/>
    <w:rsid w:val="001A004F"/>
    <w:rsid w:val="001A099A"/>
    <w:rsid w:val="001A1D20"/>
    <w:rsid w:val="001A1EB5"/>
    <w:rsid w:val="001A2063"/>
    <w:rsid w:val="001A4ED7"/>
    <w:rsid w:val="001A6808"/>
    <w:rsid w:val="001A7F93"/>
    <w:rsid w:val="001B0F0E"/>
    <w:rsid w:val="001B118F"/>
    <w:rsid w:val="001B44C4"/>
    <w:rsid w:val="001B4869"/>
    <w:rsid w:val="001B582E"/>
    <w:rsid w:val="001B5FFC"/>
    <w:rsid w:val="001B6B7F"/>
    <w:rsid w:val="001B736E"/>
    <w:rsid w:val="001C03EE"/>
    <w:rsid w:val="001C2ADA"/>
    <w:rsid w:val="001C3E1F"/>
    <w:rsid w:val="001C44D7"/>
    <w:rsid w:val="001C50BC"/>
    <w:rsid w:val="001C6841"/>
    <w:rsid w:val="001C7B92"/>
    <w:rsid w:val="001D0D74"/>
    <w:rsid w:val="001D218F"/>
    <w:rsid w:val="001D338E"/>
    <w:rsid w:val="001D5AD3"/>
    <w:rsid w:val="001E0066"/>
    <w:rsid w:val="001E1617"/>
    <w:rsid w:val="001E1D00"/>
    <w:rsid w:val="001E543D"/>
    <w:rsid w:val="001E62A7"/>
    <w:rsid w:val="001E7E55"/>
    <w:rsid w:val="001E7FE8"/>
    <w:rsid w:val="001F0836"/>
    <w:rsid w:val="001F203E"/>
    <w:rsid w:val="001F60D9"/>
    <w:rsid w:val="002065C2"/>
    <w:rsid w:val="0020742B"/>
    <w:rsid w:val="002166BA"/>
    <w:rsid w:val="00217AC9"/>
    <w:rsid w:val="00217B46"/>
    <w:rsid w:val="0022043D"/>
    <w:rsid w:val="002230FD"/>
    <w:rsid w:val="00230BA4"/>
    <w:rsid w:val="00235C25"/>
    <w:rsid w:val="00240046"/>
    <w:rsid w:val="002507AF"/>
    <w:rsid w:val="002510F4"/>
    <w:rsid w:val="0025128F"/>
    <w:rsid w:val="002533F9"/>
    <w:rsid w:val="00257892"/>
    <w:rsid w:val="00260F01"/>
    <w:rsid w:val="0026239D"/>
    <w:rsid w:val="00265C17"/>
    <w:rsid w:val="00266BC6"/>
    <w:rsid w:val="002727E2"/>
    <w:rsid w:val="00297335"/>
    <w:rsid w:val="002975FC"/>
    <w:rsid w:val="002A06F5"/>
    <w:rsid w:val="002A11AF"/>
    <w:rsid w:val="002A1902"/>
    <w:rsid w:val="002A4136"/>
    <w:rsid w:val="002B25C7"/>
    <w:rsid w:val="002B619B"/>
    <w:rsid w:val="002B66D6"/>
    <w:rsid w:val="002B77F1"/>
    <w:rsid w:val="002C1612"/>
    <w:rsid w:val="002C53D4"/>
    <w:rsid w:val="002C6F47"/>
    <w:rsid w:val="002C7138"/>
    <w:rsid w:val="002D1243"/>
    <w:rsid w:val="002D44E3"/>
    <w:rsid w:val="002D55E5"/>
    <w:rsid w:val="002D6968"/>
    <w:rsid w:val="002E2721"/>
    <w:rsid w:val="002E6F77"/>
    <w:rsid w:val="002F01E5"/>
    <w:rsid w:val="002F0C2F"/>
    <w:rsid w:val="002F2A10"/>
    <w:rsid w:val="002F2DAC"/>
    <w:rsid w:val="002F5AA7"/>
    <w:rsid w:val="00301918"/>
    <w:rsid w:val="00303F0E"/>
    <w:rsid w:val="00313C71"/>
    <w:rsid w:val="00316BC9"/>
    <w:rsid w:val="00317C42"/>
    <w:rsid w:val="0032300C"/>
    <w:rsid w:val="0032384C"/>
    <w:rsid w:val="00325DE4"/>
    <w:rsid w:val="00333F7D"/>
    <w:rsid w:val="0033528A"/>
    <w:rsid w:val="003403C6"/>
    <w:rsid w:val="00343227"/>
    <w:rsid w:val="00343595"/>
    <w:rsid w:val="0034391B"/>
    <w:rsid w:val="00344E0E"/>
    <w:rsid w:val="003529F8"/>
    <w:rsid w:val="00353D85"/>
    <w:rsid w:val="003542ED"/>
    <w:rsid w:val="003550EC"/>
    <w:rsid w:val="003747D7"/>
    <w:rsid w:val="00374FC2"/>
    <w:rsid w:val="003762D1"/>
    <w:rsid w:val="00377A83"/>
    <w:rsid w:val="0038136A"/>
    <w:rsid w:val="0038197E"/>
    <w:rsid w:val="00382AF1"/>
    <w:rsid w:val="003848EF"/>
    <w:rsid w:val="00385DA5"/>
    <w:rsid w:val="00386520"/>
    <w:rsid w:val="003875C3"/>
    <w:rsid w:val="0039491F"/>
    <w:rsid w:val="003A1A44"/>
    <w:rsid w:val="003A245D"/>
    <w:rsid w:val="003A5A0E"/>
    <w:rsid w:val="003A6CBB"/>
    <w:rsid w:val="003A73C7"/>
    <w:rsid w:val="003B7989"/>
    <w:rsid w:val="003C2E41"/>
    <w:rsid w:val="003C65CD"/>
    <w:rsid w:val="003C6B20"/>
    <w:rsid w:val="003C7DE5"/>
    <w:rsid w:val="003D0607"/>
    <w:rsid w:val="003D11D7"/>
    <w:rsid w:val="003D1B57"/>
    <w:rsid w:val="003D2C73"/>
    <w:rsid w:val="003D2F35"/>
    <w:rsid w:val="003D5BE0"/>
    <w:rsid w:val="003D606A"/>
    <w:rsid w:val="003D7960"/>
    <w:rsid w:val="003E3124"/>
    <w:rsid w:val="003E38D7"/>
    <w:rsid w:val="003E4418"/>
    <w:rsid w:val="003E5E6E"/>
    <w:rsid w:val="003E5ED4"/>
    <w:rsid w:val="003E6BB1"/>
    <w:rsid w:val="003F0397"/>
    <w:rsid w:val="003F1A4C"/>
    <w:rsid w:val="003F1DFF"/>
    <w:rsid w:val="003F4B83"/>
    <w:rsid w:val="003F52E7"/>
    <w:rsid w:val="003F5E10"/>
    <w:rsid w:val="00400D54"/>
    <w:rsid w:val="00401370"/>
    <w:rsid w:val="00403D6F"/>
    <w:rsid w:val="004108EB"/>
    <w:rsid w:val="00413BDE"/>
    <w:rsid w:val="004169E1"/>
    <w:rsid w:val="0042169C"/>
    <w:rsid w:val="0042193E"/>
    <w:rsid w:val="00423C4B"/>
    <w:rsid w:val="00423C8F"/>
    <w:rsid w:val="00424DF7"/>
    <w:rsid w:val="00426508"/>
    <w:rsid w:val="00426C6A"/>
    <w:rsid w:val="004314FE"/>
    <w:rsid w:val="00432F2D"/>
    <w:rsid w:val="00433AFB"/>
    <w:rsid w:val="00434EB7"/>
    <w:rsid w:val="004432D9"/>
    <w:rsid w:val="00443872"/>
    <w:rsid w:val="004454D6"/>
    <w:rsid w:val="00445E3A"/>
    <w:rsid w:val="00452D93"/>
    <w:rsid w:val="00453DA7"/>
    <w:rsid w:val="004720B1"/>
    <w:rsid w:val="00472F2D"/>
    <w:rsid w:val="00476F3D"/>
    <w:rsid w:val="00480D8E"/>
    <w:rsid w:val="0048734F"/>
    <w:rsid w:val="00490EED"/>
    <w:rsid w:val="00493B8A"/>
    <w:rsid w:val="004A01EA"/>
    <w:rsid w:val="004A038C"/>
    <w:rsid w:val="004A297B"/>
    <w:rsid w:val="004A560F"/>
    <w:rsid w:val="004A7547"/>
    <w:rsid w:val="004B04E4"/>
    <w:rsid w:val="004B332F"/>
    <w:rsid w:val="004B538A"/>
    <w:rsid w:val="004B540B"/>
    <w:rsid w:val="004C12D7"/>
    <w:rsid w:val="004C3664"/>
    <w:rsid w:val="004C3E62"/>
    <w:rsid w:val="004C411D"/>
    <w:rsid w:val="004C4FAA"/>
    <w:rsid w:val="004C5FE5"/>
    <w:rsid w:val="004C68E6"/>
    <w:rsid w:val="004D41DB"/>
    <w:rsid w:val="004D69C6"/>
    <w:rsid w:val="004D7AA4"/>
    <w:rsid w:val="004E1FB4"/>
    <w:rsid w:val="004E2882"/>
    <w:rsid w:val="004E6815"/>
    <w:rsid w:val="004F1644"/>
    <w:rsid w:val="004F6248"/>
    <w:rsid w:val="004F75FC"/>
    <w:rsid w:val="005009AF"/>
    <w:rsid w:val="005016AB"/>
    <w:rsid w:val="00505CBB"/>
    <w:rsid w:val="005102E0"/>
    <w:rsid w:val="00515858"/>
    <w:rsid w:val="005203D9"/>
    <w:rsid w:val="00521CF7"/>
    <w:rsid w:val="00523B78"/>
    <w:rsid w:val="0052674D"/>
    <w:rsid w:val="00527319"/>
    <w:rsid w:val="00530A11"/>
    <w:rsid w:val="00537B06"/>
    <w:rsid w:val="0054121C"/>
    <w:rsid w:val="0054171C"/>
    <w:rsid w:val="005450D6"/>
    <w:rsid w:val="005528AF"/>
    <w:rsid w:val="005529AD"/>
    <w:rsid w:val="00553FD1"/>
    <w:rsid w:val="005546D4"/>
    <w:rsid w:val="00557B92"/>
    <w:rsid w:val="0056067C"/>
    <w:rsid w:val="00561558"/>
    <w:rsid w:val="00561D22"/>
    <w:rsid w:val="00561FEE"/>
    <w:rsid w:val="00563AD5"/>
    <w:rsid w:val="00571277"/>
    <w:rsid w:val="00571302"/>
    <w:rsid w:val="00572285"/>
    <w:rsid w:val="005731DB"/>
    <w:rsid w:val="00576379"/>
    <w:rsid w:val="00576BB2"/>
    <w:rsid w:val="00581E23"/>
    <w:rsid w:val="00585159"/>
    <w:rsid w:val="005872A2"/>
    <w:rsid w:val="00587A66"/>
    <w:rsid w:val="005A132E"/>
    <w:rsid w:val="005A2EEE"/>
    <w:rsid w:val="005A7316"/>
    <w:rsid w:val="005B1665"/>
    <w:rsid w:val="005B227B"/>
    <w:rsid w:val="005B2999"/>
    <w:rsid w:val="005B319D"/>
    <w:rsid w:val="005B39C1"/>
    <w:rsid w:val="005B3ABA"/>
    <w:rsid w:val="005B43A0"/>
    <w:rsid w:val="005B4949"/>
    <w:rsid w:val="005B54EE"/>
    <w:rsid w:val="005B562B"/>
    <w:rsid w:val="005B5EDF"/>
    <w:rsid w:val="005B63A2"/>
    <w:rsid w:val="005C46E7"/>
    <w:rsid w:val="005C4E77"/>
    <w:rsid w:val="005C6389"/>
    <w:rsid w:val="005C6E17"/>
    <w:rsid w:val="005C7B6B"/>
    <w:rsid w:val="005D1D4D"/>
    <w:rsid w:val="005D3D8D"/>
    <w:rsid w:val="005D4149"/>
    <w:rsid w:val="005D4882"/>
    <w:rsid w:val="005D66C2"/>
    <w:rsid w:val="005E24AC"/>
    <w:rsid w:val="005E269F"/>
    <w:rsid w:val="005E48C4"/>
    <w:rsid w:val="005E6CB7"/>
    <w:rsid w:val="005F7EB2"/>
    <w:rsid w:val="00604AD9"/>
    <w:rsid w:val="0060688C"/>
    <w:rsid w:val="00617273"/>
    <w:rsid w:val="00620890"/>
    <w:rsid w:val="00620DA2"/>
    <w:rsid w:val="00623912"/>
    <w:rsid w:val="006247D3"/>
    <w:rsid w:val="00626DF9"/>
    <w:rsid w:val="00627CE9"/>
    <w:rsid w:val="00627EE7"/>
    <w:rsid w:val="006319EC"/>
    <w:rsid w:val="006434B6"/>
    <w:rsid w:val="00643E01"/>
    <w:rsid w:val="00646227"/>
    <w:rsid w:val="00651EAE"/>
    <w:rsid w:val="006535D7"/>
    <w:rsid w:val="006567F2"/>
    <w:rsid w:val="00664F8B"/>
    <w:rsid w:val="006664D2"/>
    <w:rsid w:val="00670300"/>
    <w:rsid w:val="0068030E"/>
    <w:rsid w:val="00684F4D"/>
    <w:rsid w:val="00684F72"/>
    <w:rsid w:val="00685BE0"/>
    <w:rsid w:val="00686CF8"/>
    <w:rsid w:val="0069295E"/>
    <w:rsid w:val="00695835"/>
    <w:rsid w:val="00695ADD"/>
    <w:rsid w:val="006966BD"/>
    <w:rsid w:val="006967B2"/>
    <w:rsid w:val="006A151B"/>
    <w:rsid w:val="006A2FCE"/>
    <w:rsid w:val="006A6617"/>
    <w:rsid w:val="006B2131"/>
    <w:rsid w:val="006B3F00"/>
    <w:rsid w:val="006B568D"/>
    <w:rsid w:val="006B58C3"/>
    <w:rsid w:val="006B7405"/>
    <w:rsid w:val="006C24DC"/>
    <w:rsid w:val="006C33ED"/>
    <w:rsid w:val="006C5349"/>
    <w:rsid w:val="006C7745"/>
    <w:rsid w:val="006D26EF"/>
    <w:rsid w:val="006D6A4F"/>
    <w:rsid w:val="006D7486"/>
    <w:rsid w:val="006E0C27"/>
    <w:rsid w:val="006F4DCA"/>
    <w:rsid w:val="00703506"/>
    <w:rsid w:val="00703997"/>
    <w:rsid w:val="0070430D"/>
    <w:rsid w:val="007061DE"/>
    <w:rsid w:val="0070635D"/>
    <w:rsid w:val="007078AC"/>
    <w:rsid w:val="007106CA"/>
    <w:rsid w:val="007117AB"/>
    <w:rsid w:val="00713EC5"/>
    <w:rsid w:val="007146C6"/>
    <w:rsid w:val="00715C3C"/>
    <w:rsid w:val="00720FEA"/>
    <w:rsid w:val="00721E7D"/>
    <w:rsid w:val="0072309C"/>
    <w:rsid w:val="0072424F"/>
    <w:rsid w:val="00725F25"/>
    <w:rsid w:val="00727480"/>
    <w:rsid w:val="00727D77"/>
    <w:rsid w:val="00730A0B"/>
    <w:rsid w:val="00732963"/>
    <w:rsid w:val="00733315"/>
    <w:rsid w:val="00733829"/>
    <w:rsid w:val="00742905"/>
    <w:rsid w:val="00745A22"/>
    <w:rsid w:val="0074640D"/>
    <w:rsid w:val="00747929"/>
    <w:rsid w:val="007523FA"/>
    <w:rsid w:val="007535E5"/>
    <w:rsid w:val="00754AC5"/>
    <w:rsid w:val="0077238F"/>
    <w:rsid w:val="00772E43"/>
    <w:rsid w:val="0077326B"/>
    <w:rsid w:val="00773CBD"/>
    <w:rsid w:val="00781156"/>
    <w:rsid w:val="00783317"/>
    <w:rsid w:val="00784712"/>
    <w:rsid w:val="007849BB"/>
    <w:rsid w:val="007865C0"/>
    <w:rsid w:val="00787299"/>
    <w:rsid w:val="007901A5"/>
    <w:rsid w:val="0079071C"/>
    <w:rsid w:val="00792F96"/>
    <w:rsid w:val="00793C33"/>
    <w:rsid w:val="007946DF"/>
    <w:rsid w:val="00796DC6"/>
    <w:rsid w:val="00796EBE"/>
    <w:rsid w:val="007A1B1C"/>
    <w:rsid w:val="007A3665"/>
    <w:rsid w:val="007A3F05"/>
    <w:rsid w:val="007A48B1"/>
    <w:rsid w:val="007B03C6"/>
    <w:rsid w:val="007B7B68"/>
    <w:rsid w:val="007C177B"/>
    <w:rsid w:val="007C2EF1"/>
    <w:rsid w:val="007C3523"/>
    <w:rsid w:val="007C3CC4"/>
    <w:rsid w:val="007C5CAF"/>
    <w:rsid w:val="007D06BA"/>
    <w:rsid w:val="007E0DC8"/>
    <w:rsid w:val="007E724A"/>
    <w:rsid w:val="007F29AD"/>
    <w:rsid w:val="007F49E6"/>
    <w:rsid w:val="007F60CD"/>
    <w:rsid w:val="007F63C0"/>
    <w:rsid w:val="007F7336"/>
    <w:rsid w:val="00800477"/>
    <w:rsid w:val="0080059A"/>
    <w:rsid w:val="008015D9"/>
    <w:rsid w:val="00804D30"/>
    <w:rsid w:val="008054B7"/>
    <w:rsid w:val="0081610B"/>
    <w:rsid w:val="00822524"/>
    <w:rsid w:val="00823864"/>
    <w:rsid w:val="00823F9C"/>
    <w:rsid w:val="008240EF"/>
    <w:rsid w:val="0082435E"/>
    <w:rsid w:val="00824F0E"/>
    <w:rsid w:val="008343C6"/>
    <w:rsid w:val="00834C98"/>
    <w:rsid w:val="00845B1B"/>
    <w:rsid w:val="008532D4"/>
    <w:rsid w:val="00854175"/>
    <w:rsid w:val="00854B36"/>
    <w:rsid w:val="00856A10"/>
    <w:rsid w:val="008573B7"/>
    <w:rsid w:val="008606B8"/>
    <w:rsid w:val="008624AF"/>
    <w:rsid w:val="0086514E"/>
    <w:rsid w:val="008716AB"/>
    <w:rsid w:val="00871820"/>
    <w:rsid w:val="00871B4C"/>
    <w:rsid w:val="0087210D"/>
    <w:rsid w:val="008722DF"/>
    <w:rsid w:val="008727DD"/>
    <w:rsid w:val="00872974"/>
    <w:rsid w:val="008729E8"/>
    <w:rsid w:val="00874FAD"/>
    <w:rsid w:val="00876DF9"/>
    <w:rsid w:val="008802FC"/>
    <w:rsid w:val="00880E4B"/>
    <w:rsid w:val="00881B16"/>
    <w:rsid w:val="00883590"/>
    <w:rsid w:val="0088417B"/>
    <w:rsid w:val="0088675C"/>
    <w:rsid w:val="008870F2"/>
    <w:rsid w:val="00887C9D"/>
    <w:rsid w:val="008A0FEE"/>
    <w:rsid w:val="008A31A3"/>
    <w:rsid w:val="008A6CCA"/>
    <w:rsid w:val="008B130C"/>
    <w:rsid w:val="008B29DA"/>
    <w:rsid w:val="008B34DE"/>
    <w:rsid w:val="008B6134"/>
    <w:rsid w:val="008B62DB"/>
    <w:rsid w:val="008B7B81"/>
    <w:rsid w:val="008C04A8"/>
    <w:rsid w:val="008C30E1"/>
    <w:rsid w:val="008C4B85"/>
    <w:rsid w:val="008C7168"/>
    <w:rsid w:val="008D1456"/>
    <w:rsid w:val="008D2F87"/>
    <w:rsid w:val="008D36A1"/>
    <w:rsid w:val="008D37F9"/>
    <w:rsid w:val="008D4644"/>
    <w:rsid w:val="008D46B8"/>
    <w:rsid w:val="008D77E4"/>
    <w:rsid w:val="008D7D61"/>
    <w:rsid w:val="008E128A"/>
    <w:rsid w:val="008E232D"/>
    <w:rsid w:val="008E4972"/>
    <w:rsid w:val="008E4AC1"/>
    <w:rsid w:val="008F040C"/>
    <w:rsid w:val="008F0960"/>
    <w:rsid w:val="008F1722"/>
    <w:rsid w:val="008F1FFD"/>
    <w:rsid w:val="008F32C5"/>
    <w:rsid w:val="008F3D21"/>
    <w:rsid w:val="008F6FE0"/>
    <w:rsid w:val="009040AE"/>
    <w:rsid w:val="0091050B"/>
    <w:rsid w:val="00915977"/>
    <w:rsid w:val="009167B0"/>
    <w:rsid w:val="00916D78"/>
    <w:rsid w:val="00917827"/>
    <w:rsid w:val="0092360A"/>
    <w:rsid w:val="00925B54"/>
    <w:rsid w:val="00933D50"/>
    <w:rsid w:val="0093635B"/>
    <w:rsid w:val="00940197"/>
    <w:rsid w:val="00945BF9"/>
    <w:rsid w:val="00946367"/>
    <w:rsid w:val="00947134"/>
    <w:rsid w:val="00955B8B"/>
    <w:rsid w:val="00955C4C"/>
    <w:rsid w:val="009670DC"/>
    <w:rsid w:val="0096769C"/>
    <w:rsid w:val="0097214A"/>
    <w:rsid w:val="009832A3"/>
    <w:rsid w:val="00986FDA"/>
    <w:rsid w:val="009906E3"/>
    <w:rsid w:val="009962ED"/>
    <w:rsid w:val="009A237A"/>
    <w:rsid w:val="009A3547"/>
    <w:rsid w:val="009A67FD"/>
    <w:rsid w:val="009A722A"/>
    <w:rsid w:val="009B1350"/>
    <w:rsid w:val="009B147B"/>
    <w:rsid w:val="009B33FF"/>
    <w:rsid w:val="009B42B9"/>
    <w:rsid w:val="009B6F9E"/>
    <w:rsid w:val="009B7E3D"/>
    <w:rsid w:val="009C1EEF"/>
    <w:rsid w:val="009C2159"/>
    <w:rsid w:val="009C5741"/>
    <w:rsid w:val="009D1E76"/>
    <w:rsid w:val="009D3552"/>
    <w:rsid w:val="009D4D10"/>
    <w:rsid w:val="009E052F"/>
    <w:rsid w:val="009E06D8"/>
    <w:rsid w:val="009E0819"/>
    <w:rsid w:val="009E277E"/>
    <w:rsid w:val="009E5884"/>
    <w:rsid w:val="009F0B82"/>
    <w:rsid w:val="009F1E14"/>
    <w:rsid w:val="009F243E"/>
    <w:rsid w:val="009F5674"/>
    <w:rsid w:val="009F612C"/>
    <w:rsid w:val="009F72FB"/>
    <w:rsid w:val="00A03118"/>
    <w:rsid w:val="00A05702"/>
    <w:rsid w:val="00A057B1"/>
    <w:rsid w:val="00A062A0"/>
    <w:rsid w:val="00A06759"/>
    <w:rsid w:val="00A07423"/>
    <w:rsid w:val="00A114CE"/>
    <w:rsid w:val="00A11E3A"/>
    <w:rsid w:val="00A12821"/>
    <w:rsid w:val="00A1350C"/>
    <w:rsid w:val="00A15DA2"/>
    <w:rsid w:val="00A2080F"/>
    <w:rsid w:val="00A238D6"/>
    <w:rsid w:val="00A247C8"/>
    <w:rsid w:val="00A25EB3"/>
    <w:rsid w:val="00A27EEA"/>
    <w:rsid w:val="00A31B0B"/>
    <w:rsid w:val="00A34D62"/>
    <w:rsid w:val="00A4166F"/>
    <w:rsid w:val="00A43790"/>
    <w:rsid w:val="00A45F5B"/>
    <w:rsid w:val="00A45FBC"/>
    <w:rsid w:val="00A46B9B"/>
    <w:rsid w:val="00A4798B"/>
    <w:rsid w:val="00A479F2"/>
    <w:rsid w:val="00A47D1B"/>
    <w:rsid w:val="00A50CFB"/>
    <w:rsid w:val="00A530A7"/>
    <w:rsid w:val="00A54355"/>
    <w:rsid w:val="00A57E87"/>
    <w:rsid w:val="00A63558"/>
    <w:rsid w:val="00A643C6"/>
    <w:rsid w:val="00A67D74"/>
    <w:rsid w:val="00A77C99"/>
    <w:rsid w:val="00A8384C"/>
    <w:rsid w:val="00A83F08"/>
    <w:rsid w:val="00A84F79"/>
    <w:rsid w:val="00A84F90"/>
    <w:rsid w:val="00A851A7"/>
    <w:rsid w:val="00A9108B"/>
    <w:rsid w:val="00A949E2"/>
    <w:rsid w:val="00AA04EC"/>
    <w:rsid w:val="00AA17DA"/>
    <w:rsid w:val="00AA27BC"/>
    <w:rsid w:val="00AA4897"/>
    <w:rsid w:val="00AA6AB4"/>
    <w:rsid w:val="00AB0943"/>
    <w:rsid w:val="00AB0C92"/>
    <w:rsid w:val="00AB0EE6"/>
    <w:rsid w:val="00AB3BD5"/>
    <w:rsid w:val="00AB3DAA"/>
    <w:rsid w:val="00AB4423"/>
    <w:rsid w:val="00AB7A8C"/>
    <w:rsid w:val="00AC09F8"/>
    <w:rsid w:val="00AC343F"/>
    <w:rsid w:val="00AC49B6"/>
    <w:rsid w:val="00AC4F2B"/>
    <w:rsid w:val="00AC5FF2"/>
    <w:rsid w:val="00AD0320"/>
    <w:rsid w:val="00AD5E5E"/>
    <w:rsid w:val="00AD6377"/>
    <w:rsid w:val="00AE1915"/>
    <w:rsid w:val="00AE4133"/>
    <w:rsid w:val="00AE54D5"/>
    <w:rsid w:val="00AE610A"/>
    <w:rsid w:val="00AE6ACE"/>
    <w:rsid w:val="00AE6C86"/>
    <w:rsid w:val="00AE7400"/>
    <w:rsid w:val="00AF0090"/>
    <w:rsid w:val="00AF29F6"/>
    <w:rsid w:val="00AF2DCF"/>
    <w:rsid w:val="00AF2EDB"/>
    <w:rsid w:val="00AF77EE"/>
    <w:rsid w:val="00B025B9"/>
    <w:rsid w:val="00B02F6D"/>
    <w:rsid w:val="00B03F83"/>
    <w:rsid w:val="00B04879"/>
    <w:rsid w:val="00B11550"/>
    <w:rsid w:val="00B13746"/>
    <w:rsid w:val="00B14591"/>
    <w:rsid w:val="00B26E02"/>
    <w:rsid w:val="00B2759D"/>
    <w:rsid w:val="00B27978"/>
    <w:rsid w:val="00B309BE"/>
    <w:rsid w:val="00B30F04"/>
    <w:rsid w:val="00B33839"/>
    <w:rsid w:val="00B37D22"/>
    <w:rsid w:val="00B40D93"/>
    <w:rsid w:val="00B41D5C"/>
    <w:rsid w:val="00B44F5E"/>
    <w:rsid w:val="00B45DD6"/>
    <w:rsid w:val="00B516E0"/>
    <w:rsid w:val="00B52713"/>
    <w:rsid w:val="00B5366A"/>
    <w:rsid w:val="00B61B42"/>
    <w:rsid w:val="00B641BB"/>
    <w:rsid w:val="00B65FEE"/>
    <w:rsid w:val="00B67C0F"/>
    <w:rsid w:val="00B719FB"/>
    <w:rsid w:val="00B71A48"/>
    <w:rsid w:val="00B72E1E"/>
    <w:rsid w:val="00B82EFE"/>
    <w:rsid w:val="00B862CB"/>
    <w:rsid w:val="00B941D4"/>
    <w:rsid w:val="00B94EBA"/>
    <w:rsid w:val="00B955C8"/>
    <w:rsid w:val="00BA2065"/>
    <w:rsid w:val="00BA4D36"/>
    <w:rsid w:val="00BA5F27"/>
    <w:rsid w:val="00BB0D22"/>
    <w:rsid w:val="00BB14DE"/>
    <w:rsid w:val="00BB254E"/>
    <w:rsid w:val="00BB5883"/>
    <w:rsid w:val="00BB5F75"/>
    <w:rsid w:val="00BC1EEB"/>
    <w:rsid w:val="00BC6577"/>
    <w:rsid w:val="00BC6B82"/>
    <w:rsid w:val="00BD40A3"/>
    <w:rsid w:val="00BE38D8"/>
    <w:rsid w:val="00BE6A76"/>
    <w:rsid w:val="00BF25D2"/>
    <w:rsid w:val="00BF30A3"/>
    <w:rsid w:val="00BF3E07"/>
    <w:rsid w:val="00BF3F96"/>
    <w:rsid w:val="00BF6F2D"/>
    <w:rsid w:val="00C00A68"/>
    <w:rsid w:val="00C0368B"/>
    <w:rsid w:val="00C114B6"/>
    <w:rsid w:val="00C1610A"/>
    <w:rsid w:val="00C21248"/>
    <w:rsid w:val="00C216E9"/>
    <w:rsid w:val="00C2176E"/>
    <w:rsid w:val="00C246BA"/>
    <w:rsid w:val="00C31E8B"/>
    <w:rsid w:val="00C37576"/>
    <w:rsid w:val="00C3782E"/>
    <w:rsid w:val="00C37E24"/>
    <w:rsid w:val="00C41399"/>
    <w:rsid w:val="00C41B20"/>
    <w:rsid w:val="00C41FA9"/>
    <w:rsid w:val="00C434D5"/>
    <w:rsid w:val="00C436F0"/>
    <w:rsid w:val="00C439A0"/>
    <w:rsid w:val="00C44E3D"/>
    <w:rsid w:val="00C452CB"/>
    <w:rsid w:val="00C51E3F"/>
    <w:rsid w:val="00C537E2"/>
    <w:rsid w:val="00C57062"/>
    <w:rsid w:val="00C6292B"/>
    <w:rsid w:val="00C6649F"/>
    <w:rsid w:val="00C674BE"/>
    <w:rsid w:val="00C72590"/>
    <w:rsid w:val="00C77B2E"/>
    <w:rsid w:val="00C838AA"/>
    <w:rsid w:val="00C9107D"/>
    <w:rsid w:val="00C9227E"/>
    <w:rsid w:val="00C9495D"/>
    <w:rsid w:val="00C958EF"/>
    <w:rsid w:val="00C9734D"/>
    <w:rsid w:val="00CA379E"/>
    <w:rsid w:val="00CA4808"/>
    <w:rsid w:val="00CA4BB6"/>
    <w:rsid w:val="00CB7DEB"/>
    <w:rsid w:val="00CC1035"/>
    <w:rsid w:val="00CC19C0"/>
    <w:rsid w:val="00CC21EF"/>
    <w:rsid w:val="00CC2A75"/>
    <w:rsid w:val="00CC6D2F"/>
    <w:rsid w:val="00CD0E9F"/>
    <w:rsid w:val="00CE012F"/>
    <w:rsid w:val="00CE47B9"/>
    <w:rsid w:val="00CE6AF9"/>
    <w:rsid w:val="00CE7BF6"/>
    <w:rsid w:val="00CF43C2"/>
    <w:rsid w:val="00CF4AD0"/>
    <w:rsid w:val="00CF53EA"/>
    <w:rsid w:val="00D01A4D"/>
    <w:rsid w:val="00D070DD"/>
    <w:rsid w:val="00D25A9F"/>
    <w:rsid w:val="00D26C64"/>
    <w:rsid w:val="00D27E3C"/>
    <w:rsid w:val="00D30893"/>
    <w:rsid w:val="00D34719"/>
    <w:rsid w:val="00D408BA"/>
    <w:rsid w:val="00D41CEB"/>
    <w:rsid w:val="00D42E83"/>
    <w:rsid w:val="00D456B6"/>
    <w:rsid w:val="00D45888"/>
    <w:rsid w:val="00D51B3C"/>
    <w:rsid w:val="00D55852"/>
    <w:rsid w:val="00D60021"/>
    <w:rsid w:val="00D61C72"/>
    <w:rsid w:val="00D62785"/>
    <w:rsid w:val="00D62FDA"/>
    <w:rsid w:val="00D63290"/>
    <w:rsid w:val="00D7039D"/>
    <w:rsid w:val="00D71139"/>
    <w:rsid w:val="00D71736"/>
    <w:rsid w:val="00D77F09"/>
    <w:rsid w:val="00D80ABE"/>
    <w:rsid w:val="00D81E70"/>
    <w:rsid w:val="00D853F0"/>
    <w:rsid w:val="00D86077"/>
    <w:rsid w:val="00D86A21"/>
    <w:rsid w:val="00D90228"/>
    <w:rsid w:val="00D9347C"/>
    <w:rsid w:val="00DA4C0A"/>
    <w:rsid w:val="00DA5663"/>
    <w:rsid w:val="00DA75C3"/>
    <w:rsid w:val="00DA7763"/>
    <w:rsid w:val="00DA7F73"/>
    <w:rsid w:val="00DB0686"/>
    <w:rsid w:val="00DB0B87"/>
    <w:rsid w:val="00DB4253"/>
    <w:rsid w:val="00DB6AE3"/>
    <w:rsid w:val="00DC0202"/>
    <w:rsid w:val="00DC4D9A"/>
    <w:rsid w:val="00DC7E69"/>
    <w:rsid w:val="00DD099C"/>
    <w:rsid w:val="00DD1A0B"/>
    <w:rsid w:val="00DD20D2"/>
    <w:rsid w:val="00DD3683"/>
    <w:rsid w:val="00DD46D7"/>
    <w:rsid w:val="00DE00B4"/>
    <w:rsid w:val="00DE201B"/>
    <w:rsid w:val="00DE34FC"/>
    <w:rsid w:val="00DE4C08"/>
    <w:rsid w:val="00DF00F9"/>
    <w:rsid w:val="00DF4FDE"/>
    <w:rsid w:val="00DF6D65"/>
    <w:rsid w:val="00E030FC"/>
    <w:rsid w:val="00E060E6"/>
    <w:rsid w:val="00E117F5"/>
    <w:rsid w:val="00E1302D"/>
    <w:rsid w:val="00E15AB4"/>
    <w:rsid w:val="00E1684B"/>
    <w:rsid w:val="00E16D3C"/>
    <w:rsid w:val="00E21FF8"/>
    <w:rsid w:val="00E22E85"/>
    <w:rsid w:val="00E23D30"/>
    <w:rsid w:val="00E27921"/>
    <w:rsid w:val="00E307CE"/>
    <w:rsid w:val="00E30A1D"/>
    <w:rsid w:val="00E33BFB"/>
    <w:rsid w:val="00E35DE9"/>
    <w:rsid w:val="00E43C9E"/>
    <w:rsid w:val="00E458DE"/>
    <w:rsid w:val="00E4668A"/>
    <w:rsid w:val="00E50424"/>
    <w:rsid w:val="00E52076"/>
    <w:rsid w:val="00E538D1"/>
    <w:rsid w:val="00E53B2D"/>
    <w:rsid w:val="00E53D49"/>
    <w:rsid w:val="00E552B0"/>
    <w:rsid w:val="00E55AD5"/>
    <w:rsid w:val="00E631B3"/>
    <w:rsid w:val="00E63A78"/>
    <w:rsid w:val="00E65A2B"/>
    <w:rsid w:val="00E675DE"/>
    <w:rsid w:val="00E72D18"/>
    <w:rsid w:val="00E72E60"/>
    <w:rsid w:val="00E73CDD"/>
    <w:rsid w:val="00E75ADA"/>
    <w:rsid w:val="00E75D07"/>
    <w:rsid w:val="00E77DC1"/>
    <w:rsid w:val="00E81181"/>
    <w:rsid w:val="00E82ABA"/>
    <w:rsid w:val="00E8498B"/>
    <w:rsid w:val="00E85166"/>
    <w:rsid w:val="00E8597C"/>
    <w:rsid w:val="00E921E3"/>
    <w:rsid w:val="00E94B3E"/>
    <w:rsid w:val="00E958F9"/>
    <w:rsid w:val="00EA1A8B"/>
    <w:rsid w:val="00EA5D23"/>
    <w:rsid w:val="00EA70B2"/>
    <w:rsid w:val="00EB347A"/>
    <w:rsid w:val="00EB3C65"/>
    <w:rsid w:val="00EB50A2"/>
    <w:rsid w:val="00EB5C37"/>
    <w:rsid w:val="00EB701F"/>
    <w:rsid w:val="00EC217F"/>
    <w:rsid w:val="00EC6D01"/>
    <w:rsid w:val="00ED03AE"/>
    <w:rsid w:val="00ED068C"/>
    <w:rsid w:val="00ED06EA"/>
    <w:rsid w:val="00ED3CA8"/>
    <w:rsid w:val="00ED6F82"/>
    <w:rsid w:val="00EE177B"/>
    <w:rsid w:val="00EE3838"/>
    <w:rsid w:val="00EE445E"/>
    <w:rsid w:val="00EE4FC9"/>
    <w:rsid w:val="00EE518D"/>
    <w:rsid w:val="00EE7357"/>
    <w:rsid w:val="00EF27E6"/>
    <w:rsid w:val="00EF5927"/>
    <w:rsid w:val="00EF7457"/>
    <w:rsid w:val="00F06751"/>
    <w:rsid w:val="00F071B2"/>
    <w:rsid w:val="00F1103D"/>
    <w:rsid w:val="00F1163B"/>
    <w:rsid w:val="00F15E35"/>
    <w:rsid w:val="00F175FA"/>
    <w:rsid w:val="00F17BD8"/>
    <w:rsid w:val="00F17F44"/>
    <w:rsid w:val="00F23071"/>
    <w:rsid w:val="00F30E0B"/>
    <w:rsid w:val="00F32183"/>
    <w:rsid w:val="00F33E7B"/>
    <w:rsid w:val="00F36912"/>
    <w:rsid w:val="00F375E3"/>
    <w:rsid w:val="00F407F1"/>
    <w:rsid w:val="00F42753"/>
    <w:rsid w:val="00F43DA2"/>
    <w:rsid w:val="00F44F8A"/>
    <w:rsid w:val="00F4598D"/>
    <w:rsid w:val="00F465E5"/>
    <w:rsid w:val="00F73DCF"/>
    <w:rsid w:val="00F764B1"/>
    <w:rsid w:val="00F76F21"/>
    <w:rsid w:val="00F90B73"/>
    <w:rsid w:val="00F90CE4"/>
    <w:rsid w:val="00F93CF2"/>
    <w:rsid w:val="00F977C2"/>
    <w:rsid w:val="00FA1B2F"/>
    <w:rsid w:val="00FA46A7"/>
    <w:rsid w:val="00FA4FB9"/>
    <w:rsid w:val="00FA7FB3"/>
    <w:rsid w:val="00FB5998"/>
    <w:rsid w:val="00FB5EBB"/>
    <w:rsid w:val="00FC04E3"/>
    <w:rsid w:val="00FC2490"/>
    <w:rsid w:val="00FC5A48"/>
    <w:rsid w:val="00FD5303"/>
    <w:rsid w:val="00FE11BB"/>
    <w:rsid w:val="00FE5173"/>
    <w:rsid w:val="00FE65AC"/>
    <w:rsid w:val="00FE742C"/>
    <w:rsid w:val="00FF0C0B"/>
    <w:rsid w:val="00FF1704"/>
    <w:rsid w:val="00FF1B57"/>
    <w:rsid w:val="02496933"/>
    <w:rsid w:val="08CD1811"/>
    <w:rsid w:val="0E8F7966"/>
    <w:rsid w:val="0F847443"/>
    <w:rsid w:val="0FC55687"/>
    <w:rsid w:val="12EB3F77"/>
    <w:rsid w:val="141C133E"/>
    <w:rsid w:val="178B5245"/>
    <w:rsid w:val="195F557F"/>
    <w:rsid w:val="1B494E68"/>
    <w:rsid w:val="1C653BB1"/>
    <w:rsid w:val="21712744"/>
    <w:rsid w:val="21C55046"/>
    <w:rsid w:val="220E00D9"/>
    <w:rsid w:val="24770A40"/>
    <w:rsid w:val="25E5326A"/>
    <w:rsid w:val="274D290A"/>
    <w:rsid w:val="27910BA3"/>
    <w:rsid w:val="28892384"/>
    <w:rsid w:val="2D2B6160"/>
    <w:rsid w:val="368421C8"/>
    <w:rsid w:val="37C0084C"/>
    <w:rsid w:val="3B5768EF"/>
    <w:rsid w:val="3D5D5FB0"/>
    <w:rsid w:val="420256AC"/>
    <w:rsid w:val="4F88250B"/>
    <w:rsid w:val="509C1D1B"/>
    <w:rsid w:val="527A61C8"/>
    <w:rsid w:val="551D1C19"/>
    <w:rsid w:val="571C4D5F"/>
    <w:rsid w:val="592F3E1C"/>
    <w:rsid w:val="60375C87"/>
    <w:rsid w:val="641B2AAE"/>
    <w:rsid w:val="65512DCD"/>
    <w:rsid w:val="6D581489"/>
    <w:rsid w:val="72592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qFormat="1"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qFormat/>
    <w:uiPriority w:val="0"/>
    <w:pPr>
      <w:jc w:val="left"/>
    </w:pPr>
  </w:style>
  <w:style w:type="paragraph" w:styleId="5">
    <w:name w:val="Body Text"/>
    <w:basedOn w:val="1"/>
    <w:link w:val="24"/>
    <w:qFormat/>
    <w:uiPriority w:val="0"/>
    <w:pPr>
      <w:spacing w:after="120"/>
    </w:pPr>
  </w:style>
  <w:style w:type="paragraph" w:styleId="6">
    <w:name w:val="Body Text Indent"/>
    <w:basedOn w:val="1"/>
    <w:qFormat/>
    <w:uiPriority w:val="0"/>
    <w:pPr>
      <w:ind w:firstLine="560" w:firstLineChars="200"/>
    </w:pPr>
    <w:rPr>
      <w:sz w:val="28"/>
    </w:rPr>
  </w:style>
  <w:style w:type="paragraph" w:styleId="7">
    <w:name w:val="Date"/>
    <w:basedOn w:val="1"/>
    <w:next w:val="1"/>
    <w:link w:val="27"/>
    <w:qFormat/>
    <w:uiPriority w:val="0"/>
    <w:pPr>
      <w:ind w:left="100" w:leftChars="2500"/>
    </w:pPr>
  </w:style>
  <w:style w:type="paragraph" w:styleId="8">
    <w:name w:val="Balloon Text"/>
    <w:basedOn w:val="1"/>
    <w:semiHidden/>
    <w:qFormat/>
    <w:uiPriority w:val="0"/>
    <w:rPr>
      <w:sz w:val="18"/>
      <w:szCs w:val="18"/>
    </w:rPr>
  </w:style>
  <w:style w:type="paragraph" w:styleId="9">
    <w:name w:val="footer"/>
    <w:basedOn w:val="1"/>
    <w:link w:val="21"/>
    <w:qFormat/>
    <w:uiPriority w:val="99"/>
    <w:pPr>
      <w:tabs>
        <w:tab w:val="center" w:pos="4153"/>
        <w:tab w:val="right" w:pos="8306"/>
      </w:tabs>
      <w:snapToGrid w:val="0"/>
      <w:jc w:val="left"/>
    </w:pPr>
    <w:rPr>
      <w:sz w:val="18"/>
      <w:szCs w:val="18"/>
    </w:rPr>
  </w:style>
  <w:style w:type="paragraph" w:styleId="10">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annotation subject"/>
    <w:basedOn w:val="4"/>
    <w:next w:val="4"/>
    <w:semiHidden/>
    <w:qFormat/>
    <w:uiPriority w:val="0"/>
    <w:rPr>
      <w:b/>
      <w:bCs/>
    </w:rPr>
  </w:style>
  <w:style w:type="character" w:styleId="15">
    <w:name w:val="page number"/>
    <w:basedOn w:val="14"/>
    <w:qFormat/>
    <w:uiPriority w:val="0"/>
  </w:style>
  <w:style w:type="character" w:styleId="16">
    <w:name w:val="line number"/>
    <w:basedOn w:val="14"/>
    <w:semiHidden/>
    <w:unhideWhenUsed/>
    <w:qFormat/>
    <w:uiPriority w:val="0"/>
  </w:style>
  <w:style w:type="character" w:styleId="17">
    <w:name w:val="Hyperlink"/>
    <w:basedOn w:val="14"/>
    <w:unhideWhenUsed/>
    <w:qFormat/>
    <w:uiPriority w:val="99"/>
    <w:rPr>
      <w:color w:val="0000FF" w:themeColor="hyperlink"/>
      <w:u w:val="single"/>
      <w14:textFill>
        <w14:solidFill>
          <w14:schemeClr w14:val="hlink"/>
        </w14:solidFill>
      </w14:textFill>
    </w:rPr>
  </w:style>
  <w:style w:type="character" w:styleId="18">
    <w:name w:val="annotation reference"/>
    <w:basedOn w:val="14"/>
    <w:semiHidden/>
    <w:qFormat/>
    <w:uiPriority w:val="0"/>
    <w:rPr>
      <w:sz w:val="21"/>
      <w:szCs w:val="21"/>
    </w:rPr>
  </w:style>
  <w:style w:type="paragraph" w:customStyle="1" w:styleId="19">
    <w:name w:val="xl106"/>
    <w:basedOn w:val="1"/>
    <w:qFormat/>
    <w:uiPriority w:val="0"/>
    <w:pPr>
      <w:widowControl/>
      <w:spacing w:before="100" w:beforeAutospacing="1" w:after="100" w:afterAutospacing="1"/>
      <w:jc w:val="center"/>
      <w:textAlignment w:val="top"/>
    </w:pPr>
    <w:rPr>
      <w:rFonts w:ascii="Arial" w:hAnsi="Arial" w:cs="Arial"/>
      <w:kern w:val="0"/>
      <w:sz w:val="18"/>
      <w:szCs w:val="18"/>
    </w:rPr>
  </w:style>
  <w:style w:type="paragraph" w:styleId="20">
    <w:name w:val="List Paragraph"/>
    <w:basedOn w:val="1"/>
    <w:qFormat/>
    <w:uiPriority w:val="34"/>
    <w:pPr>
      <w:ind w:firstLine="420" w:firstLineChars="200"/>
    </w:pPr>
    <w:rPr>
      <w:szCs w:val="24"/>
    </w:rPr>
  </w:style>
  <w:style w:type="character" w:customStyle="1" w:styleId="21">
    <w:name w:val="页脚 字符"/>
    <w:basedOn w:val="14"/>
    <w:link w:val="9"/>
    <w:qFormat/>
    <w:uiPriority w:val="99"/>
    <w:rPr>
      <w:kern w:val="2"/>
      <w:sz w:val="18"/>
      <w:szCs w:val="18"/>
    </w:rPr>
  </w:style>
  <w:style w:type="paragraph" w:customStyle="1" w:styleId="22">
    <w:name w:val="VE Body Text No Space"/>
    <w:basedOn w:val="1"/>
    <w:qFormat/>
    <w:uiPriority w:val="0"/>
    <w:pPr>
      <w:widowControl/>
    </w:pPr>
    <w:rPr>
      <w:kern w:val="0"/>
      <w:sz w:val="24"/>
      <w:szCs w:val="24"/>
      <w:lang w:eastAsia="en-US"/>
    </w:rPr>
  </w:style>
  <w:style w:type="character" w:customStyle="1" w:styleId="23">
    <w:name w:val="正文文本 字符"/>
    <w:basedOn w:val="14"/>
    <w:semiHidden/>
    <w:qFormat/>
    <w:uiPriority w:val="0"/>
    <w:rPr>
      <w:kern w:val="2"/>
      <w:sz w:val="21"/>
    </w:rPr>
  </w:style>
  <w:style w:type="character" w:customStyle="1" w:styleId="24">
    <w:name w:val="正文文本 字符1"/>
    <w:link w:val="5"/>
    <w:qFormat/>
    <w:uiPriority w:val="0"/>
    <w:rPr>
      <w:kern w:val="2"/>
      <w:sz w:val="21"/>
    </w:rPr>
  </w:style>
  <w:style w:type="character" w:customStyle="1" w:styleId="25">
    <w:name w:val="页脚 Char"/>
    <w:qFormat/>
    <w:uiPriority w:val="99"/>
    <w:rPr>
      <w:kern w:val="2"/>
      <w:sz w:val="18"/>
      <w:szCs w:val="18"/>
    </w:rPr>
  </w:style>
  <w:style w:type="character" w:customStyle="1" w:styleId="26">
    <w:name w:val="页眉 字符"/>
    <w:basedOn w:val="14"/>
    <w:link w:val="10"/>
    <w:qFormat/>
    <w:uiPriority w:val="99"/>
    <w:rPr>
      <w:kern w:val="2"/>
      <w:sz w:val="18"/>
      <w:szCs w:val="18"/>
    </w:rPr>
  </w:style>
  <w:style w:type="character" w:customStyle="1" w:styleId="27">
    <w:name w:val="日期 字符"/>
    <w:basedOn w:val="14"/>
    <w:link w:val="7"/>
    <w:qFormat/>
    <w:uiPriority w:val="0"/>
    <w:rPr>
      <w:kern w:val="2"/>
      <w:sz w:val="21"/>
    </w:rPr>
  </w:style>
  <w:style w:type="character" w:styleId="28">
    <w:name w:val="Placeholder Text"/>
    <w:basedOn w:val="14"/>
    <w:semiHidden/>
    <w:qFormat/>
    <w:uiPriority w:val="99"/>
    <w:rPr>
      <w:color w:val="808080"/>
    </w:rPr>
  </w:style>
  <w:style w:type="character" w:customStyle="1" w:styleId="29">
    <w:name w:val="标题 1 字符"/>
    <w:basedOn w:val="14"/>
    <w:link w:val="2"/>
    <w:qFormat/>
    <w:uiPriority w:val="0"/>
    <w:rPr>
      <w:b/>
      <w:bCs/>
      <w:kern w:val="44"/>
      <w:sz w:val="44"/>
      <w:szCs w:val="44"/>
    </w:rPr>
  </w:style>
  <w:style w:type="character" w:customStyle="1" w:styleId="30">
    <w:name w:val="标题 2 字符"/>
    <w:basedOn w:val="14"/>
    <w:link w:val="3"/>
    <w:qFormat/>
    <w:uiPriority w:val="0"/>
    <w:rPr>
      <w:rFonts w:asciiTheme="majorHAnsi" w:hAnsiTheme="majorHAnsi" w:eastAsiaTheme="majorEastAsia" w:cstheme="majorBidi"/>
      <w:b/>
      <w:bCs/>
      <w:kern w:val="2"/>
      <w:sz w:val="32"/>
      <w:szCs w:val="32"/>
    </w:rPr>
  </w:style>
  <w:style w:type="paragraph" w:customStyle="1" w:styleId="31">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8FABFE-F2F1-47B1-9547-DC85C12137AE}">
  <ds:schemaRefs/>
</ds:datastoreItem>
</file>

<file path=docProps/app.xml><?xml version="1.0" encoding="utf-8"?>
<Properties xmlns="http://schemas.openxmlformats.org/officeDocument/2006/extended-properties" xmlns:vt="http://schemas.openxmlformats.org/officeDocument/2006/docPropsVTypes">
  <Template>Normal</Template>
  <Company>KWM</Company>
  <Pages>38</Pages>
  <Words>3230</Words>
  <Characters>18417</Characters>
  <Lines>153</Lines>
  <Paragraphs>43</Paragraphs>
  <TotalTime>7</TotalTime>
  <ScaleCrop>false</ScaleCrop>
  <LinksUpToDate>false</LinksUpToDate>
  <CharactersWithSpaces>21604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2015-04-23T08:39:00Z</dcterms:created>
  <dc:creator>dell</dc:creator>
  <cp:lastModifiedBy>肖国君</cp:lastModifiedBy>
  <cp:lastPrinted>2023-08-23T02:00:00Z</cp:lastPrinted>
  <dcterms:modified xsi:type="dcterms:W3CDTF">2024-07-18T02:17:29Z</dcterms:modified>
  <dc:title>国 内 订 货 合 同 </dc:title>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A6AC0417B07045B2A259525E698ED7E1</vt:lpwstr>
  </property>
</Properties>
</file>