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Calibri" w:hAnsi="Calibri" w:eastAsia="黑体" w:cs="Calibri"/>
          <w:sz w:val="52"/>
          <w:szCs w:val="52"/>
          <w:highlight w:val="none"/>
          <w:lang w:val="en-US" w:eastAsia="zh-CN"/>
          <w14:shadow w14:blurRad="50800" w14:dist="38100" w14:dir="2700000" w14:sx="100000" w14:sy="100000" w14:kx="0" w14:ky="0" w14:algn="tl">
            <w14:srgbClr w14:val="000000">
              <w14:alpha w14:val="60000"/>
            </w14:srgbClr>
          </w14:shadow>
        </w:rPr>
      </w:pPr>
      <w:bookmarkStart w:id="0" w:name="_Toc1039"/>
      <w:bookmarkStart w:id="1" w:name="_Toc20086"/>
      <w:bookmarkStart w:id="2" w:name="_Toc32142"/>
      <w:bookmarkStart w:id="3" w:name="_Toc11468"/>
      <w:bookmarkStart w:id="4" w:name="_Toc10588"/>
      <w:bookmarkStart w:id="5" w:name="_Toc18284"/>
      <w:bookmarkStart w:id="6" w:name="_Toc22012"/>
      <w:bookmarkStart w:id="180" w:name="_GoBack"/>
      <w:r>
        <w:rPr>
          <w:rFonts w:hint="eastAsia" w:ascii="Calibri" w:hAnsi="Calibri" w:eastAsia="黑体" w:cs="Calibri"/>
          <w:sz w:val="52"/>
          <w:szCs w:val="52"/>
          <w:highlight w:val="none"/>
          <w:lang w:val="en-US" w:eastAsia="zh-CN"/>
          <w14:shadow w14:blurRad="50800" w14:dist="38100" w14:dir="2700000" w14:sx="100000" w14:sy="100000" w14:kx="0" w14:ky="0" w14:algn="tl">
            <w14:srgbClr w14:val="000000">
              <w14:alpha w14:val="60000"/>
            </w14:srgbClr>
          </w14:shadow>
        </w:rPr>
        <w:t>中海壳牌惠州三期乙烯和聚碳酸酯项目</w:t>
      </w:r>
      <w:bookmarkEnd w:id="0"/>
      <w:bookmarkEnd w:id="1"/>
      <w:bookmarkEnd w:id="2"/>
      <w:bookmarkEnd w:id="3"/>
      <w:bookmarkEnd w:id="4"/>
      <w:bookmarkEnd w:id="5"/>
      <w:bookmarkEnd w:id="6"/>
    </w:p>
    <w:p>
      <w:pPr>
        <w:keepNext/>
        <w:keepLines w:val="0"/>
        <w:pageBreakBefore w:val="0"/>
        <w:kinsoku/>
        <w:wordWrap/>
        <w:overflowPunct/>
        <w:topLinePunct w:val="0"/>
        <w:autoSpaceDE/>
        <w:autoSpaceDN/>
        <w:bidi w:val="0"/>
        <w:spacing w:line="240" w:lineRule="atLeast"/>
        <w:jc w:val="center"/>
        <w:rPr>
          <w:rFonts w:hint="default" w:ascii="Calibri" w:hAnsi="Calibri" w:eastAsia="华文细黑" w:cs="Calibri"/>
          <w:sz w:val="32"/>
          <w:szCs w:val="44"/>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center"/>
        <w:rPr>
          <w:rFonts w:hint="default" w:ascii="Calibri" w:hAnsi="Calibri" w:eastAsia="Arial Unicode MS" w:cs="Calibri"/>
          <w:sz w:val="44"/>
          <w:szCs w:val="44"/>
          <w:highlight w:val="none"/>
          <w14:shadow w14:blurRad="50800" w14:dist="38100" w14:dir="2700000" w14:sx="100000" w14:sy="100000" w14:kx="0" w14:ky="0" w14:algn="tl">
            <w14:srgbClr w14:val="000000">
              <w14:alpha w14:val="60000"/>
            </w14:srgbClr>
          </w14:shadow>
        </w:rPr>
      </w:pPr>
      <w:r>
        <w:rPr>
          <w:rFonts w:hint="default" w:ascii="Calibri" w:hAnsi="Calibri" w:eastAsia="Arial Unicode MS" w:cs="Calibri"/>
          <w:sz w:val="44"/>
          <w:szCs w:val="44"/>
          <w:highlight w:val="none"/>
        </w:rPr>
        <w:drawing>
          <wp:anchor distT="0" distB="0" distL="114300" distR="114300" simplePos="0" relativeHeight="251659264" behindDoc="0" locked="0" layoutInCell="1" allowOverlap="1">
            <wp:simplePos x="0" y="0"/>
            <wp:positionH relativeFrom="column">
              <wp:posOffset>975995</wp:posOffset>
            </wp:positionH>
            <wp:positionV relativeFrom="paragraph">
              <wp:posOffset>306070</wp:posOffset>
            </wp:positionV>
            <wp:extent cx="1371600" cy="1188720"/>
            <wp:effectExtent l="0" t="0" r="0" b="0"/>
            <wp:wrapNone/>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71600" cy="1188720"/>
                    </a:xfrm>
                    <a:prstGeom prst="rect">
                      <a:avLst/>
                    </a:prstGeom>
                    <a:noFill/>
                    <a:ln>
                      <a:noFill/>
                    </a:ln>
                  </pic:spPr>
                </pic:pic>
              </a:graphicData>
            </a:graphic>
          </wp:anchor>
        </w:drawing>
      </w:r>
      <w:r>
        <w:rPr>
          <w:rFonts w:hint="default" w:ascii="Calibri" w:hAnsi="Calibri" w:cs="Calibri"/>
          <w:b/>
          <w:bCs/>
          <w:sz w:val="44"/>
          <w:szCs w:val="44"/>
          <w:highlight w:val="none"/>
        </w:rPr>
        <w:drawing>
          <wp:anchor distT="0" distB="0" distL="114300" distR="114300" simplePos="0" relativeHeight="251661312" behindDoc="0" locked="0" layoutInCell="1" allowOverlap="1">
            <wp:simplePos x="0" y="0"/>
            <wp:positionH relativeFrom="column">
              <wp:posOffset>3512185</wp:posOffset>
            </wp:positionH>
            <wp:positionV relativeFrom="paragraph">
              <wp:posOffset>314325</wp:posOffset>
            </wp:positionV>
            <wp:extent cx="1385570" cy="1220470"/>
            <wp:effectExtent l="0" t="0" r="5080" b="17780"/>
            <wp:wrapNone/>
            <wp:docPr id="4" name="图片 4" descr="https://timgsa.baidu.com/timg?image&amp;quality=80&amp;size=b9999_10000&amp;sec=1511503266&amp;di=f51c32b96c68c7a50c7995c727567438&amp;imgtype=jpg&amp;er=1&amp;src=http%3A%2F%2Fwww.ehrd.org%2FUploadFiles%2F2013%2F281%2F20130426142256185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timgsa.baidu.com/timg?image&amp;quality=80&amp;size=b9999_10000&amp;sec=1511503266&amp;di=f51c32b96c68c7a50c7995c727567438&amp;imgtype=jpg&amp;er=1&amp;src=http%3A%2F%2Fwww.ehrd.org%2FUploadFiles%2F2013%2F281%2F2013042614225618593.jp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t="2985" b="2985"/>
                    <a:stretch>
                      <a:fillRect/>
                    </a:stretch>
                  </pic:blipFill>
                  <pic:spPr>
                    <a:xfrm>
                      <a:off x="0" y="0"/>
                      <a:ext cx="1385570" cy="1220470"/>
                    </a:xfrm>
                    <a:prstGeom prst="rect">
                      <a:avLst/>
                    </a:prstGeom>
                    <a:noFill/>
                    <a:ln>
                      <a:noFill/>
                    </a:ln>
                  </pic:spPr>
                </pic:pic>
              </a:graphicData>
            </a:graphic>
          </wp:anchor>
        </w:drawing>
      </w:r>
    </w:p>
    <w:p>
      <w:pPr>
        <w:keepNext/>
        <w:keepLines w:val="0"/>
        <w:pageBreakBefore w:val="0"/>
        <w:kinsoku/>
        <w:wordWrap/>
        <w:overflowPunct/>
        <w:topLinePunct w:val="0"/>
        <w:autoSpaceDE/>
        <w:autoSpaceDN/>
        <w:bidi w:val="0"/>
        <w:spacing w:line="240" w:lineRule="atLeast"/>
        <w:jc w:val="center"/>
        <w:rPr>
          <w:rFonts w:hint="default" w:ascii="Calibri" w:hAnsi="Calibri" w:eastAsia="Arial Unicode MS" w:cs="Calibri"/>
          <w:sz w:val="44"/>
          <w:szCs w:val="44"/>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center"/>
        <w:rPr>
          <w:rFonts w:hint="default" w:ascii="Calibri" w:hAnsi="Calibri" w:eastAsia="Arial Unicode MS" w:cs="Calibri"/>
          <w:sz w:val="44"/>
          <w:szCs w:val="44"/>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center"/>
        <w:rPr>
          <w:rFonts w:hint="default" w:ascii="Calibri" w:hAnsi="Calibri" w:eastAsia="Arial Unicode MS" w:cs="Calibri"/>
          <w:sz w:val="44"/>
          <w:szCs w:val="44"/>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center"/>
        <w:rPr>
          <w:rFonts w:hint="eastAsia" w:ascii="微软雅黑" w:hAnsi="微软雅黑" w:eastAsia="微软雅黑" w:cs="微软雅黑"/>
          <w:sz w:val="48"/>
          <w:szCs w:val="48"/>
          <w:highlight w:val="none"/>
          <w14:shadow w14:blurRad="50800" w14:dist="38100" w14:dir="2700000" w14:sx="100000" w14:sy="100000" w14:kx="0" w14:ky="0" w14:algn="tl">
            <w14:srgbClr w14:val="000000">
              <w14:alpha w14:val="60000"/>
            </w14:srgbClr>
          </w14:shadow>
        </w:rPr>
      </w:pPr>
    </w:p>
    <w:p>
      <w:pPr>
        <w:keepNext/>
        <w:keepLines w:val="0"/>
        <w:pageBreakBefore w:val="0"/>
        <w:widowControl w:val="0"/>
        <w:kinsoku/>
        <w:wordWrap/>
        <w:overflowPunct/>
        <w:topLinePunct w:val="0"/>
        <w:autoSpaceDE/>
        <w:autoSpaceDN/>
        <w:bidi w:val="0"/>
        <w:adjustRightInd/>
        <w:snapToGrid/>
        <w:spacing w:line="720" w:lineRule="auto"/>
        <w:jc w:val="center"/>
        <w:textAlignment w:val="auto"/>
        <w:rPr>
          <w:rFonts w:hint="default" w:ascii="Calibri" w:hAnsi="Calibri" w:eastAsia="黑体" w:cs="Calibri"/>
          <w:sz w:val="52"/>
          <w:szCs w:val="52"/>
          <w:highlight w:val="none"/>
          <w:lang w:val="en-US" w:eastAsia="zh-CN"/>
          <w14:shadow w14:blurRad="50800" w14:dist="38100" w14:dir="2700000" w14:sx="100000" w14:sy="100000" w14:kx="0" w14:ky="0" w14:algn="tl">
            <w14:srgbClr w14:val="000000">
              <w14:alpha w14:val="60000"/>
            </w14:srgbClr>
          </w14:shadow>
        </w:rPr>
      </w:pPr>
      <w:r>
        <w:rPr>
          <w:rFonts w:hint="eastAsia" w:ascii="Calibri" w:hAnsi="Calibri" w:eastAsia="黑体" w:cs="Calibri"/>
          <w:sz w:val="52"/>
          <w:szCs w:val="52"/>
          <w:highlight w:val="none"/>
          <w:lang w:val="en-US" w:eastAsia="zh-CN"/>
          <w14:shadow w14:blurRad="50800" w14:dist="38100" w14:dir="2700000" w14:sx="100000" w14:sy="100000" w14:kx="0" w14:ky="0" w14:algn="tl">
            <w14:srgbClr w14:val="000000">
              <w14:alpha w14:val="60000"/>
            </w14:srgbClr>
          </w14:shadow>
        </w:rPr>
        <w:t>仪表铝合金电缆桥架框架协议采购</w:t>
      </w:r>
    </w:p>
    <w:p>
      <w:pPr>
        <w:keepNext/>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Calibri" w:hAnsi="Calibri" w:eastAsia="黑体" w:cs="Calibri"/>
          <w:sz w:val="52"/>
          <w:szCs w:val="52"/>
          <w:highlight w:val="none"/>
          <w:lang w:val="en-US" w:eastAsia="zh-CN"/>
          <w14:shadow w14:blurRad="50800" w14:dist="38100" w14:dir="2700000" w14:sx="100000" w14:sy="100000" w14:kx="0" w14:ky="0" w14:algn="tl">
            <w14:srgbClr w14:val="000000">
              <w14:alpha w14:val="60000"/>
            </w14:srgbClr>
          </w14:shadow>
        </w:rPr>
      </w:pPr>
      <w:bookmarkStart w:id="7" w:name="_Toc865"/>
      <w:bookmarkStart w:id="8" w:name="_Toc10834"/>
      <w:bookmarkStart w:id="9" w:name="_Toc18863"/>
      <w:bookmarkStart w:id="10" w:name="_Toc15150"/>
      <w:bookmarkStart w:id="11" w:name="_Toc31564"/>
      <w:bookmarkStart w:id="12" w:name="_Toc7082"/>
      <w:bookmarkStart w:id="13" w:name="_Toc32521"/>
      <w:r>
        <w:rPr>
          <w:rFonts w:hint="eastAsia" w:ascii="Calibri" w:hAnsi="Calibri" w:eastAsia="黑体" w:cs="Calibri"/>
          <w:sz w:val="52"/>
          <w:szCs w:val="52"/>
          <w:highlight w:val="none"/>
          <w:lang w:val="en-US" w:eastAsia="zh-CN"/>
          <w14:shadow w14:blurRad="50800" w14:dist="38100" w14:dir="2700000" w14:sx="100000" w14:sy="100000" w14:kx="0" w14:ky="0" w14:algn="tl">
            <w14:srgbClr w14:val="000000">
              <w14:alpha w14:val="60000"/>
            </w14:srgbClr>
          </w14:shadow>
        </w:rPr>
        <w:t>招标技术文件</w:t>
      </w:r>
      <w:bookmarkEnd w:id="7"/>
      <w:bookmarkEnd w:id="8"/>
      <w:bookmarkEnd w:id="9"/>
      <w:bookmarkEnd w:id="10"/>
      <w:bookmarkEnd w:id="11"/>
      <w:bookmarkEnd w:id="12"/>
      <w:bookmarkEnd w:id="13"/>
    </w:p>
    <w:p>
      <w:pPr>
        <w:keepNext/>
        <w:keepLines w:val="0"/>
        <w:pageBreakBefore w:val="0"/>
        <w:kinsoku/>
        <w:wordWrap/>
        <w:overflowPunct/>
        <w:topLinePunct w:val="0"/>
        <w:autoSpaceDE/>
        <w:autoSpaceDN/>
        <w:bidi w:val="0"/>
        <w:spacing w:line="240" w:lineRule="atLeast"/>
        <w:jc w:val="center"/>
        <w:rPr>
          <w:rFonts w:hint="default" w:ascii="Calibri" w:hAnsi="Calibri" w:eastAsia="华文细黑" w:cs="Calibri"/>
          <w:sz w:val="48"/>
          <w:szCs w:val="48"/>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center"/>
        <w:rPr>
          <w:rFonts w:hint="default" w:ascii="Calibri" w:hAnsi="Calibri" w:eastAsia="华文细黑" w:cs="Calibri"/>
          <w:sz w:val="48"/>
          <w:szCs w:val="48"/>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center"/>
        <w:rPr>
          <w:rFonts w:hint="default" w:ascii="Calibri" w:hAnsi="Calibri" w:eastAsia="华文细黑" w:cs="Calibri"/>
          <w:sz w:val="48"/>
          <w:szCs w:val="48"/>
          <w:highlight w:val="none"/>
          <w14:shadow w14:blurRad="50800" w14:dist="38100" w14:dir="2700000" w14:sx="100000" w14:sy="100000" w14:kx="0" w14:ky="0" w14:algn="tl">
            <w14:srgbClr w14:val="000000">
              <w14:alpha w14:val="60000"/>
            </w14:srgbClr>
          </w14:shadow>
        </w:rPr>
      </w:pPr>
    </w:p>
    <w:p>
      <w:pPr>
        <w:keepNext/>
        <w:keepLines w:val="0"/>
        <w:pageBreakBefore w:val="0"/>
        <w:kinsoku/>
        <w:wordWrap/>
        <w:overflowPunct/>
        <w:topLinePunct w:val="0"/>
        <w:autoSpaceDE/>
        <w:autoSpaceDN/>
        <w:bidi w:val="0"/>
        <w:spacing w:line="240" w:lineRule="atLeast"/>
        <w:jc w:val="both"/>
        <w:rPr>
          <w:rFonts w:hint="default" w:ascii="Calibri" w:hAnsi="Calibri" w:eastAsia="华文细黑" w:cs="Calibri"/>
          <w:sz w:val="48"/>
          <w:szCs w:val="48"/>
          <w:highlight w:val="none"/>
          <w14:shadow w14:blurRad="50800" w14:dist="38100" w14:dir="2700000" w14:sx="100000" w14:sy="100000" w14:kx="0" w14:ky="0" w14:algn="tl">
            <w14:srgbClr w14:val="000000">
              <w14:alpha w14:val="60000"/>
            </w14:srgbClr>
          </w14:shadow>
        </w:rPr>
      </w:pPr>
    </w:p>
    <w:p>
      <w:pPr>
        <w:keepNext/>
        <w:keepLines w:val="0"/>
        <w:pageBreakBefore w:val="0"/>
        <w:widowControl w:val="0"/>
        <w:kinsoku/>
        <w:wordWrap/>
        <w:overflowPunct/>
        <w:topLinePunct w:val="0"/>
        <w:autoSpaceDE/>
        <w:autoSpaceDN/>
        <w:bidi w:val="0"/>
        <w:adjustRightInd/>
        <w:snapToGrid/>
        <w:spacing w:line="720" w:lineRule="auto"/>
        <w:jc w:val="center"/>
        <w:textAlignment w:val="auto"/>
        <w:rPr>
          <w:rFonts w:hint="default" w:ascii="Calibri" w:hAnsi="Calibri" w:eastAsia="黑体" w:cs="Calibri"/>
          <w:sz w:val="44"/>
          <w:szCs w:val="44"/>
          <w:highlight w:val="none"/>
          <w:lang w:val="en-US" w:eastAsia="zh-CN"/>
          <w14:shadow w14:blurRad="50800" w14:dist="38100" w14:dir="2700000" w14:sx="100000" w14:sy="100000" w14:kx="0" w14:ky="0" w14:algn="tl">
            <w14:srgbClr w14:val="000000">
              <w14:alpha w14:val="60000"/>
            </w14:srgbClr>
          </w14:shadow>
        </w:rPr>
      </w:pPr>
      <w:r>
        <w:rPr>
          <w:rFonts w:hint="default" w:ascii="Calibri" w:hAnsi="Calibri" w:eastAsia="黑体" w:cs="Calibri"/>
          <w:sz w:val="44"/>
          <w:szCs w:val="44"/>
          <w:highlight w:val="none"/>
          <w:lang w:val="en-US" w:eastAsia="zh-CN"/>
          <w14:shadow w14:blurRad="50800" w14:dist="38100" w14:dir="2700000" w14:sx="100000" w14:sy="100000" w14:kx="0" w14:ky="0" w14:algn="tl">
            <w14:srgbClr w14:val="000000">
              <w14:alpha w14:val="60000"/>
            </w14:srgbClr>
          </w14:shadow>
        </w:rPr>
        <w:t>惠州市•大亚湾</w:t>
      </w:r>
    </w:p>
    <w:p>
      <w:pPr>
        <w:keepNext/>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1"/>
        <w:rPr>
          <w:rFonts w:hint="default"/>
          <w:highlight w:val="none"/>
          <w:lang w:val="en-US" w:eastAsia="zh-CN"/>
        </w:rPr>
      </w:pPr>
      <w:bookmarkStart w:id="14" w:name="_Toc4903"/>
      <w:bookmarkStart w:id="15" w:name="_Toc21829"/>
      <w:r>
        <w:rPr>
          <w:rFonts w:hint="eastAsia" w:ascii="黑体" w:hAnsi="黑体" w:eastAsia="黑体" w:cs="黑体"/>
          <w:b/>
          <w:bCs/>
          <w:sz w:val="32"/>
          <w:szCs w:val="32"/>
          <w:highlight w:val="none"/>
        </w:rPr>
        <w:t>202</w:t>
      </w:r>
      <w:r>
        <w:rPr>
          <w:rFonts w:hint="eastAsia" w:ascii="黑体" w:hAnsi="黑体" w:eastAsia="黑体" w:cs="黑体"/>
          <w:b/>
          <w:bCs/>
          <w:sz w:val="32"/>
          <w:szCs w:val="32"/>
          <w:highlight w:val="none"/>
          <w:lang w:val="en-US" w:eastAsia="zh-CN"/>
        </w:rPr>
        <w:t>5</w:t>
      </w:r>
      <w:r>
        <w:rPr>
          <w:rFonts w:hint="eastAsia" w:ascii="黑体" w:hAnsi="黑体" w:eastAsia="黑体" w:cs="黑体"/>
          <w:b/>
          <w:bCs/>
          <w:sz w:val="32"/>
          <w:szCs w:val="32"/>
          <w:highlight w:val="none"/>
        </w:rPr>
        <w:t>年</w:t>
      </w:r>
      <w:r>
        <w:rPr>
          <w:rFonts w:hint="eastAsia" w:ascii="黑体" w:hAnsi="黑体" w:eastAsia="黑体" w:cs="黑体"/>
          <w:b/>
          <w:bCs/>
          <w:sz w:val="32"/>
          <w:szCs w:val="32"/>
          <w:highlight w:val="none"/>
          <w:lang w:val="en-US" w:eastAsia="zh-CN"/>
        </w:rPr>
        <w:t>9</w:t>
      </w:r>
      <w:r>
        <w:rPr>
          <w:rFonts w:hint="eastAsia" w:ascii="黑体" w:hAnsi="黑体" w:eastAsia="黑体" w:cs="黑体"/>
          <w:b/>
          <w:bCs/>
          <w:sz w:val="32"/>
          <w:szCs w:val="32"/>
          <w:highlight w:val="none"/>
        </w:rPr>
        <w:t>月</w:t>
      </w:r>
      <w:r>
        <w:rPr>
          <w:rFonts w:hint="eastAsia" w:ascii="黑体" w:hAnsi="黑体" w:eastAsia="黑体" w:cs="黑体"/>
          <w:b/>
          <w:bCs/>
          <w:sz w:val="32"/>
          <w:szCs w:val="32"/>
          <w:highlight w:val="none"/>
          <w:lang w:val="en-US" w:eastAsia="zh-CN"/>
        </w:rPr>
        <w:t>26</w:t>
      </w:r>
      <w:r>
        <w:rPr>
          <w:rFonts w:hint="eastAsia" w:ascii="黑体" w:hAnsi="黑体" w:eastAsia="黑体" w:cs="黑体"/>
          <w:b/>
          <w:bCs/>
          <w:sz w:val="32"/>
          <w:szCs w:val="32"/>
          <w:highlight w:val="none"/>
        </w:rPr>
        <w:t>日</w:t>
      </w:r>
      <w:bookmarkEnd w:id="14"/>
      <w:bookmarkEnd w:id="15"/>
    </w:p>
    <w:p>
      <w:pPr>
        <w:keepNext/>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1"/>
        <w:rPr>
          <w:rFonts w:hint="default"/>
          <w:highlight w:val="none"/>
          <w:lang w:val="en-US" w:eastAsia="zh-CN"/>
        </w:rPr>
      </w:pPr>
    </w:p>
    <w:p>
      <w:pPr>
        <w:keepNext/>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1"/>
        <w:rPr>
          <w:rFonts w:hint="default"/>
          <w:highlight w:val="none"/>
          <w:lang w:val="en-US" w:eastAsia="zh-CN"/>
        </w:rPr>
      </w:pPr>
    </w:p>
    <w:p>
      <w:pPr>
        <w:keepNext/>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1"/>
        <w:rPr>
          <w:rFonts w:hint="default"/>
          <w:highlight w:val="none"/>
          <w:lang w:val="en-US" w:eastAsia="zh-CN"/>
        </w:rPr>
      </w:pPr>
    </w:p>
    <w:sdt>
      <w:sdtPr>
        <w:rPr>
          <w:rFonts w:hint="default"/>
          <w:highlight w:val="none"/>
          <w:lang w:val="en-US" w:eastAsia="zh-CN"/>
        </w:rPr>
        <w:id w:val="147463287"/>
        <w15:color w:val="DBDBDB"/>
        <w:docPartObj>
          <w:docPartGallery w:val="Table of Contents"/>
          <w:docPartUnique/>
        </w:docPartObj>
      </w:sdtPr>
      <w:sdtEndPr>
        <w:rPr>
          <w:rFonts w:hint="default" w:ascii="Calibri" w:hAnsi="Calibri" w:eastAsia="宋体" w:cs="Calibri"/>
          <w:b/>
          <w:kern w:val="2"/>
          <w:sz w:val="24"/>
          <w:szCs w:val="24"/>
          <w:highlight w:val="none"/>
          <w:lang w:val="en-US" w:eastAsia="zh-CN" w:bidi="ar-SA"/>
        </w:rPr>
      </w:sdtEndPr>
      <w:sdtContent>
        <w:p>
          <w:pPr>
            <w:keepNext/>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1"/>
            <w:rPr>
              <w:rFonts w:hint="default" w:ascii="Calibri" w:hAnsi="Calibri" w:eastAsia="宋体" w:cs="Calibri"/>
              <w:kern w:val="2"/>
              <w:sz w:val="24"/>
              <w:szCs w:val="24"/>
              <w:highlight w:val="none"/>
              <w:lang w:val="en-US" w:eastAsia="zh-CN" w:bidi="ar-SA"/>
            </w:rPr>
          </w:pPr>
          <w:bookmarkStart w:id="16" w:name="_Toc2626"/>
          <w:bookmarkStart w:id="17" w:name="_Toc27203"/>
          <w:bookmarkStart w:id="18" w:name="_Toc32683"/>
          <w:bookmarkStart w:id="19" w:name="_Toc517"/>
          <w:bookmarkStart w:id="20" w:name="_Toc1121"/>
          <w:bookmarkStart w:id="21" w:name="_Toc7050"/>
          <w:bookmarkStart w:id="22" w:name="_Toc28765"/>
          <w:bookmarkStart w:id="23" w:name="_Toc13066"/>
          <w:bookmarkStart w:id="24" w:name="_Toc156802729"/>
          <w:bookmarkStart w:id="25" w:name="_Toc156802654"/>
          <w:bookmarkStart w:id="26" w:name="_Toc156801427"/>
          <w:bookmarkStart w:id="27" w:name="_Toc156802899"/>
          <w:bookmarkStart w:id="28" w:name="_Toc261783504"/>
          <w:bookmarkStart w:id="29" w:name="_Toc156802354"/>
          <w:bookmarkStart w:id="30" w:name="_Toc137388559"/>
          <w:bookmarkStart w:id="31" w:name="_Toc156802245"/>
          <w:bookmarkStart w:id="32" w:name="_Toc115662258"/>
          <w:bookmarkStart w:id="33" w:name="_Toc119132284"/>
          <w:bookmarkStart w:id="34" w:name="_Toc115662082"/>
          <w:bookmarkStart w:id="35" w:name="_Toc115663757"/>
          <w:bookmarkStart w:id="36" w:name="_Toc115661853"/>
          <w:r>
            <w:rPr>
              <w:rStyle w:val="439"/>
              <w:rFonts w:hint="eastAsia"/>
              <w:b/>
              <w:bCs/>
              <w:sz w:val="28"/>
              <w:szCs w:val="28"/>
              <w:highlight w:val="none"/>
              <w:lang w:val="en-US" w:eastAsia="zh-CN"/>
            </w:rPr>
            <w:t>目  录</w:t>
          </w:r>
          <w:bookmarkEnd w:id="16"/>
          <w:bookmarkEnd w:id="17"/>
          <w:bookmarkEnd w:id="18"/>
          <w:bookmarkEnd w:id="19"/>
          <w:bookmarkEnd w:id="20"/>
          <w:bookmarkEnd w:id="21"/>
          <w:bookmarkEnd w:id="22"/>
          <w:bookmarkEnd w:id="23"/>
          <w:r>
            <w:rPr>
              <w:rFonts w:hint="default" w:ascii="Calibri" w:hAnsi="Calibri" w:eastAsia="宋体" w:cs="Calibri"/>
              <w:sz w:val="24"/>
              <w:szCs w:val="24"/>
              <w:highlight w:val="none"/>
            </w:rPr>
            <w:fldChar w:fldCharType="begin"/>
          </w:r>
          <w:r>
            <w:rPr>
              <w:rFonts w:hint="default" w:ascii="Calibri" w:hAnsi="Calibri" w:eastAsia="宋体" w:cs="Calibri"/>
              <w:sz w:val="24"/>
              <w:szCs w:val="24"/>
              <w:highlight w:val="none"/>
            </w:rPr>
            <w:instrText xml:space="preserve">TOC \o "1-2" \h \u </w:instrText>
          </w:r>
          <w:r>
            <w:rPr>
              <w:rFonts w:hint="default" w:ascii="Calibri" w:hAnsi="Calibri" w:eastAsia="宋体" w:cs="Calibri"/>
              <w:sz w:val="24"/>
              <w:szCs w:val="24"/>
              <w:highlight w:val="none"/>
            </w:rPr>
            <w:fldChar w:fldCharType="separate"/>
          </w:r>
        </w:p>
        <w:p>
          <w:pPr>
            <w:pStyle w:val="53"/>
            <w:tabs>
              <w:tab w:val="right" w:leader="dot" w:pos="9746"/>
            </w:tabs>
            <w:rPr>
              <w:highlight w:val="none"/>
            </w:rPr>
          </w:pP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_Toc6318 </w:instrText>
          </w:r>
          <w:r>
            <w:rPr>
              <w:rFonts w:hint="default" w:ascii="Calibri" w:hAnsi="Calibri" w:eastAsia="宋体" w:cs="Calibri"/>
              <w:szCs w:val="24"/>
              <w:highlight w:val="none"/>
            </w:rPr>
            <w:fldChar w:fldCharType="separate"/>
          </w:r>
          <w:r>
            <w:rPr>
              <w:rFonts w:hint="default" w:ascii="黑体" w:hAnsi="黑体" w:eastAsia="黑体" w:cs="黑体"/>
              <w:bCs/>
              <w:szCs w:val="32"/>
              <w:highlight w:val="none"/>
              <w:lang w:val="en-US" w:eastAsia="zh-CN"/>
            </w:rPr>
            <w:t xml:space="preserve">1 </w:t>
          </w:r>
          <w:r>
            <w:rPr>
              <w:rFonts w:hint="eastAsia" w:ascii="黑体" w:hAnsi="黑体" w:eastAsia="黑体" w:cs="黑体"/>
              <w:bCs/>
              <w:szCs w:val="32"/>
              <w:highlight w:val="none"/>
              <w:lang w:val="en-US" w:eastAsia="zh-CN"/>
            </w:rPr>
            <w:t>总则</w:t>
          </w:r>
          <w:r>
            <w:rPr>
              <w:highlight w:val="none"/>
            </w:rPr>
            <w:tab/>
          </w:r>
          <w:r>
            <w:rPr>
              <w:highlight w:val="none"/>
            </w:rPr>
            <w:fldChar w:fldCharType="begin"/>
          </w:r>
          <w:r>
            <w:rPr>
              <w:highlight w:val="none"/>
            </w:rPr>
            <w:instrText xml:space="preserve"> PAGEREF _Toc6318 \h </w:instrText>
          </w:r>
          <w:r>
            <w:rPr>
              <w:highlight w:val="none"/>
            </w:rPr>
            <w:fldChar w:fldCharType="separate"/>
          </w:r>
          <w:r>
            <w:rPr>
              <w:highlight w:val="none"/>
            </w:rPr>
            <w:t>2</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_Toc11408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2 </w:t>
          </w:r>
          <w:r>
            <w:rPr>
              <w:rFonts w:hint="eastAsia" w:ascii="黑体" w:hAnsi="黑体" w:eastAsia="黑体" w:cs="黑体"/>
              <w:highlight w:val="none"/>
              <w:lang w:val="en-US" w:eastAsia="zh-CN"/>
            </w:rPr>
            <w:t>公用工程及使用条件</w:t>
          </w:r>
          <w:r>
            <w:rPr>
              <w:highlight w:val="none"/>
            </w:rPr>
            <w:tab/>
          </w:r>
          <w:r>
            <w:rPr>
              <w:highlight w:val="none"/>
            </w:rPr>
            <w:fldChar w:fldCharType="begin"/>
          </w:r>
          <w:r>
            <w:rPr>
              <w:highlight w:val="none"/>
            </w:rPr>
            <w:instrText xml:space="preserve"> PAGEREF _Toc11408 \h </w:instrText>
          </w:r>
          <w:r>
            <w:rPr>
              <w:highlight w:val="none"/>
            </w:rPr>
            <w:fldChar w:fldCharType="separate"/>
          </w:r>
          <w:r>
            <w:rPr>
              <w:highlight w:val="none"/>
            </w:rPr>
            <w:t>4</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_Toc21344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3 </w:t>
          </w:r>
          <w:r>
            <w:rPr>
              <w:rFonts w:hint="eastAsia" w:ascii="黑体" w:hAnsi="黑体" w:eastAsia="黑体" w:cs="黑体"/>
              <w:highlight w:val="none"/>
              <w:lang w:val="en-US" w:eastAsia="zh-CN"/>
            </w:rPr>
            <w:t>标准规范</w:t>
          </w:r>
          <w:r>
            <w:rPr>
              <w:highlight w:val="none"/>
            </w:rPr>
            <w:tab/>
          </w:r>
          <w:r>
            <w:rPr>
              <w:highlight w:val="none"/>
            </w:rPr>
            <w:fldChar w:fldCharType="begin"/>
          </w:r>
          <w:r>
            <w:rPr>
              <w:highlight w:val="none"/>
            </w:rPr>
            <w:instrText xml:space="preserve"> PAGEREF _Toc21344 \h </w:instrText>
          </w:r>
          <w:r>
            <w:rPr>
              <w:highlight w:val="none"/>
            </w:rPr>
            <w:fldChar w:fldCharType="separate"/>
          </w:r>
          <w:r>
            <w:rPr>
              <w:highlight w:val="none"/>
            </w:rPr>
            <w:t>6</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_Toc7482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4 </w:t>
          </w:r>
          <w:r>
            <w:rPr>
              <w:rFonts w:hint="eastAsia" w:ascii="黑体" w:hAnsi="黑体" w:eastAsia="黑体" w:cs="黑体"/>
              <w:highlight w:val="none"/>
              <w:lang w:val="en-US" w:eastAsia="zh-CN"/>
            </w:rPr>
            <w:t>供货范围</w:t>
          </w:r>
          <w:r>
            <w:rPr>
              <w:highlight w:val="none"/>
            </w:rPr>
            <w:tab/>
          </w:r>
          <w:r>
            <w:rPr>
              <w:highlight w:val="none"/>
            </w:rPr>
            <w:fldChar w:fldCharType="begin"/>
          </w:r>
          <w:r>
            <w:rPr>
              <w:highlight w:val="none"/>
            </w:rPr>
            <w:instrText xml:space="preserve"> PAGEREF _Toc7482 \h </w:instrText>
          </w:r>
          <w:r>
            <w:rPr>
              <w:highlight w:val="none"/>
            </w:rPr>
            <w:fldChar w:fldCharType="separate"/>
          </w:r>
          <w:r>
            <w:rPr>
              <w:highlight w:val="none"/>
            </w:rPr>
            <w:t>8</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_Toc24830 </w:instrText>
          </w:r>
          <w:r>
            <w:rPr>
              <w:rFonts w:hint="default" w:ascii="Calibri" w:hAnsi="Calibri" w:eastAsia="宋体" w:cs="Calibri"/>
              <w:szCs w:val="24"/>
              <w:highlight w:val="none"/>
            </w:rPr>
            <w:fldChar w:fldCharType="separate"/>
          </w:r>
          <w:r>
            <w:rPr>
              <w:rFonts w:hint="default" w:ascii="黑体" w:hAnsi="黑体" w:eastAsia="黑体" w:cs="黑体"/>
              <w:bCs/>
              <w:kern w:val="44"/>
              <w:szCs w:val="32"/>
              <w:highlight w:val="none"/>
              <w:lang w:val="en-US" w:eastAsia="zh-CN"/>
            </w:rPr>
            <w:t xml:space="preserve">5 </w:t>
          </w:r>
          <w:r>
            <w:rPr>
              <w:rFonts w:hint="eastAsia" w:ascii="黑体" w:hAnsi="黑体" w:eastAsia="黑体" w:cs="黑体"/>
              <w:bCs/>
              <w:kern w:val="44"/>
              <w:szCs w:val="32"/>
              <w:highlight w:val="none"/>
              <w:lang w:val="en-US" w:eastAsia="zh-CN"/>
            </w:rPr>
            <w:t>技术要求</w:t>
          </w:r>
          <w:r>
            <w:rPr>
              <w:highlight w:val="none"/>
            </w:rPr>
            <w:tab/>
          </w:r>
          <w:r>
            <w:rPr>
              <w:highlight w:val="none"/>
            </w:rPr>
            <w:fldChar w:fldCharType="begin"/>
          </w:r>
          <w:r>
            <w:rPr>
              <w:highlight w:val="none"/>
            </w:rPr>
            <w:instrText xml:space="preserve"> PAGEREF _Toc24830 \h </w:instrText>
          </w:r>
          <w:r>
            <w:rPr>
              <w:highlight w:val="none"/>
            </w:rPr>
            <w:fldChar w:fldCharType="separate"/>
          </w:r>
          <w:r>
            <w:rPr>
              <w:highlight w:val="none"/>
            </w:rPr>
            <w:t>9</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_Toc20484 </w:instrText>
          </w:r>
          <w:r>
            <w:rPr>
              <w:rFonts w:hint="default" w:ascii="Calibri" w:hAnsi="Calibri" w:eastAsia="宋体" w:cs="Calibri"/>
              <w:szCs w:val="24"/>
              <w:highlight w:val="none"/>
            </w:rPr>
            <w:fldChar w:fldCharType="separate"/>
          </w:r>
          <w:r>
            <w:rPr>
              <w:rFonts w:hint="default" w:ascii="黑体" w:hAnsi="黑体" w:eastAsia="黑体" w:cs="黑体"/>
              <w:bCs/>
              <w:kern w:val="44"/>
              <w:szCs w:val="32"/>
              <w:highlight w:val="none"/>
              <w:lang w:val="en-US" w:eastAsia="zh-CN" w:bidi="ar-SA"/>
            </w:rPr>
            <w:t xml:space="preserve">6 </w:t>
          </w:r>
          <w:r>
            <w:rPr>
              <w:rFonts w:hint="default" w:ascii="黑体" w:hAnsi="黑体" w:eastAsia="黑体" w:cs="黑体"/>
              <w:bCs/>
              <w:kern w:val="44"/>
              <w:szCs w:val="32"/>
              <w:highlight w:val="none"/>
              <w:lang w:val="en-US" w:eastAsia="zh-CN" w:bidi="ar-SA"/>
            </w:rPr>
            <w:t>包装</w:t>
          </w:r>
          <w:r>
            <w:rPr>
              <w:rFonts w:hint="eastAsia" w:ascii="黑体" w:hAnsi="黑体" w:eastAsia="黑体" w:cs="黑体"/>
              <w:bCs/>
              <w:kern w:val="44"/>
              <w:szCs w:val="32"/>
              <w:highlight w:val="none"/>
              <w:lang w:val="en-US" w:eastAsia="zh-CN" w:bidi="ar-SA"/>
            </w:rPr>
            <w:t>、运输及交货</w:t>
          </w:r>
          <w:r>
            <w:rPr>
              <w:highlight w:val="none"/>
            </w:rPr>
            <w:tab/>
          </w:r>
          <w:r>
            <w:rPr>
              <w:highlight w:val="none"/>
            </w:rPr>
            <w:fldChar w:fldCharType="begin"/>
          </w:r>
          <w:r>
            <w:rPr>
              <w:highlight w:val="none"/>
            </w:rPr>
            <w:instrText xml:space="preserve"> PAGEREF _Toc20484 \h </w:instrText>
          </w:r>
          <w:r>
            <w:rPr>
              <w:highlight w:val="none"/>
            </w:rPr>
            <w:fldChar w:fldCharType="separate"/>
          </w:r>
          <w:r>
            <w:rPr>
              <w:highlight w:val="none"/>
            </w:rPr>
            <w:t>22</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_Toc18522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7 </w:t>
          </w:r>
          <w:r>
            <w:rPr>
              <w:rFonts w:hint="eastAsia" w:ascii="黑体" w:hAnsi="黑体" w:eastAsia="黑体" w:cs="黑体"/>
              <w:highlight w:val="none"/>
              <w:lang w:val="en-US" w:eastAsia="zh-CN"/>
            </w:rPr>
            <w:t>验收、安装及调试</w:t>
          </w:r>
          <w:r>
            <w:rPr>
              <w:highlight w:val="none"/>
            </w:rPr>
            <w:tab/>
          </w:r>
          <w:r>
            <w:rPr>
              <w:highlight w:val="none"/>
            </w:rPr>
            <w:fldChar w:fldCharType="begin"/>
          </w:r>
          <w:r>
            <w:rPr>
              <w:highlight w:val="none"/>
            </w:rPr>
            <w:instrText xml:space="preserve"> PAGEREF _Toc18522 \h </w:instrText>
          </w:r>
          <w:r>
            <w:rPr>
              <w:highlight w:val="none"/>
            </w:rPr>
            <w:fldChar w:fldCharType="separate"/>
          </w:r>
          <w:r>
            <w:rPr>
              <w:highlight w:val="none"/>
            </w:rPr>
            <w:t>24</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_Toc6070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8 </w:t>
          </w:r>
          <w:r>
            <w:rPr>
              <w:rFonts w:hint="eastAsia" w:ascii="黑体" w:hAnsi="黑体" w:eastAsia="黑体" w:cs="黑体"/>
              <w:highlight w:val="none"/>
              <w:lang w:val="en-US" w:eastAsia="zh-CN"/>
            </w:rPr>
            <w:t>质量保证及性能考核</w:t>
          </w:r>
          <w:r>
            <w:rPr>
              <w:highlight w:val="none"/>
            </w:rPr>
            <w:tab/>
          </w:r>
          <w:r>
            <w:rPr>
              <w:highlight w:val="none"/>
            </w:rPr>
            <w:fldChar w:fldCharType="begin"/>
          </w:r>
          <w:r>
            <w:rPr>
              <w:highlight w:val="none"/>
            </w:rPr>
            <w:instrText xml:space="preserve"> PAGEREF _Toc6070 \h </w:instrText>
          </w:r>
          <w:r>
            <w:rPr>
              <w:highlight w:val="none"/>
            </w:rPr>
            <w:fldChar w:fldCharType="separate"/>
          </w:r>
          <w:r>
            <w:rPr>
              <w:highlight w:val="none"/>
            </w:rPr>
            <w:t>26</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_Toc16121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9 </w:t>
          </w:r>
          <w:r>
            <w:rPr>
              <w:rFonts w:hint="eastAsia" w:ascii="黑体" w:hAnsi="黑体" w:eastAsia="黑体" w:cs="黑体"/>
              <w:highlight w:val="none"/>
              <w:lang w:val="en-US" w:eastAsia="zh-CN"/>
            </w:rPr>
            <w:t>技术培训、服务及设计联络</w:t>
          </w:r>
          <w:r>
            <w:rPr>
              <w:highlight w:val="none"/>
            </w:rPr>
            <w:tab/>
          </w:r>
          <w:r>
            <w:rPr>
              <w:highlight w:val="none"/>
            </w:rPr>
            <w:fldChar w:fldCharType="begin"/>
          </w:r>
          <w:r>
            <w:rPr>
              <w:highlight w:val="none"/>
            </w:rPr>
            <w:instrText xml:space="preserve"> PAGEREF _Toc16121 \h </w:instrText>
          </w:r>
          <w:r>
            <w:rPr>
              <w:highlight w:val="none"/>
            </w:rPr>
            <w:fldChar w:fldCharType="separate"/>
          </w:r>
          <w:r>
            <w:rPr>
              <w:highlight w:val="none"/>
            </w:rPr>
            <w:t>27</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_Toc3540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10 </w:t>
          </w:r>
          <w:r>
            <w:rPr>
              <w:rFonts w:hint="eastAsia" w:ascii="黑体" w:hAnsi="黑体" w:eastAsia="黑体" w:cs="黑体"/>
              <w:highlight w:val="none"/>
              <w:lang w:val="en-US" w:eastAsia="zh-CN"/>
            </w:rPr>
            <w:t>检验、试验和监造</w:t>
          </w:r>
          <w:r>
            <w:rPr>
              <w:highlight w:val="none"/>
            </w:rPr>
            <w:tab/>
          </w:r>
          <w:r>
            <w:rPr>
              <w:highlight w:val="none"/>
            </w:rPr>
            <w:fldChar w:fldCharType="begin"/>
          </w:r>
          <w:r>
            <w:rPr>
              <w:highlight w:val="none"/>
            </w:rPr>
            <w:instrText xml:space="preserve"> PAGEREF _Toc3540 \h </w:instrText>
          </w:r>
          <w:r>
            <w:rPr>
              <w:highlight w:val="none"/>
            </w:rPr>
            <w:fldChar w:fldCharType="separate"/>
          </w:r>
          <w:r>
            <w:rPr>
              <w:highlight w:val="none"/>
            </w:rPr>
            <w:t>29</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_Toc1353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11 </w:t>
          </w:r>
          <w:r>
            <w:rPr>
              <w:rFonts w:hint="eastAsia" w:ascii="黑体" w:hAnsi="黑体" w:eastAsia="黑体" w:cs="黑体"/>
              <w:highlight w:val="none"/>
              <w:lang w:val="en-US" w:eastAsia="zh-CN"/>
            </w:rPr>
            <w:t>防腐及铭牌标识</w:t>
          </w:r>
          <w:r>
            <w:rPr>
              <w:highlight w:val="none"/>
            </w:rPr>
            <w:tab/>
          </w:r>
          <w:r>
            <w:rPr>
              <w:highlight w:val="none"/>
            </w:rPr>
            <w:fldChar w:fldCharType="begin"/>
          </w:r>
          <w:r>
            <w:rPr>
              <w:highlight w:val="none"/>
            </w:rPr>
            <w:instrText xml:space="preserve"> PAGEREF _Toc1353 \h </w:instrText>
          </w:r>
          <w:r>
            <w:rPr>
              <w:highlight w:val="none"/>
            </w:rPr>
            <w:fldChar w:fldCharType="separate"/>
          </w:r>
          <w:r>
            <w:rPr>
              <w:highlight w:val="none"/>
            </w:rPr>
            <w:t>32</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_Toc7437 </w:instrText>
          </w:r>
          <w:r>
            <w:rPr>
              <w:rFonts w:hint="default" w:ascii="Calibri" w:hAnsi="Calibri" w:eastAsia="宋体" w:cs="Calibri"/>
              <w:szCs w:val="24"/>
              <w:highlight w:val="none"/>
            </w:rPr>
            <w:fldChar w:fldCharType="separate"/>
          </w:r>
          <w:r>
            <w:rPr>
              <w:rFonts w:hint="default" w:ascii="黑体" w:hAnsi="黑体" w:eastAsia="黑体" w:cs="黑体"/>
              <w:szCs w:val="32"/>
              <w:highlight w:val="none"/>
              <w:lang w:val="en-US" w:eastAsia="zh-CN"/>
            </w:rPr>
            <w:t xml:space="preserve">12 </w:t>
          </w:r>
          <w:r>
            <w:rPr>
              <w:rFonts w:hint="eastAsia" w:ascii="黑体" w:hAnsi="黑体" w:eastAsia="黑体" w:cs="黑体"/>
              <w:highlight w:val="none"/>
              <w:lang w:val="en-US" w:eastAsia="zh-CN"/>
            </w:rPr>
            <w:t>交付文件要求</w:t>
          </w:r>
          <w:r>
            <w:rPr>
              <w:highlight w:val="none"/>
            </w:rPr>
            <w:tab/>
          </w:r>
          <w:r>
            <w:rPr>
              <w:highlight w:val="none"/>
            </w:rPr>
            <w:fldChar w:fldCharType="begin"/>
          </w:r>
          <w:r>
            <w:rPr>
              <w:highlight w:val="none"/>
            </w:rPr>
            <w:instrText xml:space="preserve"> PAGEREF _Toc7437 \h </w:instrText>
          </w:r>
          <w:r>
            <w:rPr>
              <w:highlight w:val="none"/>
            </w:rPr>
            <w:fldChar w:fldCharType="separate"/>
          </w:r>
          <w:r>
            <w:rPr>
              <w:highlight w:val="none"/>
            </w:rPr>
            <w:t>32</w:t>
          </w:r>
          <w:r>
            <w:rPr>
              <w:highlight w:val="none"/>
            </w:rPr>
            <w:fldChar w:fldCharType="end"/>
          </w:r>
          <w:r>
            <w:rPr>
              <w:rFonts w:hint="default" w:ascii="Calibri" w:hAnsi="Calibri" w:eastAsia="宋体" w:cs="Calibri"/>
              <w:szCs w:val="24"/>
              <w:highlight w:val="none"/>
            </w:rPr>
            <w:fldChar w:fldCharType="end"/>
          </w:r>
        </w:p>
        <w:p>
          <w:pPr>
            <w:pStyle w:val="43"/>
            <w:tabs>
              <w:tab w:val="right" w:leader="dot" w:pos="9746"/>
              <w:tab w:val="clear" w:pos="8400"/>
              <w:tab w:val="clear" w:pos="9356"/>
            </w:tabs>
            <w:rPr>
              <w:highlight w:val="none"/>
            </w:rPr>
          </w:pPr>
          <w:r>
            <w:rPr>
              <w:rFonts w:hint="default" w:ascii="Calibri" w:hAnsi="Calibri" w:eastAsia="宋体" w:cs="Calibri"/>
              <w:szCs w:val="24"/>
              <w:highlight w:val="none"/>
            </w:rPr>
            <w:fldChar w:fldCharType="begin"/>
          </w:r>
          <w:r>
            <w:rPr>
              <w:rFonts w:hint="default" w:ascii="Calibri" w:hAnsi="Calibri" w:eastAsia="宋体" w:cs="Calibri"/>
              <w:szCs w:val="24"/>
              <w:highlight w:val="none"/>
            </w:rPr>
            <w:instrText xml:space="preserve"> HYPERLINK \l _Toc7372 </w:instrText>
          </w:r>
          <w:r>
            <w:rPr>
              <w:rFonts w:hint="default" w:ascii="Calibri" w:hAnsi="Calibri" w:eastAsia="宋体" w:cs="Calibri"/>
              <w:szCs w:val="24"/>
              <w:highlight w:val="none"/>
            </w:rPr>
            <w:fldChar w:fldCharType="separate"/>
          </w:r>
          <w:r>
            <w:rPr>
              <w:rFonts w:hint="default" w:ascii="黑体" w:hAnsi="黑体" w:eastAsia="黑体" w:cs="黑体"/>
              <w:bCs/>
              <w:kern w:val="44"/>
              <w:szCs w:val="32"/>
              <w:highlight w:val="none"/>
              <w:lang w:val="en-US" w:eastAsia="zh-CN"/>
            </w:rPr>
            <w:t xml:space="preserve">13 </w:t>
          </w:r>
          <w:r>
            <w:rPr>
              <w:rFonts w:hint="eastAsia" w:ascii="黑体" w:hAnsi="黑体" w:eastAsia="黑体" w:cs="黑体"/>
              <w:bCs/>
              <w:kern w:val="44"/>
              <w:szCs w:val="32"/>
              <w:highlight w:val="none"/>
              <w:lang w:val="en-US" w:eastAsia="zh-CN"/>
            </w:rPr>
            <w:t>投标技术文件要求</w:t>
          </w:r>
          <w:r>
            <w:rPr>
              <w:highlight w:val="none"/>
            </w:rPr>
            <w:tab/>
          </w:r>
          <w:r>
            <w:rPr>
              <w:highlight w:val="none"/>
            </w:rPr>
            <w:fldChar w:fldCharType="begin"/>
          </w:r>
          <w:r>
            <w:rPr>
              <w:highlight w:val="none"/>
            </w:rPr>
            <w:instrText xml:space="preserve"> PAGEREF _Toc7372 \h </w:instrText>
          </w:r>
          <w:r>
            <w:rPr>
              <w:highlight w:val="none"/>
            </w:rPr>
            <w:fldChar w:fldCharType="separate"/>
          </w:r>
          <w:r>
            <w:rPr>
              <w:highlight w:val="none"/>
            </w:rPr>
            <w:t>33</w:t>
          </w:r>
          <w:r>
            <w:rPr>
              <w:highlight w:val="none"/>
            </w:rPr>
            <w:fldChar w:fldCharType="end"/>
          </w:r>
          <w:r>
            <w:rPr>
              <w:rFonts w:hint="default" w:ascii="Calibri" w:hAnsi="Calibri" w:eastAsia="宋体" w:cs="Calibri"/>
              <w:szCs w:val="24"/>
              <w:highlight w:val="none"/>
            </w:rPr>
            <w:fldChar w:fldCharType="end"/>
          </w:r>
        </w:p>
        <w:p>
          <w:pPr>
            <w:keepNext/>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outlineLvl w:val="1"/>
            <w:rPr>
              <w:rFonts w:hint="default" w:ascii="Calibri" w:hAnsi="Calibri" w:eastAsia="宋体" w:cs="Calibri"/>
              <w:sz w:val="24"/>
              <w:szCs w:val="24"/>
              <w:highlight w:val="none"/>
            </w:rPr>
          </w:pPr>
          <w:r>
            <w:rPr>
              <w:rFonts w:hint="default" w:ascii="Calibri" w:hAnsi="Calibri" w:eastAsia="宋体" w:cs="Calibri"/>
              <w:sz w:val="24"/>
              <w:szCs w:val="24"/>
              <w:highlight w:val="none"/>
            </w:rPr>
            <w:fldChar w:fldCharType="end"/>
          </w:r>
        </w:p>
      </w:sdtContent>
    </w:sdt>
    <w:bookmarkEnd w:id="24"/>
    <w:bookmarkEnd w:id="25"/>
    <w:bookmarkEnd w:id="26"/>
    <w:bookmarkEnd w:id="27"/>
    <w:bookmarkEnd w:id="28"/>
    <w:bookmarkEnd w:id="29"/>
    <w:bookmarkEnd w:id="30"/>
    <w:bookmarkEnd w:id="31"/>
    <w:p>
      <w:pPr>
        <w:pStyle w:val="190"/>
        <w:numPr>
          <w:ilvl w:val="0"/>
          <w:numId w:val="0"/>
        </w:numPr>
        <w:tabs>
          <w:tab w:val="left" w:pos="0"/>
          <w:tab w:val="clear" w:pos="840"/>
        </w:tabs>
        <w:bidi w:val="0"/>
        <w:ind w:leftChars="0"/>
        <w:rPr>
          <w:rFonts w:hint="eastAsia" w:ascii="黑体" w:hAnsi="黑体" w:eastAsia="黑体" w:cs="黑体"/>
          <w:b/>
          <w:bCs/>
          <w:sz w:val="32"/>
          <w:szCs w:val="32"/>
          <w:highlight w:val="none"/>
          <w:lang w:val="en-US" w:eastAsia="zh-CN"/>
        </w:rPr>
      </w:pPr>
    </w:p>
    <w:p>
      <w:pPr>
        <w:pStyle w:val="190"/>
        <w:widowControl w:val="0"/>
        <w:numPr>
          <w:ilvl w:val="0"/>
          <w:numId w:val="0"/>
        </w:numPr>
        <w:tabs>
          <w:tab w:val="left" w:pos="0"/>
          <w:tab w:val="clear" w:pos="840"/>
        </w:tabs>
        <w:bidi w:val="0"/>
        <w:spacing w:before="0" w:beforeLines="0" w:line="360" w:lineRule="auto"/>
        <w:jc w:val="both"/>
        <w:rPr>
          <w:rFonts w:hint="eastAsia" w:ascii="黑体" w:hAnsi="黑体" w:eastAsia="黑体" w:cs="黑体"/>
          <w:b/>
          <w:bCs/>
          <w:sz w:val="32"/>
          <w:szCs w:val="32"/>
          <w:highlight w:val="none"/>
          <w:lang w:val="en-US" w:eastAsia="zh-CN"/>
        </w:rPr>
      </w:pPr>
    </w:p>
    <w:p>
      <w:pPr>
        <w:pStyle w:val="190"/>
        <w:widowControl w:val="0"/>
        <w:numPr>
          <w:ilvl w:val="0"/>
          <w:numId w:val="0"/>
        </w:numPr>
        <w:tabs>
          <w:tab w:val="left" w:pos="0"/>
          <w:tab w:val="clear" w:pos="840"/>
        </w:tabs>
        <w:bidi w:val="0"/>
        <w:spacing w:before="0" w:beforeLines="0" w:line="360" w:lineRule="auto"/>
        <w:jc w:val="both"/>
        <w:rPr>
          <w:rFonts w:hint="eastAsia" w:ascii="黑体" w:hAnsi="黑体" w:eastAsia="黑体" w:cs="黑体"/>
          <w:b/>
          <w:bCs/>
          <w:sz w:val="32"/>
          <w:szCs w:val="32"/>
          <w:highlight w:val="none"/>
          <w:lang w:val="en-US" w:eastAsia="zh-CN"/>
        </w:rPr>
      </w:pPr>
    </w:p>
    <w:p>
      <w:pPr>
        <w:pStyle w:val="190"/>
        <w:widowControl w:val="0"/>
        <w:numPr>
          <w:ilvl w:val="0"/>
          <w:numId w:val="0"/>
        </w:numPr>
        <w:tabs>
          <w:tab w:val="left" w:pos="0"/>
          <w:tab w:val="clear" w:pos="840"/>
        </w:tabs>
        <w:bidi w:val="0"/>
        <w:spacing w:before="0" w:beforeLines="0" w:line="360" w:lineRule="auto"/>
        <w:jc w:val="both"/>
        <w:rPr>
          <w:rFonts w:hint="eastAsia" w:ascii="黑体" w:hAnsi="黑体" w:eastAsia="黑体" w:cs="黑体"/>
          <w:b/>
          <w:bCs/>
          <w:sz w:val="32"/>
          <w:szCs w:val="32"/>
          <w:highlight w:val="none"/>
          <w:lang w:val="en-US" w:eastAsia="zh-CN"/>
        </w:rPr>
      </w:pPr>
    </w:p>
    <w:p>
      <w:pPr>
        <w:pStyle w:val="190"/>
        <w:widowControl w:val="0"/>
        <w:numPr>
          <w:ilvl w:val="0"/>
          <w:numId w:val="0"/>
        </w:numPr>
        <w:tabs>
          <w:tab w:val="left" w:pos="0"/>
          <w:tab w:val="clear" w:pos="840"/>
        </w:tabs>
        <w:bidi w:val="0"/>
        <w:spacing w:before="0" w:beforeLines="0" w:line="360" w:lineRule="auto"/>
        <w:jc w:val="both"/>
        <w:rPr>
          <w:rFonts w:hint="eastAsia" w:ascii="黑体" w:hAnsi="黑体" w:eastAsia="黑体" w:cs="黑体"/>
          <w:b/>
          <w:bCs/>
          <w:sz w:val="32"/>
          <w:szCs w:val="32"/>
          <w:highlight w:val="none"/>
          <w:lang w:val="en-US" w:eastAsia="zh-CN"/>
        </w:rPr>
      </w:pPr>
    </w:p>
    <w:p>
      <w:pPr>
        <w:pStyle w:val="190"/>
        <w:widowControl w:val="0"/>
        <w:numPr>
          <w:ilvl w:val="0"/>
          <w:numId w:val="0"/>
        </w:numPr>
        <w:tabs>
          <w:tab w:val="left" w:pos="0"/>
          <w:tab w:val="clear" w:pos="840"/>
        </w:tabs>
        <w:bidi w:val="0"/>
        <w:spacing w:before="0" w:beforeLines="0" w:line="360" w:lineRule="auto"/>
        <w:jc w:val="both"/>
        <w:rPr>
          <w:rFonts w:hint="eastAsia" w:ascii="黑体" w:hAnsi="黑体" w:eastAsia="黑体" w:cs="黑体"/>
          <w:b/>
          <w:bCs/>
          <w:sz w:val="32"/>
          <w:szCs w:val="32"/>
          <w:highlight w:val="none"/>
          <w:lang w:val="en-US" w:eastAsia="zh-CN"/>
        </w:rPr>
      </w:pPr>
    </w:p>
    <w:p>
      <w:pPr>
        <w:pStyle w:val="3"/>
        <w:keepNext/>
        <w:keepLines/>
        <w:pageBreakBefore w:val="0"/>
        <w:widowControl w:val="0"/>
        <w:numPr>
          <w:ilvl w:val="0"/>
          <w:numId w:val="11"/>
        </w:numPr>
        <w:kinsoku/>
        <w:wordWrap/>
        <w:overflowPunct/>
        <w:topLinePunct w:val="0"/>
        <w:autoSpaceDE/>
        <w:autoSpaceDN/>
        <w:bidi w:val="0"/>
        <w:adjustRightInd w:val="0"/>
        <w:snapToGrid/>
        <w:spacing w:after="10" w:line="560" w:lineRule="exact"/>
        <w:ind w:left="420" w:hanging="420"/>
        <w:textAlignment w:val="baseline"/>
        <w:rPr>
          <w:rFonts w:hint="eastAsia" w:ascii="黑体" w:hAnsi="黑体" w:eastAsia="黑体" w:cs="黑体"/>
          <w:b/>
          <w:bCs/>
          <w:sz w:val="32"/>
          <w:szCs w:val="32"/>
          <w:highlight w:val="none"/>
          <w:lang w:val="en-US" w:eastAsia="zh-CN"/>
        </w:rPr>
      </w:pPr>
      <w:bookmarkStart w:id="37" w:name="_Toc6318"/>
      <w:r>
        <w:rPr>
          <w:rFonts w:hint="eastAsia" w:ascii="黑体" w:hAnsi="黑体" w:eastAsia="黑体" w:cs="黑体"/>
          <w:b/>
          <w:bCs/>
          <w:sz w:val="32"/>
          <w:szCs w:val="32"/>
          <w:highlight w:val="none"/>
          <w:lang w:val="en-US" w:eastAsia="zh-CN"/>
        </w:rPr>
        <w:t>总则</w:t>
      </w:r>
      <w:bookmarkEnd w:id="37"/>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本技术标准适用于</w:t>
      </w:r>
      <w:r>
        <w:rPr>
          <w:rFonts w:hint="eastAsia" w:ascii="宋体" w:hAnsi="宋体" w:cs="宋体"/>
          <w:sz w:val="28"/>
          <w:szCs w:val="28"/>
          <w:highlight w:val="none"/>
          <w:lang w:val="en-US" w:eastAsia="zh-CN"/>
        </w:rPr>
        <w:t>中海</w:t>
      </w:r>
      <w:r>
        <w:rPr>
          <w:rFonts w:hint="eastAsia" w:ascii="宋体" w:hAnsi="宋体" w:cs="宋体"/>
          <w:sz w:val="28"/>
          <w:szCs w:val="28"/>
          <w:highlight w:val="none"/>
        </w:rPr>
        <w:t>壳牌</w:t>
      </w:r>
      <w:r>
        <w:rPr>
          <w:rFonts w:hint="eastAsia" w:ascii="宋体" w:hAnsi="宋体" w:cs="宋体"/>
          <w:sz w:val="28"/>
          <w:szCs w:val="28"/>
          <w:highlight w:val="none"/>
          <w:lang w:val="en-US" w:eastAsia="zh-CN"/>
        </w:rPr>
        <w:t>惠州</w:t>
      </w:r>
      <w:r>
        <w:rPr>
          <w:rFonts w:hint="eastAsia" w:ascii="宋体" w:hAnsi="宋体" w:cs="宋体"/>
          <w:sz w:val="28"/>
          <w:szCs w:val="28"/>
          <w:highlight w:val="none"/>
        </w:rPr>
        <w:t>三期乙烯项目</w:t>
      </w:r>
      <w:r>
        <w:rPr>
          <w:rFonts w:hint="eastAsia" w:ascii="宋体" w:hAnsi="宋体" w:cs="宋体"/>
          <w:sz w:val="28"/>
          <w:szCs w:val="28"/>
          <w:highlight w:val="none"/>
          <w:lang w:val="en-US" w:eastAsia="zh-CN"/>
        </w:rPr>
        <w:t>及聚碳酸酯项目</w:t>
      </w:r>
      <w:r>
        <w:rPr>
          <w:rFonts w:hint="eastAsia" w:ascii="宋体" w:hAnsi="宋体" w:cs="宋体"/>
          <w:sz w:val="28"/>
          <w:szCs w:val="28"/>
          <w:highlight w:val="none"/>
          <w:lang w:eastAsia="zh-CN"/>
        </w:rPr>
        <w:t>仪表铝合金电缆桥架</w:t>
      </w:r>
      <w:r>
        <w:rPr>
          <w:rFonts w:hint="eastAsia" w:ascii="宋体" w:hAnsi="宋体" w:cs="宋体"/>
          <w:sz w:val="28"/>
          <w:szCs w:val="28"/>
          <w:highlight w:val="none"/>
        </w:rPr>
        <w:t>的设计、生产、检测及供货方面的基本要求。</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本技术标准说明与设计院的数据表共同构成完整的技术标准，如果上述文件之间发生矛盾时，各方友好协商，一般来说以最严格条款执行。</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本技术标准阐述了</w:t>
      </w:r>
      <w:r>
        <w:rPr>
          <w:rFonts w:hint="eastAsia" w:ascii="宋体" w:hAnsi="宋体" w:cs="宋体"/>
          <w:sz w:val="28"/>
          <w:szCs w:val="28"/>
          <w:highlight w:val="none"/>
          <w:lang w:eastAsia="zh-CN"/>
        </w:rPr>
        <w:t>铝合金桥架</w:t>
      </w:r>
      <w:r>
        <w:rPr>
          <w:rFonts w:hint="eastAsia" w:ascii="宋体" w:hAnsi="宋体" w:cs="宋体"/>
          <w:sz w:val="28"/>
          <w:szCs w:val="28"/>
          <w:highlight w:val="none"/>
        </w:rPr>
        <w:t>的设计选型、制造、检验、供货、安装和运输等方面最基本的要求，但不限于这些要求。</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投标人确认已清楚理解并能够满足招标人对本次采购设备的材料采购、制造、质量控制、文件资料交付、检（试）验、包装、运输和验收等技术要求。</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投标人必须按照本技术标准规定的技术条件进行</w:t>
      </w:r>
      <w:r>
        <w:rPr>
          <w:rFonts w:hint="eastAsia" w:ascii="宋体" w:hAnsi="宋体" w:cs="宋体"/>
          <w:sz w:val="28"/>
          <w:szCs w:val="28"/>
          <w:highlight w:val="none"/>
          <w:lang w:eastAsia="zh-CN"/>
        </w:rPr>
        <w:t>仪表铝合金电缆桥架</w:t>
      </w:r>
      <w:r>
        <w:rPr>
          <w:rFonts w:hint="eastAsia" w:ascii="宋体" w:hAnsi="宋体" w:cs="宋体"/>
          <w:sz w:val="28"/>
          <w:szCs w:val="28"/>
          <w:highlight w:val="none"/>
        </w:rPr>
        <w:t>的设计选型、制造、试验和检验，并对</w:t>
      </w:r>
      <w:r>
        <w:rPr>
          <w:rFonts w:hint="eastAsia" w:ascii="宋体" w:hAnsi="宋体" w:cs="宋体"/>
          <w:sz w:val="28"/>
          <w:szCs w:val="28"/>
          <w:highlight w:val="none"/>
          <w:lang w:eastAsia="zh-CN"/>
        </w:rPr>
        <w:t>仪表铝合金电缆桥架</w:t>
      </w:r>
      <w:r>
        <w:rPr>
          <w:rFonts w:hint="eastAsia" w:ascii="宋体" w:hAnsi="宋体" w:cs="宋体"/>
          <w:sz w:val="28"/>
          <w:szCs w:val="28"/>
          <w:highlight w:val="none"/>
        </w:rPr>
        <w:t>的安全、环保和性能负责。</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招标人和工程设计方对投标人提供资料的确认，并不能解除或减轻投标人对合同所有条款应负的责任。</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投标人应遵守本技术技术标准和项目规范的要求，保证其分供货商也遵守上述要求，并对其所供货设备或材料负完全责任。同时，投标人对其所提供的技术来源的有效性和合法性负全部责任。</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当本技术标准的某些规定与有关标准、规范不一致时，应按要求高的执行，且书面通知招标方。投标方所列出偏离本询价书和相关标准、规范等要求的内容，应逐一列出，经招标方书面确认后才能进行下一步工作。</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lang w:eastAsia="zh-CN"/>
        </w:rPr>
        <w:t>铝合金桥架</w:t>
      </w:r>
      <w:r>
        <w:rPr>
          <w:rFonts w:hint="eastAsia" w:ascii="宋体" w:hAnsi="宋体" w:cs="宋体"/>
          <w:sz w:val="28"/>
          <w:szCs w:val="28"/>
          <w:highlight w:val="none"/>
        </w:rPr>
        <w:t>的工艺参数、结构参数、选材要求等满足技术标准技术的要求。</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投标方供货应完全响应并遵循本技术文件及相关技术文件中所列各项条款的要求，投标方不作响应将被认为将完全执行各项相关条款，投标方的任何质疑、异议必须得到招标方的书面澄清或认可。</w:t>
      </w:r>
    </w:p>
    <w:p>
      <w:pPr>
        <w:keepNext w:val="0"/>
        <w:keepLines w:val="0"/>
        <w:pageBreakBefore w:val="0"/>
        <w:widowControl w:val="0"/>
        <w:numPr>
          <w:ilvl w:val="1"/>
          <w:numId w:val="12"/>
        </w:numPr>
        <w:kinsoku/>
        <w:wordWrap/>
        <w:overflowPunct/>
        <w:topLinePunct w:val="0"/>
        <w:autoSpaceDE/>
        <w:autoSpaceDN/>
        <w:bidi w:val="0"/>
        <w:adjustRightInd/>
        <w:snapToGrid/>
        <w:spacing w:line="560" w:lineRule="exact"/>
        <w:ind w:left="0" w:firstLine="0" w:firstLineChars="0"/>
        <w:jc w:val="left"/>
        <w:textAlignment w:val="auto"/>
        <w:rPr>
          <w:rFonts w:hint="eastAsia" w:ascii="宋体" w:hAnsi="宋体" w:cs="宋体"/>
          <w:sz w:val="28"/>
          <w:szCs w:val="28"/>
          <w:highlight w:val="none"/>
        </w:rPr>
      </w:pPr>
      <w:r>
        <w:rPr>
          <w:rFonts w:hint="eastAsia" w:ascii="宋体" w:hAnsi="宋体" w:cs="宋体"/>
          <w:sz w:val="28"/>
          <w:szCs w:val="28"/>
          <w:highlight w:val="none"/>
        </w:rPr>
        <w:t>投标方提交的所有文件资料图纸中计量单位按国家法定的国际单位制SI执行，语言和文字采用简体中文。</w:t>
      </w:r>
    </w:p>
    <w:p>
      <w:pPr>
        <w:keepNext w:val="0"/>
        <w:keepLines w:val="0"/>
        <w:pageBreakBefore w:val="0"/>
        <w:widowControl w:val="0"/>
        <w:numPr>
          <w:ilvl w:val="1"/>
          <w:numId w:val="12"/>
        </w:numPr>
        <w:kinsoku/>
        <w:wordWrap/>
        <w:overflowPunct/>
        <w:topLinePunct w:val="0"/>
        <w:autoSpaceDE/>
        <w:autoSpaceDN/>
        <w:bidi w:val="0"/>
        <w:adjustRightInd/>
        <w:snapToGrid/>
        <w:spacing w:line="240" w:lineRule="auto"/>
        <w:ind w:left="0" w:firstLine="0" w:firstLineChars="0"/>
        <w:jc w:val="left"/>
        <w:textAlignment w:val="auto"/>
        <w:rPr>
          <w:rFonts w:hint="default" w:ascii="Calibri" w:hAnsi="Calibri" w:eastAsia="宋体"/>
          <w:sz w:val="28"/>
          <w:szCs w:val="28"/>
          <w:highlight w:val="none"/>
          <w:lang w:val="en-US" w:eastAsia="zh-CN"/>
        </w:rPr>
      </w:pPr>
      <w:r>
        <w:rPr>
          <w:rFonts w:hint="eastAsia" w:ascii="宋体" w:hAnsi="宋体" w:cs="宋体"/>
          <w:sz w:val="28"/>
          <w:szCs w:val="28"/>
          <w:highlight w:val="none"/>
          <w:lang w:eastAsia="zh-CN"/>
        </w:rPr>
        <w:t>仪表铝合金电缆桥架</w:t>
      </w:r>
      <w:r>
        <w:rPr>
          <w:rFonts w:hint="eastAsia" w:ascii="宋体" w:hAnsi="宋体" w:cs="宋体"/>
          <w:sz w:val="28"/>
          <w:szCs w:val="28"/>
          <w:highlight w:val="none"/>
        </w:rPr>
        <w:t>采用的专利涉及到的全部费用均被认为已经包含在设备报价中，卖方保证买方不承担有关设备专利的一切责任。</w:t>
      </w:r>
      <w:r>
        <w:rPr>
          <w:rFonts w:hint="default" w:ascii="Calibri" w:hAnsi="Calibri" w:eastAsia="宋体"/>
          <w:sz w:val="28"/>
          <w:szCs w:val="28"/>
          <w:highlight w:val="none"/>
          <w:lang w:val="en-US" w:eastAsia="zh-CN"/>
        </w:rPr>
        <w:t>本技术文件中</w:t>
      </w:r>
      <w:r>
        <w:rPr>
          <w:rFonts w:hint="eastAsia" w:ascii="Calibri" w:hAnsi="Calibri" w:eastAsia="宋体"/>
          <w:sz w:val="28"/>
          <w:szCs w:val="28"/>
          <w:highlight w:val="none"/>
          <w:lang w:val="en-US" w:eastAsia="zh-CN"/>
        </w:rPr>
        <w:t>“★”</w:t>
      </w:r>
      <w:r>
        <w:rPr>
          <w:rFonts w:hint="default" w:ascii="Calibri" w:hAnsi="Calibri" w:eastAsia="宋体"/>
          <w:sz w:val="28"/>
          <w:szCs w:val="28"/>
          <w:highlight w:val="none"/>
          <w:lang w:val="en-US" w:eastAsia="zh-CN"/>
        </w:rPr>
        <w:t>的条款为关键性技术条款，不允许偏离，否则，将不被接受。</w:t>
      </w:r>
    </w:p>
    <w:p>
      <w:pPr>
        <w:pStyle w:val="193"/>
        <w:keepNext/>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jc w:val="center"/>
        <w:textAlignment w:val="auto"/>
        <w:rPr>
          <w:rFonts w:hint="default" w:ascii="Calibri" w:hAnsi="Calibri" w:eastAsia="宋体"/>
          <w:sz w:val="24"/>
          <w:szCs w:val="24"/>
          <w:highlight w:val="none"/>
          <w:lang w:val="en-US" w:eastAsia="zh-CN"/>
        </w:rPr>
      </w:pPr>
      <w:r>
        <w:rPr>
          <w:rFonts w:hint="eastAsia" w:ascii="Calibri" w:hAnsi="Calibri" w:eastAsia="宋体"/>
          <w:sz w:val="28"/>
          <w:szCs w:val="28"/>
          <w:highlight w:val="none"/>
          <w:lang w:val="en-US" w:eastAsia="zh-CN"/>
        </w:rPr>
        <w:t>“★”</w:t>
      </w:r>
      <w:r>
        <w:rPr>
          <w:rFonts w:hint="default" w:ascii="Calibri" w:hAnsi="Calibri" w:eastAsia="宋体"/>
          <w:sz w:val="28"/>
          <w:szCs w:val="28"/>
          <w:highlight w:val="none"/>
          <w:lang w:val="en-US" w:eastAsia="zh-CN"/>
        </w:rPr>
        <w:t>关键性条款指引表</w:t>
      </w:r>
    </w:p>
    <w:tbl>
      <w:tblPr>
        <w:tblStyle w:val="63"/>
        <w:tblW w:w="9869" w:type="dxa"/>
        <w:tblInd w:w="93"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378"/>
        <w:gridCol w:w="721"/>
        <w:gridCol w:w="8392"/>
        <w:gridCol w:w="37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bookmarkStart w:id="38" w:name="_Toc8344"/>
            <w:bookmarkStart w:id="39" w:name="_Toc16410"/>
            <w:bookmarkStart w:id="40" w:name="_Toc12903"/>
            <w:bookmarkStart w:id="41" w:name="_Toc292019766"/>
            <w:bookmarkStart w:id="42" w:name="_Toc20572"/>
            <w:bookmarkStart w:id="43" w:name="_Toc282993250"/>
            <w:bookmarkStart w:id="44" w:name="_Toc7716"/>
            <w:bookmarkStart w:id="45" w:name="OLE_LINK2"/>
            <w:r>
              <w:rPr>
                <w:rFonts w:hint="eastAsia" w:ascii="宋体" w:hAnsi="宋体" w:eastAsia="宋体" w:cs="宋体"/>
                <w:b/>
                <w:bCs/>
                <w:i w:val="0"/>
                <w:iCs w:val="0"/>
                <w:color w:val="auto"/>
                <w:kern w:val="0"/>
                <w:sz w:val="20"/>
                <w:szCs w:val="20"/>
                <w:highlight w:val="none"/>
                <w:u w:val="none"/>
                <w:lang w:val="en-US" w:eastAsia="zh-CN" w:bidi="ar"/>
              </w:rPr>
              <w:t>序号</w:t>
            </w:r>
          </w:p>
        </w:tc>
        <w:tc>
          <w:tcPr>
            <w:tcW w:w="72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条款号</w:t>
            </w:r>
          </w:p>
        </w:tc>
        <w:tc>
          <w:tcPr>
            <w:tcW w:w="839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条款内容</w:t>
            </w:r>
          </w:p>
        </w:tc>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说明</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1</w:t>
            </w:r>
          </w:p>
        </w:tc>
        <w:tc>
          <w:tcPr>
            <w:tcW w:w="721"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w:t>
            </w:r>
            <w:r>
              <w:rPr>
                <w:rFonts w:hint="default" w:ascii="宋体" w:hAnsi="宋体" w:eastAsia="宋体" w:cs="宋体"/>
                <w:i w:val="0"/>
                <w:iCs w:val="0"/>
                <w:color w:val="auto"/>
                <w:sz w:val="20"/>
                <w:szCs w:val="20"/>
                <w:highlight w:val="none"/>
                <w:u w:val="none"/>
                <w:lang w:val="en-US" w:eastAsia="zh-CN"/>
              </w:rPr>
              <w:t>.2</w:t>
            </w:r>
            <w:r>
              <w:rPr>
                <w:rFonts w:hint="eastAsia" w:ascii="宋体" w:hAnsi="宋体" w:eastAsia="宋体" w:cs="宋体"/>
                <w:i w:val="0"/>
                <w:iCs w:val="0"/>
                <w:color w:val="auto"/>
                <w:sz w:val="20"/>
                <w:szCs w:val="20"/>
                <w:highlight w:val="none"/>
                <w:u w:val="none"/>
                <w:lang w:val="en-US" w:eastAsia="zh-CN"/>
              </w:rPr>
              <w:t>.2</w:t>
            </w:r>
          </w:p>
        </w:tc>
        <w:tc>
          <w:tcPr>
            <w:tcW w:w="839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★槽</w:t>
            </w:r>
            <w:r>
              <w:rPr>
                <w:rFonts w:hint="default" w:ascii="宋体" w:hAnsi="宋体" w:eastAsia="宋体" w:cs="宋体"/>
                <w:i w:val="0"/>
                <w:iCs w:val="0"/>
                <w:color w:val="auto"/>
                <w:sz w:val="20"/>
                <w:szCs w:val="20"/>
                <w:highlight w:val="none"/>
                <w:u w:val="none"/>
                <w:lang w:val="en-US" w:eastAsia="zh-CN"/>
              </w:rPr>
              <w:t>式铝合金桥架的梯边及横档应采用：牌号为 6063铝合金挤压型材。其材质性能应符合《铝合金建筑型材》GB/T5237</w:t>
            </w:r>
            <w:r>
              <w:rPr>
                <w:rFonts w:hint="eastAsia" w:ascii="宋体" w:hAnsi="宋体" w:eastAsia="宋体" w:cs="宋体"/>
                <w:i w:val="0"/>
                <w:iCs w:val="0"/>
                <w:color w:val="auto"/>
                <w:sz w:val="20"/>
                <w:szCs w:val="20"/>
                <w:highlight w:val="none"/>
                <w:u w:val="none"/>
                <w:lang w:val="en-US" w:eastAsia="zh-CN"/>
              </w:rPr>
              <w:t>.1</w:t>
            </w:r>
            <w:r>
              <w:rPr>
                <w:rFonts w:hint="default" w:ascii="宋体" w:hAnsi="宋体" w:eastAsia="宋体" w:cs="宋体"/>
                <w:i w:val="0"/>
                <w:iCs w:val="0"/>
                <w:color w:val="auto"/>
                <w:sz w:val="20"/>
                <w:szCs w:val="20"/>
                <w:highlight w:val="none"/>
                <w:u w:val="none"/>
                <w:lang w:val="en-US" w:eastAsia="zh-CN"/>
              </w:rPr>
              <w:t>-20</w:t>
            </w:r>
            <w:r>
              <w:rPr>
                <w:rFonts w:hint="eastAsia" w:ascii="宋体" w:hAnsi="宋体" w:eastAsia="宋体" w:cs="宋体"/>
                <w:i w:val="0"/>
                <w:iCs w:val="0"/>
                <w:color w:val="auto"/>
                <w:sz w:val="20"/>
                <w:szCs w:val="20"/>
                <w:highlight w:val="none"/>
                <w:u w:val="none"/>
                <w:lang w:val="en-US" w:eastAsia="zh-CN"/>
              </w:rPr>
              <w:t>17</w:t>
            </w:r>
            <w:r>
              <w:rPr>
                <w:rFonts w:hint="default" w:ascii="宋体" w:hAnsi="宋体" w:eastAsia="宋体" w:cs="宋体"/>
                <w:i w:val="0"/>
                <w:iCs w:val="0"/>
                <w:color w:val="auto"/>
                <w:sz w:val="20"/>
                <w:szCs w:val="20"/>
                <w:highlight w:val="none"/>
                <w:u w:val="none"/>
                <w:lang w:val="en-US" w:eastAsia="zh-CN"/>
              </w:rPr>
              <w:t xml:space="preserve"> 标准，供应状态采用 T5，精度等级采用普通级。桥架梯边与横档的连接应采用不锈钢自攻螺栓（304 材质）组装紧固。铝合金材料中含 A1、Mg、Si 等元素，硬度应大于 v 氏 58，</w:t>
            </w:r>
            <w:r>
              <w:rPr>
                <w:rFonts w:hint="eastAsia" w:ascii="宋体" w:hAnsi="宋体" w:eastAsia="宋体" w:cs="宋体"/>
                <w:i w:val="0"/>
                <w:iCs w:val="0"/>
                <w:color w:val="auto"/>
                <w:sz w:val="20"/>
                <w:szCs w:val="20"/>
                <w:highlight w:val="none"/>
                <w:u w:val="none"/>
                <w:lang w:val="en-US" w:eastAsia="zh-CN"/>
              </w:rPr>
              <w:t>符合</w:t>
            </w:r>
            <w:r>
              <w:rPr>
                <w:rFonts w:hint="default" w:ascii="宋体" w:hAnsi="宋体" w:eastAsia="宋体" w:cs="宋体"/>
                <w:i w:val="0"/>
                <w:iCs w:val="0"/>
                <w:color w:val="auto"/>
                <w:sz w:val="20"/>
                <w:szCs w:val="20"/>
                <w:highlight w:val="none"/>
                <w:u w:val="none"/>
                <w:lang w:val="en-US" w:eastAsia="zh-CN"/>
              </w:rPr>
              <w:t>国标 GB5237</w:t>
            </w:r>
            <w:r>
              <w:rPr>
                <w:rFonts w:hint="eastAsia" w:ascii="宋体" w:hAnsi="宋体" w:eastAsia="宋体" w:cs="宋体"/>
                <w:i w:val="0"/>
                <w:iCs w:val="0"/>
                <w:color w:val="auto"/>
                <w:sz w:val="20"/>
                <w:szCs w:val="20"/>
                <w:highlight w:val="none"/>
                <w:u w:val="none"/>
                <w:lang w:val="en-US" w:eastAsia="zh-CN"/>
              </w:rPr>
              <w:t>.1</w:t>
            </w:r>
            <w:r>
              <w:rPr>
                <w:rFonts w:hint="default" w:ascii="宋体" w:hAnsi="宋体" w:eastAsia="宋体" w:cs="宋体"/>
                <w:i w:val="0"/>
                <w:iCs w:val="0"/>
                <w:color w:val="auto"/>
                <w:sz w:val="20"/>
                <w:szCs w:val="20"/>
                <w:highlight w:val="none"/>
                <w:u w:val="none"/>
                <w:lang w:val="en-US" w:eastAsia="zh-CN"/>
              </w:rPr>
              <w:t>－20</w:t>
            </w:r>
            <w:r>
              <w:rPr>
                <w:rFonts w:hint="eastAsia" w:ascii="宋体" w:hAnsi="宋体" w:eastAsia="宋体" w:cs="宋体"/>
                <w:i w:val="0"/>
                <w:iCs w:val="0"/>
                <w:color w:val="auto"/>
                <w:sz w:val="20"/>
                <w:szCs w:val="20"/>
                <w:highlight w:val="none"/>
                <w:u w:val="none"/>
                <w:lang w:val="en-US" w:eastAsia="zh-CN"/>
              </w:rPr>
              <w:t>17标准</w:t>
            </w:r>
            <w:r>
              <w:rPr>
                <w:rFonts w:hint="default" w:ascii="宋体" w:hAnsi="宋体" w:eastAsia="宋体" w:cs="宋体"/>
                <w:i w:val="0"/>
                <w:iCs w:val="0"/>
                <w:color w:val="auto"/>
                <w:sz w:val="20"/>
                <w:szCs w:val="20"/>
                <w:highlight w:val="none"/>
                <w:u w:val="none"/>
                <w:lang w:val="en-US" w:eastAsia="zh-CN"/>
              </w:rPr>
              <w:t xml:space="preserve">。 </w:t>
            </w:r>
          </w:p>
        </w:tc>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2</w:t>
            </w:r>
          </w:p>
        </w:tc>
        <w:tc>
          <w:tcPr>
            <w:tcW w:w="721"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w:t>
            </w:r>
            <w:r>
              <w:rPr>
                <w:rFonts w:hint="default" w:ascii="宋体" w:hAnsi="宋体" w:eastAsia="宋体" w:cs="宋体"/>
                <w:i w:val="0"/>
                <w:iCs w:val="0"/>
                <w:color w:val="auto"/>
                <w:sz w:val="20"/>
                <w:szCs w:val="20"/>
                <w:highlight w:val="none"/>
                <w:u w:val="none"/>
                <w:lang w:val="en-US" w:eastAsia="zh-CN"/>
              </w:rPr>
              <w:t>.2</w:t>
            </w:r>
            <w:r>
              <w:rPr>
                <w:rFonts w:hint="eastAsia" w:ascii="宋体" w:hAnsi="宋体" w:eastAsia="宋体" w:cs="宋体"/>
                <w:i w:val="0"/>
                <w:iCs w:val="0"/>
                <w:color w:val="auto"/>
                <w:sz w:val="20"/>
                <w:szCs w:val="20"/>
                <w:highlight w:val="none"/>
                <w:u w:val="none"/>
                <w:lang w:val="en-US" w:eastAsia="zh-CN"/>
              </w:rPr>
              <w:t>.3</w:t>
            </w:r>
          </w:p>
        </w:tc>
        <w:tc>
          <w:tcPr>
            <w:tcW w:w="839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w:t>
            </w:r>
            <w:r>
              <w:rPr>
                <w:rFonts w:hint="default" w:ascii="宋体" w:hAnsi="宋体" w:eastAsia="宋体" w:cs="宋体"/>
                <w:i w:val="0"/>
                <w:iCs w:val="0"/>
                <w:color w:val="auto"/>
                <w:sz w:val="20"/>
                <w:szCs w:val="20"/>
                <w:highlight w:val="none"/>
                <w:u w:val="none"/>
                <w:lang w:val="en-US" w:eastAsia="zh-CN"/>
              </w:rPr>
              <w:t>铝合金电缆桥架底板、中间隔板、</w:t>
            </w:r>
            <w:r>
              <w:rPr>
                <w:rFonts w:hint="eastAsia" w:ascii="宋体" w:hAnsi="宋体" w:eastAsia="宋体" w:cs="宋体"/>
                <w:i w:val="0"/>
                <w:iCs w:val="0"/>
                <w:color w:val="auto"/>
                <w:sz w:val="20"/>
                <w:szCs w:val="20"/>
                <w:highlight w:val="none"/>
                <w:u w:val="none"/>
                <w:lang w:val="en-US" w:eastAsia="zh-CN"/>
              </w:rPr>
              <w:t>连</w:t>
            </w:r>
            <w:r>
              <w:rPr>
                <w:rFonts w:hint="default" w:ascii="宋体" w:hAnsi="宋体" w:eastAsia="宋体" w:cs="宋体"/>
                <w:i w:val="0"/>
                <w:iCs w:val="0"/>
                <w:color w:val="auto"/>
                <w:sz w:val="20"/>
                <w:szCs w:val="20"/>
                <w:highlight w:val="none"/>
                <w:u w:val="none"/>
                <w:lang w:val="en-US" w:eastAsia="zh-CN"/>
              </w:rPr>
              <w:t>接板</w:t>
            </w:r>
            <w:r>
              <w:rPr>
                <w:rFonts w:hint="eastAsia" w:ascii="宋体" w:hAnsi="宋体" w:eastAsia="宋体" w:cs="宋体"/>
                <w:i w:val="0"/>
                <w:iCs w:val="0"/>
                <w:color w:val="auto"/>
                <w:sz w:val="20"/>
                <w:szCs w:val="20"/>
                <w:highlight w:val="none"/>
                <w:u w:val="none"/>
                <w:lang w:val="en-US" w:eastAsia="zh-CN"/>
              </w:rPr>
              <w:t>、伸缩板、调节板</w:t>
            </w:r>
            <w:r>
              <w:rPr>
                <w:rFonts w:hint="default" w:ascii="宋体" w:hAnsi="宋体" w:eastAsia="宋体" w:cs="宋体"/>
                <w:i w:val="0"/>
                <w:iCs w:val="0"/>
                <w:color w:val="auto"/>
                <w:sz w:val="20"/>
                <w:szCs w:val="20"/>
                <w:highlight w:val="none"/>
                <w:u w:val="none"/>
                <w:lang w:val="en-US" w:eastAsia="zh-CN"/>
              </w:rPr>
              <w:t>及盖板所用铝合金板材，选用牌号为</w:t>
            </w:r>
            <w:r>
              <w:rPr>
                <w:rFonts w:hint="eastAsia" w:ascii="宋体" w:hAnsi="宋体" w:eastAsia="宋体" w:cs="宋体"/>
                <w:i w:val="0"/>
                <w:iCs w:val="0"/>
                <w:color w:val="auto"/>
                <w:sz w:val="20"/>
                <w:szCs w:val="20"/>
                <w:highlight w:val="none"/>
                <w:u w:val="none"/>
                <w:lang w:val="en-US" w:eastAsia="zh-CN"/>
              </w:rPr>
              <w:t>1060</w:t>
            </w:r>
            <w:r>
              <w:rPr>
                <w:rFonts w:hint="default" w:ascii="宋体" w:hAnsi="宋体" w:eastAsia="宋体" w:cs="宋体"/>
                <w:i w:val="0"/>
                <w:iCs w:val="0"/>
                <w:color w:val="auto"/>
                <w:sz w:val="20"/>
                <w:szCs w:val="20"/>
                <w:highlight w:val="none"/>
                <w:u w:val="none"/>
                <w:lang w:val="en-US" w:eastAsia="zh-CN"/>
              </w:rPr>
              <w:t>的铝合金，材质性能应符合《一般工业用铝及铝合板、带材》GB/T3880</w:t>
            </w:r>
            <w:r>
              <w:rPr>
                <w:rFonts w:hint="eastAsia" w:ascii="宋体" w:hAnsi="宋体" w:eastAsia="宋体" w:cs="宋体"/>
                <w:i w:val="0"/>
                <w:iCs w:val="0"/>
                <w:color w:val="auto"/>
                <w:sz w:val="20"/>
                <w:szCs w:val="20"/>
                <w:highlight w:val="none"/>
                <w:u w:val="none"/>
                <w:lang w:val="en-US" w:eastAsia="zh-CN"/>
              </w:rPr>
              <w:t>.1</w:t>
            </w:r>
            <w:r>
              <w:rPr>
                <w:rFonts w:hint="default" w:ascii="宋体" w:hAnsi="宋体" w:eastAsia="宋体" w:cs="宋体"/>
                <w:i w:val="0"/>
                <w:iCs w:val="0"/>
                <w:color w:val="auto"/>
                <w:sz w:val="20"/>
                <w:szCs w:val="20"/>
                <w:highlight w:val="none"/>
                <w:u w:val="none"/>
                <w:lang w:val="en-US" w:eastAsia="zh-CN"/>
              </w:rPr>
              <w:t>-20</w:t>
            </w:r>
            <w:r>
              <w:rPr>
                <w:rFonts w:hint="eastAsia" w:ascii="宋体" w:hAnsi="宋体" w:eastAsia="宋体" w:cs="宋体"/>
                <w:i w:val="0"/>
                <w:iCs w:val="0"/>
                <w:color w:val="auto"/>
                <w:sz w:val="20"/>
                <w:szCs w:val="20"/>
                <w:highlight w:val="none"/>
                <w:u w:val="none"/>
                <w:lang w:val="en-US" w:eastAsia="zh-CN"/>
              </w:rPr>
              <w:t>23</w:t>
            </w:r>
            <w:r>
              <w:rPr>
                <w:rFonts w:hint="default" w:ascii="宋体" w:hAnsi="宋体" w:eastAsia="宋体" w:cs="宋体"/>
                <w:i w:val="0"/>
                <w:iCs w:val="0"/>
                <w:color w:val="auto"/>
                <w:sz w:val="20"/>
                <w:szCs w:val="20"/>
                <w:highlight w:val="none"/>
                <w:u w:val="none"/>
                <w:lang w:val="en-US" w:eastAsia="zh-CN"/>
              </w:rPr>
              <w:t xml:space="preserve"> 标准，</w:t>
            </w:r>
            <w:r>
              <w:rPr>
                <w:rFonts w:hint="eastAsia" w:ascii="宋体" w:hAnsi="宋体" w:eastAsia="宋体" w:cs="宋体"/>
                <w:i w:val="0"/>
                <w:iCs w:val="0"/>
                <w:color w:val="auto"/>
                <w:sz w:val="20"/>
                <w:szCs w:val="20"/>
                <w:highlight w:val="none"/>
                <w:u w:val="none"/>
                <w:lang w:val="en-US" w:eastAsia="zh-CN"/>
              </w:rPr>
              <w:t>供应状态宜采用O或HX4，精度等级宜采用普通级，不允许采用再生铝材料。</w:t>
            </w:r>
          </w:p>
        </w:tc>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3</w:t>
            </w:r>
          </w:p>
        </w:tc>
        <w:tc>
          <w:tcPr>
            <w:tcW w:w="72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5.3</w:t>
            </w:r>
          </w:p>
        </w:tc>
        <w:tc>
          <w:tcPr>
            <w:tcW w:w="839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w:t>
            </w:r>
            <w:r>
              <w:rPr>
                <w:rFonts w:hint="eastAsia" w:ascii="宋体" w:hAnsi="宋体" w:eastAsia="宋体" w:cs="宋体"/>
                <w:i w:val="0"/>
                <w:iCs w:val="0"/>
                <w:color w:val="auto"/>
                <w:sz w:val="20"/>
                <w:szCs w:val="20"/>
                <w:highlight w:val="none"/>
                <w:u w:val="none"/>
                <w:lang w:val="en-US" w:eastAsia="zh-CN"/>
              </w:rPr>
              <w:t>投标人承诺所投产品满足桥架载荷要求（详见5.3）</w:t>
            </w:r>
            <w:r>
              <w:rPr>
                <w:rFonts w:hint="eastAsia" w:ascii="宋体" w:hAnsi="宋体" w:eastAsia="宋体" w:cs="宋体"/>
                <w:i w:val="0"/>
                <w:iCs w:val="0"/>
                <w:color w:val="auto"/>
                <w:sz w:val="20"/>
                <w:szCs w:val="20"/>
                <w:highlight w:val="none"/>
                <w:u w:val="none"/>
                <w:lang w:val="en-US" w:eastAsia="zh-CN"/>
              </w:rPr>
              <w:t>，并在投标文件中提交由投标人法人代表签署的承诺函。</w:t>
            </w:r>
          </w:p>
        </w:tc>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4</w:t>
            </w:r>
          </w:p>
        </w:tc>
        <w:tc>
          <w:tcPr>
            <w:tcW w:w="72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w:t>
            </w:r>
            <w:r>
              <w:rPr>
                <w:rFonts w:hint="default" w:ascii="宋体" w:hAnsi="宋体" w:eastAsia="宋体" w:cs="宋体"/>
                <w:i w:val="0"/>
                <w:iCs w:val="0"/>
                <w:color w:val="auto"/>
                <w:sz w:val="20"/>
                <w:szCs w:val="20"/>
                <w:highlight w:val="none"/>
                <w:u w:val="none"/>
                <w:lang w:val="en-US" w:eastAsia="zh-CN"/>
              </w:rPr>
              <w:t xml:space="preserve">.5.1 </w:t>
            </w:r>
          </w:p>
        </w:tc>
        <w:tc>
          <w:tcPr>
            <w:tcW w:w="8392" w:type="dxa"/>
            <w:tcBorders>
              <w:tl2br w:val="nil"/>
              <w:tr2bl w:val="nil"/>
            </w:tcBorders>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highlight w:val="none"/>
                <w:lang w:val="en-US" w:eastAsia="zh-CN"/>
              </w:rPr>
              <w:t>★</w:t>
            </w:r>
            <w:r>
              <w:rPr>
                <w:rFonts w:hint="eastAsia" w:ascii="宋体" w:hAnsi="宋体" w:eastAsia="宋体" w:cs="宋体"/>
                <w:i w:val="0"/>
                <w:iCs w:val="0"/>
                <w:color w:val="auto"/>
                <w:sz w:val="20"/>
                <w:szCs w:val="20"/>
                <w:highlight w:val="none"/>
                <w:u w:val="none"/>
                <w:lang w:val="en-US" w:eastAsia="zh-CN"/>
              </w:rPr>
              <w:t>铝合金槽式桥架的梯边、横档、盖板、底板、隔板、直接板、弯接板、调节板、伸缩板、终端封板、固定压板的表面处理采用表面阳极氧化处理。对轻腐蚀型、中等腐蚀型及海洋型环境，</w:t>
            </w:r>
            <w:r>
              <w:rPr>
                <w:rFonts w:hint="default" w:ascii="宋体" w:hAnsi="宋体" w:eastAsia="宋体" w:cs="宋体"/>
                <w:i w:val="0"/>
                <w:iCs w:val="0"/>
                <w:color w:val="auto"/>
                <w:sz w:val="20"/>
                <w:szCs w:val="20"/>
                <w:highlight w:val="none"/>
                <w:u w:val="none"/>
                <w:lang w:val="en-US" w:eastAsia="zh-CN"/>
              </w:rPr>
              <w:t>氧化膜厚度应不低于《铝合金电缆桥架技术规程》CECS106:2000规定的 AA1</w:t>
            </w:r>
            <w:r>
              <w:rPr>
                <w:rFonts w:hint="eastAsia" w:ascii="宋体" w:hAnsi="宋体" w:eastAsia="宋体" w:cs="宋体"/>
                <w:i w:val="0"/>
                <w:iCs w:val="0"/>
                <w:color w:val="auto"/>
                <w:sz w:val="20"/>
                <w:szCs w:val="20"/>
                <w:highlight w:val="none"/>
                <w:u w:val="none"/>
                <w:lang w:val="en-US" w:eastAsia="zh-CN"/>
              </w:rPr>
              <w:t>5</w:t>
            </w:r>
            <w:r>
              <w:rPr>
                <w:rFonts w:hint="default" w:ascii="宋体" w:hAnsi="宋体" w:eastAsia="宋体" w:cs="宋体"/>
                <w:i w:val="0"/>
                <w:iCs w:val="0"/>
                <w:color w:val="auto"/>
                <w:sz w:val="20"/>
                <w:szCs w:val="20"/>
                <w:highlight w:val="none"/>
                <w:u w:val="none"/>
                <w:lang w:val="en-US" w:eastAsia="zh-CN"/>
              </w:rPr>
              <w:t xml:space="preserve"> 级别</w:t>
            </w:r>
            <w:r>
              <w:rPr>
                <w:rFonts w:hint="eastAsia" w:ascii="宋体" w:hAnsi="宋体" w:eastAsia="宋体" w:cs="宋体"/>
                <w:i w:val="0"/>
                <w:iCs w:val="0"/>
                <w:color w:val="auto"/>
                <w:sz w:val="20"/>
                <w:szCs w:val="20"/>
                <w:highlight w:val="none"/>
                <w:u w:val="none"/>
                <w:lang w:val="en-US" w:eastAsia="zh-CN"/>
              </w:rPr>
              <w:t>要求：</w:t>
            </w:r>
          </w:p>
          <w:p>
            <w:pPr>
              <w:keepNext w:val="0"/>
              <w:keepLines w:val="0"/>
              <w:widowControl/>
              <w:suppressLineNumbers w:val="0"/>
              <w:jc w:val="left"/>
              <w:textAlignment w:val="center"/>
              <w:rPr>
                <w:rFonts w:hint="default"/>
                <w:highlight w:val="none"/>
                <w:lang w:val="en-US" w:eastAsia="zh-CN"/>
              </w:rPr>
            </w:pPr>
            <w:r>
              <w:rPr>
                <w:rFonts w:hint="eastAsia"/>
                <w:highlight w:val="none"/>
                <w:lang w:val="en-US" w:eastAsia="zh-CN"/>
              </w:rPr>
              <w:t>表5.5.1</w:t>
            </w:r>
          </w:p>
          <w:tbl>
            <w:tblPr>
              <w:tblStyle w:val="63"/>
              <w:tblW w:w="0" w:type="auto"/>
              <w:tblInd w:w="10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548"/>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noWrap w:val="0"/>
                  <w:vAlign w:val="center"/>
                </w:tcPr>
                <w:p>
                  <w:pPr>
                    <w:keepNext w:val="0"/>
                    <w:keepLines w:val="0"/>
                    <w:widowControl/>
                    <w:suppressLineNumbers w:val="0"/>
                    <w:jc w:val="left"/>
                    <w:textAlignment w:val="center"/>
                    <w:rPr>
                      <w:rFonts w:hint="eastAsia"/>
                      <w:highlight w:val="none"/>
                      <w:lang w:val="en-US" w:eastAsia="zh-CN"/>
                    </w:rPr>
                  </w:pPr>
                  <w:r>
                    <w:rPr>
                      <w:rFonts w:hint="eastAsia"/>
                      <w:highlight w:val="none"/>
                      <w:lang w:val="en-US" w:eastAsia="zh-CN"/>
                    </w:rPr>
                    <w:t>级别</w:t>
                  </w:r>
                </w:p>
              </w:tc>
              <w:tc>
                <w:tcPr>
                  <w:tcW w:w="2548" w:type="dxa"/>
                  <w:noWrap w:val="0"/>
                  <w:vAlign w:val="center"/>
                </w:tcPr>
                <w:p>
                  <w:pPr>
                    <w:keepNext w:val="0"/>
                    <w:keepLines w:val="0"/>
                    <w:widowControl/>
                    <w:suppressLineNumbers w:val="0"/>
                    <w:jc w:val="left"/>
                    <w:textAlignment w:val="center"/>
                    <w:rPr>
                      <w:rFonts w:hint="eastAsia"/>
                      <w:highlight w:val="none"/>
                      <w:lang w:val="en-US" w:eastAsia="zh-CN"/>
                    </w:rPr>
                  </w:pPr>
                  <w:r>
                    <w:rPr>
                      <w:rFonts w:hint="eastAsia"/>
                      <w:highlight w:val="none"/>
                      <w:lang w:val="en-US" w:eastAsia="zh-CN"/>
                    </w:rPr>
                    <w:t>最小平均膜厚（</w:t>
                  </w:r>
                  <w:r>
                    <w:rPr>
                      <w:rFonts w:hint="default"/>
                      <w:highlight w:val="none"/>
                      <w:lang w:val="en-US" w:eastAsia="zh-CN"/>
                    </w:rPr>
                    <w:t>um</w:t>
                  </w:r>
                  <w:r>
                    <w:rPr>
                      <w:rFonts w:hint="eastAsia"/>
                      <w:highlight w:val="none"/>
                      <w:lang w:val="en-US" w:eastAsia="zh-CN"/>
                    </w:rPr>
                    <w:t>）</w:t>
                  </w:r>
                </w:p>
              </w:tc>
              <w:tc>
                <w:tcPr>
                  <w:tcW w:w="2640" w:type="dxa"/>
                  <w:noWrap w:val="0"/>
                  <w:vAlign w:val="center"/>
                </w:tcPr>
                <w:p>
                  <w:pPr>
                    <w:keepNext w:val="0"/>
                    <w:keepLines w:val="0"/>
                    <w:widowControl/>
                    <w:suppressLineNumbers w:val="0"/>
                    <w:jc w:val="left"/>
                    <w:textAlignment w:val="center"/>
                    <w:rPr>
                      <w:rFonts w:hint="eastAsia"/>
                      <w:highlight w:val="none"/>
                      <w:lang w:val="en-US" w:eastAsia="zh-CN"/>
                    </w:rPr>
                  </w:pPr>
                  <w:r>
                    <w:rPr>
                      <w:rFonts w:hint="eastAsia"/>
                      <w:highlight w:val="none"/>
                      <w:lang w:val="en-US" w:eastAsia="zh-CN"/>
                    </w:rPr>
                    <w:t>最小局部膜厚（</w:t>
                  </w:r>
                  <w:r>
                    <w:rPr>
                      <w:rFonts w:hint="default"/>
                      <w:highlight w:val="none"/>
                      <w:lang w:val="en-US" w:eastAsia="zh-CN"/>
                    </w:rPr>
                    <w:t>um</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noWrap w:val="0"/>
                  <w:vAlign w:val="center"/>
                </w:tcPr>
                <w:p>
                  <w:pPr>
                    <w:keepNext w:val="0"/>
                    <w:keepLines w:val="0"/>
                    <w:widowControl/>
                    <w:suppressLineNumbers w:val="0"/>
                    <w:jc w:val="left"/>
                    <w:textAlignment w:val="center"/>
                    <w:rPr>
                      <w:rFonts w:hint="eastAsia"/>
                      <w:highlight w:val="none"/>
                      <w:lang w:val="en-US" w:eastAsia="zh-CN"/>
                    </w:rPr>
                  </w:pPr>
                  <w:r>
                    <w:rPr>
                      <w:rFonts w:hint="eastAsia"/>
                      <w:highlight w:val="none"/>
                      <w:lang w:val="en-US" w:eastAsia="zh-CN"/>
                    </w:rPr>
                    <w:t>AA15</w:t>
                  </w:r>
                </w:p>
              </w:tc>
              <w:tc>
                <w:tcPr>
                  <w:tcW w:w="2548" w:type="dxa"/>
                  <w:noWrap w:val="0"/>
                  <w:vAlign w:val="center"/>
                </w:tcPr>
                <w:p>
                  <w:pPr>
                    <w:keepNext w:val="0"/>
                    <w:keepLines w:val="0"/>
                    <w:widowControl/>
                    <w:suppressLineNumbers w:val="0"/>
                    <w:jc w:val="left"/>
                    <w:textAlignment w:val="center"/>
                    <w:rPr>
                      <w:rFonts w:hint="eastAsia"/>
                      <w:highlight w:val="none"/>
                      <w:lang w:val="en-US" w:eastAsia="zh-CN"/>
                    </w:rPr>
                  </w:pPr>
                  <w:r>
                    <w:rPr>
                      <w:rFonts w:hint="eastAsia"/>
                      <w:highlight w:val="none"/>
                      <w:lang w:val="en-US" w:eastAsia="zh-CN"/>
                    </w:rPr>
                    <w:t>15</w:t>
                  </w:r>
                </w:p>
              </w:tc>
              <w:tc>
                <w:tcPr>
                  <w:tcW w:w="2640" w:type="dxa"/>
                  <w:noWrap w:val="0"/>
                  <w:vAlign w:val="center"/>
                </w:tcPr>
                <w:p>
                  <w:pPr>
                    <w:keepNext w:val="0"/>
                    <w:keepLines w:val="0"/>
                    <w:widowControl/>
                    <w:suppressLineNumbers w:val="0"/>
                    <w:jc w:val="left"/>
                    <w:textAlignment w:val="center"/>
                    <w:rPr>
                      <w:rFonts w:hint="eastAsia"/>
                      <w:highlight w:val="none"/>
                      <w:lang w:val="en-US" w:eastAsia="zh-CN"/>
                    </w:rPr>
                  </w:pPr>
                  <w:r>
                    <w:rPr>
                      <w:rFonts w:hint="eastAsia"/>
                      <w:highlight w:val="none"/>
                      <w:lang w:val="en-US" w:eastAsia="zh-CN"/>
                    </w:rPr>
                    <w:t>12</w:t>
                  </w:r>
                </w:p>
              </w:tc>
            </w:tr>
          </w:tbl>
          <w:p>
            <w:pPr>
              <w:keepNext w:val="0"/>
              <w:keepLines w:val="0"/>
              <w:widowControl/>
              <w:suppressLineNumbers w:val="0"/>
              <w:jc w:val="left"/>
              <w:textAlignment w:val="center"/>
              <w:rPr>
                <w:rFonts w:hint="eastAsia"/>
                <w:highlight w:val="none"/>
                <w:lang w:val="en-US" w:eastAsia="zh-CN"/>
              </w:rPr>
            </w:pPr>
            <w:r>
              <w:rPr>
                <w:rFonts w:hint="eastAsia" w:ascii="宋体" w:hAnsi="宋体" w:eastAsia="宋体" w:cs="宋体"/>
                <w:i w:val="0"/>
                <w:iCs w:val="0"/>
                <w:color w:val="auto"/>
                <w:sz w:val="20"/>
                <w:szCs w:val="20"/>
                <w:highlight w:val="none"/>
                <w:u w:val="none"/>
                <w:lang w:val="en-US" w:eastAsia="zh-CN"/>
              </w:rPr>
              <w:t>投标人投标的铝合金电缆桥架表面阳极氧化膜厚度严格按上述要求执行，并在投标文件中提交由投标人法人代表签署的承诺函。</w:t>
            </w:r>
          </w:p>
        </w:tc>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w:t>
            </w:r>
          </w:p>
        </w:tc>
        <w:tc>
          <w:tcPr>
            <w:tcW w:w="72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5.7</w:t>
            </w:r>
          </w:p>
        </w:tc>
        <w:tc>
          <w:tcPr>
            <w:tcW w:w="8392" w:type="dxa"/>
            <w:tcBorders>
              <w:tl2br w:val="nil"/>
              <w:tr2bl w:val="nil"/>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w:t>
            </w:r>
            <w:r>
              <w:rPr>
                <w:rFonts w:hint="eastAsia" w:ascii="宋体" w:hAnsi="宋体" w:eastAsia="宋体" w:cs="宋体"/>
                <w:i w:val="0"/>
                <w:iCs w:val="0"/>
                <w:color w:val="auto"/>
                <w:sz w:val="20"/>
                <w:szCs w:val="20"/>
                <w:highlight w:val="none"/>
                <w:u w:val="none"/>
                <w:lang w:val="en-US" w:eastAsia="zh-CN"/>
              </w:rPr>
              <w:t>投标人承诺所投产品满足制造精度（详见5.7）</w:t>
            </w:r>
            <w:r>
              <w:rPr>
                <w:rFonts w:hint="eastAsia" w:ascii="宋体" w:hAnsi="宋体" w:eastAsia="宋体" w:cs="宋体"/>
                <w:i w:val="0"/>
                <w:iCs w:val="0"/>
                <w:color w:val="auto"/>
                <w:sz w:val="20"/>
                <w:szCs w:val="20"/>
                <w:highlight w:val="none"/>
                <w:u w:val="none"/>
                <w:lang w:val="en-US" w:eastAsia="zh-CN"/>
              </w:rPr>
              <w:t>，并在投标文件中提交由投标人法人代表签署的承诺函。</w:t>
            </w:r>
          </w:p>
        </w:tc>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15" w:hRule="atLeast"/>
        </w:trPr>
        <w:tc>
          <w:tcPr>
            <w:tcW w:w="378"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6</w:t>
            </w:r>
          </w:p>
        </w:tc>
        <w:tc>
          <w:tcPr>
            <w:tcW w:w="721" w:type="dxa"/>
            <w:tcBorders>
              <w:tl2br w:val="nil"/>
              <w:tr2bl w:val="nil"/>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5.15</w:t>
            </w:r>
          </w:p>
        </w:tc>
        <w:tc>
          <w:tcPr>
            <w:tcW w:w="839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w:t>
            </w:r>
            <w:r>
              <w:rPr>
                <w:rFonts w:hint="eastAsia" w:ascii="宋体" w:hAnsi="宋体" w:eastAsia="宋体" w:cs="宋体"/>
                <w:i w:val="0"/>
                <w:iCs w:val="0"/>
                <w:color w:val="auto"/>
                <w:sz w:val="20"/>
                <w:szCs w:val="20"/>
                <w:highlight w:val="none"/>
                <w:u w:val="none"/>
                <w:lang w:val="en-US" w:eastAsia="zh-CN"/>
              </w:rPr>
              <w:t>投标人投标时承诺所投产品满足安装</w:t>
            </w:r>
            <w:r>
              <w:rPr>
                <w:rFonts w:hint="eastAsia" w:ascii="宋体" w:hAnsi="宋体" w:eastAsia="宋体" w:cs="宋体"/>
                <w:i w:val="0"/>
                <w:iCs w:val="0"/>
                <w:color w:val="auto"/>
                <w:sz w:val="20"/>
                <w:szCs w:val="20"/>
                <w:highlight w:val="none"/>
                <w:u w:val="none"/>
                <w:lang w:val="en-US" w:eastAsia="zh-CN"/>
              </w:rPr>
              <w:t>附件与桥架规格对应的成套数量</w:t>
            </w:r>
            <w:r>
              <w:rPr>
                <w:rFonts w:hint="eastAsia" w:ascii="宋体" w:hAnsi="宋体" w:eastAsia="宋体" w:cs="宋体"/>
                <w:i w:val="0"/>
                <w:iCs w:val="0"/>
                <w:color w:val="auto"/>
                <w:sz w:val="20"/>
                <w:szCs w:val="20"/>
                <w:highlight w:val="none"/>
                <w:u w:val="none"/>
                <w:lang w:val="en-US" w:eastAsia="zh-CN"/>
              </w:rPr>
              <w:t>，并在投标文件中提交由投标人法人代表签署的承诺函。</w:t>
            </w:r>
          </w:p>
          <w:tbl>
            <w:tblPr>
              <w:tblStyle w:val="63"/>
              <w:tblpPr w:leftFromText="180" w:rightFromText="180" w:vertAnchor="text" w:horzAnchor="page" w:tblpX="1091" w:tblpY="136"/>
              <w:tblOverlap w:val="never"/>
              <w:tblW w:w="994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19"/>
              <w:gridCol w:w="2558"/>
              <w:gridCol w:w="537"/>
              <w:gridCol w:w="960"/>
              <w:gridCol w:w="984"/>
              <w:gridCol w:w="948"/>
              <w:gridCol w:w="972"/>
              <w:gridCol w:w="972"/>
              <w:gridCol w:w="15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41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序号</w:t>
                  </w:r>
                </w:p>
              </w:tc>
              <w:tc>
                <w:tcPr>
                  <w:tcW w:w="255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配 件 名称</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单位</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直通配置 (件/节)</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弯通配置 (件/节)</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三通配置 (件/节)</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四通配置 (件/节)</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异径接头 (件/节)</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备  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铝合金连接片 (H≤100)</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每套内、外各1件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vMerge w:val="continue"/>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连接螺栓(成套)</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12</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12</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eastAsia="zh-CN"/>
                    </w:rPr>
                  </w:pPr>
                  <w:r>
                    <w:rPr>
                      <w:rFonts w:hint="eastAsia" w:ascii="等线 Light" w:hAnsi="等线 Light" w:eastAsia="等线 Light" w:cs="等线 Light"/>
                      <w:i w:val="0"/>
                      <w:iCs w:val="0"/>
                      <w:color w:val="000000"/>
                      <w:sz w:val="18"/>
                      <w:szCs w:val="18"/>
                      <w:highlight w:val="none"/>
                      <w:u w:val="none"/>
                      <w:lang w:val="en-US" w:eastAsia="zh-CN"/>
                    </w:rPr>
                    <w:t>18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12</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铝合金连接片 (200≥H≥150)</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6</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每套内、外各2件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vMerge w:val="continue"/>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连接螺栓(成套)</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48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铝合金连接片 (H≥200)</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6</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每套内、外各2件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vMerge w:val="continue"/>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连接螺栓(成套)</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54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72</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铜芯黄绿跨接线</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桥架固定压板</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1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5</w:t>
                  </w:r>
                </w:p>
              </w:tc>
              <w:tc>
                <w:tcPr>
                  <w:tcW w:w="2558"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防台风抱箍</w:t>
                  </w:r>
                </w:p>
              </w:tc>
              <w:tc>
                <w:tcPr>
                  <w:tcW w:w="53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3/2米</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1596" w:type="dxa"/>
                  <w:tcBorders>
                    <w:tl2br w:val="nil"/>
                    <w:tr2bl w:val="nil"/>
                  </w:tcBorders>
                  <w:shd w:val="clear" w:color="auto" w:fill="auto"/>
                  <w:noWrap/>
                  <w:vAlign w:val="center"/>
                </w:tcPr>
                <w:p>
                  <w:pPr>
                    <w:rPr>
                      <w:rFonts w:hint="eastAsia" w:ascii="等线 Light" w:hAnsi="等线 Light" w:eastAsia="等线 Light" w:cs="等线 Light"/>
                      <w:i w:val="0"/>
                      <w:iCs w:val="0"/>
                      <w:color w:val="000000"/>
                      <w:sz w:val="18"/>
                      <w:szCs w:val="18"/>
                      <w:highlight w:val="none"/>
                      <w:u w:val="none"/>
                    </w:rPr>
                  </w:pPr>
                </w:p>
              </w:tc>
            </w:tr>
          </w:tbl>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378" w:type="dxa"/>
            <w:tcBorders>
              <w:tl2br w:val="nil"/>
              <w:tr2bl w:val="nil"/>
            </w:tcBorders>
            <w:shd w:val="clear" w:color="auto" w:fill="auto"/>
            <w:vAlign w:val="center"/>
          </w:tcPr>
          <w:p>
            <w:pPr>
              <w:jc w:val="center"/>
              <w:rPr>
                <w:rFonts w:hint="default" w:ascii="宋体" w:hAnsi="宋体" w:eastAsia="宋体" w:cs="宋体"/>
                <w:i w:val="0"/>
                <w:iCs w:val="0"/>
                <w:color w:val="auto"/>
                <w:sz w:val="20"/>
                <w:szCs w:val="20"/>
                <w:highlight w:val="none"/>
                <w:u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37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bookmarkStart w:id="46" w:name="OLE_LINK3" w:colFirst="2" w:colLast="2"/>
            <w:r>
              <w:rPr>
                <w:rFonts w:hint="eastAsia" w:ascii="宋体" w:hAnsi="宋体" w:eastAsia="宋体" w:cs="宋体"/>
                <w:i w:val="0"/>
                <w:iCs w:val="0"/>
                <w:color w:val="auto"/>
                <w:kern w:val="0"/>
                <w:sz w:val="20"/>
                <w:szCs w:val="20"/>
                <w:highlight w:val="none"/>
                <w:u w:val="none"/>
                <w:lang w:val="en-US" w:eastAsia="zh-CN" w:bidi="ar"/>
              </w:rPr>
              <w:t>7</w:t>
            </w:r>
          </w:p>
        </w:tc>
        <w:tc>
          <w:tcPr>
            <w:tcW w:w="72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 xml:space="preserve">10.2  </w:t>
            </w:r>
          </w:p>
        </w:tc>
        <w:tc>
          <w:tcPr>
            <w:tcW w:w="8392"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bookmarkStart w:id="47" w:name="OLE_LINK6"/>
            <w:r>
              <w:rPr>
                <w:rFonts w:hint="eastAsia" w:ascii="宋体" w:hAnsi="宋体" w:eastAsia="宋体" w:cs="宋体"/>
                <w:i w:val="0"/>
                <w:iCs w:val="0"/>
                <w:color w:val="auto"/>
                <w:sz w:val="20"/>
                <w:szCs w:val="20"/>
                <w:highlight w:val="none"/>
                <w:u w:val="none"/>
              </w:rPr>
              <w:t>★型式试验</w:t>
            </w:r>
          </w:p>
          <w:bookmarkEnd w:id="47"/>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投标人在投标文件中须提供在相同电缆桥架（铝合金桥架规格不低于W800mm×H150mm×L6000mm）上进行的各种型式试验证书；</w:t>
            </w:r>
            <w:r>
              <w:rPr>
                <w:rFonts w:hint="eastAsia" w:ascii="宋体" w:hAnsi="宋体" w:eastAsia="宋体" w:cs="宋体"/>
                <w:i w:val="0"/>
                <w:iCs w:val="0"/>
                <w:color w:val="auto"/>
                <w:sz w:val="20"/>
                <w:szCs w:val="20"/>
                <w:highlight w:val="none"/>
                <w:u w:val="none"/>
                <w:lang w:val="en-US" w:eastAsia="zh-CN"/>
              </w:rPr>
              <w:t>投标人应在投标文件中提交由投标人法人代表签署的承诺函，</w:t>
            </w:r>
            <w:r>
              <w:rPr>
                <w:rFonts w:hint="eastAsia" w:ascii="宋体" w:hAnsi="宋体" w:eastAsia="宋体" w:cs="宋体"/>
                <w:i w:val="0"/>
                <w:iCs w:val="0"/>
                <w:color w:val="auto"/>
                <w:sz w:val="20"/>
                <w:szCs w:val="20"/>
                <w:highlight w:val="none"/>
                <w:u w:val="none"/>
                <w:lang w:val="en-US" w:eastAsia="zh-CN"/>
              </w:rPr>
              <w:t>承诺供货时提供覆盖招标文件全系列的铝合金槽式桥架型式试验报告。试验项目应包括但不限于以下项目：</w:t>
            </w:r>
          </w:p>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10.2.1.允许荷载试验。</w:t>
            </w:r>
          </w:p>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10.2.2.人工气候试验-交变湿热试验。</w:t>
            </w:r>
          </w:p>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10.2.3.防腐层性能试验（包括厚度、附着力、均匀性）。</w:t>
            </w:r>
          </w:p>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10.2.4.保护电路连续性试验。</w:t>
            </w:r>
          </w:p>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10.2.5.外观和尺寸精度检查。</w:t>
            </w:r>
          </w:p>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10.2.6.盐雾试验。</w:t>
            </w:r>
          </w:p>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10.2.7.</w:t>
            </w:r>
            <w:r>
              <w:rPr>
                <w:rFonts w:hint="eastAsia" w:ascii="宋体" w:hAnsi="宋体" w:eastAsia="宋体" w:cs="宋体"/>
                <w:i w:val="0"/>
                <w:iCs w:val="0"/>
                <w:color w:val="auto"/>
                <w:sz w:val="20"/>
                <w:szCs w:val="20"/>
                <w:highlight w:val="none"/>
                <w:u w:val="none"/>
              </w:rPr>
              <w:t>撞击试验。</w:t>
            </w:r>
          </w:p>
        </w:tc>
        <w:tc>
          <w:tcPr>
            <w:tcW w:w="378" w:type="dxa"/>
            <w:tcBorders>
              <w:tl2br w:val="nil"/>
              <w:tr2bl w:val="nil"/>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bookmarkEnd w:id="46"/>
    </w:tbl>
    <w:p>
      <w:pPr>
        <w:pStyle w:val="3"/>
        <w:keepNext/>
        <w:keepLines/>
        <w:pageBreakBefore w:val="0"/>
        <w:widowControl w:val="0"/>
        <w:numPr>
          <w:ilvl w:val="0"/>
          <w:numId w:val="11"/>
        </w:numPr>
        <w:kinsoku/>
        <w:wordWrap/>
        <w:overflowPunct/>
        <w:topLinePunct w:val="0"/>
        <w:autoSpaceDE/>
        <w:autoSpaceDN/>
        <w:bidi w:val="0"/>
        <w:adjustRightInd w:val="0"/>
        <w:snapToGrid/>
        <w:spacing w:after="10" w:line="560" w:lineRule="exact"/>
        <w:ind w:left="420" w:hanging="420"/>
        <w:textAlignment w:val="baseline"/>
        <w:rPr>
          <w:rFonts w:hint="eastAsia" w:ascii="黑体" w:hAnsi="黑体" w:eastAsia="黑体" w:cs="黑体"/>
          <w:highlight w:val="none"/>
          <w:lang w:val="en-US" w:eastAsia="zh-CN"/>
        </w:rPr>
      </w:pPr>
      <w:bookmarkStart w:id="48" w:name="_Toc11408"/>
      <w:r>
        <w:rPr>
          <w:rFonts w:hint="eastAsia" w:ascii="黑体" w:hAnsi="黑体" w:eastAsia="黑体" w:cs="黑体"/>
          <w:highlight w:val="none"/>
          <w:lang w:val="en-US" w:eastAsia="zh-CN"/>
        </w:rPr>
        <w:t>公用工程及使用条件</w:t>
      </w:r>
      <w:bookmarkEnd w:id="38"/>
      <w:bookmarkEnd w:id="39"/>
      <w:bookmarkEnd w:id="40"/>
      <w:bookmarkEnd w:id="41"/>
      <w:bookmarkEnd w:id="42"/>
      <w:bookmarkEnd w:id="43"/>
      <w:bookmarkEnd w:id="44"/>
      <w:bookmarkEnd w:id="48"/>
    </w:p>
    <w:p>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bookmarkStart w:id="49" w:name="_Toc6172"/>
      <w:bookmarkStart w:id="50" w:name="_Toc282993251"/>
      <w:bookmarkStart w:id="51" w:name="_Toc292019767"/>
      <w:bookmarkStart w:id="52" w:name="_Toc279695711"/>
      <w:bookmarkStart w:id="53" w:name="_Toc7679"/>
      <w:r>
        <w:rPr>
          <w:rFonts w:hint="eastAsia" w:ascii="宋体" w:hAnsi="宋体" w:eastAsia="宋体" w:cs="宋体"/>
          <w:sz w:val="28"/>
          <w:szCs w:val="28"/>
          <w:highlight w:val="none"/>
          <w:lang w:val="en-US" w:eastAsia="zh-CN"/>
        </w:rPr>
        <w:t>正常使用条件</w:t>
      </w:r>
      <w:bookmarkEnd w:id="49"/>
      <w:bookmarkEnd w:id="50"/>
      <w:bookmarkEnd w:id="51"/>
      <w:bookmarkEnd w:id="52"/>
      <w:bookmarkEnd w:id="53"/>
    </w:p>
    <w:p>
      <w:pPr>
        <w:keepNext/>
        <w:keepLines w:val="0"/>
        <w:pageBreakBefore w:val="0"/>
        <w:widowControl w:val="0"/>
        <w:tabs>
          <w:tab w:val="right" w:leader="middleDot" w:pos="210"/>
        </w:tabs>
        <w:kinsoku/>
        <w:wordWrap/>
        <w:overflowPunct/>
        <w:topLinePunct w:val="0"/>
        <w:autoSpaceDE/>
        <w:autoSpaceDN/>
        <w:bidi w:val="0"/>
        <w:adjustRightInd/>
        <w:snapToGrid/>
        <w:spacing w:line="560" w:lineRule="exact"/>
        <w:ind w:left="0" w:firstLine="0" w:firstLineChars="0"/>
        <w:textAlignment w:val="auto"/>
        <w:rPr>
          <w:rFonts w:hint="eastAsia" w:ascii="宋体" w:hAnsi="宋体" w:eastAsia="宋体" w:cs="宋体"/>
          <w:sz w:val="28"/>
          <w:szCs w:val="28"/>
          <w:highlight w:val="none"/>
          <w:lang w:val="en-US" w:eastAsia="zh-CN"/>
        </w:rPr>
      </w:pPr>
      <w:bookmarkStart w:id="54" w:name="_Toc3550"/>
      <w:r>
        <w:rPr>
          <w:rFonts w:hint="eastAsia" w:ascii="宋体" w:hAnsi="宋体" w:eastAsia="宋体" w:cs="宋体"/>
          <w:sz w:val="28"/>
          <w:szCs w:val="28"/>
          <w:highlight w:val="none"/>
          <w:lang w:val="en-US" w:eastAsia="zh-CN"/>
        </w:rPr>
        <w:t>厂址位于广东省惠州市大亚湾经济技术开发区东部的大亚湾石化工业区。</w:t>
      </w:r>
      <w:bookmarkEnd w:id="54"/>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工程主要气象原始资料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highlight w:val="none"/>
          <w:lang w:val="en-US" w:eastAsia="zh-CN"/>
        </w:rPr>
      </w:pPr>
      <w:bookmarkStart w:id="55" w:name="_Toc1320"/>
      <w:r>
        <w:rPr>
          <w:rFonts w:hint="eastAsia" w:ascii="宋体" w:hAnsi="宋体" w:eastAsia="宋体" w:cs="宋体"/>
          <w:sz w:val="28"/>
          <w:szCs w:val="28"/>
          <w:highlight w:val="none"/>
          <w:lang w:val="en-US" w:eastAsia="zh-CN"/>
        </w:rPr>
        <w:t>多年平均温度：         21.9℃</w:t>
      </w:r>
      <w:bookmarkEnd w:id="5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56" w:name="_Toc26845"/>
      <w:r>
        <w:rPr>
          <w:rFonts w:hint="eastAsia" w:ascii="宋体" w:hAnsi="宋体" w:eastAsia="宋体" w:cs="宋体"/>
          <w:sz w:val="28"/>
          <w:szCs w:val="28"/>
          <w:highlight w:val="none"/>
          <w:lang w:val="en-US" w:eastAsia="zh-CN"/>
        </w:rPr>
        <w:t>多年平均最高温度：     26.4℃</w:t>
      </w:r>
      <w:bookmarkEnd w:id="56"/>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57" w:name="_Toc29938"/>
      <w:r>
        <w:rPr>
          <w:rFonts w:hint="eastAsia" w:ascii="宋体" w:hAnsi="宋体" w:eastAsia="宋体" w:cs="宋体"/>
          <w:sz w:val="28"/>
          <w:szCs w:val="28"/>
          <w:highlight w:val="none"/>
          <w:lang w:val="en-US" w:eastAsia="zh-CN"/>
        </w:rPr>
        <w:t>多年平均最低：         18.9℃</w:t>
      </w:r>
      <w:bookmarkEnd w:id="57"/>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58" w:name="_Toc12105"/>
      <w:r>
        <w:rPr>
          <w:rFonts w:hint="eastAsia" w:ascii="宋体" w:hAnsi="宋体" w:eastAsia="宋体" w:cs="宋体"/>
          <w:sz w:val="28"/>
          <w:szCs w:val="28"/>
          <w:highlight w:val="none"/>
          <w:lang w:val="en-US" w:eastAsia="zh-CN"/>
        </w:rPr>
        <w:t>历年最热月（7月）平均温度：     28.4℃</w:t>
      </w:r>
      <w:bookmarkEnd w:id="58"/>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59" w:name="_Toc6130"/>
      <w:r>
        <w:rPr>
          <w:rFonts w:hint="eastAsia" w:ascii="宋体" w:hAnsi="宋体" w:eastAsia="宋体" w:cs="宋体"/>
          <w:sz w:val="28"/>
          <w:szCs w:val="28"/>
          <w:highlight w:val="none"/>
          <w:lang w:val="en-US" w:eastAsia="zh-CN"/>
        </w:rPr>
        <w:t>历年最热月（7月）平均最高温度：    32.7℃</w:t>
      </w:r>
      <w:bookmarkEnd w:id="59"/>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0" w:name="_Toc15517"/>
      <w:r>
        <w:rPr>
          <w:rFonts w:hint="eastAsia" w:ascii="宋体" w:hAnsi="宋体" w:eastAsia="宋体" w:cs="宋体"/>
          <w:sz w:val="28"/>
          <w:szCs w:val="28"/>
          <w:highlight w:val="none"/>
          <w:lang w:val="en-US" w:eastAsia="zh-CN"/>
        </w:rPr>
        <w:t>历年最热月（7月）平均最低温度：    25.5℃</w:t>
      </w:r>
      <w:bookmarkEnd w:id="6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1" w:name="_Toc406"/>
      <w:r>
        <w:rPr>
          <w:rFonts w:hint="eastAsia" w:ascii="宋体" w:hAnsi="宋体" w:eastAsia="宋体" w:cs="宋体"/>
          <w:sz w:val="28"/>
          <w:szCs w:val="28"/>
          <w:highlight w:val="none"/>
          <w:lang w:val="en-US" w:eastAsia="zh-CN"/>
        </w:rPr>
        <w:t>历年最冷月（1月）平均温度：        13.7℃</w:t>
      </w:r>
      <w:bookmarkEnd w:id="61"/>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2" w:name="_Toc17054"/>
      <w:r>
        <w:rPr>
          <w:rFonts w:hint="eastAsia" w:ascii="宋体" w:hAnsi="宋体" w:eastAsia="宋体" w:cs="宋体"/>
          <w:sz w:val="28"/>
          <w:szCs w:val="28"/>
          <w:highlight w:val="none"/>
          <w:lang w:val="en-US" w:eastAsia="zh-CN"/>
        </w:rPr>
        <w:t>历年最冷月（1月）平均最高温度：     18.7℃</w:t>
      </w:r>
      <w:bookmarkEnd w:id="6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3" w:name="_Toc26396"/>
      <w:r>
        <w:rPr>
          <w:rFonts w:hint="eastAsia" w:ascii="宋体" w:hAnsi="宋体" w:eastAsia="宋体" w:cs="宋体"/>
          <w:sz w:val="28"/>
          <w:szCs w:val="28"/>
          <w:highlight w:val="none"/>
          <w:lang w:val="en-US" w:eastAsia="zh-CN"/>
        </w:rPr>
        <w:t>历年最冷月（1月）平均最低温度：     10.3℃</w:t>
      </w:r>
      <w:bookmarkEnd w:id="6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4" w:name="_Toc721"/>
      <w:r>
        <w:rPr>
          <w:rFonts w:hint="eastAsia" w:ascii="宋体" w:hAnsi="宋体" w:eastAsia="宋体" w:cs="宋体"/>
          <w:sz w:val="28"/>
          <w:szCs w:val="28"/>
          <w:highlight w:val="none"/>
          <w:lang w:val="en-US" w:eastAsia="zh-CN"/>
        </w:rPr>
        <w:t>夏季极端最高温度：     38.2℃</w:t>
      </w:r>
      <w:bookmarkEnd w:id="6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5" w:name="_Toc26198"/>
      <w:r>
        <w:rPr>
          <w:rFonts w:hint="eastAsia" w:ascii="宋体" w:hAnsi="宋体" w:eastAsia="宋体" w:cs="宋体"/>
          <w:sz w:val="28"/>
          <w:szCs w:val="28"/>
          <w:highlight w:val="none"/>
          <w:lang w:val="en-US" w:eastAsia="zh-CN"/>
        </w:rPr>
        <w:t>冬季极端</w:t>
      </w:r>
      <w:r>
        <w:rPr>
          <w:rFonts w:hint="eastAsia" w:ascii="宋体" w:hAnsi="宋体" w:eastAsia="宋体" w:cs="宋体"/>
          <w:sz w:val="28"/>
          <w:szCs w:val="28"/>
          <w:highlight w:val="none"/>
          <w:lang w:val="en-US" w:eastAsia="zh-CN"/>
        </w:rPr>
        <w:t>最低温度：     0.5℃</w:t>
      </w:r>
      <w:bookmarkEnd w:id="65"/>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ascii="宋体" w:hAnsi="宋体" w:eastAsia="宋体" w:cs="宋体"/>
          <w:sz w:val="28"/>
          <w:szCs w:val="28"/>
          <w:highlight w:val="none"/>
          <w:lang w:val="en-US" w:eastAsia="zh-CN"/>
        </w:rPr>
        <w:t>大气相对湿度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6" w:name="_Toc24907"/>
      <w:r>
        <w:rPr>
          <w:rFonts w:hint="eastAsia" w:ascii="宋体" w:hAnsi="宋体" w:eastAsia="宋体" w:cs="宋体"/>
          <w:sz w:val="28"/>
          <w:szCs w:val="28"/>
          <w:highlight w:val="none"/>
          <w:lang w:val="en-US" w:eastAsia="zh-CN"/>
        </w:rPr>
        <w:t>多年平均相对湿度：     78%</w:t>
      </w:r>
      <w:bookmarkEnd w:id="66"/>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7" w:name="_Toc25485"/>
      <w:r>
        <w:rPr>
          <w:rFonts w:hint="eastAsia" w:ascii="宋体" w:hAnsi="宋体" w:eastAsia="宋体" w:cs="宋体"/>
          <w:sz w:val="28"/>
          <w:szCs w:val="28"/>
          <w:highlight w:val="none"/>
          <w:lang w:val="en-US" w:eastAsia="zh-CN"/>
        </w:rPr>
        <w:t>最热月平均相对湿度：   82%</w:t>
      </w:r>
      <w:bookmarkEnd w:id="67"/>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68" w:name="_Toc6230"/>
      <w:r>
        <w:rPr>
          <w:rFonts w:hint="eastAsia" w:ascii="宋体" w:hAnsi="宋体" w:eastAsia="宋体" w:cs="宋体"/>
          <w:sz w:val="28"/>
          <w:szCs w:val="28"/>
          <w:highlight w:val="none"/>
          <w:lang w:val="en-US" w:eastAsia="zh-CN"/>
        </w:rPr>
        <w:t>最冷月平均相对湿度：   71%</w:t>
      </w:r>
      <w:bookmarkEnd w:id="68"/>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highlight w:val="none"/>
          <w:lang w:val="en-US" w:eastAsia="zh-CN"/>
        </w:rPr>
      </w:pPr>
      <w:bookmarkStart w:id="69" w:name="_Toc18558"/>
      <w:r>
        <w:rPr>
          <w:rFonts w:hint="eastAsia" w:ascii="宋体" w:hAnsi="宋体" w:eastAsia="宋体" w:cs="宋体"/>
          <w:sz w:val="28"/>
          <w:szCs w:val="28"/>
          <w:highlight w:val="none"/>
          <w:lang w:val="en-US" w:eastAsia="zh-CN"/>
        </w:rPr>
        <w:t>常年风向和频率：     NNE， 18%</w:t>
      </w:r>
      <w:bookmarkEnd w:id="69"/>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0" w:name="_Toc2283"/>
      <w:r>
        <w:rPr>
          <w:rFonts w:hint="eastAsia" w:ascii="宋体" w:hAnsi="宋体" w:eastAsia="宋体" w:cs="宋体"/>
          <w:sz w:val="28"/>
          <w:szCs w:val="28"/>
          <w:highlight w:val="none"/>
          <w:lang w:val="en-US" w:eastAsia="zh-CN"/>
        </w:rPr>
        <w:t>夏季风向和频率：     SE， 15.5%</w:t>
      </w:r>
      <w:bookmarkEnd w:id="7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1" w:name="_Toc24490"/>
      <w:r>
        <w:rPr>
          <w:rFonts w:hint="eastAsia" w:ascii="宋体" w:hAnsi="宋体" w:eastAsia="宋体" w:cs="宋体"/>
          <w:sz w:val="28"/>
          <w:szCs w:val="28"/>
          <w:highlight w:val="none"/>
          <w:lang w:val="en-US" w:eastAsia="zh-CN"/>
        </w:rPr>
        <w:t>冬季风向和频率：     NNE， 31%</w:t>
      </w:r>
      <w:bookmarkEnd w:id="71"/>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2" w:name="_Toc13128"/>
      <w:r>
        <w:rPr>
          <w:rFonts w:hint="eastAsia" w:ascii="宋体" w:hAnsi="宋体" w:eastAsia="宋体" w:cs="宋体"/>
          <w:sz w:val="28"/>
          <w:szCs w:val="28"/>
          <w:highlight w:val="none"/>
          <w:lang w:val="en-US" w:eastAsia="zh-CN"/>
        </w:rPr>
        <w:t>夏季平均风速：       1.9m/s</w:t>
      </w:r>
      <w:bookmarkEnd w:id="7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3" w:name="_Toc4367"/>
      <w:r>
        <w:rPr>
          <w:rFonts w:hint="eastAsia" w:ascii="宋体" w:hAnsi="宋体" w:eastAsia="宋体" w:cs="宋体"/>
          <w:sz w:val="28"/>
          <w:szCs w:val="28"/>
          <w:highlight w:val="none"/>
          <w:lang w:val="en-US" w:eastAsia="zh-CN"/>
        </w:rPr>
        <w:t>冬季平均风速：       2.9m/s</w:t>
      </w:r>
      <w:bookmarkEnd w:id="7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4" w:name="_Toc3399"/>
      <w:r>
        <w:rPr>
          <w:rFonts w:hint="eastAsia" w:ascii="宋体" w:hAnsi="宋体" w:eastAsia="宋体" w:cs="宋体"/>
          <w:sz w:val="28"/>
          <w:szCs w:val="28"/>
          <w:highlight w:val="none"/>
          <w:lang w:val="en-US" w:eastAsia="zh-CN"/>
        </w:rPr>
        <w:t>极端最大风速：       44.1m/s， 方向：N</w:t>
      </w:r>
      <w:bookmarkEnd w:id="7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highlight w:val="none"/>
          <w:lang w:val="en-US" w:eastAsia="zh-CN"/>
        </w:rPr>
      </w:pPr>
      <w:bookmarkStart w:id="75" w:name="_Toc14760"/>
      <w:r>
        <w:rPr>
          <w:rFonts w:hint="eastAsia" w:ascii="宋体" w:hAnsi="宋体" w:eastAsia="宋体" w:cs="宋体"/>
          <w:sz w:val="28"/>
          <w:szCs w:val="28"/>
          <w:highlight w:val="none"/>
          <w:lang w:val="en-US" w:eastAsia="zh-CN"/>
        </w:rPr>
        <w:t>50</w:t>
      </w:r>
      <w:r>
        <w:rPr>
          <w:rFonts w:hint="eastAsia" w:ascii="宋体" w:hAnsi="宋体" w:eastAsia="宋体" w:cs="宋体"/>
          <w:sz w:val="28"/>
          <w:szCs w:val="28"/>
          <w:highlight w:val="none"/>
          <w:lang w:val="en-US" w:eastAsia="zh-CN"/>
        </w:rPr>
        <w:t>年一次的风压：     0.75kN/m</w:t>
      </w:r>
      <w:r>
        <w:rPr>
          <w:rFonts w:hint="eastAsia" w:ascii="宋体" w:hAnsi="宋体" w:eastAsia="宋体" w:cs="宋体"/>
          <w:sz w:val="28"/>
          <w:szCs w:val="28"/>
          <w:highlight w:val="none"/>
          <w:vertAlign w:val="superscript"/>
          <w:lang w:val="en-US" w:eastAsia="zh-CN"/>
        </w:rPr>
        <w:t>2</w:t>
      </w:r>
      <w:bookmarkEnd w:id="75"/>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6" w:name="_Toc224533061"/>
      <w:bookmarkStart w:id="77" w:name="_Toc224459272"/>
      <w:r>
        <w:rPr>
          <w:rFonts w:hint="eastAsia" w:ascii="宋体" w:hAnsi="宋体" w:eastAsia="宋体" w:cs="宋体"/>
          <w:sz w:val="28"/>
          <w:szCs w:val="28"/>
          <w:highlight w:val="none"/>
          <w:lang w:val="en-US" w:eastAsia="zh-CN"/>
        </w:rPr>
        <w:t>台风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highlight w:val="none"/>
          <w:lang w:val="en-US" w:eastAsia="zh-CN"/>
        </w:rPr>
      </w:pPr>
      <w:bookmarkStart w:id="78" w:name="_Toc27736"/>
      <w:r>
        <w:rPr>
          <w:rFonts w:hint="eastAsia" w:ascii="宋体" w:hAnsi="宋体" w:eastAsia="宋体" w:cs="宋体"/>
          <w:sz w:val="28"/>
          <w:szCs w:val="28"/>
          <w:highlight w:val="none"/>
          <w:lang w:val="en-US" w:eastAsia="zh-CN"/>
        </w:rPr>
        <w:t>台风季节                    从5月到11月</w:t>
      </w:r>
      <w:bookmarkEnd w:id="78"/>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79" w:name="_Toc7171"/>
      <w:r>
        <w:rPr>
          <w:rFonts w:hint="eastAsia" w:ascii="宋体" w:hAnsi="宋体" w:eastAsia="宋体" w:cs="宋体"/>
          <w:sz w:val="28"/>
          <w:szCs w:val="28"/>
          <w:highlight w:val="none"/>
          <w:lang w:val="en-US" w:eastAsia="zh-CN"/>
        </w:rPr>
        <w:t>每年台风月数：               2.4</w:t>
      </w:r>
      <w:bookmarkEnd w:id="79"/>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0" w:name="_Toc10308"/>
      <w:r>
        <w:rPr>
          <w:rFonts w:hint="eastAsia" w:ascii="宋体" w:hAnsi="宋体" w:eastAsia="宋体" w:cs="宋体"/>
          <w:sz w:val="28"/>
          <w:szCs w:val="28"/>
          <w:highlight w:val="none"/>
          <w:lang w:val="en-US" w:eastAsia="zh-CN"/>
        </w:rPr>
        <w:t>一年中台风最多次数：         6</w:t>
      </w:r>
      <w:bookmarkEnd w:id="8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1" w:name="_Toc6762"/>
      <w:r>
        <w:rPr>
          <w:rFonts w:hint="eastAsia" w:ascii="宋体" w:hAnsi="宋体" w:eastAsia="宋体" w:cs="宋体"/>
          <w:sz w:val="28"/>
          <w:szCs w:val="28"/>
          <w:highlight w:val="none"/>
          <w:lang w:val="en-US" w:eastAsia="zh-CN"/>
        </w:rPr>
        <w:t>一年中平均台风天数：         11 天</w:t>
      </w:r>
      <w:bookmarkEnd w:id="81"/>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2" w:name="_Toc1325"/>
      <w:r>
        <w:rPr>
          <w:rFonts w:hint="eastAsia" w:ascii="宋体" w:hAnsi="宋体" w:eastAsia="宋体" w:cs="宋体"/>
          <w:sz w:val="28"/>
          <w:szCs w:val="28"/>
          <w:highlight w:val="none"/>
          <w:lang w:val="en-US" w:eastAsia="zh-CN"/>
        </w:rPr>
        <w:t>一年</w:t>
      </w:r>
      <w:r>
        <w:rPr>
          <w:rFonts w:hint="eastAsia" w:ascii="宋体" w:hAnsi="宋体" w:eastAsia="宋体" w:cs="宋体"/>
          <w:sz w:val="28"/>
          <w:szCs w:val="28"/>
          <w:highlight w:val="none"/>
          <w:lang w:val="en-US" w:eastAsia="zh-CN"/>
        </w:rPr>
        <w:t>中最多台风天数：         26 天</w:t>
      </w:r>
      <w:bookmarkEnd w:id="82"/>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降雨量</w:t>
      </w:r>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3" w:name="_Toc12147"/>
      <w:r>
        <w:rPr>
          <w:rFonts w:hint="eastAsia" w:ascii="宋体" w:hAnsi="宋体" w:eastAsia="宋体" w:cs="宋体"/>
          <w:sz w:val="28"/>
          <w:szCs w:val="28"/>
          <w:highlight w:val="none"/>
          <w:lang w:val="en-US" w:eastAsia="zh-CN"/>
        </w:rPr>
        <w:t>年平均降雨量：             1663.8mm</w:t>
      </w:r>
      <w:bookmarkEnd w:id="83"/>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4" w:name="_Toc9828"/>
      <w:r>
        <w:rPr>
          <w:rFonts w:hint="eastAsia" w:ascii="宋体" w:hAnsi="宋体" w:eastAsia="宋体" w:cs="宋体"/>
          <w:sz w:val="28"/>
          <w:szCs w:val="28"/>
          <w:highlight w:val="none"/>
          <w:lang w:val="en-US" w:eastAsia="zh-CN"/>
        </w:rPr>
        <w:t>一小时最大降雨量：         89.4mm</w:t>
      </w:r>
      <w:bookmarkEnd w:id="84"/>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5" w:name="_Toc32757"/>
      <w:r>
        <w:rPr>
          <w:rFonts w:hint="eastAsia" w:ascii="宋体" w:hAnsi="宋体" w:eastAsia="宋体" w:cs="宋体"/>
          <w:sz w:val="28"/>
          <w:szCs w:val="28"/>
          <w:highlight w:val="none"/>
          <w:lang w:val="en-US" w:eastAsia="zh-CN"/>
        </w:rPr>
        <w:t>一天最大降雨量：           405.3mm</w:t>
      </w:r>
      <w:bookmarkEnd w:id="85"/>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6" w:name="_Toc6408"/>
      <w:r>
        <w:rPr>
          <w:rFonts w:hint="eastAsia" w:ascii="宋体" w:hAnsi="宋体" w:eastAsia="宋体" w:cs="宋体"/>
          <w:sz w:val="28"/>
          <w:szCs w:val="28"/>
          <w:highlight w:val="none"/>
          <w:lang w:val="en-US" w:eastAsia="zh-CN"/>
        </w:rPr>
        <w:t>一年最大降雨量：           2347.2mm</w:t>
      </w:r>
      <w:bookmarkEnd w:id="86"/>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7" w:name="_Toc31149"/>
      <w:r>
        <w:rPr>
          <w:rFonts w:hint="eastAsia" w:ascii="宋体" w:hAnsi="宋体" w:eastAsia="宋体" w:cs="宋体"/>
          <w:sz w:val="28"/>
          <w:szCs w:val="28"/>
          <w:highlight w:val="none"/>
          <w:lang w:val="en-US" w:eastAsia="zh-CN"/>
        </w:rPr>
        <w:t>一年最小降雨量：           720.8mm</w:t>
      </w:r>
      <w:bookmarkEnd w:id="87"/>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雷电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8" w:name="_Toc15503"/>
      <w:r>
        <w:rPr>
          <w:rFonts w:hint="eastAsia" w:ascii="宋体" w:hAnsi="宋体" w:eastAsia="宋体" w:cs="宋体"/>
          <w:sz w:val="28"/>
          <w:szCs w:val="28"/>
          <w:highlight w:val="none"/>
          <w:lang w:val="en-US" w:eastAsia="zh-CN"/>
        </w:rPr>
        <w:t>多年平均雷电天数：         84.1天</w:t>
      </w:r>
      <w:bookmarkEnd w:id="88"/>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89" w:name="_Toc19492"/>
      <w:r>
        <w:rPr>
          <w:rFonts w:hint="eastAsia" w:ascii="宋体" w:hAnsi="宋体" w:eastAsia="宋体" w:cs="宋体"/>
          <w:sz w:val="28"/>
          <w:szCs w:val="28"/>
          <w:highlight w:val="none"/>
          <w:lang w:val="en-US" w:eastAsia="zh-CN"/>
        </w:rPr>
        <w:t>一年最多雷电天数：         120天</w:t>
      </w:r>
      <w:bookmarkEnd w:id="89"/>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Cs w:val="28"/>
          <w:highlight w:val="none"/>
          <w:lang w:val="en-US" w:eastAsia="zh-CN"/>
        </w:rPr>
      </w:pPr>
      <w:bookmarkStart w:id="90" w:name="_Toc16552"/>
      <w:r>
        <w:rPr>
          <w:rFonts w:hint="eastAsia" w:ascii="宋体" w:hAnsi="宋体" w:eastAsia="宋体" w:cs="宋体"/>
          <w:sz w:val="28"/>
          <w:szCs w:val="28"/>
          <w:highlight w:val="none"/>
          <w:lang w:val="en-US" w:eastAsia="zh-CN"/>
        </w:rPr>
        <w:t>一年最少雷电天数：         55天</w:t>
      </w:r>
      <w:bookmarkEnd w:id="90"/>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气压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1" w:name="_Toc13704"/>
      <w:r>
        <w:rPr>
          <w:rFonts w:hint="eastAsia" w:ascii="宋体" w:hAnsi="宋体" w:eastAsia="宋体" w:cs="宋体"/>
          <w:sz w:val="28"/>
          <w:szCs w:val="28"/>
          <w:highlight w:val="none"/>
          <w:lang w:val="en-US" w:eastAsia="zh-CN"/>
        </w:rPr>
        <w:t>多年平均气压：             1010.7hpa</w:t>
      </w:r>
      <w:bookmarkEnd w:id="91"/>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2" w:name="_Toc27412"/>
      <w:r>
        <w:rPr>
          <w:rFonts w:hint="eastAsia" w:ascii="宋体" w:hAnsi="宋体" w:eastAsia="宋体" w:cs="宋体"/>
          <w:sz w:val="28"/>
          <w:szCs w:val="28"/>
          <w:highlight w:val="none"/>
          <w:lang w:val="en-US" w:eastAsia="zh-CN"/>
        </w:rPr>
        <w:t>最热月（七月）平均气压：   1003.0hpa</w:t>
      </w:r>
      <w:bookmarkEnd w:id="9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3" w:name="_Toc11164"/>
      <w:r>
        <w:rPr>
          <w:rFonts w:hint="eastAsia" w:ascii="宋体" w:hAnsi="宋体" w:eastAsia="宋体" w:cs="宋体"/>
          <w:sz w:val="28"/>
          <w:szCs w:val="28"/>
          <w:highlight w:val="none"/>
          <w:lang w:val="en-US" w:eastAsia="zh-CN"/>
        </w:rPr>
        <w:t>最冷月（一月）平均气压：   1018.3hpa</w:t>
      </w:r>
      <w:bookmarkEnd w:id="9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海拔：&lt; 1000米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降雪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4" w:name="_Toc11627"/>
      <w:r>
        <w:rPr>
          <w:rFonts w:hint="eastAsia" w:ascii="宋体" w:hAnsi="宋体" w:eastAsia="宋体" w:cs="宋体"/>
          <w:sz w:val="28"/>
          <w:szCs w:val="28"/>
          <w:highlight w:val="none"/>
          <w:lang w:val="en-US" w:eastAsia="zh-CN"/>
        </w:rPr>
        <w:t>无雪</w:t>
      </w:r>
      <w:bookmarkEnd w:id="94"/>
    </w:p>
    <w:p>
      <w:pPr>
        <w:keepLines w:val="0"/>
        <w:pageBreakBefore w:val="0"/>
        <w:widowControl w:val="0"/>
        <w:numPr>
          <w:ilvl w:val="0"/>
          <w:numId w:val="14"/>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地震</w:t>
      </w:r>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5" w:name="_Toc26868"/>
      <w:r>
        <w:rPr>
          <w:rFonts w:hint="eastAsia" w:ascii="宋体" w:hAnsi="宋体" w:eastAsia="宋体" w:cs="宋体"/>
          <w:sz w:val="28"/>
          <w:szCs w:val="28"/>
          <w:highlight w:val="none"/>
          <w:lang w:val="en-US" w:eastAsia="zh-CN"/>
        </w:rPr>
        <w:t>抗震设防：</w:t>
      </w:r>
      <w:bookmarkEnd w:id="95"/>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6" w:name="_Toc4587"/>
      <w:r>
        <w:rPr>
          <w:rFonts w:hint="eastAsia" w:ascii="宋体" w:hAnsi="宋体" w:eastAsia="宋体" w:cs="宋体"/>
          <w:sz w:val="28"/>
          <w:szCs w:val="28"/>
          <w:highlight w:val="none"/>
          <w:lang w:val="en-US" w:eastAsia="zh-CN"/>
        </w:rPr>
        <w:t>抗震设防烈度为7度，第二组基本地震加速度值为0.15g。</w:t>
      </w:r>
      <w:bookmarkEnd w:id="96"/>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7" w:name="_Toc26883"/>
      <w:r>
        <w:rPr>
          <w:rFonts w:hint="eastAsia" w:ascii="宋体" w:hAnsi="宋体" w:eastAsia="宋体" w:cs="宋体"/>
          <w:sz w:val="28"/>
          <w:szCs w:val="28"/>
          <w:highlight w:val="none"/>
          <w:lang w:val="en-US" w:eastAsia="zh-CN"/>
        </w:rPr>
        <w:t>场地类别：Ⅱ类。</w:t>
      </w:r>
      <w:bookmarkEnd w:id="97"/>
    </w:p>
    <w:p>
      <w:pPr>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98" w:name="_Toc32695"/>
      <w:r>
        <w:rPr>
          <w:rFonts w:hint="eastAsia" w:ascii="宋体" w:hAnsi="宋体" w:eastAsia="宋体" w:cs="宋体"/>
          <w:sz w:val="28"/>
          <w:szCs w:val="28"/>
          <w:highlight w:val="none"/>
          <w:lang w:val="en-US" w:eastAsia="zh-CN"/>
        </w:rPr>
        <w:t>地震液</w:t>
      </w:r>
      <w:r>
        <w:rPr>
          <w:rFonts w:hint="eastAsia" w:ascii="宋体" w:hAnsi="宋体" w:eastAsia="宋体" w:cs="宋体"/>
          <w:sz w:val="28"/>
          <w:szCs w:val="28"/>
          <w:highlight w:val="none"/>
          <w:lang w:val="en-US" w:eastAsia="zh-CN"/>
        </w:rPr>
        <w:t>化：不具备液化可能。</w:t>
      </w:r>
      <w:bookmarkEnd w:id="98"/>
    </w:p>
    <w:p>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工程条件</w:t>
      </w:r>
    </w:p>
    <w:p>
      <w:pPr>
        <w:pStyle w:val="193"/>
        <w:keepNext/>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安装地点：中海壳牌惠州三期乙烯项目施工现场。</w:t>
      </w:r>
    </w:p>
    <w:bookmarkEnd w:id="76"/>
    <w:bookmarkEnd w:id="77"/>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eastAsia"/>
          <w:highlight w:val="none"/>
          <w:lang w:val="en-US" w:eastAsia="zh-CN"/>
        </w:rPr>
      </w:pPr>
      <w:bookmarkStart w:id="99" w:name="_Toc24726"/>
      <w:bookmarkStart w:id="100" w:name="_Toc21344"/>
      <w:bookmarkStart w:id="101" w:name="标准规范"/>
      <w:r>
        <w:rPr>
          <w:rFonts w:hint="eastAsia" w:ascii="黑体" w:hAnsi="黑体" w:eastAsia="黑体" w:cs="黑体"/>
          <w:highlight w:val="none"/>
          <w:lang w:val="en-US" w:eastAsia="zh-CN"/>
        </w:rPr>
        <w:t>标准规范</w:t>
      </w:r>
      <w:bookmarkEnd w:id="99"/>
      <w:bookmarkEnd w:id="100"/>
      <w:bookmarkEnd w:id="101"/>
    </w:p>
    <w:bookmarkEnd w:id="45"/>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本技术要求和规定应符合下列现行标准，当下列规定和标准之间不一致或与卖方的执行标准不一致时，应按较高标准执行。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1、《铝合金电缆桥架技术规程》CECS</w:t>
      </w:r>
      <w:r>
        <w:rPr>
          <w:rFonts w:hint="default"/>
          <w:sz w:val="28"/>
          <w:szCs w:val="28"/>
          <w:highlight w:val="none"/>
          <w:lang w:val="en-US" w:eastAsia="zh-CN"/>
        </w:rPr>
        <w:t xml:space="preserve"> </w:t>
      </w:r>
      <w:r>
        <w:rPr>
          <w:rFonts w:hint="eastAsia"/>
          <w:sz w:val="28"/>
          <w:szCs w:val="28"/>
          <w:highlight w:val="none"/>
          <w:lang w:val="en-US" w:eastAsia="zh-CN"/>
        </w:rPr>
        <w:t>106-2000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2、《钢制电缆桥架工程技术规程》T/CECS</w:t>
      </w:r>
      <w:r>
        <w:rPr>
          <w:rFonts w:hint="default"/>
          <w:sz w:val="28"/>
          <w:szCs w:val="28"/>
          <w:highlight w:val="none"/>
          <w:lang w:val="en-US" w:eastAsia="zh-CN"/>
        </w:rPr>
        <w:t xml:space="preserve"> </w:t>
      </w:r>
      <w:r>
        <w:rPr>
          <w:rFonts w:hint="eastAsia"/>
          <w:sz w:val="28"/>
          <w:szCs w:val="28"/>
          <w:highlight w:val="none"/>
          <w:lang w:val="en-US" w:eastAsia="zh-CN"/>
        </w:rPr>
        <w:t>31-20</w:t>
      </w:r>
      <w:r>
        <w:rPr>
          <w:rFonts w:hint="default"/>
          <w:sz w:val="28"/>
          <w:szCs w:val="28"/>
          <w:highlight w:val="none"/>
          <w:lang w:val="en-US" w:eastAsia="zh-CN"/>
        </w:rPr>
        <w:t>17</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3、《电控配电用电缆桥架》JB/T</w:t>
      </w:r>
      <w:r>
        <w:rPr>
          <w:rFonts w:hint="default"/>
          <w:sz w:val="28"/>
          <w:szCs w:val="28"/>
          <w:highlight w:val="none"/>
          <w:lang w:val="en-US" w:eastAsia="zh-CN"/>
        </w:rPr>
        <w:t xml:space="preserve"> </w:t>
      </w:r>
      <w:r>
        <w:rPr>
          <w:rFonts w:hint="eastAsia"/>
          <w:sz w:val="28"/>
          <w:szCs w:val="28"/>
          <w:highlight w:val="none"/>
          <w:lang w:val="en-US" w:eastAsia="zh-CN"/>
        </w:rPr>
        <w:t>10216-2013</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4、《一般工业用铝及铝合金挤压型材》GB</w:t>
      </w:r>
      <w:r>
        <w:rPr>
          <w:rFonts w:hint="default"/>
          <w:sz w:val="28"/>
          <w:szCs w:val="28"/>
          <w:highlight w:val="none"/>
          <w:lang w:val="en-US" w:eastAsia="zh-CN"/>
        </w:rPr>
        <w:t>/</w:t>
      </w:r>
      <w:r>
        <w:rPr>
          <w:rFonts w:hint="eastAsia"/>
          <w:sz w:val="28"/>
          <w:szCs w:val="28"/>
          <w:highlight w:val="none"/>
          <w:lang w:val="en-US" w:eastAsia="zh-CN"/>
        </w:rPr>
        <w:t>T</w:t>
      </w:r>
      <w:r>
        <w:rPr>
          <w:rFonts w:hint="default"/>
          <w:sz w:val="28"/>
          <w:szCs w:val="28"/>
          <w:highlight w:val="none"/>
          <w:lang w:val="en-US" w:eastAsia="zh-CN"/>
        </w:rPr>
        <w:t xml:space="preserve"> </w:t>
      </w:r>
      <w:r>
        <w:rPr>
          <w:rFonts w:hint="eastAsia"/>
          <w:sz w:val="28"/>
          <w:szCs w:val="28"/>
          <w:highlight w:val="none"/>
          <w:lang w:val="en-US" w:eastAsia="zh-CN"/>
        </w:rPr>
        <w:t>6892-20</w:t>
      </w:r>
      <w:r>
        <w:rPr>
          <w:rFonts w:hint="default"/>
          <w:sz w:val="28"/>
          <w:szCs w:val="28"/>
          <w:highlight w:val="none"/>
          <w:lang w:val="en-US" w:eastAsia="zh-CN"/>
        </w:rPr>
        <w:t>23</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5、《一般工业用铝及铝合金板、带材 第1部分：一般要求》GB</w:t>
      </w:r>
      <w:r>
        <w:rPr>
          <w:rFonts w:hint="default"/>
          <w:sz w:val="28"/>
          <w:szCs w:val="28"/>
          <w:highlight w:val="none"/>
          <w:lang w:val="en-US" w:eastAsia="zh-CN"/>
        </w:rPr>
        <w:t>/</w:t>
      </w:r>
      <w:r>
        <w:rPr>
          <w:rFonts w:hint="eastAsia"/>
          <w:sz w:val="28"/>
          <w:szCs w:val="28"/>
          <w:highlight w:val="none"/>
          <w:lang w:val="en-US" w:eastAsia="zh-CN"/>
        </w:rPr>
        <w:t>T</w:t>
      </w:r>
      <w:r>
        <w:rPr>
          <w:rFonts w:hint="default"/>
          <w:sz w:val="28"/>
          <w:szCs w:val="28"/>
          <w:highlight w:val="none"/>
          <w:lang w:val="en-US" w:eastAsia="zh-CN"/>
        </w:rPr>
        <w:t xml:space="preserve"> 3880.1-2023</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6、《铝合金建筑型材 第1部分：基材》GB/T</w:t>
      </w:r>
      <w:r>
        <w:rPr>
          <w:rFonts w:hint="default"/>
          <w:sz w:val="28"/>
          <w:szCs w:val="28"/>
          <w:highlight w:val="none"/>
          <w:lang w:val="en-US" w:eastAsia="zh-CN"/>
        </w:rPr>
        <w:t xml:space="preserve"> </w:t>
      </w:r>
      <w:r>
        <w:rPr>
          <w:rFonts w:hint="eastAsia"/>
          <w:sz w:val="28"/>
          <w:szCs w:val="28"/>
          <w:highlight w:val="none"/>
          <w:lang w:val="en-US" w:eastAsia="zh-CN"/>
        </w:rPr>
        <w:t>5237</w:t>
      </w:r>
      <w:r>
        <w:rPr>
          <w:rFonts w:hint="default"/>
          <w:sz w:val="28"/>
          <w:szCs w:val="28"/>
          <w:highlight w:val="none"/>
          <w:lang w:val="en-US" w:eastAsia="zh-CN"/>
        </w:rPr>
        <w:t>.1</w:t>
      </w:r>
      <w:r>
        <w:rPr>
          <w:rFonts w:hint="eastAsia"/>
          <w:sz w:val="28"/>
          <w:szCs w:val="28"/>
          <w:highlight w:val="none"/>
          <w:lang w:val="en-US" w:eastAsia="zh-CN"/>
        </w:rPr>
        <w:t>-20</w:t>
      </w:r>
      <w:r>
        <w:rPr>
          <w:rFonts w:hint="default"/>
          <w:sz w:val="28"/>
          <w:szCs w:val="28"/>
          <w:highlight w:val="none"/>
          <w:lang w:val="en-US" w:eastAsia="zh-CN"/>
        </w:rPr>
        <w:t>17</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default"/>
          <w:sz w:val="28"/>
          <w:szCs w:val="28"/>
          <w:highlight w:val="none"/>
          <w:lang w:val="en-US" w:eastAsia="zh-CN"/>
        </w:rPr>
        <w:t>7</w:t>
      </w:r>
      <w:r>
        <w:rPr>
          <w:rFonts w:hint="eastAsia"/>
          <w:sz w:val="28"/>
          <w:szCs w:val="28"/>
          <w:highlight w:val="none"/>
          <w:lang w:val="en-US" w:eastAsia="zh-CN"/>
        </w:rPr>
        <w:t>、《铝合金建筑型材 第</w:t>
      </w:r>
      <w:r>
        <w:rPr>
          <w:rFonts w:hint="default"/>
          <w:sz w:val="28"/>
          <w:szCs w:val="28"/>
          <w:highlight w:val="none"/>
          <w:lang w:val="en-US" w:eastAsia="zh-CN"/>
        </w:rPr>
        <w:t>2</w:t>
      </w:r>
      <w:r>
        <w:rPr>
          <w:rFonts w:hint="eastAsia"/>
          <w:sz w:val="28"/>
          <w:szCs w:val="28"/>
          <w:highlight w:val="none"/>
          <w:lang w:val="en-US" w:eastAsia="zh-CN"/>
        </w:rPr>
        <w:t>部分：阳极氧化型材》GB/T</w:t>
      </w:r>
      <w:r>
        <w:rPr>
          <w:rFonts w:hint="default"/>
          <w:sz w:val="28"/>
          <w:szCs w:val="28"/>
          <w:highlight w:val="none"/>
          <w:lang w:val="en-US" w:eastAsia="zh-CN"/>
        </w:rPr>
        <w:t xml:space="preserve"> </w:t>
      </w:r>
      <w:r>
        <w:rPr>
          <w:rFonts w:hint="eastAsia"/>
          <w:sz w:val="28"/>
          <w:szCs w:val="28"/>
          <w:highlight w:val="none"/>
          <w:lang w:val="en-US" w:eastAsia="zh-CN"/>
        </w:rPr>
        <w:t>5237</w:t>
      </w:r>
      <w:r>
        <w:rPr>
          <w:rFonts w:hint="default"/>
          <w:sz w:val="28"/>
          <w:szCs w:val="28"/>
          <w:highlight w:val="none"/>
          <w:lang w:val="en-US" w:eastAsia="zh-CN"/>
        </w:rPr>
        <w:t>.2</w:t>
      </w:r>
      <w:r>
        <w:rPr>
          <w:rFonts w:hint="eastAsia"/>
          <w:sz w:val="28"/>
          <w:szCs w:val="28"/>
          <w:highlight w:val="none"/>
          <w:lang w:val="en-US" w:eastAsia="zh-CN"/>
        </w:rPr>
        <w:t>-20</w:t>
      </w:r>
      <w:r>
        <w:rPr>
          <w:rFonts w:hint="default"/>
          <w:sz w:val="28"/>
          <w:szCs w:val="28"/>
          <w:highlight w:val="none"/>
          <w:lang w:val="en-US" w:eastAsia="zh-CN"/>
        </w:rPr>
        <w:t>17</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default"/>
          <w:sz w:val="28"/>
          <w:szCs w:val="28"/>
          <w:highlight w:val="none"/>
          <w:lang w:val="en-US" w:eastAsia="zh-CN"/>
        </w:rPr>
        <w:t>8</w:t>
      </w:r>
      <w:r>
        <w:rPr>
          <w:rFonts w:hint="eastAsia"/>
          <w:sz w:val="28"/>
          <w:szCs w:val="28"/>
          <w:highlight w:val="none"/>
          <w:lang w:val="en-US" w:eastAsia="zh-CN"/>
        </w:rPr>
        <w:t>、《铝及铝合金阳极氧化</w:t>
      </w:r>
      <w:r>
        <w:rPr>
          <w:rFonts w:hint="default"/>
          <w:sz w:val="28"/>
          <w:szCs w:val="28"/>
          <w:highlight w:val="none"/>
          <w:lang w:val="en-US" w:eastAsia="zh-CN"/>
        </w:rPr>
        <w:t>氧化膜厚度的测量</w:t>
      </w:r>
      <w:r>
        <w:rPr>
          <w:rFonts w:hint="eastAsia"/>
          <w:sz w:val="28"/>
          <w:szCs w:val="28"/>
          <w:highlight w:val="none"/>
          <w:lang w:val="en-US" w:eastAsia="zh-CN"/>
        </w:rPr>
        <w:t>方法》GB</w:t>
      </w:r>
      <w:r>
        <w:rPr>
          <w:rFonts w:hint="default"/>
          <w:sz w:val="28"/>
          <w:szCs w:val="28"/>
          <w:highlight w:val="none"/>
          <w:lang w:val="en-US" w:eastAsia="zh-CN"/>
        </w:rPr>
        <w:t xml:space="preserve"> </w:t>
      </w:r>
      <w:r>
        <w:rPr>
          <w:rFonts w:hint="eastAsia"/>
          <w:sz w:val="28"/>
          <w:szCs w:val="28"/>
          <w:highlight w:val="none"/>
          <w:lang w:val="en-US" w:eastAsia="zh-CN"/>
        </w:rPr>
        <w:t>8014-2005</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9、《一般公差 未注公差的线性和角度尺寸的公差》GB/T</w:t>
      </w:r>
      <w:r>
        <w:rPr>
          <w:rFonts w:hint="default"/>
          <w:sz w:val="28"/>
          <w:szCs w:val="28"/>
          <w:highlight w:val="none"/>
          <w:lang w:val="en-US" w:eastAsia="zh-CN"/>
        </w:rPr>
        <w:t xml:space="preserve"> </w:t>
      </w:r>
      <w:r>
        <w:rPr>
          <w:rFonts w:hint="eastAsia"/>
          <w:sz w:val="28"/>
          <w:szCs w:val="28"/>
          <w:highlight w:val="none"/>
          <w:lang w:val="en-US" w:eastAsia="zh-CN"/>
        </w:rPr>
        <w:t>1804-2000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10、《铝及铝合金焊丝》GB/T</w:t>
      </w:r>
      <w:r>
        <w:rPr>
          <w:rFonts w:hint="default"/>
          <w:sz w:val="28"/>
          <w:szCs w:val="28"/>
          <w:highlight w:val="none"/>
          <w:lang w:val="en-US" w:eastAsia="zh-CN"/>
        </w:rPr>
        <w:t xml:space="preserve"> </w:t>
      </w:r>
      <w:r>
        <w:rPr>
          <w:rFonts w:hint="eastAsia"/>
          <w:sz w:val="28"/>
          <w:szCs w:val="28"/>
          <w:highlight w:val="none"/>
          <w:lang w:val="en-US" w:eastAsia="zh-CN"/>
        </w:rPr>
        <w:t>10858-20</w:t>
      </w:r>
      <w:r>
        <w:rPr>
          <w:rFonts w:hint="default"/>
          <w:sz w:val="28"/>
          <w:szCs w:val="28"/>
          <w:highlight w:val="none"/>
          <w:lang w:val="en-US" w:eastAsia="zh-CN"/>
        </w:rPr>
        <w:t>23</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11、《铝及铝合金加工产品包装、标志、运输、贮存》GB</w:t>
      </w:r>
      <w:r>
        <w:rPr>
          <w:rFonts w:hint="default"/>
          <w:sz w:val="28"/>
          <w:szCs w:val="28"/>
          <w:highlight w:val="none"/>
          <w:lang w:val="en-US" w:eastAsia="zh-CN"/>
        </w:rPr>
        <w:t>/</w:t>
      </w:r>
      <w:r>
        <w:rPr>
          <w:rFonts w:hint="eastAsia"/>
          <w:sz w:val="28"/>
          <w:szCs w:val="28"/>
          <w:highlight w:val="none"/>
          <w:lang w:val="en-US" w:eastAsia="zh-CN"/>
        </w:rPr>
        <w:t>T</w:t>
      </w:r>
      <w:r>
        <w:rPr>
          <w:rFonts w:hint="default"/>
          <w:sz w:val="28"/>
          <w:szCs w:val="28"/>
          <w:highlight w:val="none"/>
          <w:lang w:val="en-US" w:eastAsia="zh-CN"/>
        </w:rPr>
        <w:t xml:space="preserve"> </w:t>
      </w:r>
      <w:r>
        <w:rPr>
          <w:rFonts w:hint="eastAsia"/>
          <w:sz w:val="28"/>
          <w:szCs w:val="28"/>
          <w:highlight w:val="none"/>
          <w:lang w:val="en-US" w:eastAsia="zh-CN"/>
        </w:rPr>
        <w:t>3199-2007</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12、《抽芯铆钉技术条件》GB</w:t>
      </w:r>
      <w:r>
        <w:rPr>
          <w:rFonts w:hint="default"/>
          <w:sz w:val="28"/>
          <w:szCs w:val="28"/>
          <w:highlight w:val="none"/>
          <w:lang w:val="en-US" w:eastAsia="zh-CN"/>
        </w:rPr>
        <w:t>/</w:t>
      </w:r>
      <w:r>
        <w:rPr>
          <w:rFonts w:hint="eastAsia"/>
          <w:sz w:val="28"/>
          <w:szCs w:val="28"/>
          <w:highlight w:val="none"/>
          <w:lang w:val="en-US" w:eastAsia="zh-CN"/>
        </w:rPr>
        <w:t>T</w:t>
      </w:r>
      <w:r>
        <w:rPr>
          <w:rFonts w:hint="default"/>
          <w:sz w:val="28"/>
          <w:szCs w:val="28"/>
          <w:highlight w:val="none"/>
          <w:lang w:val="en-US" w:eastAsia="zh-CN"/>
        </w:rPr>
        <w:t xml:space="preserve"> </w:t>
      </w:r>
      <w:r>
        <w:rPr>
          <w:rFonts w:hint="eastAsia"/>
          <w:sz w:val="28"/>
          <w:szCs w:val="28"/>
          <w:highlight w:val="none"/>
          <w:lang w:val="en-US" w:eastAsia="zh-CN"/>
        </w:rPr>
        <w:t>12615-1261</w:t>
      </w:r>
      <w:r>
        <w:rPr>
          <w:rFonts w:hint="default"/>
          <w:sz w:val="28"/>
          <w:szCs w:val="28"/>
          <w:highlight w:val="none"/>
          <w:lang w:val="en-US" w:eastAsia="zh-CN"/>
        </w:rPr>
        <w:t>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13、《电气装置安装工程电缆线路施工及验收标准》</w:t>
      </w:r>
      <w:r>
        <w:rPr>
          <w:rFonts w:hint="default"/>
          <w:sz w:val="28"/>
          <w:szCs w:val="28"/>
          <w:highlight w:val="none"/>
          <w:lang w:val="en-US" w:eastAsia="zh-CN"/>
        </w:rPr>
        <w:t xml:space="preserve"> GB 50168-2018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14、《一般工业用铝及铝合金板、带材 第3部分：尺寸偏差》</w:t>
      </w:r>
      <w:r>
        <w:rPr>
          <w:rFonts w:hint="default"/>
          <w:sz w:val="28"/>
          <w:szCs w:val="28"/>
          <w:highlight w:val="none"/>
          <w:lang w:val="en-US" w:eastAsia="zh-CN"/>
        </w:rPr>
        <w:t xml:space="preserve"> GB</w:t>
      </w:r>
      <w:r>
        <w:rPr>
          <w:rFonts w:hint="eastAsia"/>
          <w:sz w:val="28"/>
          <w:szCs w:val="28"/>
          <w:highlight w:val="none"/>
          <w:lang w:val="en-US" w:eastAsia="zh-CN"/>
        </w:rPr>
        <w:t>/T</w:t>
      </w:r>
      <w:r>
        <w:rPr>
          <w:rFonts w:hint="default"/>
          <w:sz w:val="28"/>
          <w:szCs w:val="28"/>
          <w:highlight w:val="none"/>
          <w:lang w:val="en-US" w:eastAsia="zh-CN"/>
        </w:rPr>
        <w:t xml:space="preserve"> </w:t>
      </w:r>
      <w:r>
        <w:rPr>
          <w:rFonts w:hint="eastAsia"/>
          <w:sz w:val="28"/>
          <w:szCs w:val="28"/>
          <w:highlight w:val="none"/>
          <w:lang w:val="en-US" w:eastAsia="zh-CN"/>
        </w:rPr>
        <w:t>3880.3-20</w:t>
      </w:r>
      <w:r>
        <w:rPr>
          <w:rFonts w:hint="default"/>
          <w:sz w:val="28"/>
          <w:szCs w:val="28"/>
          <w:highlight w:val="none"/>
          <w:lang w:val="en-US" w:eastAsia="zh-CN"/>
        </w:rPr>
        <w:t>24</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default"/>
          <w:sz w:val="28"/>
          <w:szCs w:val="28"/>
          <w:highlight w:val="none"/>
          <w:lang w:val="en-US" w:eastAsia="zh-CN"/>
        </w:rPr>
        <w:t>15</w:t>
      </w:r>
      <w:r>
        <w:rPr>
          <w:rFonts w:hint="eastAsia"/>
          <w:sz w:val="28"/>
          <w:szCs w:val="28"/>
          <w:highlight w:val="none"/>
          <w:lang w:val="en-US" w:eastAsia="zh-CN"/>
        </w:rPr>
        <w:t>、《铝合金电缆桥架》 NB/T</w:t>
      </w:r>
      <w:r>
        <w:rPr>
          <w:rFonts w:hint="default"/>
          <w:sz w:val="28"/>
          <w:szCs w:val="28"/>
          <w:highlight w:val="none"/>
          <w:lang w:val="en-US" w:eastAsia="zh-CN"/>
        </w:rPr>
        <w:t xml:space="preserve"> 10292-2019</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default"/>
          <w:sz w:val="28"/>
          <w:szCs w:val="28"/>
          <w:highlight w:val="none"/>
          <w:lang w:val="en-US" w:eastAsia="zh-CN"/>
        </w:rPr>
        <w:t>16</w:t>
      </w:r>
      <w:r>
        <w:rPr>
          <w:rFonts w:hint="eastAsia"/>
          <w:sz w:val="28"/>
          <w:szCs w:val="28"/>
          <w:highlight w:val="none"/>
          <w:lang w:val="en-US" w:eastAsia="zh-CN"/>
        </w:rPr>
        <w:t>、《变形铝及铝合金化学成分》GB/</w:t>
      </w:r>
      <w:r>
        <w:rPr>
          <w:rFonts w:hint="default"/>
          <w:sz w:val="28"/>
          <w:szCs w:val="28"/>
          <w:highlight w:val="none"/>
          <w:lang w:val="en-US" w:eastAsia="zh-CN"/>
        </w:rPr>
        <w:t>T 3190-2020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default"/>
          <w:sz w:val="28"/>
          <w:szCs w:val="28"/>
          <w:highlight w:val="none"/>
          <w:lang w:val="en-US" w:eastAsia="zh-CN"/>
        </w:rPr>
        <w:t>17</w:t>
      </w:r>
      <w:r>
        <w:rPr>
          <w:rFonts w:hint="eastAsia"/>
          <w:sz w:val="28"/>
          <w:szCs w:val="28"/>
          <w:highlight w:val="none"/>
          <w:lang w:val="en-US" w:eastAsia="zh-CN"/>
        </w:rPr>
        <w:t>、《一般工业用铝及铝合金板、带材 第2部分:力学性能》</w:t>
      </w:r>
      <w:r>
        <w:rPr>
          <w:rFonts w:hint="default"/>
          <w:sz w:val="28"/>
          <w:szCs w:val="28"/>
          <w:highlight w:val="none"/>
          <w:lang w:val="en-US" w:eastAsia="zh-CN"/>
        </w:rPr>
        <w:t>GB</w:t>
      </w:r>
      <w:r>
        <w:rPr>
          <w:rFonts w:hint="eastAsia"/>
          <w:sz w:val="28"/>
          <w:szCs w:val="28"/>
          <w:highlight w:val="none"/>
          <w:lang w:val="en-US" w:eastAsia="zh-CN"/>
        </w:rPr>
        <w:t>/T</w:t>
      </w:r>
      <w:r>
        <w:rPr>
          <w:rFonts w:hint="default"/>
          <w:sz w:val="28"/>
          <w:szCs w:val="28"/>
          <w:highlight w:val="none"/>
          <w:lang w:val="en-US" w:eastAsia="zh-CN"/>
        </w:rPr>
        <w:t xml:space="preserve"> </w:t>
      </w:r>
      <w:r>
        <w:rPr>
          <w:rFonts w:hint="eastAsia"/>
          <w:sz w:val="28"/>
          <w:szCs w:val="28"/>
          <w:highlight w:val="none"/>
          <w:lang w:val="en-US" w:eastAsia="zh-CN"/>
        </w:rPr>
        <w:t>3880.</w:t>
      </w:r>
      <w:r>
        <w:rPr>
          <w:rFonts w:hint="default"/>
          <w:sz w:val="28"/>
          <w:szCs w:val="28"/>
          <w:highlight w:val="none"/>
          <w:lang w:val="en-US" w:eastAsia="zh-CN"/>
        </w:rPr>
        <w:t>2</w:t>
      </w:r>
      <w:r>
        <w:rPr>
          <w:rFonts w:hint="eastAsia"/>
          <w:sz w:val="28"/>
          <w:szCs w:val="28"/>
          <w:highlight w:val="none"/>
          <w:lang w:val="en-US" w:eastAsia="zh-CN"/>
        </w:rPr>
        <w:t>-20</w:t>
      </w:r>
      <w:r>
        <w:rPr>
          <w:rFonts w:hint="default"/>
          <w:sz w:val="28"/>
          <w:szCs w:val="28"/>
          <w:highlight w:val="none"/>
          <w:lang w:val="en-US" w:eastAsia="zh-CN"/>
        </w:rPr>
        <w:t>24</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default"/>
          <w:sz w:val="28"/>
          <w:szCs w:val="28"/>
          <w:highlight w:val="none"/>
          <w:lang w:val="en-US" w:eastAsia="zh-CN"/>
        </w:rPr>
        <w:t>18</w:t>
      </w:r>
      <w:r>
        <w:rPr>
          <w:rFonts w:hint="eastAsia"/>
          <w:sz w:val="28"/>
          <w:szCs w:val="28"/>
          <w:highlight w:val="none"/>
          <w:lang w:val="en-US" w:eastAsia="zh-CN"/>
        </w:rPr>
        <w:t>、《电力电缆导体用压接型铜、铝接线端子和连接管》GB/T</w:t>
      </w:r>
      <w:r>
        <w:rPr>
          <w:rFonts w:hint="default"/>
          <w:sz w:val="28"/>
          <w:szCs w:val="28"/>
          <w:highlight w:val="none"/>
          <w:lang w:val="en-US" w:eastAsia="zh-CN"/>
        </w:rPr>
        <w:t xml:space="preserve"> 14315-2008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19、</w:t>
      </w:r>
      <w:r>
        <w:rPr>
          <w:rFonts w:hint="default"/>
          <w:sz w:val="28"/>
          <w:szCs w:val="28"/>
          <w:highlight w:val="none"/>
          <w:lang w:val="en-US" w:eastAsia="zh-CN"/>
        </w:rPr>
        <w:t xml:space="preserve"> 《建筑材料及制品燃烧性能分级》 GB8624-2012</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20、</w:t>
      </w:r>
      <w:r>
        <w:rPr>
          <w:rFonts w:hint="default"/>
          <w:sz w:val="28"/>
          <w:szCs w:val="28"/>
          <w:highlight w:val="none"/>
          <w:lang w:val="en-US" w:eastAsia="zh-CN"/>
        </w:rPr>
        <w:t xml:space="preserve"> 《铝合金建筑型材》 GB/T 5237-2017</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21、</w:t>
      </w:r>
      <w:r>
        <w:rPr>
          <w:rFonts w:hint="default"/>
          <w:sz w:val="28"/>
          <w:szCs w:val="28"/>
          <w:highlight w:val="none"/>
          <w:lang w:val="en-US" w:eastAsia="zh-CN"/>
        </w:rPr>
        <w:t xml:space="preserve"> 《钢结构工程施工质量验收规范》GB50205-2020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22、</w:t>
      </w:r>
      <w:r>
        <w:rPr>
          <w:rFonts w:hint="default"/>
          <w:sz w:val="28"/>
          <w:szCs w:val="28"/>
          <w:highlight w:val="none"/>
          <w:lang w:val="en-US" w:eastAsia="zh-CN"/>
        </w:rPr>
        <w:t xml:space="preserve">《电气装置安装工程 电气设备交接试验标准》 GB50150-2016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23、</w:t>
      </w:r>
      <w:r>
        <w:rPr>
          <w:rFonts w:hint="default"/>
          <w:sz w:val="28"/>
          <w:szCs w:val="28"/>
          <w:highlight w:val="none"/>
          <w:lang w:val="en-US" w:eastAsia="zh-CN"/>
        </w:rPr>
        <w:t xml:space="preserve"> 《电气装置安装工程 电缆线路施工及验收规范》 GB50168-2018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24、</w:t>
      </w:r>
      <w:r>
        <w:rPr>
          <w:rFonts w:hint="default"/>
          <w:sz w:val="28"/>
          <w:szCs w:val="28"/>
          <w:highlight w:val="none"/>
          <w:lang w:val="en-US" w:eastAsia="zh-CN"/>
        </w:rPr>
        <w:t xml:space="preserve">《电气装置安装工程 接地装置施工及验收规范》 GB50169-2016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25、</w:t>
      </w:r>
      <w:r>
        <w:rPr>
          <w:rFonts w:hint="default"/>
          <w:sz w:val="28"/>
          <w:szCs w:val="28"/>
          <w:highlight w:val="none"/>
          <w:lang w:val="en-US" w:eastAsia="zh-CN"/>
        </w:rPr>
        <w:t xml:space="preserve"> 《包装储运图示标志》 GB191-2008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26、</w:t>
      </w:r>
      <w:r>
        <w:rPr>
          <w:rFonts w:hint="default"/>
          <w:sz w:val="28"/>
          <w:szCs w:val="28"/>
          <w:highlight w:val="none"/>
          <w:lang w:val="en-US" w:eastAsia="zh-CN"/>
        </w:rPr>
        <w:t xml:space="preserve">《六角头螺栓 C 级》 GB/T5780-2016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27、</w:t>
      </w:r>
      <w:r>
        <w:rPr>
          <w:rFonts w:hint="default"/>
          <w:sz w:val="28"/>
          <w:szCs w:val="28"/>
          <w:highlight w:val="none"/>
          <w:lang w:val="en-US" w:eastAsia="zh-CN"/>
        </w:rPr>
        <w:t xml:space="preserve"> 《I 型六角螺母》 GB/T6170-2015</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28、</w:t>
      </w:r>
      <w:r>
        <w:rPr>
          <w:rFonts w:hint="default"/>
          <w:sz w:val="28"/>
          <w:szCs w:val="28"/>
          <w:highlight w:val="none"/>
          <w:lang w:val="en-US" w:eastAsia="zh-CN"/>
        </w:rPr>
        <w:t xml:space="preserve">《平垫圈 A 级》 GB/T97.1-2002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29、</w:t>
      </w:r>
      <w:r>
        <w:rPr>
          <w:rFonts w:hint="default"/>
          <w:sz w:val="28"/>
          <w:szCs w:val="28"/>
          <w:highlight w:val="none"/>
          <w:lang w:val="en-US" w:eastAsia="zh-CN"/>
        </w:rPr>
        <w:t xml:space="preserve">《标准型弹簧垫圈》 GB/T93-1987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30、</w:t>
      </w:r>
      <w:r>
        <w:rPr>
          <w:rFonts w:hint="default"/>
          <w:sz w:val="28"/>
          <w:szCs w:val="28"/>
          <w:highlight w:val="none"/>
          <w:lang w:val="en-US" w:eastAsia="zh-CN"/>
        </w:rPr>
        <w:t xml:space="preserve">《圆头方颈螺栓》GB/T12-2013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31、</w:t>
      </w:r>
      <w:r>
        <w:rPr>
          <w:rFonts w:hint="default"/>
          <w:sz w:val="28"/>
          <w:szCs w:val="28"/>
          <w:highlight w:val="none"/>
          <w:lang w:val="en-US" w:eastAsia="zh-CN"/>
        </w:rPr>
        <w:t xml:space="preserve"> 《机电产品包装通用技术条件》GB/T13384-2008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32、</w:t>
      </w:r>
      <w:r>
        <w:rPr>
          <w:rFonts w:hint="default"/>
          <w:sz w:val="28"/>
          <w:szCs w:val="28"/>
          <w:highlight w:val="none"/>
          <w:lang w:val="en-US" w:eastAsia="zh-CN"/>
        </w:rPr>
        <w:t xml:space="preserve">《电工电子产品环境试验 第 2 部分：试验方法 试验 Db 交变湿热》 GB/T2423.4-2008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33、</w:t>
      </w:r>
      <w:r>
        <w:rPr>
          <w:rFonts w:hint="default"/>
          <w:sz w:val="28"/>
          <w:szCs w:val="28"/>
          <w:highlight w:val="none"/>
          <w:lang w:val="en-US" w:eastAsia="zh-CN"/>
        </w:rPr>
        <w:t xml:space="preserve"> 《电工电子产品环境试验 第 2 部分：试验方法 试验 Ka 盐雾》GB/T2423.17-2008</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34、</w:t>
      </w:r>
      <w:r>
        <w:rPr>
          <w:rFonts w:hint="default"/>
          <w:sz w:val="28"/>
          <w:szCs w:val="28"/>
          <w:highlight w:val="none"/>
          <w:lang w:val="en-US" w:eastAsia="zh-CN"/>
        </w:rPr>
        <w:t xml:space="preserve">《金属基体上金属覆盖层电沉积层和化学沉积层附着强度试验方法评述》GB/T5270-2005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35、</w:t>
      </w:r>
      <w:r>
        <w:rPr>
          <w:rFonts w:hint="default"/>
          <w:sz w:val="28"/>
          <w:szCs w:val="28"/>
          <w:highlight w:val="none"/>
          <w:lang w:val="en-US" w:eastAsia="zh-CN"/>
        </w:rPr>
        <w:t xml:space="preserve"> 《金属和氧化物覆盖层厚度测量显微镜法》 GB/T6462-2005</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36、</w:t>
      </w:r>
      <w:r>
        <w:rPr>
          <w:rFonts w:hint="default"/>
          <w:sz w:val="28"/>
          <w:szCs w:val="28"/>
          <w:highlight w:val="none"/>
          <w:lang w:val="en-US" w:eastAsia="zh-CN"/>
        </w:rPr>
        <w:t xml:space="preserve"> 《钢结构高强度螺栓连接技术规程》 JGJ82-2011</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37、</w:t>
      </w:r>
      <w:r>
        <w:rPr>
          <w:rFonts w:hint="default"/>
          <w:sz w:val="28"/>
          <w:szCs w:val="28"/>
          <w:highlight w:val="none"/>
          <w:lang w:val="en-US" w:eastAsia="zh-CN"/>
        </w:rPr>
        <w:t xml:space="preserve">《热固性粉末涂料》 HG/T 2006-2006 </w:t>
      </w:r>
    </w:p>
    <w:p>
      <w:pPr>
        <w:pStyle w:val="2"/>
        <w:numPr>
          <w:ilvl w:val="0"/>
          <w:numId w:val="0"/>
        </w:numPr>
        <w:ind w:leftChars="0" w:firstLine="560" w:firstLineChars="200"/>
        <w:rPr>
          <w:rFonts w:hint="eastAsia" w:asciiTheme="minorHAnsi" w:hAnsiTheme="minorHAnsi" w:eastAsiaTheme="minorEastAsia" w:cstheme="minorBidi"/>
          <w:kern w:val="2"/>
          <w:sz w:val="28"/>
          <w:szCs w:val="28"/>
          <w:highlight w:val="none"/>
          <w:lang w:val="en-US" w:eastAsia="zh-CN" w:bidi="ar-SA"/>
        </w:rPr>
      </w:pPr>
      <w:r>
        <w:rPr>
          <w:rFonts w:hint="eastAsia" w:asciiTheme="minorHAnsi" w:hAnsiTheme="minorHAnsi" w:eastAsiaTheme="minorEastAsia" w:cstheme="minorBidi"/>
          <w:kern w:val="2"/>
          <w:sz w:val="28"/>
          <w:szCs w:val="28"/>
          <w:highlight w:val="none"/>
          <w:lang w:val="en-US" w:eastAsia="zh-CN" w:bidi="ar-SA"/>
        </w:rPr>
        <w:t>耐火电缆槽盒需符合</w:t>
      </w:r>
      <w:r>
        <w:rPr>
          <w:rFonts w:hint="eastAsia" w:cstheme="minorBidi"/>
          <w:kern w:val="2"/>
          <w:sz w:val="28"/>
          <w:szCs w:val="28"/>
          <w:highlight w:val="none"/>
          <w:lang w:val="en-US" w:eastAsia="zh-CN" w:bidi="ar-SA"/>
        </w:rPr>
        <w:t>以下</w:t>
      </w:r>
      <w:r>
        <w:rPr>
          <w:rFonts w:hint="eastAsia" w:asciiTheme="minorHAnsi" w:hAnsiTheme="minorHAnsi" w:eastAsiaTheme="minorEastAsia" w:cstheme="minorBidi"/>
          <w:kern w:val="2"/>
          <w:sz w:val="28"/>
          <w:szCs w:val="28"/>
          <w:highlight w:val="none"/>
          <w:lang w:val="en-US" w:eastAsia="zh-CN" w:bidi="ar-SA"/>
        </w:rPr>
        <w:t>国家/行业标准，若标准冲突，以要求更严格的标准执行：</w:t>
      </w:r>
    </w:p>
    <w:p>
      <w:pPr>
        <w:pStyle w:val="2"/>
        <w:numPr>
          <w:ilvl w:val="0"/>
          <w:numId w:val="0"/>
        </w:numPr>
        <w:ind w:firstLine="560" w:firstLineChars="200"/>
        <w:rPr>
          <w:rFonts w:hint="default" w:asciiTheme="minorHAnsi" w:hAnsiTheme="minorHAnsi" w:eastAsiaTheme="minorEastAsia" w:cstheme="minorBidi"/>
          <w:kern w:val="2"/>
          <w:sz w:val="28"/>
          <w:szCs w:val="28"/>
          <w:highlight w:val="none"/>
          <w:lang w:val="en-US" w:eastAsia="zh-CN" w:bidi="ar-SA"/>
        </w:rPr>
      </w:pPr>
      <w:r>
        <w:rPr>
          <w:rFonts w:hint="eastAsia" w:cstheme="minorBidi"/>
          <w:kern w:val="2"/>
          <w:sz w:val="28"/>
          <w:szCs w:val="28"/>
          <w:highlight w:val="none"/>
          <w:lang w:val="en-US" w:eastAsia="zh-CN" w:bidi="ar-SA"/>
        </w:rPr>
        <w:t>38、</w:t>
      </w:r>
      <w:r>
        <w:rPr>
          <w:rFonts w:hint="eastAsia" w:asciiTheme="minorHAnsi" w:hAnsiTheme="minorHAnsi" w:eastAsiaTheme="minorEastAsia" w:cstheme="minorBidi"/>
          <w:kern w:val="2"/>
          <w:sz w:val="28"/>
          <w:szCs w:val="28"/>
          <w:highlight w:val="none"/>
          <w:lang w:val="en-US" w:eastAsia="zh-CN" w:bidi="ar-SA"/>
        </w:rPr>
        <w:t>《耐火电缆槽盒》 GB 29415-2013；</w:t>
      </w:r>
    </w:p>
    <w:p>
      <w:pPr>
        <w:pStyle w:val="2"/>
        <w:numPr>
          <w:ilvl w:val="0"/>
          <w:numId w:val="0"/>
        </w:numPr>
        <w:ind w:firstLine="560" w:firstLineChars="200"/>
        <w:rPr>
          <w:rFonts w:hint="default" w:asciiTheme="minorHAnsi" w:hAnsiTheme="minorHAnsi" w:eastAsiaTheme="minorEastAsia" w:cstheme="minorBidi"/>
          <w:kern w:val="2"/>
          <w:sz w:val="28"/>
          <w:szCs w:val="28"/>
          <w:highlight w:val="none"/>
          <w:lang w:val="en-US" w:eastAsia="zh-CN" w:bidi="ar-SA"/>
        </w:rPr>
      </w:pPr>
      <w:r>
        <w:rPr>
          <w:rFonts w:hint="eastAsia" w:cstheme="minorBidi"/>
          <w:kern w:val="2"/>
          <w:sz w:val="28"/>
          <w:szCs w:val="28"/>
          <w:highlight w:val="none"/>
          <w:lang w:val="en-US" w:eastAsia="zh-CN" w:bidi="ar-SA"/>
        </w:rPr>
        <w:t>39、</w:t>
      </w:r>
      <w:r>
        <w:rPr>
          <w:rFonts w:hint="eastAsia" w:asciiTheme="minorHAnsi" w:hAnsiTheme="minorHAnsi" w:eastAsiaTheme="minorEastAsia" w:cstheme="minorBidi"/>
          <w:kern w:val="2"/>
          <w:sz w:val="28"/>
          <w:szCs w:val="28"/>
          <w:highlight w:val="none"/>
          <w:lang w:val="en-US" w:eastAsia="zh-CN" w:bidi="ar-SA"/>
        </w:rPr>
        <w:t>《钢制电缆桥架工程设计规范》 CECS 31-2017；</w:t>
      </w:r>
    </w:p>
    <w:p>
      <w:pPr>
        <w:pStyle w:val="2"/>
        <w:numPr>
          <w:ilvl w:val="0"/>
          <w:numId w:val="0"/>
        </w:numPr>
        <w:ind w:firstLine="560" w:firstLineChars="200"/>
        <w:rPr>
          <w:rFonts w:hint="default" w:asciiTheme="minorHAnsi" w:hAnsiTheme="minorHAnsi" w:eastAsiaTheme="minorEastAsia" w:cstheme="minorBidi"/>
          <w:kern w:val="2"/>
          <w:sz w:val="28"/>
          <w:szCs w:val="28"/>
          <w:highlight w:val="none"/>
          <w:lang w:val="en-US" w:eastAsia="zh-CN" w:bidi="ar-SA"/>
        </w:rPr>
      </w:pPr>
      <w:r>
        <w:rPr>
          <w:rFonts w:hint="eastAsia" w:cstheme="minorBidi"/>
          <w:kern w:val="2"/>
          <w:sz w:val="28"/>
          <w:szCs w:val="28"/>
          <w:highlight w:val="none"/>
          <w:lang w:val="en-US" w:eastAsia="zh-CN" w:bidi="ar-SA"/>
        </w:rPr>
        <w:t>40、</w:t>
      </w:r>
      <w:r>
        <w:rPr>
          <w:rFonts w:hint="eastAsia" w:asciiTheme="minorHAnsi" w:hAnsiTheme="minorHAnsi" w:eastAsiaTheme="minorEastAsia" w:cstheme="minorBidi"/>
          <w:kern w:val="2"/>
          <w:sz w:val="28"/>
          <w:szCs w:val="28"/>
          <w:highlight w:val="none"/>
          <w:lang w:val="en-US" w:eastAsia="zh-CN" w:bidi="ar-SA"/>
        </w:rPr>
        <w:t>《钢结构防火涂料》 GB14907-2018；</w:t>
      </w:r>
    </w:p>
    <w:p>
      <w:pPr>
        <w:pStyle w:val="2"/>
        <w:numPr>
          <w:ilvl w:val="0"/>
          <w:numId w:val="0"/>
        </w:numPr>
        <w:ind w:firstLine="560" w:firstLineChars="200"/>
        <w:rPr>
          <w:rFonts w:hint="default" w:asciiTheme="minorHAnsi" w:hAnsiTheme="minorHAnsi" w:eastAsiaTheme="minorEastAsia" w:cstheme="minorBidi"/>
          <w:kern w:val="2"/>
          <w:sz w:val="28"/>
          <w:szCs w:val="28"/>
          <w:highlight w:val="none"/>
          <w:lang w:val="en-US" w:eastAsia="zh-CN" w:bidi="ar-SA"/>
        </w:rPr>
      </w:pPr>
      <w:r>
        <w:rPr>
          <w:rFonts w:hint="eastAsia" w:cstheme="minorBidi"/>
          <w:kern w:val="2"/>
          <w:sz w:val="28"/>
          <w:szCs w:val="28"/>
          <w:highlight w:val="none"/>
          <w:lang w:val="en-US" w:eastAsia="zh-CN" w:bidi="ar-SA"/>
        </w:rPr>
        <w:t>41、</w:t>
      </w:r>
      <w:r>
        <w:rPr>
          <w:rFonts w:hint="eastAsia" w:asciiTheme="minorHAnsi" w:hAnsiTheme="minorHAnsi" w:eastAsiaTheme="minorEastAsia" w:cstheme="minorBidi"/>
          <w:kern w:val="2"/>
          <w:sz w:val="28"/>
          <w:szCs w:val="28"/>
          <w:highlight w:val="none"/>
          <w:lang w:val="en-US" w:eastAsia="zh-CN" w:bidi="ar-SA"/>
        </w:rPr>
        <w:t>《建筑构件耐火试验方法第1部分：通用要求》 GB/T 9978.1-2008；</w:t>
      </w:r>
    </w:p>
    <w:p>
      <w:pPr>
        <w:pStyle w:val="2"/>
        <w:numPr>
          <w:ilvl w:val="0"/>
          <w:numId w:val="0"/>
        </w:numPr>
        <w:ind w:firstLine="560" w:firstLineChars="200"/>
        <w:rPr>
          <w:rFonts w:hint="default" w:asciiTheme="minorHAnsi" w:hAnsiTheme="minorHAnsi" w:eastAsiaTheme="minorEastAsia" w:cstheme="minorBidi"/>
          <w:kern w:val="2"/>
          <w:sz w:val="28"/>
          <w:szCs w:val="28"/>
          <w:highlight w:val="none"/>
          <w:lang w:val="en-US" w:eastAsia="zh-CN" w:bidi="ar-SA"/>
        </w:rPr>
      </w:pPr>
      <w:r>
        <w:rPr>
          <w:rFonts w:hint="eastAsia" w:cstheme="minorBidi"/>
          <w:kern w:val="2"/>
          <w:sz w:val="28"/>
          <w:szCs w:val="28"/>
          <w:highlight w:val="none"/>
          <w:lang w:val="en-US" w:eastAsia="zh-CN" w:bidi="ar-SA"/>
        </w:rPr>
        <w:t>42、</w:t>
      </w:r>
      <w:r>
        <w:rPr>
          <w:rFonts w:hint="eastAsia" w:asciiTheme="minorHAnsi" w:hAnsiTheme="minorHAnsi" w:eastAsiaTheme="minorEastAsia" w:cstheme="minorBidi"/>
          <w:kern w:val="2"/>
          <w:sz w:val="28"/>
          <w:szCs w:val="28"/>
          <w:highlight w:val="none"/>
          <w:lang w:val="en-US" w:eastAsia="zh-CN" w:bidi="ar-SA"/>
        </w:rPr>
        <w:t>《建筑材料及制品燃烧性能分级》 GB 8624-2012；</w:t>
      </w:r>
    </w:p>
    <w:p>
      <w:pPr>
        <w:pStyle w:val="2"/>
        <w:numPr>
          <w:ilvl w:val="0"/>
          <w:numId w:val="0"/>
        </w:numPr>
        <w:ind w:firstLine="560" w:firstLineChars="200"/>
        <w:rPr>
          <w:rFonts w:hint="default" w:asciiTheme="minorHAnsi" w:hAnsiTheme="minorHAnsi" w:eastAsiaTheme="minorEastAsia" w:cstheme="minorBidi"/>
          <w:kern w:val="2"/>
          <w:sz w:val="28"/>
          <w:szCs w:val="28"/>
          <w:highlight w:val="none"/>
          <w:lang w:val="en-US" w:eastAsia="zh-CN" w:bidi="ar-SA"/>
        </w:rPr>
      </w:pPr>
      <w:r>
        <w:rPr>
          <w:rFonts w:hint="eastAsia" w:cstheme="minorBidi"/>
          <w:kern w:val="2"/>
          <w:sz w:val="28"/>
          <w:szCs w:val="28"/>
          <w:highlight w:val="none"/>
          <w:lang w:val="en-US" w:eastAsia="zh-CN" w:bidi="ar-SA"/>
        </w:rPr>
        <w:t>43、</w:t>
      </w:r>
      <w:r>
        <w:rPr>
          <w:rFonts w:hint="eastAsia" w:asciiTheme="minorHAnsi" w:hAnsiTheme="minorHAnsi" w:eastAsiaTheme="minorEastAsia" w:cstheme="minorBidi"/>
          <w:kern w:val="2"/>
          <w:sz w:val="28"/>
          <w:szCs w:val="28"/>
          <w:highlight w:val="none"/>
          <w:lang w:val="en-US" w:eastAsia="zh-CN" w:bidi="ar-SA"/>
        </w:rPr>
        <w:t>《</w:t>
      </w:r>
      <w:r>
        <w:rPr>
          <w:rFonts w:hint="eastAsia" w:cstheme="minorBidi"/>
          <w:kern w:val="2"/>
          <w:sz w:val="28"/>
          <w:szCs w:val="28"/>
          <w:highlight w:val="none"/>
          <w:lang w:val="en-US" w:eastAsia="zh-CN" w:bidi="ar-SA"/>
        </w:rPr>
        <w:t>绝热用硅酸铝棉及其制品</w:t>
      </w:r>
      <w:r>
        <w:rPr>
          <w:rFonts w:hint="eastAsia" w:asciiTheme="minorHAnsi" w:hAnsiTheme="minorHAnsi" w:eastAsiaTheme="minorEastAsia" w:cstheme="minorBidi"/>
          <w:kern w:val="2"/>
          <w:sz w:val="28"/>
          <w:szCs w:val="28"/>
          <w:highlight w:val="none"/>
          <w:lang w:val="en-US" w:eastAsia="zh-CN" w:bidi="ar-SA"/>
        </w:rPr>
        <w:t>》GB/T 16400-2023。</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eastAsia" w:ascii="黑体" w:hAnsi="黑体" w:eastAsia="黑体" w:cs="黑体"/>
          <w:highlight w:val="none"/>
          <w:lang w:val="en-US" w:eastAsia="zh-CN"/>
        </w:rPr>
      </w:pPr>
      <w:bookmarkStart w:id="102" w:name="_Toc7482"/>
      <w:bookmarkStart w:id="103" w:name="_Toc19586"/>
      <w:r>
        <w:rPr>
          <w:rFonts w:hint="eastAsia" w:ascii="黑体" w:hAnsi="黑体" w:eastAsia="黑体" w:cs="黑体"/>
          <w:highlight w:val="none"/>
          <w:lang w:val="en-US" w:eastAsia="zh-CN"/>
        </w:rPr>
        <w:t>供货范围</w:t>
      </w:r>
      <w:bookmarkEnd w:id="102"/>
      <w:bookmarkEnd w:id="103"/>
    </w:p>
    <w:p>
      <w:pPr>
        <w:keepNext w:val="0"/>
        <w:keepLines w:val="0"/>
        <w:pageBreakBefore w:val="0"/>
        <w:widowControl w:val="0"/>
        <w:numPr>
          <w:ilvl w:val="1"/>
          <w:numId w:val="15"/>
        </w:numPr>
        <w:kinsoku/>
        <w:wordWrap/>
        <w:overflowPunct/>
        <w:topLinePunct w:val="0"/>
        <w:autoSpaceDE/>
        <w:autoSpaceDN/>
        <w:bidi w:val="0"/>
        <w:adjustRightInd/>
        <w:snapToGrid/>
        <w:spacing w:line="560" w:lineRule="exact"/>
        <w:ind w:left="0" w:firstLine="0"/>
        <w:textAlignment w:val="auto"/>
        <w:rPr>
          <w:rFonts w:hint="default"/>
          <w:sz w:val="28"/>
          <w:szCs w:val="28"/>
          <w:highlight w:val="none"/>
          <w:lang w:val="en-US" w:eastAsia="zh-CN"/>
        </w:rPr>
      </w:pPr>
      <w:bookmarkStart w:id="104" w:name="_Toc27816"/>
      <w:r>
        <w:rPr>
          <w:rFonts w:hint="eastAsia"/>
          <w:sz w:val="28"/>
          <w:szCs w:val="28"/>
          <w:highlight w:val="none"/>
          <w:lang w:val="en-US" w:eastAsia="zh-CN"/>
        </w:rPr>
        <w:t>供货</w:t>
      </w:r>
      <w:r>
        <w:rPr>
          <w:rFonts w:hint="default"/>
          <w:sz w:val="28"/>
          <w:szCs w:val="28"/>
          <w:highlight w:val="none"/>
          <w:lang w:val="en-US" w:eastAsia="zh-CN"/>
        </w:rPr>
        <w:t>范围表中的规格数量仅供框架招标时统一报价用，不能作为具体订货用。实际数量以详细设计阶段</w:t>
      </w:r>
      <w:r>
        <w:rPr>
          <w:rFonts w:hint="eastAsia"/>
          <w:sz w:val="28"/>
          <w:szCs w:val="28"/>
          <w:highlight w:val="none"/>
          <w:lang w:val="en-US" w:eastAsia="zh-CN"/>
        </w:rPr>
        <w:t>招标人</w:t>
      </w:r>
      <w:r>
        <w:rPr>
          <w:rFonts w:hint="default"/>
          <w:sz w:val="28"/>
          <w:szCs w:val="28"/>
          <w:highlight w:val="none"/>
          <w:lang w:val="en-US" w:eastAsia="zh-CN"/>
        </w:rPr>
        <w:t>下达的订单为准。</w:t>
      </w:r>
      <w:r>
        <w:rPr>
          <w:rFonts w:hint="eastAsia"/>
          <w:sz w:val="28"/>
          <w:szCs w:val="28"/>
          <w:highlight w:val="none"/>
          <w:lang w:val="en-US" w:eastAsia="zh-CN"/>
        </w:rPr>
        <w:t>投标人</w:t>
      </w:r>
      <w:r>
        <w:rPr>
          <w:rFonts w:hint="default"/>
          <w:sz w:val="28"/>
          <w:szCs w:val="28"/>
          <w:highlight w:val="none"/>
          <w:lang w:val="en-US" w:eastAsia="zh-CN"/>
        </w:rPr>
        <w:t>应对所有的规格进行报单价，以便后期框架协议的执行。</w:t>
      </w:r>
      <w:bookmarkEnd w:id="104"/>
    </w:p>
    <w:p>
      <w:pPr>
        <w:keepNext w:val="0"/>
        <w:keepLines w:val="0"/>
        <w:pageBreakBefore w:val="0"/>
        <w:widowControl w:val="0"/>
        <w:numPr>
          <w:ilvl w:val="1"/>
          <w:numId w:val="15"/>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color w:val="auto"/>
          <w:sz w:val="28"/>
          <w:szCs w:val="28"/>
          <w:highlight w:val="none"/>
          <w:lang w:val="en-US" w:eastAsia="zh-CN"/>
        </w:rPr>
      </w:pPr>
      <w:r>
        <w:rPr>
          <w:rFonts w:hint="eastAsia"/>
          <w:sz w:val="28"/>
          <w:szCs w:val="28"/>
          <w:highlight w:val="none"/>
          <w:lang w:val="en-US" w:eastAsia="zh-CN"/>
        </w:rPr>
        <w:t>投标人</w:t>
      </w:r>
      <w:r>
        <w:rPr>
          <w:rFonts w:hint="default"/>
          <w:sz w:val="28"/>
          <w:szCs w:val="28"/>
          <w:highlight w:val="none"/>
          <w:lang w:val="en-US" w:eastAsia="zh-CN"/>
        </w:rPr>
        <w:t>供货范围还应包括供货范围内</w:t>
      </w:r>
      <w:r>
        <w:rPr>
          <w:rFonts w:hint="eastAsia"/>
          <w:sz w:val="28"/>
          <w:szCs w:val="28"/>
          <w:highlight w:val="none"/>
          <w:lang w:val="en-US" w:eastAsia="zh-CN"/>
        </w:rPr>
        <w:t>物资</w:t>
      </w:r>
      <w:r>
        <w:rPr>
          <w:rFonts w:hint="default"/>
          <w:sz w:val="28"/>
          <w:szCs w:val="28"/>
          <w:highlight w:val="none"/>
          <w:lang w:val="en-US" w:eastAsia="zh-CN"/>
        </w:rPr>
        <w:t>的现场安装</w:t>
      </w:r>
      <w:r>
        <w:rPr>
          <w:rFonts w:hint="eastAsia"/>
          <w:sz w:val="28"/>
          <w:szCs w:val="28"/>
          <w:highlight w:val="none"/>
          <w:lang w:val="en-US" w:eastAsia="zh-CN"/>
        </w:rPr>
        <w:t>指导</w:t>
      </w:r>
      <w:r>
        <w:rPr>
          <w:rFonts w:hint="default"/>
          <w:sz w:val="28"/>
          <w:szCs w:val="28"/>
          <w:highlight w:val="none"/>
          <w:lang w:val="en-US" w:eastAsia="zh-CN"/>
        </w:rPr>
        <w:t>、调试技术支持及供货范围内与其他方设备之间的联调技术服务。</w:t>
      </w:r>
      <w:r>
        <w:rPr>
          <w:rFonts w:hint="eastAsia"/>
          <w:sz w:val="28"/>
          <w:szCs w:val="28"/>
          <w:highlight w:val="none"/>
          <w:lang w:val="en-US" w:eastAsia="zh-CN"/>
        </w:rPr>
        <w:t>投标人</w:t>
      </w:r>
      <w:r>
        <w:rPr>
          <w:rFonts w:hint="default"/>
          <w:sz w:val="28"/>
          <w:szCs w:val="28"/>
          <w:highlight w:val="none"/>
          <w:lang w:val="en-US" w:eastAsia="zh-CN"/>
        </w:rPr>
        <w:t>应在报价中充分考虑</w:t>
      </w:r>
      <w:r>
        <w:rPr>
          <w:rFonts w:hint="default"/>
          <w:color w:val="auto"/>
          <w:sz w:val="28"/>
          <w:szCs w:val="28"/>
          <w:highlight w:val="none"/>
          <w:lang w:val="en-US" w:eastAsia="zh-CN"/>
        </w:rPr>
        <w:t>项目实施进度等因素的影响。</w:t>
      </w:r>
    </w:p>
    <w:p>
      <w:pPr>
        <w:keepNext w:val="0"/>
        <w:keepLines w:val="0"/>
        <w:pageBreakBefore w:val="0"/>
        <w:widowControl w:val="0"/>
        <w:numPr>
          <w:ilvl w:val="1"/>
          <w:numId w:val="15"/>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投标人须提供</w:t>
      </w:r>
      <w:r>
        <w:rPr>
          <w:rFonts w:hint="eastAsia" w:ascii="宋体" w:hAnsi="宋体" w:eastAsia="宋体" w:cs="宋体"/>
          <w:color w:val="auto"/>
          <w:sz w:val="28"/>
          <w:szCs w:val="28"/>
          <w:highlight w:val="none"/>
          <w:lang w:val="en-US" w:eastAsia="zh-CN"/>
        </w:rPr>
        <w:t>1.桥架自动生产线2.数控（普通）剪切设备3.数控（普通）折弯机4.数控冲床5.自动焊接设备6.自动钻排机</w:t>
      </w:r>
      <w:r>
        <w:rPr>
          <w:rFonts w:hint="eastAsia" w:ascii="宋体" w:hAnsi="宋体" w:eastAsia="宋体" w:cs="宋体"/>
          <w:color w:val="auto"/>
          <w:sz w:val="28"/>
          <w:szCs w:val="28"/>
          <w:highlight w:val="none"/>
        </w:rPr>
        <w:t>等主要设备的购置合同复印件</w:t>
      </w:r>
      <w:r>
        <w:rPr>
          <w:rFonts w:hint="eastAsia" w:ascii="宋体" w:hAnsi="宋体" w:eastAsia="宋体" w:cs="宋体"/>
          <w:color w:val="auto"/>
          <w:sz w:val="28"/>
          <w:szCs w:val="28"/>
          <w:highlight w:val="none"/>
          <w:lang w:val="en-US" w:eastAsia="zh-CN"/>
        </w:rPr>
        <w:t>、发票复印件和带有GPS定位的设备照片。</w:t>
      </w:r>
    </w:p>
    <w:p>
      <w:pPr>
        <w:keepNext w:val="0"/>
        <w:keepLines w:val="0"/>
        <w:pageBreakBefore w:val="0"/>
        <w:widowControl w:val="0"/>
        <w:numPr>
          <w:ilvl w:val="1"/>
          <w:numId w:val="15"/>
        </w:numPr>
        <w:kinsoku/>
        <w:wordWrap/>
        <w:overflowPunct/>
        <w:topLinePunct w:val="0"/>
        <w:autoSpaceDE/>
        <w:autoSpaceDN/>
        <w:bidi w:val="0"/>
        <w:adjustRightInd/>
        <w:snapToGrid/>
        <w:spacing w:line="560" w:lineRule="exact"/>
        <w:ind w:left="0" w:firstLine="0"/>
        <w:textAlignment w:val="auto"/>
        <w:rPr>
          <w:rFonts w:hint="default"/>
          <w:highlight w:val="none"/>
          <w:lang w:val="en-US" w:eastAsia="zh-CN"/>
        </w:rPr>
      </w:pPr>
      <w:r>
        <w:rPr>
          <w:rFonts w:hint="eastAsia" w:ascii="Calibri" w:hAnsi="Calibri" w:eastAsia="宋体" w:cs="宋体"/>
          <w:sz w:val="28"/>
          <w:szCs w:val="28"/>
          <w:highlight w:val="none"/>
          <w:lang w:val="en-US" w:eastAsia="zh-CN"/>
        </w:rPr>
        <w:t>供货</w:t>
      </w:r>
      <w:r>
        <w:rPr>
          <w:rFonts w:hint="default" w:ascii="Calibri" w:hAnsi="Calibri" w:eastAsia="宋体" w:cs="宋体"/>
          <w:sz w:val="28"/>
          <w:szCs w:val="28"/>
          <w:highlight w:val="none"/>
          <w:lang w:val="en-US" w:eastAsia="zh-CN"/>
        </w:rPr>
        <w:t>范围表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28"/>
          <w:highlight w:val="none"/>
          <w:lang w:val="en-US" w:eastAsia="zh-CN"/>
        </w:rPr>
      </w:pPr>
      <w:r>
        <w:rPr>
          <w:rFonts w:hint="default"/>
          <w:sz w:val="28"/>
          <w:szCs w:val="28"/>
          <w:highlight w:val="none"/>
          <w:lang w:val="en-US" w:eastAsia="zh-CN"/>
        </w:rPr>
        <w:t>详见附件</w:t>
      </w:r>
      <w:r>
        <w:rPr>
          <w:rFonts w:hint="eastAsia"/>
          <w:sz w:val="28"/>
          <w:szCs w:val="28"/>
          <w:highlight w:val="none"/>
          <w:lang w:val="en-US" w:eastAsia="zh-CN"/>
        </w:rPr>
        <w:t>1</w:t>
      </w:r>
      <w:r>
        <w:rPr>
          <w:rFonts w:hint="default"/>
          <w:sz w:val="28"/>
          <w:szCs w:val="28"/>
          <w:highlight w:val="none"/>
          <w:lang w:val="en-US" w:eastAsia="zh-CN"/>
        </w:rPr>
        <w:t>：</w:t>
      </w:r>
      <w:r>
        <w:rPr>
          <w:rFonts w:hint="eastAsia"/>
          <w:sz w:val="28"/>
          <w:szCs w:val="28"/>
          <w:highlight w:val="none"/>
          <w:lang w:val="en-US" w:eastAsia="zh-CN"/>
        </w:rPr>
        <w:t>仪表铝合金电缆桥架</w:t>
      </w:r>
      <w:r>
        <w:rPr>
          <w:rFonts w:hint="default"/>
          <w:sz w:val="28"/>
          <w:szCs w:val="28"/>
          <w:highlight w:val="none"/>
          <w:lang w:val="en-US" w:eastAsia="zh-CN"/>
        </w:rPr>
        <w:t>框架采购清单</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default" w:ascii="Calibri" w:hAnsi="Calibri" w:eastAsia="微软雅黑" w:cs="Arial"/>
          <w:b/>
          <w:bCs/>
          <w:kern w:val="44"/>
          <w:sz w:val="24"/>
          <w:szCs w:val="24"/>
          <w:highlight w:val="none"/>
          <w:u w:val="none"/>
          <w:lang w:val="en-US" w:eastAsia="zh-CN"/>
        </w:rPr>
      </w:pPr>
      <w:bookmarkStart w:id="105" w:name="总的技术参数和要求"/>
      <w:bookmarkStart w:id="106" w:name="_Toc11950"/>
      <w:bookmarkStart w:id="107" w:name="_Toc24830"/>
      <w:bookmarkStart w:id="108" w:name="_Toc156802258"/>
      <w:bookmarkStart w:id="109" w:name="_Toc261783510"/>
      <w:bookmarkStart w:id="110" w:name="_Toc156802667"/>
      <w:bookmarkStart w:id="111" w:name="_Toc125871330"/>
      <w:bookmarkStart w:id="112" w:name="_Toc156802912"/>
      <w:bookmarkStart w:id="113" w:name="_Toc156801440"/>
      <w:bookmarkStart w:id="114" w:name="_Toc156802367"/>
      <w:bookmarkStart w:id="115" w:name="_Toc156802742"/>
      <w:bookmarkStart w:id="116" w:name="_Toc40167018"/>
      <w:r>
        <w:rPr>
          <w:rFonts w:hint="eastAsia" w:ascii="黑体" w:hAnsi="黑体" w:eastAsia="黑体" w:cs="黑体"/>
          <w:b/>
          <w:bCs/>
          <w:kern w:val="44"/>
          <w:sz w:val="32"/>
          <w:szCs w:val="32"/>
          <w:highlight w:val="none"/>
          <w:u w:val="none"/>
          <w:lang w:val="en-US" w:eastAsia="zh-CN"/>
        </w:rPr>
        <w:t>技术要求</w:t>
      </w:r>
      <w:bookmarkEnd w:id="105"/>
      <w:bookmarkEnd w:id="106"/>
      <w:bookmarkEnd w:id="107"/>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 xml:space="preserve">.1 铝合金电缆桥架技术要求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.1.1 本部分是对电缆桥架及用于敷设至用电设备的电线电缆桥架的基本要求</w:t>
      </w:r>
      <w:r>
        <w:rPr>
          <w:rFonts w:hint="eastAsia"/>
          <w:sz w:val="28"/>
          <w:szCs w:val="28"/>
          <w:highlight w:val="none"/>
          <w:lang w:val="en-US" w:eastAsia="zh-CN"/>
        </w:rPr>
        <w:t>；满足仪表电缆主槽板敷设节点图（详见附件2）要求</w:t>
      </w:r>
      <w:r>
        <w:rPr>
          <w:rFonts w:hint="default"/>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 xml:space="preserve">.1.2 所有预制电缆桥架、支撑件和连接件均具备良好的机械性能（桥架的抗压、抗弯、抗冲击强度能力）和稳定的理化性能，其防腐性能应符合 3中所列标准及本协议条文所列的规定。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 xml:space="preserve">.1.3 电缆桥架的电缆接触面的处理应采用圆弧或半圆形式，表面光滑，在敷设过程中，不应造成电缆绝缘损害或外护套的擦伤。投标方应提供具体制作工艺说明，包括加工设备、质量控制标准等。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 xml:space="preserve">.1.4 电缆桥架的供货应包括所有的必须附件，应成套供应，并有一定裕量，使其能够形成完整的系统。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.1.5 附件根据具体情况为：黄绿跨接线、直线连接板、铰链式连接板、端头连接板、调宽板、调高板、调宽调高板、调角板、隔板、电缆引出线装置、引下装置、电缆卡具、终端封头、伸缩节、锁扣、半圆头方颈螺栓、垫片及其它紧固件</w:t>
      </w:r>
      <w:r>
        <w:rPr>
          <w:rFonts w:hint="eastAsia"/>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 铝合金电缆桥架材质</w:t>
      </w:r>
      <w:r>
        <w:rPr>
          <w:rFonts w:hint="eastAsia"/>
          <w:sz w:val="28"/>
          <w:szCs w:val="28"/>
          <w:highlight w:val="none"/>
          <w:lang w:val="en-US" w:eastAsia="zh-CN"/>
        </w:rPr>
        <w:t>和结构</w:t>
      </w:r>
      <w:r>
        <w:rPr>
          <w:rFonts w:hint="default"/>
          <w:sz w:val="28"/>
          <w:szCs w:val="28"/>
          <w:highlight w:val="none"/>
          <w:lang w:val="en-US" w:eastAsia="zh-CN"/>
        </w:rPr>
        <w:t>要求</w:t>
      </w:r>
    </w:p>
    <w:bookmarkEnd w:id="108"/>
    <w:bookmarkEnd w:id="109"/>
    <w:bookmarkEnd w:id="110"/>
    <w:bookmarkEnd w:id="111"/>
    <w:bookmarkEnd w:id="112"/>
    <w:bookmarkEnd w:id="113"/>
    <w:bookmarkEnd w:id="114"/>
    <w:bookmarkEnd w:id="115"/>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.1环境条件：桥架应能在买方规定的环境条件下安全稳定运行，现场自然条件应至少满足条款“2 使用环境的要求”。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.2★槽</w:t>
      </w:r>
      <w:r>
        <w:rPr>
          <w:rFonts w:hint="default"/>
          <w:sz w:val="28"/>
          <w:szCs w:val="28"/>
          <w:highlight w:val="none"/>
          <w:lang w:val="en-US" w:eastAsia="zh-CN"/>
        </w:rPr>
        <w:t>式铝合金桥架的梯边及横档应采用：牌号为 6063铝合金挤压型材。其材质性能应符合《铝合金建筑型材》GB/T5237</w:t>
      </w:r>
      <w:r>
        <w:rPr>
          <w:rFonts w:hint="eastAsia"/>
          <w:sz w:val="28"/>
          <w:szCs w:val="28"/>
          <w:highlight w:val="none"/>
          <w:lang w:val="en-US" w:eastAsia="zh-CN"/>
        </w:rPr>
        <w:t>.1</w:t>
      </w:r>
      <w:r>
        <w:rPr>
          <w:rFonts w:hint="default"/>
          <w:sz w:val="28"/>
          <w:szCs w:val="28"/>
          <w:highlight w:val="none"/>
          <w:lang w:val="en-US" w:eastAsia="zh-CN"/>
        </w:rPr>
        <w:t>-20</w:t>
      </w:r>
      <w:r>
        <w:rPr>
          <w:rFonts w:hint="eastAsia"/>
          <w:sz w:val="28"/>
          <w:szCs w:val="28"/>
          <w:highlight w:val="none"/>
          <w:lang w:val="en-US" w:eastAsia="zh-CN"/>
        </w:rPr>
        <w:t>17</w:t>
      </w:r>
      <w:r>
        <w:rPr>
          <w:rFonts w:hint="default"/>
          <w:sz w:val="28"/>
          <w:szCs w:val="28"/>
          <w:highlight w:val="none"/>
          <w:lang w:val="en-US" w:eastAsia="zh-CN"/>
        </w:rPr>
        <w:t xml:space="preserve"> 标准，供应状态采用 T5，精度等级采用普通级。桥架梯边与横档的连接应采用不锈钢自攻螺栓（304 材质）组装紧固。铝合金材料中含 A1、Mg、Si 等元素，硬度应大于 v 氏 58，</w:t>
      </w:r>
      <w:r>
        <w:rPr>
          <w:rFonts w:hint="eastAsia"/>
          <w:sz w:val="28"/>
          <w:szCs w:val="28"/>
          <w:highlight w:val="none"/>
          <w:lang w:val="en-US" w:eastAsia="zh-CN"/>
        </w:rPr>
        <w:t>符合</w:t>
      </w:r>
      <w:r>
        <w:rPr>
          <w:rFonts w:hint="default"/>
          <w:sz w:val="28"/>
          <w:szCs w:val="28"/>
          <w:highlight w:val="none"/>
          <w:lang w:val="en-US" w:eastAsia="zh-CN"/>
        </w:rPr>
        <w:t>国标 GB5237</w:t>
      </w:r>
      <w:r>
        <w:rPr>
          <w:rFonts w:hint="eastAsia"/>
          <w:sz w:val="28"/>
          <w:szCs w:val="28"/>
          <w:highlight w:val="none"/>
          <w:lang w:val="en-US" w:eastAsia="zh-CN"/>
        </w:rPr>
        <w:t>.1</w:t>
      </w:r>
      <w:r>
        <w:rPr>
          <w:rFonts w:hint="default"/>
          <w:sz w:val="28"/>
          <w:szCs w:val="28"/>
          <w:highlight w:val="none"/>
          <w:lang w:val="en-US" w:eastAsia="zh-CN"/>
        </w:rPr>
        <w:t>－20</w:t>
      </w:r>
      <w:r>
        <w:rPr>
          <w:rFonts w:hint="eastAsia"/>
          <w:sz w:val="28"/>
          <w:szCs w:val="28"/>
          <w:highlight w:val="none"/>
          <w:lang w:val="en-US" w:eastAsia="zh-CN"/>
        </w:rPr>
        <w:t>17标准</w:t>
      </w:r>
      <w:r>
        <w:rPr>
          <w:rFonts w:hint="default"/>
          <w:sz w:val="28"/>
          <w:szCs w:val="28"/>
          <w:highlight w:val="none"/>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.3★</w:t>
      </w:r>
      <w:r>
        <w:rPr>
          <w:rFonts w:hint="default"/>
          <w:sz w:val="28"/>
          <w:szCs w:val="28"/>
          <w:highlight w:val="none"/>
          <w:lang w:val="en-US" w:eastAsia="zh-CN"/>
        </w:rPr>
        <w:t>铝合金电缆桥架底板、中间隔板、</w:t>
      </w:r>
      <w:r>
        <w:rPr>
          <w:rFonts w:hint="eastAsia"/>
          <w:sz w:val="28"/>
          <w:szCs w:val="28"/>
          <w:highlight w:val="none"/>
          <w:lang w:val="en-US" w:eastAsia="zh-CN"/>
        </w:rPr>
        <w:t>连</w:t>
      </w:r>
      <w:r>
        <w:rPr>
          <w:rFonts w:hint="default"/>
          <w:sz w:val="28"/>
          <w:szCs w:val="28"/>
          <w:highlight w:val="none"/>
          <w:lang w:val="en-US" w:eastAsia="zh-CN"/>
        </w:rPr>
        <w:t>接板</w:t>
      </w:r>
      <w:r>
        <w:rPr>
          <w:rFonts w:hint="eastAsia"/>
          <w:sz w:val="28"/>
          <w:szCs w:val="28"/>
          <w:highlight w:val="none"/>
          <w:lang w:val="en-US" w:eastAsia="zh-CN"/>
        </w:rPr>
        <w:t>、伸缩板、调节板</w:t>
      </w:r>
      <w:r>
        <w:rPr>
          <w:rFonts w:hint="default"/>
          <w:sz w:val="28"/>
          <w:szCs w:val="28"/>
          <w:highlight w:val="none"/>
          <w:lang w:val="en-US" w:eastAsia="zh-CN"/>
        </w:rPr>
        <w:t>及盖板所用铝合金板材，选用牌号为</w:t>
      </w:r>
      <w:r>
        <w:rPr>
          <w:rFonts w:hint="eastAsia"/>
          <w:sz w:val="28"/>
          <w:szCs w:val="28"/>
          <w:highlight w:val="none"/>
          <w:lang w:val="en-US" w:eastAsia="zh-CN"/>
        </w:rPr>
        <w:t>1060</w:t>
      </w:r>
      <w:r>
        <w:rPr>
          <w:rFonts w:hint="default"/>
          <w:sz w:val="28"/>
          <w:szCs w:val="28"/>
          <w:highlight w:val="none"/>
          <w:lang w:val="en-US" w:eastAsia="zh-CN"/>
        </w:rPr>
        <w:t>的铝合金，材质性能应符合《一般工业用铝及铝合板、带材》GB/T3880</w:t>
      </w:r>
      <w:r>
        <w:rPr>
          <w:rFonts w:hint="eastAsia"/>
          <w:sz w:val="28"/>
          <w:szCs w:val="28"/>
          <w:highlight w:val="none"/>
          <w:lang w:val="en-US" w:eastAsia="zh-CN"/>
        </w:rPr>
        <w:t>.1</w:t>
      </w:r>
      <w:r>
        <w:rPr>
          <w:rFonts w:hint="default"/>
          <w:sz w:val="28"/>
          <w:szCs w:val="28"/>
          <w:highlight w:val="none"/>
          <w:lang w:val="en-US" w:eastAsia="zh-CN"/>
        </w:rPr>
        <w:t>-20</w:t>
      </w:r>
      <w:r>
        <w:rPr>
          <w:rFonts w:hint="eastAsia"/>
          <w:sz w:val="28"/>
          <w:szCs w:val="28"/>
          <w:highlight w:val="none"/>
          <w:lang w:val="en-US" w:eastAsia="zh-CN"/>
        </w:rPr>
        <w:t>23</w:t>
      </w:r>
      <w:r>
        <w:rPr>
          <w:rFonts w:hint="default"/>
          <w:sz w:val="28"/>
          <w:szCs w:val="28"/>
          <w:highlight w:val="none"/>
          <w:lang w:val="en-US" w:eastAsia="zh-CN"/>
        </w:rPr>
        <w:t xml:space="preserve"> 标准，</w:t>
      </w:r>
      <w:r>
        <w:rPr>
          <w:rFonts w:hint="eastAsia" w:ascii="宋体" w:hAnsi="宋体" w:eastAsia="宋体" w:cs="宋体"/>
          <w:b w:val="0"/>
          <w:bCs w:val="0"/>
          <w:color w:val="auto"/>
          <w:sz w:val="28"/>
          <w:szCs w:val="28"/>
          <w:highlight w:val="none"/>
          <w:lang w:val="en-US" w:eastAsia="zh-CN"/>
        </w:rPr>
        <w:t>供应状态宜采用O或HX4，精度等级宜采用普通级，不允许采用再生铝材料</w:t>
      </w:r>
      <w:r>
        <w:rPr>
          <w:rFonts w:hint="eastAsia"/>
          <w:sz w:val="28"/>
          <w:szCs w:val="28"/>
          <w:highlight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.4所有连接用的螺栓、螺母、垫圈、自攻螺丝、加强通丝、固定压板、衬板等紧固件采用304不锈钢材质，连接板采用与板材相同的铝合金牌号，其技术符合国家现行有关标准。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default"/>
          <w:sz w:val="28"/>
          <w:szCs w:val="28"/>
          <w:highlight w:val="none"/>
          <w:lang w:val="en-US" w:eastAsia="zh-CN"/>
        </w:rPr>
      </w:pPr>
      <w:r>
        <w:rPr>
          <w:rFonts w:hint="eastAsia"/>
          <w:sz w:val="28"/>
          <w:szCs w:val="28"/>
          <w:highlight w:val="none"/>
          <w:lang w:val="en-US" w:eastAsia="zh-CN"/>
        </w:rPr>
        <w:t>5.2.5制造桥架使用的任何铝合金材料不得采用再生铝材料。</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default"/>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.6槽</w:t>
      </w:r>
      <w:r>
        <w:rPr>
          <w:rFonts w:hint="default"/>
          <w:sz w:val="28"/>
          <w:szCs w:val="28"/>
          <w:highlight w:val="none"/>
          <w:lang w:val="en-US" w:eastAsia="zh-CN"/>
        </w:rPr>
        <w:t>式铝合金桥架（直线段）的结构为不锈钢螺栓组装式，不采用焊接组装。</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7每节直通或弯通桥架两端设有横档，其它横档按等距均匀分布。桥架直通横档中心间距和弯通横档1/2长度处的中心间距应采用150～300mm，最大不得大于300mm；横档宽度为35~50mm，厚度与梯边相同，横档宽度大于等于50mm时由四组自攻螺栓固定（一头两组），桥架宽度大于800mm时横档宽度应为50mm，厚度为3.5mm。</w:t>
      </w:r>
    </w:p>
    <w:p>
      <w:pPr>
        <w:keepNext w:val="0"/>
        <w:keepLines w:val="0"/>
        <w:widowControl/>
        <w:suppressLineNumbers w:val="0"/>
        <w:jc w:val="left"/>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8桥架底板敷在横档上即桥架内侧（槽底板开有透气排水孔），桥架底板铆接在每个横档上（底板在桥架内测，横档在外侧），宽度≥200mm时，每个横档上至少铆接两处，且相邻铆钉之间≯250mm、铆钉与侧边之间距离≯100mm，铆接牢固且桥架内侧不应有可能划伤电缆绝缘的毛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default"/>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9桥架节与节之间采用内外双连接片连接，以提高荷载能力和抗台风强度。桥架高度≤100mm时，连接片采用单排螺栓固定连接；桥架高度≥150mm时，连接片采用双排螺栓固定连接；桥架高度＞200mm时，连接片采用三排螺栓固定连接，每排螺栓六颗；连接片厚度不得小于相应桥架梯边厚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（1）桥架高度＜100mm时，宜采用单板连接，每节直通、弯通配2件直接板，每节三通配3件直接板，每节四通配4件直接板；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（2）桥架高度≥100mm时，应采用双板连接，每节直通、弯通配4件直接板，每节三通配6件直接板，每节四通配8件直接板；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default"/>
          <w:sz w:val="28"/>
          <w:szCs w:val="28"/>
          <w:highlight w:val="none"/>
          <w:lang w:val="en-US" w:eastAsia="zh-CN"/>
        </w:rPr>
      </w:pPr>
      <w:r>
        <w:rPr>
          <w:rFonts w:hint="eastAsia"/>
          <w:sz w:val="28"/>
          <w:szCs w:val="28"/>
          <w:highlight w:val="none"/>
          <w:lang w:val="en-US" w:eastAsia="zh-CN"/>
        </w:rPr>
        <w:t>（3）固定压板厚度≥3mm，每个支撑点配2件固定压板。</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.10所有隔板厚度为2mm，长度为2000mm/节，高度与桥架侧边一致，采用M6的304不锈钢圆头方颈螺栓固定，固定螺栓数量不少于4个/节，交货时由卖方在工厂按设计要求完成组装。</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.11所有盖板长度为2000mm/节，厚度符合表表5.3.2要求，当桥架宽度大于400mm时，盖板应采用人字起脊形式，防止防止盖板下沉积水。盖板一端设有防雨帽沿，并与盖板满焊焊接。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.12</w:t>
      </w:r>
      <w:r>
        <w:rPr>
          <w:rFonts w:hint="default"/>
          <w:sz w:val="28"/>
          <w:szCs w:val="28"/>
          <w:highlight w:val="none"/>
          <w:lang w:val="en-US" w:eastAsia="zh-CN"/>
        </w:rPr>
        <w:t>铝合金桥架中所有</w:t>
      </w:r>
      <w:r>
        <w:rPr>
          <w:rFonts w:hint="eastAsia"/>
          <w:sz w:val="28"/>
          <w:szCs w:val="28"/>
          <w:highlight w:val="none"/>
          <w:lang w:val="en-US" w:eastAsia="zh-CN"/>
        </w:rPr>
        <w:t>弯通、三通、四通（</w:t>
      </w:r>
      <w:r>
        <w:rPr>
          <w:rFonts w:hint="default"/>
          <w:sz w:val="28"/>
          <w:szCs w:val="28"/>
          <w:highlight w:val="none"/>
          <w:lang w:val="en-US" w:eastAsia="zh-CN"/>
        </w:rPr>
        <w:t>连接处长度≥200 mm</w:t>
      </w:r>
      <w:r>
        <w:rPr>
          <w:rFonts w:hint="eastAsia"/>
          <w:sz w:val="28"/>
          <w:szCs w:val="28"/>
          <w:highlight w:val="none"/>
          <w:lang w:val="en-US" w:eastAsia="zh-CN"/>
        </w:rPr>
        <w:t>）制作时采用氩弧焊且梯边须满焊，焊缝表面平滑均匀，焊逢没有漏焊、裂纹、烧穿、未熔合、表面气孔、焊瘤等缺陷，不得采用多段连接片组装形式。</w:t>
      </w:r>
    </w:p>
    <w:p>
      <w:pPr>
        <w:autoSpaceDE w:val="0"/>
        <w:autoSpaceDN w:val="0"/>
        <w:adjustRightInd w:val="0"/>
        <w:spacing w:line="360" w:lineRule="auto"/>
        <w:ind w:firstLine="560" w:firstLineChars="200"/>
        <w:jc w:val="left"/>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13虑沿海地区台风的影响，桥架的盖板与槽体均采用材质为304的抱不锈钢抱箍（包括配套螺栓和螺母）固定，抱箍采用上下几型+一字型，且抱箍宽度符合表5.3.2要求。抱箍数量直通为3个/2米（距离两端50-80mm各安装一个，中间安装1个），各种弯通、三通、四通、变通等每端至少配置一个。</w:t>
      </w:r>
    </w:p>
    <w:p>
      <w:pPr>
        <w:autoSpaceDE w:val="0"/>
        <w:autoSpaceDN w:val="0"/>
        <w:adjustRightInd w:val="0"/>
        <w:spacing w:line="360" w:lineRule="auto"/>
        <w:ind w:firstLine="560" w:firstLineChars="200"/>
        <w:jc w:val="left"/>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.14桥架跨距＜4000mm时采用单梯边，桥架跨距≥4000mm时采用双梯边。</w:t>
      </w:r>
    </w:p>
    <w:p>
      <w:pPr>
        <w:autoSpaceDE w:val="0"/>
        <w:autoSpaceDN w:val="0"/>
        <w:adjustRightInd w:val="0"/>
        <w:spacing w:line="360" w:lineRule="auto"/>
        <w:ind w:firstLine="560" w:firstLineChars="200"/>
        <w:jc w:val="left"/>
        <w:rPr>
          <w:rFonts w:hint="eastAsia"/>
          <w:sz w:val="28"/>
          <w:szCs w:val="28"/>
          <w:highlight w:val="none"/>
          <w:lang w:val="en-US" w:eastAsia="zh-CN"/>
        </w:rPr>
      </w:pPr>
      <w:r>
        <w:rPr>
          <w:rFonts w:hint="eastAsia"/>
          <w:sz w:val="28"/>
          <w:szCs w:val="28"/>
          <w:highlight w:val="none"/>
          <w:lang w:val="en-US" w:eastAsia="zh-CN"/>
        </w:rPr>
        <w:t>5</w:t>
      </w:r>
      <w:r>
        <w:rPr>
          <w:rFonts w:hint="default"/>
          <w:sz w:val="28"/>
          <w:szCs w:val="28"/>
          <w:highlight w:val="none"/>
          <w:lang w:val="en-US" w:eastAsia="zh-CN"/>
        </w:rPr>
        <w:t>.2</w:t>
      </w:r>
      <w:r>
        <w:rPr>
          <w:rFonts w:hint="eastAsia"/>
          <w:sz w:val="28"/>
          <w:szCs w:val="28"/>
          <w:highlight w:val="none"/>
          <w:lang w:val="en-US" w:eastAsia="zh-CN"/>
        </w:rPr>
        <w:t>.15宽度≤100mm的桥架及盖板采用一次拉制挤压成型，盖板与槽体具有有效卡口，牌号为6063铝合金。宽度＞100的桥架侧边必须采用挤压成型的梯边型材。</w:t>
      </w:r>
    </w:p>
    <w:p>
      <w:pPr>
        <w:pStyle w:val="5"/>
        <w:tabs>
          <w:tab w:val="left" w:pos="540"/>
        </w:tabs>
        <w:rPr>
          <w:rFonts w:hint="eastAsia" w:ascii="宋体" w:hAnsi="宋体" w:eastAsia="宋体"/>
          <w:b/>
          <w:highlight w:val="none"/>
        </w:rPr>
      </w:pPr>
      <w:bookmarkStart w:id="117" w:name="_Toc397334933"/>
      <w:r>
        <w:rPr>
          <w:rFonts w:hint="eastAsia" w:ascii="宋体" w:hAnsi="宋体" w:eastAsia="宋体"/>
          <w:b/>
          <w:highlight w:val="none"/>
        </w:rPr>
        <w:t>★</w:t>
      </w:r>
      <w:r>
        <w:rPr>
          <w:rFonts w:hint="eastAsia" w:ascii="宋体" w:hAnsi="宋体" w:eastAsia="宋体"/>
          <w:b/>
          <w:highlight w:val="none"/>
          <w:lang w:val="en-US" w:eastAsia="zh-CN"/>
        </w:rPr>
        <w:t>5</w:t>
      </w:r>
      <w:r>
        <w:rPr>
          <w:rFonts w:hint="eastAsia" w:ascii="宋体" w:hAnsi="宋体" w:eastAsia="宋体"/>
          <w:b/>
          <w:highlight w:val="none"/>
        </w:rPr>
        <w:t>.</w:t>
      </w:r>
      <w:r>
        <w:rPr>
          <w:rFonts w:hint="eastAsia" w:ascii="宋体" w:hAnsi="宋体" w:eastAsia="宋体"/>
          <w:b/>
          <w:highlight w:val="none"/>
          <w:lang w:val="en-US" w:eastAsia="zh-CN"/>
        </w:rPr>
        <w:t>3</w:t>
      </w:r>
      <w:r>
        <w:rPr>
          <w:rFonts w:hint="eastAsia" w:ascii="宋体" w:hAnsi="宋体" w:eastAsia="宋体"/>
          <w:b/>
          <w:highlight w:val="none"/>
        </w:rPr>
        <w:t xml:space="preserve"> 桥架载荷要求</w:t>
      </w:r>
      <w:bookmarkEnd w:id="117"/>
      <w:r>
        <w:rPr>
          <w:rFonts w:hint="eastAsia" w:ascii="宋体" w:hAnsi="宋体" w:eastAsia="宋体"/>
          <w:b/>
          <w:highlight w:val="none"/>
          <w:lang w:eastAsia="zh-CN"/>
        </w:rPr>
        <w:t>，</w:t>
      </w:r>
      <w:r>
        <w:rPr>
          <w:rFonts w:hint="eastAsia" w:ascii="宋体" w:hAnsi="宋体" w:eastAsia="宋体"/>
          <w:b/>
          <w:highlight w:val="none"/>
          <w:lang w:val="en-US" w:eastAsia="zh-CN"/>
        </w:rPr>
        <w:t>投标文件中提交由投标人法人代表签署的承诺函。</w:t>
      </w:r>
    </w:p>
    <w:p>
      <w:pPr>
        <w:autoSpaceDE w:val="0"/>
        <w:autoSpaceDN w:val="0"/>
        <w:adjustRightInd w:val="0"/>
        <w:spacing w:line="360" w:lineRule="auto"/>
        <w:ind w:firstLine="560" w:firstLineChars="200"/>
        <w:jc w:val="left"/>
        <w:rPr>
          <w:rFonts w:hint="eastAsia"/>
          <w:sz w:val="28"/>
          <w:szCs w:val="28"/>
          <w:highlight w:val="none"/>
          <w:lang w:val="en-US" w:eastAsia="zh-CN"/>
        </w:rPr>
      </w:pPr>
      <w:r>
        <w:rPr>
          <w:rFonts w:hint="eastAsia"/>
          <w:sz w:val="28"/>
          <w:szCs w:val="28"/>
          <w:highlight w:val="none"/>
          <w:lang w:val="en-US" w:eastAsia="zh-CN"/>
        </w:rPr>
        <w:t>5.3.1 按简支梁计算的条件下，桥架的额定均布载荷分五级（见下表5.3.1），荷载和强度等级应满足2米、3米和6米（大跨距）支承跨距要求。</w:t>
      </w:r>
    </w:p>
    <w:p>
      <w:pPr>
        <w:autoSpaceDE w:val="0"/>
        <w:autoSpaceDN w:val="0"/>
        <w:adjustRightInd w:val="0"/>
        <w:spacing w:line="360" w:lineRule="auto"/>
        <w:ind w:left="357" w:leftChars="170" w:firstLine="1"/>
        <w:jc w:val="left"/>
        <w:rPr>
          <w:rFonts w:hint="eastAsia" w:ascii="宋体" w:cs="宋体"/>
          <w:kern w:val="0"/>
          <w:sz w:val="24"/>
          <w:highlight w:val="none"/>
        </w:rPr>
      </w:pPr>
      <w:r>
        <w:rPr>
          <w:rFonts w:hint="eastAsia" w:ascii="宋体" w:cs="宋体"/>
          <w:kern w:val="0"/>
          <w:sz w:val="24"/>
          <w:highlight w:val="none"/>
        </w:rPr>
        <w:t xml:space="preserve">     表</w:t>
      </w:r>
      <w:r>
        <w:rPr>
          <w:rFonts w:hint="eastAsia" w:ascii="宋体" w:cs="宋体"/>
          <w:kern w:val="0"/>
          <w:sz w:val="24"/>
          <w:highlight w:val="none"/>
          <w:lang w:val="en-US" w:eastAsia="zh-CN"/>
        </w:rPr>
        <w:t>5.3</w:t>
      </w:r>
      <w:r>
        <w:rPr>
          <w:rFonts w:hint="eastAsia" w:ascii="宋体" w:cs="宋体"/>
          <w:kern w:val="0"/>
          <w:sz w:val="24"/>
          <w:highlight w:val="none"/>
        </w:rPr>
        <w:t>.1荷载等级</w:t>
      </w:r>
    </w:p>
    <w:tbl>
      <w:tblPr>
        <w:tblStyle w:val="63"/>
        <w:tblW w:w="0" w:type="auto"/>
        <w:tblInd w:w="7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992"/>
        <w:gridCol w:w="1276"/>
        <w:gridCol w:w="1134"/>
        <w:gridCol w:w="1147"/>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5"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荷载等级</w:t>
            </w:r>
          </w:p>
        </w:tc>
        <w:tc>
          <w:tcPr>
            <w:tcW w:w="992"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A</w:t>
            </w:r>
          </w:p>
        </w:tc>
        <w:tc>
          <w:tcPr>
            <w:tcW w:w="1276"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A1</w:t>
            </w:r>
          </w:p>
        </w:tc>
        <w:tc>
          <w:tcPr>
            <w:tcW w:w="1134"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B</w:t>
            </w:r>
          </w:p>
        </w:tc>
        <w:tc>
          <w:tcPr>
            <w:tcW w:w="1147"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C</w:t>
            </w:r>
          </w:p>
        </w:tc>
        <w:tc>
          <w:tcPr>
            <w:tcW w:w="1165"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5"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额定均布符合（KN/m）</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（kgf/m）</w:t>
            </w:r>
          </w:p>
        </w:tc>
        <w:tc>
          <w:tcPr>
            <w:tcW w:w="992"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0.5</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（50）</w:t>
            </w:r>
          </w:p>
        </w:tc>
        <w:tc>
          <w:tcPr>
            <w:tcW w:w="1276"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1.0</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（100）</w:t>
            </w:r>
          </w:p>
        </w:tc>
        <w:tc>
          <w:tcPr>
            <w:tcW w:w="1134"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1.5</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（150）</w:t>
            </w:r>
          </w:p>
        </w:tc>
        <w:tc>
          <w:tcPr>
            <w:tcW w:w="1147"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2.0</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（200）</w:t>
            </w:r>
          </w:p>
        </w:tc>
        <w:tc>
          <w:tcPr>
            <w:tcW w:w="1165" w:type="dxa"/>
            <w:noWrap w:val="0"/>
            <w:vAlign w:val="center"/>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2.5</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（250）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highlight w:val="none"/>
          <w:lang w:val="en-US" w:eastAsia="zh-CN"/>
        </w:rPr>
      </w:pPr>
      <w:r>
        <w:rPr>
          <w:rFonts w:hint="eastAsia"/>
          <w:sz w:val="28"/>
          <w:szCs w:val="28"/>
          <w:highlight w:val="none"/>
          <w:lang w:val="en-US" w:eastAsia="zh-CN"/>
        </w:rPr>
        <w:t>5.3.2 梯架直通在承受额定均布载荷时的相对挠度</w:t>
      </w:r>
      <w:r>
        <w:rPr>
          <w:rFonts w:hint="eastAsia" w:ascii="宋体" w:hAnsi="宋体" w:eastAsia="宋体" w:cs="宋体"/>
          <w:sz w:val="28"/>
          <w:szCs w:val="28"/>
          <w:highlight w:val="none"/>
          <w:lang w:val="en-US" w:eastAsia="zh-CN"/>
        </w:rPr>
        <w:t>（跨间最大挠度与跨距之比）</w:t>
      </w:r>
      <w:r>
        <w:rPr>
          <w:rFonts w:hint="eastAsia"/>
          <w:sz w:val="28"/>
          <w:szCs w:val="28"/>
          <w:highlight w:val="none"/>
          <w:lang w:val="en-US" w:eastAsia="zh-CN"/>
        </w:rPr>
        <w:t>不宜大于1/150。</w:t>
      </w:r>
      <w:r>
        <w:rPr>
          <w:rFonts w:hint="eastAsia" w:ascii="宋体" w:hAnsi="宋体" w:eastAsia="宋体" w:cs="宋体"/>
          <w:sz w:val="28"/>
          <w:szCs w:val="28"/>
          <w:highlight w:val="none"/>
          <w:lang w:val="en-US" w:eastAsia="zh-CN"/>
        </w:rPr>
        <w:t>桥架应考虑一定的安全裕度,在安装并敷设完桥架后，桥架任一处不应有明显的变形。其所用连接板、螺栓、螺母的强度也应与上述荷载能力相适应，并考虑一定的安全裕度，安全系数不小于1.5。</w:t>
      </w:r>
    </w:p>
    <w:p>
      <w:pPr>
        <w:autoSpaceDE w:val="0"/>
        <w:autoSpaceDN w:val="0"/>
        <w:adjustRightInd w:val="0"/>
        <w:spacing w:line="360" w:lineRule="auto"/>
        <w:ind w:firstLine="560" w:firstLineChars="200"/>
        <w:jc w:val="left"/>
        <w:rPr>
          <w:rFonts w:hint="eastAsia"/>
          <w:sz w:val="28"/>
          <w:szCs w:val="28"/>
          <w:highlight w:val="none"/>
          <w:lang w:val="en-US" w:eastAsia="zh-CN"/>
        </w:rPr>
      </w:pPr>
      <w:r>
        <w:rPr>
          <w:rFonts w:hint="eastAsia"/>
          <w:sz w:val="28"/>
          <w:szCs w:val="28"/>
          <w:highlight w:val="none"/>
          <w:lang w:val="en-US" w:eastAsia="zh-CN"/>
        </w:rPr>
        <w:t>5.3.3 材料厚度参数及载荷符合表5.3.2要求，其中梯边型材厚度为最低要求，以满足载荷等级要求为前提，当满足载荷要求时梯边型材厚度不得降低，当不满足载荷要求时梯边型材厚度要适当增加。</w:t>
      </w:r>
    </w:p>
    <w:p>
      <w:pPr>
        <w:autoSpaceDE w:val="0"/>
        <w:autoSpaceDN w:val="0"/>
        <w:adjustRightInd w:val="0"/>
        <w:spacing w:line="360" w:lineRule="auto"/>
        <w:ind w:left="359" w:leftChars="171" w:firstLine="960" w:firstLineChars="400"/>
        <w:jc w:val="left"/>
        <w:rPr>
          <w:rFonts w:hint="eastAsia" w:ascii="宋体" w:cs="宋体"/>
          <w:kern w:val="0"/>
          <w:sz w:val="24"/>
          <w:highlight w:val="none"/>
        </w:rPr>
      </w:pPr>
      <w:r>
        <w:rPr>
          <w:rFonts w:hint="eastAsia" w:ascii="宋体" w:cs="宋体"/>
          <w:kern w:val="0"/>
          <w:sz w:val="24"/>
          <w:highlight w:val="none"/>
        </w:rPr>
        <w:t>表</w:t>
      </w:r>
      <w:r>
        <w:rPr>
          <w:rFonts w:hint="eastAsia" w:ascii="宋体" w:cs="宋体"/>
          <w:kern w:val="0"/>
          <w:sz w:val="24"/>
          <w:highlight w:val="none"/>
          <w:lang w:val="en-US" w:eastAsia="zh-CN"/>
        </w:rPr>
        <w:t>5.3</w:t>
      </w:r>
      <w:r>
        <w:rPr>
          <w:rFonts w:hint="eastAsia" w:ascii="宋体" w:cs="宋体"/>
          <w:kern w:val="0"/>
          <w:sz w:val="24"/>
          <w:highlight w:val="none"/>
        </w:rPr>
        <w:t>.2材料厚度与载荷对应表                      单位：mm</w:t>
      </w:r>
    </w:p>
    <w:tbl>
      <w:tblPr>
        <w:tblStyle w:val="63"/>
        <w:tblW w:w="0" w:type="auto"/>
        <w:tblInd w:w="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2537"/>
        <w:gridCol w:w="1417"/>
        <w:gridCol w:w="851"/>
        <w:gridCol w:w="850"/>
        <w:gridCol w:w="70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noWrap w:val="0"/>
            <w:vAlign w:val="top"/>
          </w:tcPr>
          <w:p>
            <w:pPr>
              <w:autoSpaceDE w:val="0"/>
              <w:autoSpaceDN w:val="0"/>
              <w:adjustRightInd w:val="0"/>
              <w:spacing w:line="360" w:lineRule="auto"/>
              <w:jc w:val="center"/>
              <w:rPr>
                <w:rFonts w:hint="eastAsia" w:ascii="宋体" w:cs="宋体"/>
                <w:b/>
                <w:kern w:val="0"/>
                <w:sz w:val="24"/>
                <w:highlight w:val="none"/>
              </w:rPr>
            </w:pPr>
            <w:r>
              <w:rPr>
                <w:rFonts w:hint="eastAsia" w:ascii="宋体" w:cs="宋体"/>
                <w:b/>
                <w:kern w:val="0"/>
                <w:sz w:val="24"/>
                <w:highlight w:val="none"/>
              </w:rPr>
              <w:t>桥架跨距（L）</w:t>
            </w:r>
          </w:p>
        </w:tc>
        <w:tc>
          <w:tcPr>
            <w:tcW w:w="2537" w:type="dxa"/>
            <w:noWrap w:val="0"/>
            <w:vAlign w:val="top"/>
          </w:tcPr>
          <w:p>
            <w:pPr>
              <w:autoSpaceDE w:val="0"/>
              <w:autoSpaceDN w:val="0"/>
              <w:adjustRightInd w:val="0"/>
              <w:spacing w:line="360" w:lineRule="auto"/>
              <w:jc w:val="center"/>
              <w:rPr>
                <w:rFonts w:hint="eastAsia" w:ascii="宋体" w:cs="宋体"/>
                <w:b/>
                <w:kern w:val="0"/>
                <w:sz w:val="24"/>
                <w:highlight w:val="none"/>
              </w:rPr>
            </w:pPr>
            <w:r>
              <w:rPr>
                <w:rFonts w:hint="eastAsia" w:ascii="宋体" w:cs="宋体"/>
                <w:b/>
                <w:kern w:val="0"/>
                <w:sz w:val="24"/>
                <w:highlight w:val="none"/>
              </w:rPr>
              <w:t>桥架宽度（W）</w:t>
            </w:r>
          </w:p>
        </w:tc>
        <w:tc>
          <w:tcPr>
            <w:tcW w:w="1417" w:type="dxa"/>
            <w:noWrap w:val="0"/>
            <w:vAlign w:val="top"/>
          </w:tcPr>
          <w:p>
            <w:pPr>
              <w:autoSpaceDE w:val="0"/>
              <w:autoSpaceDN w:val="0"/>
              <w:adjustRightInd w:val="0"/>
              <w:spacing w:line="360" w:lineRule="auto"/>
              <w:jc w:val="center"/>
              <w:rPr>
                <w:rFonts w:ascii="宋体" w:cs="宋体"/>
                <w:b/>
                <w:kern w:val="0"/>
                <w:sz w:val="24"/>
                <w:highlight w:val="none"/>
              </w:rPr>
            </w:pPr>
            <w:r>
              <w:rPr>
                <w:rFonts w:hint="eastAsia" w:ascii="宋体" w:cs="宋体"/>
                <w:b/>
                <w:kern w:val="0"/>
                <w:sz w:val="24"/>
                <w:highlight w:val="none"/>
              </w:rPr>
              <w:t>梯边型材厚度</w:t>
            </w:r>
          </w:p>
        </w:tc>
        <w:tc>
          <w:tcPr>
            <w:tcW w:w="851" w:type="dxa"/>
            <w:noWrap w:val="0"/>
            <w:vAlign w:val="top"/>
          </w:tcPr>
          <w:p>
            <w:pPr>
              <w:autoSpaceDE w:val="0"/>
              <w:autoSpaceDN w:val="0"/>
              <w:adjustRightInd w:val="0"/>
              <w:spacing w:line="360" w:lineRule="auto"/>
              <w:jc w:val="center"/>
              <w:rPr>
                <w:rFonts w:hint="eastAsia" w:ascii="宋体" w:cs="宋体"/>
                <w:b/>
                <w:kern w:val="0"/>
                <w:sz w:val="24"/>
                <w:highlight w:val="none"/>
              </w:rPr>
            </w:pPr>
            <w:r>
              <w:rPr>
                <w:rFonts w:hint="eastAsia" w:ascii="宋体" w:cs="宋体"/>
                <w:b/>
                <w:kern w:val="0"/>
                <w:sz w:val="24"/>
                <w:highlight w:val="none"/>
              </w:rPr>
              <w:t>盖板厚度</w:t>
            </w:r>
          </w:p>
        </w:tc>
        <w:tc>
          <w:tcPr>
            <w:tcW w:w="850" w:type="dxa"/>
            <w:noWrap w:val="0"/>
            <w:vAlign w:val="top"/>
          </w:tcPr>
          <w:p>
            <w:pPr>
              <w:autoSpaceDE w:val="0"/>
              <w:autoSpaceDN w:val="0"/>
              <w:adjustRightInd w:val="0"/>
              <w:spacing w:line="360" w:lineRule="auto"/>
              <w:jc w:val="center"/>
              <w:rPr>
                <w:rFonts w:hint="eastAsia" w:ascii="宋体" w:cs="宋体"/>
                <w:b/>
                <w:kern w:val="0"/>
                <w:sz w:val="24"/>
                <w:highlight w:val="none"/>
              </w:rPr>
            </w:pPr>
            <w:r>
              <w:rPr>
                <w:rFonts w:hint="eastAsia" w:ascii="宋体" w:cs="宋体"/>
                <w:b/>
                <w:kern w:val="0"/>
                <w:sz w:val="24"/>
                <w:highlight w:val="none"/>
              </w:rPr>
              <w:t>底板厚度</w:t>
            </w:r>
          </w:p>
        </w:tc>
        <w:tc>
          <w:tcPr>
            <w:tcW w:w="709" w:type="dxa"/>
            <w:noWrap w:val="0"/>
            <w:vAlign w:val="top"/>
          </w:tcPr>
          <w:p>
            <w:pPr>
              <w:autoSpaceDE w:val="0"/>
              <w:autoSpaceDN w:val="0"/>
              <w:adjustRightInd w:val="0"/>
              <w:spacing w:line="360" w:lineRule="auto"/>
              <w:jc w:val="center"/>
              <w:rPr>
                <w:rFonts w:hint="eastAsia" w:ascii="宋体" w:cs="宋体"/>
                <w:b/>
                <w:kern w:val="0"/>
                <w:sz w:val="24"/>
                <w:highlight w:val="none"/>
              </w:rPr>
            </w:pPr>
            <w:r>
              <w:rPr>
                <w:rFonts w:hint="eastAsia" w:ascii="宋体" w:cs="宋体"/>
                <w:b/>
                <w:kern w:val="0"/>
                <w:sz w:val="24"/>
                <w:highlight w:val="none"/>
              </w:rPr>
              <w:t>载荷等级</w:t>
            </w:r>
          </w:p>
        </w:tc>
        <w:tc>
          <w:tcPr>
            <w:tcW w:w="851" w:type="dxa"/>
            <w:noWrap w:val="0"/>
            <w:vAlign w:val="top"/>
          </w:tcPr>
          <w:p>
            <w:pPr>
              <w:autoSpaceDE w:val="0"/>
              <w:autoSpaceDN w:val="0"/>
              <w:adjustRightInd w:val="0"/>
              <w:spacing w:line="360" w:lineRule="auto"/>
              <w:jc w:val="center"/>
              <w:rPr>
                <w:rFonts w:ascii="宋体" w:cs="宋体"/>
                <w:b/>
                <w:kern w:val="0"/>
                <w:sz w:val="24"/>
                <w:highlight w:val="none"/>
              </w:rPr>
            </w:pPr>
            <w:r>
              <w:rPr>
                <w:rFonts w:hint="eastAsia" w:ascii="宋体" w:cs="宋体"/>
                <w:b/>
                <w:kern w:val="0"/>
                <w:sz w:val="24"/>
                <w:highlight w:val="none"/>
              </w:rPr>
              <w:t>抱箍宽度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restart"/>
            <w:noWrap w:val="0"/>
            <w:vAlign w:val="top"/>
          </w:tcPr>
          <w:p>
            <w:pPr>
              <w:autoSpaceDE w:val="0"/>
              <w:autoSpaceDN w:val="0"/>
              <w:adjustRightInd w:val="0"/>
              <w:spacing w:line="360" w:lineRule="auto"/>
              <w:jc w:val="center"/>
              <w:rPr>
                <w:rFonts w:ascii="宋体" w:cs="宋体"/>
                <w:kern w:val="0"/>
                <w:sz w:val="24"/>
                <w:highlight w:val="none"/>
              </w:rPr>
            </w:pPr>
            <w:r>
              <w:rPr>
                <w:rFonts w:ascii="宋体" w:cs="宋体"/>
                <w:kern w:val="0"/>
                <w:sz w:val="24"/>
                <w:highlight w:val="none"/>
              </w:rPr>
              <w:t>L=2000</w:t>
            </w:r>
          </w:p>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L=3000</w:t>
            </w:r>
          </w:p>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w≤100</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851"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850"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ascii="宋体" w:cs="宋体"/>
                <w:kern w:val="0"/>
                <w:sz w:val="24"/>
                <w:highlight w:val="none"/>
              </w:rPr>
              <w:t>A</w:t>
            </w:r>
            <w:r>
              <w:rPr>
                <w:rFonts w:hint="eastAsia" w:ascii="宋体" w:cs="宋体"/>
                <w:kern w:val="0"/>
                <w:sz w:val="24"/>
                <w:highlight w:val="none"/>
              </w:rPr>
              <w:t>1</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100</w:t>
            </w:r>
            <w:r>
              <w:rPr>
                <w:rFonts w:ascii="宋体" w:cs="宋体"/>
                <w:kern w:val="0"/>
                <w:sz w:val="24"/>
                <w:highlight w:val="none"/>
              </w:rPr>
              <w:t>mm</w:t>
            </w:r>
            <w:r>
              <w:rPr>
                <w:rFonts w:hint="eastAsia" w:ascii="宋体" w:cs="宋体"/>
                <w:kern w:val="0"/>
                <w:sz w:val="24"/>
                <w:highlight w:val="none"/>
              </w:rPr>
              <w:t>＜w≤</w:t>
            </w:r>
            <w:r>
              <w:rPr>
                <w:rFonts w:ascii="宋体" w:cs="宋体"/>
                <w:kern w:val="0"/>
                <w:sz w:val="24"/>
                <w:highlight w:val="none"/>
              </w:rPr>
              <w:t>200m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851"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850"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ascii="宋体" w:cs="宋体"/>
                <w:kern w:val="0"/>
                <w:sz w:val="24"/>
                <w:highlight w:val="none"/>
              </w:rPr>
              <w:t>A</w:t>
            </w:r>
            <w:r>
              <w:rPr>
                <w:rFonts w:hint="eastAsia" w:ascii="宋体" w:cs="宋体"/>
                <w:kern w:val="0"/>
                <w:sz w:val="24"/>
                <w:highlight w:val="none"/>
              </w:rPr>
              <w:t>1</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ascii="宋体" w:cs="宋体"/>
                <w:kern w:val="0"/>
                <w:sz w:val="24"/>
                <w:highlight w:val="none"/>
              </w:rPr>
              <w:t>200m</w:t>
            </w:r>
            <w:r>
              <w:rPr>
                <w:rFonts w:hint="eastAsia" w:ascii="宋体" w:cs="宋体"/>
                <w:kern w:val="0"/>
                <w:sz w:val="24"/>
                <w:highlight w:val="none"/>
              </w:rPr>
              <w:t>＜w＜600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2.5</w:t>
            </w:r>
          </w:p>
        </w:tc>
        <w:tc>
          <w:tcPr>
            <w:tcW w:w="851" w:type="dxa"/>
            <w:noWrap w:val="0"/>
            <w:vAlign w:val="top"/>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2.5</w:t>
            </w:r>
          </w:p>
        </w:tc>
        <w:tc>
          <w:tcPr>
            <w:tcW w:w="850" w:type="dxa"/>
            <w:noWrap w:val="0"/>
            <w:vAlign w:val="top"/>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2.0</w:t>
            </w:r>
          </w:p>
        </w:tc>
        <w:tc>
          <w:tcPr>
            <w:tcW w:w="709" w:type="dxa"/>
            <w:noWrap w:val="0"/>
            <w:vAlign w:val="top"/>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B</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6</w:t>
            </w:r>
            <w:r>
              <w:rPr>
                <w:rFonts w:ascii="宋体" w:cs="宋体"/>
                <w:kern w:val="0"/>
                <w:sz w:val="24"/>
                <w:highlight w:val="none"/>
              </w:rPr>
              <w:t>00m</w:t>
            </w:r>
            <w:r>
              <w:rPr>
                <w:rFonts w:hint="eastAsia" w:ascii="宋体" w:cs="宋体"/>
                <w:kern w:val="0"/>
                <w:sz w:val="24"/>
                <w:highlight w:val="none"/>
              </w:rPr>
              <w:t>≤w≤800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3.0</w:t>
            </w:r>
          </w:p>
        </w:tc>
        <w:tc>
          <w:tcPr>
            <w:tcW w:w="851"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3.0</w:t>
            </w:r>
          </w:p>
        </w:tc>
        <w:tc>
          <w:tcPr>
            <w:tcW w:w="850"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C</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w＞8000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3.5</w:t>
            </w:r>
          </w:p>
        </w:tc>
        <w:tc>
          <w:tcPr>
            <w:tcW w:w="851"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3.5</w:t>
            </w:r>
          </w:p>
        </w:tc>
        <w:tc>
          <w:tcPr>
            <w:tcW w:w="850"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2.0</w:t>
            </w: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D</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restart"/>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L=</w:t>
            </w:r>
            <w:r>
              <w:rPr>
                <w:rFonts w:ascii="宋体" w:cs="宋体"/>
                <w:kern w:val="0"/>
                <w:sz w:val="24"/>
                <w:highlight w:val="none"/>
              </w:rPr>
              <w:t xml:space="preserve"> </w:t>
            </w:r>
            <w:r>
              <w:rPr>
                <w:rFonts w:hint="eastAsia" w:ascii="宋体" w:cs="宋体"/>
                <w:kern w:val="0"/>
                <w:sz w:val="24"/>
                <w:highlight w:val="none"/>
              </w:rPr>
              <w:t>4</w:t>
            </w:r>
            <w:r>
              <w:rPr>
                <w:rFonts w:ascii="宋体" w:cs="宋体"/>
                <w:kern w:val="0"/>
                <w:sz w:val="24"/>
                <w:highlight w:val="none"/>
              </w:rPr>
              <w:t>000</w:t>
            </w:r>
          </w:p>
          <w:p>
            <w:pPr>
              <w:autoSpaceDE w:val="0"/>
              <w:autoSpaceDN w:val="0"/>
              <w:adjustRightInd w:val="0"/>
              <w:spacing w:line="360" w:lineRule="auto"/>
              <w:jc w:val="center"/>
              <w:rPr>
                <w:rFonts w:ascii="宋体" w:cs="宋体"/>
                <w:kern w:val="0"/>
                <w:sz w:val="24"/>
                <w:highlight w:val="none"/>
              </w:rPr>
            </w:pPr>
            <w:r>
              <w:rPr>
                <w:rFonts w:ascii="宋体" w:cs="宋体"/>
                <w:kern w:val="0"/>
                <w:sz w:val="24"/>
                <w:highlight w:val="none"/>
              </w:rPr>
              <w:t>L= 6000</w:t>
            </w: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w≤400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ascii="宋体" w:cs="宋体"/>
                <w:kern w:val="0"/>
                <w:sz w:val="24"/>
                <w:highlight w:val="none"/>
              </w:rPr>
              <w:t>1.5mm</w:t>
            </w:r>
            <w:r>
              <w:rPr>
                <w:rFonts w:hint="eastAsia" w:ascii="宋体" w:cs="宋体"/>
                <w:kern w:val="0"/>
                <w:sz w:val="24"/>
                <w:highlight w:val="none"/>
              </w:rPr>
              <w:t>×</w:t>
            </w:r>
            <w:r>
              <w:rPr>
                <w:rFonts w:ascii="宋体" w:cs="宋体"/>
                <w:kern w:val="0"/>
                <w:sz w:val="24"/>
                <w:highlight w:val="none"/>
              </w:rPr>
              <w:t>2</w:t>
            </w:r>
          </w:p>
        </w:tc>
        <w:tc>
          <w:tcPr>
            <w:tcW w:w="1701" w:type="dxa"/>
            <w:gridSpan w:val="2"/>
            <w:vMerge w:val="restart"/>
            <w:noWrap w:val="0"/>
            <w:vAlign w:val="top"/>
          </w:tcPr>
          <w:p>
            <w:pPr>
              <w:autoSpaceDE w:val="0"/>
              <w:autoSpaceDN w:val="0"/>
              <w:adjustRightInd w:val="0"/>
              <w:spacing w:line="360" w:lineRule="auto"/>
              <w:jc w:val="center"/>
              <w:rPr>
                <w:rFonts w:hint="eastAsia" w:ascii="宋体" w:cs="宋体" w:eastAsiaTheme="minorEastAsia"/>
                <w:kern w:val="0"/>
                <w:sz w:val="24"/>
                <w:highlight w:val="none"/>
                <w:lang w:val="en-US" w:eastAsia="zh-CN"/>
              </w:rPr>
            </w:pPr>
            <w:r>
              <w:rPr>
                <w:rFonts w:hint="eastAsia" w:ascii="宋体" w:cs="宋体"/>
                <w:kern w:val="0"/>
                <w:sz w:val="24"/>
                <w:highlight w:val="none"/>
              </w:rPr>
              <w:t>盖板与底板厚度与跨距为2000的要求一</w:t>
            </w:r>
            <w:r>
              <w:rPr>
                <w:rFonts w:hint="eastAsia" w:ascii="宋体" w:cs="宋体"/>
                <w:kern w:val="0"/>
                <w:sz w:val="24"/>
                <w:highlight w:val="none"/>
                <w:lang w:val="en-US" w:eastAsia="zh-CN"/>
              </w:rPr>
              <w:t>致</w:t>
            </w: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B</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4</w:t>
            </w:r>
            <w:r>
              <w:rPr>
                <w:rFonts w:ascii="宋体" w:cs="宋体"/>
                <w:kern w:val="0"/>
                <w:sz w:val="24"/>
                <w:highlight w:val="none"/>
              </w:rPr>
              <w:t>00mm</w:t>
            </w:r>
            <w:r>
              <w:rPr>
                <w:rFonts w:hint="eastAsia" w:ascii="宋体" w:cs="宋体"/>
                <w:kern w:val="0"/>
                <w:sz w:val="24"/>
                <w:highlight w:val="none"/>
              </w:rPr>
              <w:t>＜w≤600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2</w:t>
            </w:r>
            <w:r>
              <w:rPr>
                <w:rFonts w:ascii="宋体" w:cs="宋体"/>
                <w:kern w:val="0"/>
                <w:sz w:val="24"/>
                <w:highlight w:val="none"/>
              </w:rPr>
              <w:t>.</w:t>
            </w:r>
            <w:r>
              <w:rPr>
                <w:rFonts w:hint="eastAsia" w:ascii="宋体" w:cs="宋体"/>
                <w:kern w:val="0"/>
                <w:sz w:val="24"/>
                <w:highlight w:val="none"/>
              </w:rPr>
              <w:t>0</w:t>
            </w:r>
            <w:r>
              <w:rPr>
                <w:rFonts w:ascii="宋体" w:cs="宋体"/>
                <w:kern w:val="0"/>
                <w:sz w:val="24"/>
                <w:highlight w:val="none"/>
              </w:rPr>
              <w:t>mm</w:t>
            </w:r>
            <w:r>
              <w:rPr>
                <w:rFonts w:hint="eastAsia" w:ascii="宋体" w:cs="宋体"/>
                <w:kern w:val="0"/>
                <w:sz w:val="24"/>
                <w:highlight w:val="none"/>
              </w:rPr>
              <w:t>×</w:t>
            </w:r>
            <w:r>
              <w:rPr>
                <w:rFonts w:ascii="宋体" w:cs="宋体"/>
                <w:kern w:val="0"/>
                <w:sz w:val="24"/>
                <w:highlight w:val="none"/>
              </w:rPr>
              <w:t>2</w:t>
            </w:r>
          </w:p>
        </w:tc>
        <w:tc>
          <w:tcPr>
            <w:tcW w:w="1701" w:type="dxa"/>
            <w:gridSpan w:val="2"/>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C</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6</w:t>
            </w:r>
            <w:r>
              <w:rPr>
                <w:rFonts w:ascii="宋体" w:cs="宋体"/>
                <w:kern w:val="0"/>
                <w:sz w:val="24"/>
                <w:highlight w:val="none"/>
              </w:rPr>
              <w:t>00mm</w:t>
            </w:r>
            <w:r>
              <w:rPr>
                <w:rFonts w:hint="eastAsia" w:ascii="宋体" w:cs="宋体"/>
                <w:kern w:val="0"/>
                <w:sz w:val="24"/>
                <w:highlight w:val="none"/>
              </w:rPr>
              <w:t>＜w≤800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hint="eastAsia" w:ascii="宋体" w:cs="宋体"/>
                <w:kern w:val="0"/>
                <w:sz w:val="24"/>
                <w:highlight w:val="none"/>
              </w:rPr>
            </w:pPr>
            <w:r>
              <w:rPr>
                <w:rFonts w:ascii="宋体" w:cs="宋体"/>
                <w:kern w:val="0"/>
                <w:sz w:val="24"/>
                <w:highlight w:val="none"/>
              </w:rPr>
              <w:t>2.</w:t>
            </w:r>
            <w:r>
              <w:rPr>
                <w:rFonts w:hint="eastAsia" w:ascii="宋体" w:cs="宋体"/>
                <w:kern w:val="0"/>
                <w:sz w:val="24"/>
                <w:highlight w:val="none"/>
              </w:rPr>
              <w:t>5</w:t>
            </w:r>
            <w:r>
              <w:rPr>
                <w:rFonts w:ascii="宋体" w:cs="宋体"/>
                <w:kern w:val="0"/>
                <w:sz w:val="24"/>
                <w:highlight w:val="none"/>
              </w:rPr>
              <w:t>mm</w:t>
            </w:r>
            <w:r>
              <w:rPr>
                <w:rFonts w:hint="eastAsia" w:ascii="宋体" w:cs="宋体"/>
                <w:kern w:val="0"/>
                <w:sz w:val="24"/>
                <w:highlight w:val="none"/>
              </w:rPr>
              <w:t>×</w:t>
            </w:r>
            <w:r>
              <w:rPr>
                <w:rFonts w:ascii="宋体" w:cs="宋体"/>
                <w:kern w:val="0"/>
                <w:sz w:val="24"/>
                <w:highlight w:val="none"/>
              </w:rPr>
              <w:t>2</w:t>
            </w:r>
          </w:p>
        </w:tc>
        <w:tc>
          <w:tcPr>
            <w:tcW w:w="1701" w:type="dxa"/>
            <w:gridSpan w:val="2"/>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709"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 xml:space="preserve">D </w:t>
            </w: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 w:type="dxa"/>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2537" w:type="dxa"/>
            <w:noWrap w:val="0"/>
            <w:vAlign w:val="top"/>
          </w:tcPr>
          <w:p>
            <w:pPr>
              <w:autoSpaceDE w:val="0"/>
              <w:autoSpaceDN w:val="0"/>
              <w:adjustRightInd w:val="0"/>
              <w:spacing w:line="360" w:lineRule="auto"/>
              <w:jc w:val="center"/>
              <w:rPr>
                <w:rFonts w:hint="eastAsia" w:ascii="宋体" w:cs="宋体"/>
                <w:kern w:val="0"/>
                <w:sz w:val="24"/>
                <w:highlight w:val="none"/>
              </w:rPr>
            </w:pPr>
            <w:r>
              <w:rPr>
                <w:rFonts w:hint="eastAsia" w:ascii="宋体" w:cs="宋体"/>
                <w:kern w:val="0"/>
                <w:sz w:val="24"/>
                <w:highlight w:val="none"/>
              </w:rPr>
              <w:t>w＞8000</w:t>
            </w:r>
            <w:r>
              <w:rPr>
                <w:rFonts w:ascii="宋体" w:cs="宋体"/>
                <w:kern w:val="0"/>
                <w:sz w:val="24"/>
                <w:highlight w:val="none"/>
              </w:rPr>
              <w:t>mm</w:t>
            </w:r>
          </w:p>
        </w:tc>
        <w:tc>
          <w:tcPr>
            <w:tcW w:w="1417" w:type="dxa"/>
            <w:noWrap w:val="0"/>
            <w:vAlign w:val="top"/>
          </w:tcPr>
          <w:p>
            <w:pPr>
              <w:autoSpaceDE w:val="0"/>
              <w:autoSpaceDN w:val="0"/>
              <w:adjustRightInd w:val="0"/>
              <w:spacing w:line="360" w:lineRule="auto"/>
              <w:jc w:val="center"/>
              <w:rPr>
                <w:rFonts w:ascii="宋体" w:cs="宋体"/>
                <w:kern w:val="0"/>
                <w:sz w:val="24"/>
                <w:highlight w:val="none"/>
              </w:rPr>
            </w:pPr>
            <w:r>
              <w:rPr>
                <w:rFonts w:hint="eastAsia" w:ascii="宋体" w:cs="宋体"/>
                <w:kern w:val="0"/>
                <w:sz w:val="24"/>
                <w:highlight w:val="none"/>
              </w:rPr>
              <w:t>3.0×</w:t>
            </w:r>
            <w:r>
              <w:rPr>
                <w:rFonts w:ascii="宋体" w:cs="宋体"/>
                <w:kern w:val="0"/>
                <w:sz w:val="24"/>
                <w:highlight w:val="none"/>
              </w:rPr>
              <w:t>2</w:t>
            </w:r>
          </w:p>
        </w:tc>
        <w:tc>
          <w:tcPr>
            <w:tcW w:w="1701" w:type="dxa"/>
            <w:gridSpan w:val="2"/>
            <w:vMerge w:val="continue"/>
            <w:noWrap w:val="0"/>
            <w:vAlign w:val="top"/>
          </w:tcPr>
          <w:p>
            <w:pPr>
              <w:autoSpaceDE w:val="0"/>
              <w:autoSpaceDN w:val="0"/>
              <w:adjustRightInd w:val="0"/>
              <w:spacing w:line="360" w:lineRule="auto"/>
              <w:jc w:val="center"/>
              <w:rPr>
                <w:rFonts w:ascii="宋体" w:cs="宋体"/>
                <w:kern w:val="0"/>
                <w:sz w:val="24"/>
                <w:highlight w:val="none"/>
              </w:rPr>
            </w:pPr>
          </w:p>
        </w:tc>
        <w:tc>
          <w:tcPr>
            <w:tcW w:w="709" w:type="dxa"/>
            <w:noWrap w:val="0"/>
            <w:vAlign w:val="top"/>
          </w:tcPr>
          <w:p>
            <w:pPr>
              <w:autoSpaceDE w:val="0"/>
              <w:autoSpaceDN w:val="0"/>
              <w:adjustRightInd w:val="0"/>
              <w:spacing w:line="360" w:lineRule="auto"/>
              <w:jc w:val="center"/>
              <w:rPr>
                <w:rFonts w:hint="eastAsia" w:ascii="宋体" w:cs="宋体"/>
                <w:kern w:val="0"/>
                <w:sz w:val="24"/>
                <w:highlight w:val="none"/>
              </w:rPr>
            </w:pPr>
          </w:p>
        </w:tc>
        <w:tc>
          <w:tcPr>
            <w:tcW w:w="851" w:type="dxa"/>
            <w:noWrap w:val="0"/>
            <w:vAlign w:val="top"/>
          </w:tcPr>
          <w:p>
            <w:pPr>
              <w:widowControl/>
              <w:jc w:val="left"/>
              <w:rPr>
                <w:rFonts w:ascii="宋体" w:cs="宋体"/>
                <w:kern w:val="0"/>
                <w:sz w:val="24"/>
                <w:highlight w:val="none"/>
              </w:rPr>
            </w:pPr>
            <w:r>
              <w:rPr>
                <w:rFonts w:hint="eastAsia" w:ascii="宋体" w:cs="宋体"/>
                <w:kern w:val="0"/>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239" w:type="dxa"/>
            <w:gridSpan w:val="7"/>
            <w:noWrap w:val="0"/>
            <w:vAlign w:val="top"/>
          </w:tcPr>
          <w:p>
            <w:pPr>
              <w:autoSpaceDE w:val="0"/>
              <w:autoSpaceDN w:val="0"/>
              <w:adjustRightInd w:val="0"/>
              <w:spacing w:line="360" w:lineRule="auto"/>
              <w:rPr>
                <w:rFonts w:hint="eastAsia" w:ascii="宋体" w:cs="宋体"/>
                <w:kern w:val="0"/>
                <w:sz w:val="24"/>
                <w:highlight w:val="none"/>
              </w:rPr>
            </w:pPr>
            <w:r>
              <w:rPr>
                <w:rFonts w:hint="eastAsia" w:ascii="宋体" w:cs="宋体"/>
                <w:kern w:val="0"/>
                <w:sz w:val="24"/>
                <w:highlight w:val="none"/>
              </w:rPr>
              <w:t>注：1.弯通、三通、四通、变通等，其技术要求同上。</w:t>
            </w:r>
          </w:p>
          <w:p>
            <w:pPr>
              <w:autoSpaceDE w:val="0"/>
              <w:autoSpaceDN w:val="0"/>
              <w:adjustRightInd w:val="0"/>
              <w:spacing w:line="360" w:lineRule="auto"/>
              <w:ind w:firstLine="480" w:firstLineChars="200"/>
              <w:rPr>
                <w:rFonts w:hint="eastAsia" w:ascii="宋体" w:cs="宋体"/>
                <w:kern w:val="0"/>
                <w:sz w:val="24"/>
                <w:highlight w:val="none"/>
              </w:rPr>
            </w:pPr>
            <w:r>
              <w:rPr>
                <w:rFonts w:hint="eastAsia" w:ascii="宋体" w:cs="宋体"/>
                <w:kern w:val="0"/>
                <w:sz w:val="24"/>
                <w:highlight w:val="none"/>
              </w:rPr>
              <w:t>2.抱箍厚度12mm宽度的不得小于0.5mm，18mm宽度的不得小于0.9mm。</w:t>
            </w:r>
          </w:p>
          <w:p>
            <w:pPr>
              <w:autoSpaceDE w:val="0"/>
              <w:autoSpaceDN w:val="0"/>
              <w:adjustRightInd w:val="0"/>
              <w:spacing w:line="360" w:lineRule="auto"/>
              <w:ind w:firstLine="480" w:firstLineChars="200"/>
              <w:rPr>
                <w:rFonts w:ascii="宋体" w:cs="宋体"/>
                <w:kern w:val="0"/>
                <w:sz w:val="24"/>
                <w:highlight w:val="none"/>
              </w:rPr>
            </w:pPr>
            <w:r>
              <w:rPr>
                <w:rFonts w:hint="eastAsia" w:ascii="宋体" w:cs="宋体"/>
                <w:kern w:val="0"/>
                <w:sz w:val="24"/>
                <w:highlight w:val="none"/>
              </w:rPr>
              <w:t>3.以上各厚度指标为最低要求，当此厚度不能满足载荷要求时，以载荷要求为准。</w:t>
            </w:r>
          </w:p>
        </w:tc>
      </w:tr>
    </w:tbl>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 xml:space="preserve">5.4 </w:t>
      </w:r>
      <w:r>
        <w:rPr>
          <w:rFonts w:hint="default" w:ascii="宋体" w:hAnsi="宋体" w:eastAsia="宋体" w:cs="宋体"/>
          <w:b w:val="0"/>
          <w:bCs w:val="0"/>
          <w:sz w:val="28"/>
          <w:szCs w:val="28"/>
          <w:highlight w:val="none"/>
          <w:lang w:val="en-US" w:eastAsia="zh-CN"/>
        </w:rPr>
        <w:t xml:space="preserve">接地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5.4.1 铝合金电缆桥架应具有可靠的接地标记和电气连接，并接地；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5.4.2 铝合金电缆桥架的伸缩缝处，应配置伸缩连接板；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5.4.3 对允许利用铝合金电缆桥架系统构成接地干线回路的，应符合下列要求：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——桥架端部之间连接电阻，应≤0.00033Ω；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——桥架的金属横截面积，应符合标准CECS 106表4.7.2-1的规定。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 xml:space="preserve">    制造厂应明确桥架纵向的最小金属横截面积。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5.4.4 每个桥架部分（包括每节直通桥架、每个弯通等）的两端均应在双侧设置接地孔，适于6mm2（桥架宽度≤300mm）、10mm2（宽度≥400mm黄绿导线跨接（并附铜连接端子），以保证桥架整体的接地连续性；跨接线连接处均应做镀锡处理。电缆桥架跨接接地用黄绿色绝缘导线及连接螺栓属于制造厂供货范围。要求所有桥架要配齐跨接线，包括直通、弯通及变通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sz w:val="28"/>
          <w:szCs w:val="28"/>
          <w:highlight w:val="none"/>
          <w:lang w:val="en-US" w:eastAsia="zh-CN"/>
        </w:rPr>
      </w:pPr>
      <w:r>
        <w:rPr>
          <w:rFonts w:hint="eastAsia"/>
          <w:sz w:val="28"/>
          <w:szCs w:val="28"/>
          <w:highlight w:val="none"/>
          <w:lang w:val="en-US" w:eastAsia="zh-CN"/>
        </w:rPr>
        <w:t>5.4.5</w:t>
      </w:r>
      <w:r>
        <w:rPr>
          <w:rFonts w:hint="default"/>
          <w:sz w:val="28"/>
          <w:szCs w:val="28"/>
          <w:highlight w:val="none"/>
          <w:lang w:val="en-US" w:eastAsia="zh-CN"/>
        </w:rPr>
        <w:t xml:space="preserve">桥架每节直通、弯通配 2根跨接接地线，安装每节两端两侧；每节三通配3根跨接接地线，每节四通配4根跨接接地线。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textAlignment w:val="auto"/>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lang w:val="en-US" w:eastAsia="zh-CN"/>
        </w:rPr>
        <w:t>5.5</w:t>
      </w:r>
      <w:r>
        <w:rPr>
          <w:rFonts w:hint="eastAsia" w:ascii="宋体" w:hAnsi="宋体" w:eastAsia="宋体" w:cs="宋体"/>
          <w:sz w:val="28"/>
          <w:szCs w:val="28"/>
          <w:highlight w:val="none"/>
          <w:lang w:val="en-US" w:eastAsia="zh-CN"/>
        </w:rPr>
        <w:t>表面处理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r>
        <w:rPr>
          <w:rFonts w:hint="default" w:ascii="宋体" w:hAnsi="宋体" w:eastAsia="宋体" w:cs="宋体"/>
          <w:sz w:val="28"/>
          <w:szCs w:val="28"/>
          <w:highlight w:val="none"/>
          <w:lang w:val="en-US" w:eastAsia="zh-CN"/>
        </w:rPr>
        <w:t xml:space="preserve">.5.1 </w:t>
      </w:r>
      <w:r>
        <w:rPr>
          <w:rFonts w:hint="eastAsia" w:ascii="宋体" w:hAnsi="宋体" w:eastAsia="宋体" w:cs="宋体"/>
          <w:b w:val="0"/>
          <w:bCs w:val="0"/>
          <w:sz w:val="28"/>
          <w:szCs w:val="28"/>
          <w:highlight w:val="none"/>
          <w:lang w:val="en-US" w:eastAsia="zh-CN"/>
        </w:rPr>
        <w:t xml:space="preserve"> </w:t>
      </w:r>
      <w:r>
        <w:rPr>
          <w:rFonts w:hint="default" w:ascii="宋体" w:hAnsi="宋体" w:eastAsia="宋体" w:cs="宋体"/>
          <w:b w:val="0"/>
          <w:bCs w:val="0"/>
          <w:sz w:val="28"/>
          <w:szCs w:val="28"/>
          <w:highlight w:val="none"/>
          <w:lang w:val="en-US" w:eastAsia="zh-CN"/>
        </w:rPr>
        <w:t>★</w:t>
      </w:r>
      <w:r>
        <w:rPr>
          <w:rFonts w:hint="eastAsia" w:ascii="宋体" w:hAnsi="宋体" w:eastAsia="宋体" w:cs="宋体"/>
          <w:sz w:val="28"/>
          <w:szCs w:val="28"/>
          <w:highlight w:val="none"/>
          <w:lang w:val="en-US" w:eastAsia="zh-CN"/>
        </w:rPr>
        <w:t>铝合金槽式桥架的梯边、横档、盖板、底板、隔板、直接板、弯接板、调节板、伸缩板、终端封板、固定压板的表面处理采用表面阳极氧化处理。对轻腐蚀型、中等腐蚀型及海洋型环境，</w:t>
      </w:r>
      <w:r>
        <w:rPr>
          <w:rFonts w:hint="default" w:ascii="宋体" w:hAnsi="宋体" w:eastAsia="宋体" w:cs="宋体"/>
          <w:sz w:val="28"/>
          <w:szCs w:val="28"/>
          <w:highlight w:val="none"/>
          <w:lang w:val="en-US" w:eastAsia="zh-CN"/>
        </w:rPr>
        <w:t>氧化膜厚度应不低于《铝合金电缆桥架技术规程》CECS106:2000规定的 AA1</w:t>
      </w:r>
      <w:r>
        <w:rPr>
          <w:rFonts w:hint="eastAsia" w:ascii="宋体" w:hAnsi="宋体" w:eastAsia="宋体" w:cs="宋体"/>
          <w:sz w:val="28"/>
          <w:szCs w:val="28"/>
          <w:highlight w:val="none"/>
          <w:lang w:val="en-US" w:eastAsia="zh-CN"/>
        </w:rPr>
        <w:t>5</w:t>
      </w:r>
      <w:r>
        <w:rPr>
          <w:rFonts w:hint="default" w:ascii="宋体" w:hAnsi="宋体" w:eastAsia="宋体" w:cs="宋体"/>
          <w:sz w:val="28"/>
          <w:szCs w:val="28"/>
          <w:highlight w:val="none"/>
          <w:lang w:val="en-US" w:eastAsia="zh-CN"/>
        </w:rPr>
        <w:t xml:space="preserve"> 级别</w:t>
      </w:r>
      <w:r>
        <w:rPr>
          <w:rFonts w:hint="eastAsia" w:ascii="宋体" w:hAnsi="宋体" w:eastAsia="宋体" w:cs="宋体"/>
          <w:sz w:val="28"/>
          <w:szCs w:val="28"/>
          <w:highlight w:val="none"/>
          <w:lang w:val="en-US" w:eastAsia="zh-CN"/>
        </w:rPr>
        <w:t>要求：</w:t>
      </w:r>
    </w:p>
    <w:p>
      <w:pPr>
        <w:pStyle w:val="4"/>
        <w:ind w:firstLine="1400" w:firstLineChars="500"/>
        <w:rPr>
          <w:rFonts w:hint="default"/>
          <w:highlight w:val="none"/>
          <w:lang w:val="en-US" w:eastAsia="zh-CN"/>
        </w:rPr>
      </w:pPr>
      <w:bookmarkStart w:id="118" w:name="_Toc23846"/>
      <w:r>
        <w:rPr>
          <w:rFonts w:hint="eastAsia" w:hAnsi="宋体" w:cs="宋体"/>
          <w:sz w:val="28"/>
          <w:szCs w:val="28"/>
          <w:highlight w:val="none"/>
          <w:lang w:val="en-US" w:eastAsia="zh-CN"/>
        </w:rPr>
        <w:t>表5.5.1</w:t>
      </w:r>
      <w:bookmarkEnd w:id="118"/>
    </w:p>
    <w:tbl>
      <w:tblPr>
        <w:tblStyle w:val="63"/>
        <w:tblW w:w="0" w:type="auto"/>
        <w:tblInd w:w="10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548"/>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noWrap w:val="0"/>
            <w:vAlign w:val="center"/>
          </w:tcPr>
          <w:p>
            <w:pPr>
              <w:spacing w:line="360" w:lineRule="auto"/>
              <w:jc w:val="center"/>
              <w:rPr>
                <w:rFonts w:hint="eastAsia" w:ascii="宋体" w:hAnsi="宋体"/>
                <w:bCs/>
                <w:sz w:val="24"/>
                <w:highlight w:val="none"/>
              </w:rPr>
            </w:pPr>
            <w:r>
              <w:rPr>
                <w:rFonts w:hint="eastAsia" w:ascii="宋体" w:hAnsi="宋体"/>
                <w:bCs/>
                <w:sz w:val="24"/>
                <w:highlight w:val="none"/>
              </w:rPr>
              <w:t>级别</w:t>
            </w:r>
          </w:p>
        </w:tc>
        <w:tc>
          <w:tcPr>
            <w:tcW w:w="2548" w:type="dxa"/>
            <w:noWrap w:val="0"/>
            <w:vAlign w:val="center"/>
          </w:tcPr>
          <w:p>
            <w:pPr>
              <w:spacing w:line="360" w:lineRule="auto"/>
              <w:jc w:val="center"/>
              <w:rPr>
                <w:rFonts w:hint="eastAsia" w:ascii="宋体" w:hAnsi="宋体"/>
                <w:bCs/>
                <w:sz w:val="24"/>
                <w:highlight w:val="none"/>
              </w:rPr>
            </w:pPr>
            <w:r>
              <w:rPr>
                <w:rFonts w:hint="eastAsia" w:ascii="宋体" w:hAnsi="宋体"/>
                <w:bCs/>
                <w:sz w:val="24"/>
                <w:highlight w:val="none"/>
              </w:rPr>
              <w:t>最小平均膜厚（</w:t>
            </w:r>
            <w:r>
              <w:rPr>
                <w:rFonts w:ascii="宋体" w:hAnsi="宋体"/>
                <w:bCs/>
                <w:sz w:val="24"/>
                <w:highlight w:val="none"/>
              </w:rPr>
              <w:t>um</w:t>
            </w:r>
            <w:r>
              <w:rPr>
                <w:rFonts w:hint="eastAsia" w:ascii="宋体" w:hAnsi="宋体"/>
                <w:bCs/>
                <w:sz w:val="24"/>
                <w:highlight w:val="none"/>
              </w:rPr>
              <w:t>）</w:t>
            </w:r>
          </w:p>
        </w:tc>
        <w:tc>
          <w:tcPr>
            <w:tcW w:w="2640" w:type="dxa"/>
            <w:noWrap w:val="0"/>
            <w:vAlign w:val="center"/>
          </w:tcPr>
          <w:p>
            <w:pPr>
              <w:spacing w:line="360" w:lineRule="auto"/>
              <w:jc w:val="center"/>
              <w:rPr>
                <w:rFonts w:hint="eastAsia" w:ascii="宋体" w:hAnsi="宋体"/>
                <w:bCs/>
                <w:sz w:val="24"/>
                <w:highlight w:val="none"/>
              </w:rPr>
            </w:pPr>
            <w:r>
              <w:rPr>
                <w:rFonts w:hint="eastAsia" w:ascii="宋体" w:hAnsi="宋体"/>
                <w:bCs/>
                <w:sz w:val="24"/>
                <w:highlight w:val="none"/>
              </w:rPr>
              <w:t>最小</w:t>
            </w:r>
            <w:r>
              <w:rPr>
                <w:rFonts w:hint="eastAsia" w:eastAsia="宋体"/>
                <w:bCs/>
                <w:sz w:val="24"/>
                <w:highlight w:val="none"/>
                <w:lang w:val="en-US" w:eastAsia="zh-CN"/>
              </w:rPr>
              <w:t>局部</w:t>
            </w:r>
            <w:r>
              <w:rPr>
                <w:rFonts w:hint="eastAsia" w:ascii="宋体" w:hAnsi="宋体"/>
                <w:bCs/>
                <w:sz w:val="24"/>
                <w:highlight w:val="none"/>
              </w:rPr>
              <w:t>膜厚（</w:t>
            </w:r>
            <w:r>
              <w:rPr>
                <w:rFonts w:ascii="宋体" w:hAnsi="宋体"/>
                <w:bCs/>
                <w:sz w:val="24"/>
                <w:highlight w:val="none"/>
              </w:rPr>
              <w:t>um</w:t>
            </w:r>
            <w:r>
              <w:rPr>
                <w:rFonts w:hint="eastAsia" w:ascii="宋体" w:hAnsi="宋体"/>
                <w:bCs/>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noWrap w:val="0"/>
            <w:vAlign w:val="center"/>
          </w:tcPr>
          <w:p>
            <w:pPr>
              <w:spacing w:line="360" w:lineRule="auto"/>
              <w:jc w:val="center"/>
              <w:rPr>
                <w:rFonts w:hint="eastAsia" w:ascii="宋体" w:hAnsi="宋体"/>
                <w:bCs/>
                <w:sz w:val="24"/>
                <w:highlight w:val="none"/>
              </w:rPr>
            </w:pPr>
            <w:r>
              <w:rPr>
                <w:rFonts w:hint="eastAsia" w:ascii="宋体" w:hAnsi="宋体"/>
                <w:bCs/>
                <w:sz w:val="24"/>
                <w:highlight w:val="none"/>
              </w:rPr>
              <w:t>AA15</w:t>
            </w:r>
          </w:p>
        </w:tc>
        <w:tc>
          <w:tcPr>
            <w:tcW w:w="2548" w:type="dxa"/>
            <w:noWrap w:val="0"/>
            <w:vAlign w:val="center"/>
          </w:tcPr>
          <w:p>
            <w:pPr>
              <w:spacing w:line="360" w:lineRule="auto"/>
              <w:jc w:val="center"/>
              <w:rPr>
                <w:rFonts w:hint="eastAsia" w:ascii="宋体" w:hAnsi="宋体"/>
                <w:bCs/>
                <w:sz w:val="24"/>
                <w:highlight w:val="none"/>
              </w:rPr>
            </w:pPr>
            <w:r>
              <w:rPr>
                <w:rFonts w:hint="eastAsia" w:ascii="宋体" w:hAnsi="宋体"/>
                <w:bCs/>
                <w:sz w:val="24"/>
                <w:highlight w:val="none"/>
              </w:rPr>
              <w:t>15</w:t>
            </w:r>
          </w:p>
        </w:tc>
        <w:tc>
          <w:tcPr>
            <w:tcW w:w="2640" w:type="dxa"/>
            <w:noWrap w:val="0"/>
            <w:vAlign w:val="center"/>
          </w:tcPr>
          <w:p>
            <w:pPr>
              <w:spacing w:line="360" w:lineRule="auto"/>
              <w:jc w:val="center"/>
              <w:rPr>
                <w:rFonts w:hint="eastAsia" w:ascii="宋体" w:hAnsi="宋体"/>
                <w:bCs/>
                <w:sz w:val="24"/>
                <w:highlight w:val="none"/>
              </w:rPr>
            </w:pPr>
            <w:r>
              <w:rPr>
                <w:rFonts w:hint="eastAsia" w:ascii="宋体" w:hAnsi="宋体"/>
                <w:bCs/>
                <w:sz w:val="24"/>
                <w:highlight w:val="none"/>
              </w:rPr>
              <w:t>12</w:t>
            </w:r>
          </w:p>
        </w:tc>
      </w:tr>
    </w:tbl>
    <w:p>
      <w:pPr>
        <w:pStyle w:val="2"/>
        <w:numPr>
          <w:ilvl w:val="0"/>
          <w:numId w:val="0"/>
        </w:numPr>
        <w:ind w:leftChars="0" w:firstLine="560" w:firstLineChars="200"/>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投标人投标的铝合金电缆桥架表面阳极氧化膜厚度严格按上述要求执行，并在投标文件中提交由投标人法人代表签署的承诺函。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r>
        <w:rPr>
          <w:rFonts w:hint="default" w:ascii="宋体" w:hAnsi="宋体" w:eastAsia="宋体" w:cs="宋体"/>
          <w:sz w:val="28"/>
          <w:szCs w:val="28"/>
          <w:highlight w:val="none"/>
          <w:lang w:val="en-US" w:eastAsia="zh-CN"/>
        </w:rPr>
        <w:t>.5.</w:t>
      </w:r>
      <w:r>
        <w:rPr>
          <w:rFonts w:hint="eastAsia" w:ascii="宋体" w:hAnsi="宋体" w:eastAsia="宋体" w:cs="宋体"/>
          <w:sz w:val="28"/>
          <w:szCs w:val="28"/>
          <w:highlight w:val="none"/>
          <w:lang w:val="en-US" w:eastAsia="zh-CN"/>
        </w:rPr>
        <w:t>2关于盐雾腐蚀的人工气候试验应符合</w:t>
      </w:r>
      <w:r>
        <w:rPr>
          <w:rFonts w:hint="default" w:ascii="宋体" w:hAnsi="宋体" w:eastAsia="宋体" w:cs="宋体"/>
          <w:sz w:val="28"/>
          <w:szCs w:val="28"/>
          <w:highlight w:val="none"/>
          <w:lang w:val="en-US" w:eastAsia="zh-CN"/>
        </w:rPr>
        <w:t>《铝合金电缆桥架技术规程》CECS106:2000</w:t>
      </w:r>
      <w:r>
        <w:rPr>
          <w:rFonts w:hint="eastAsia" w:ascii="宋体" w:hAnsi="宋体" w:eastAsia="宋体" w:cs="宋体"/>
          <w:sz w:val="28"/>
          <w:szCs w:val="28"/>
          <w:highlight w:val="none"/>
          <w:lang w:val="en-US" w:eastAsia="zh-CN"/>
        </w:rPr>
        <w:t>的户外要求。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r>
        <w:rPr>
          <w:rFonts w:hint="default" w:ascii="宋体" w:hAnsi="宋体" w:eastAsia="宋体" w:cs="宋体"/>
          <w:sz w:val="28"/>
          <w:szCs w:val="28"/>
          <w:highlight w:val="none"/>
          <w:lang w:val="en-US" w:eastAsia="zh-CN"/>
        </w:rPr>
        <w:t>.5.</w:t>
      </w:r>
      <w:r>
        <w:rPr>
          <w:rFonts w:hint="eastAsia" w:ascii="宋体" w:hAnsi="宋体" w:eastAsia="宋体" w:cs="宋体"/>
          <w:sz w:val="28"/>
          <w:szCs w:val="28"/>
          <w:highlight w:val="none"/>
          <w:lang w:val="en-US" w:eastAsia="zh-CN"/>
        </w:rPr>
        <w:t>3 弯通、三通、四通制作后焊口需二次氧化处理，并达到表5.5.1要求。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r>
        <w:rPr>
          <w:rFonts w:hint="default" w:ascii="宋体" w:hAnsi="宋体" w:eastAsia="宋体" w:cs="宋体"/>
          <w:sz w:val="28"/>
          <w:szCs w:val="28"/>
          <w:highlight w:val="none"/>
          <w:lang w:val="en-US" w:eastAsia="zh-CN"/>
        </w:rPr>
        <w:t>.5.</w:t>
      </w:r>
      <w:r>
        <w:rPr>
          <w:rFonts w:hint="eastAsia" w:ascii="宋体" w:hAnsi="宋体" w:eastAsia="宋体" w:cs="宋体"/>
          <w:sz w:val="28"/>
          <w:szCs w:val="28"/>
          <w:highlight w:val="none"/>
          <w:lang w:val="en-US" w:eastAsia="zh-CN"/>
        </w:rPr>
        <w:t>4 所有桥架表面采用铝合金本色。</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5.6电缆桥架弯通的半径</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电缆桥架弯通的半径应根据电缆允许弯曲半径选择，电缆允许弯曲半径一般应≥12D （D为电缆外径），光缆允许弯曲半径一般应≥20D （D为光缆外径）。弯通、三通曲率半径：宽度大于等于600mm弯通桥架的曲率半径宜为300mm，宽度小于600mm弯通桥架的曲率半径宜不大于200mm。特殊要求以工程设计和订货为准。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ascii="宋体" w:hAnsi="宋体" w:eastAsia="宋体" w:cs="宋体"/>
          <w:sz w:val="28"/>
          <w:szCs w:val="28"/>
          <w:highlight w:val="none"/>
          <w:lang w:val="en-US" w:eastAsia="zh-CN"/>
        </w:rPr>
        <w:t>5.7</w:t>
      </w:r>
      <w:r>
        <w:rPr>
          <w:rFonts w:hint="eastAsia"/>
          <w:sz w:val="28"/>
          <w:szCs w:val="28"/>
          <w:highlight w:val="none"/>
          <w:lang w:val="en-US" w:eastAsia="zh-CN"/>
        </w:rPr>
        <w:t>★</w:t>
      </w:r>
      <w:r>
        <w:rPr>
          <w:rFonts w:hint="eastAsia" w:ascii="宋体" w:hAnsi="宋体" w:eastAsia="宋体" w:cs="宋体"/>
          <w:sz w:val="28"/>
          <w:szCs w:val="28"/>
          <w:highlight w:val="none"/>
          <w:lang w:val="en-US" w:eastAsia="zh-CN"/>
        </w:rPr>
        <w:t>制造精度</w:t>
      </w:r>
      <w:r>
        <w:rPr>
          <w:rFonts w:hint="eastAsia" w:ascii="宋体" w:hAnsi="宋体" w:eastAsia="宋体" w:cs="宋体"/>
          <w:sz w:val="28"/>
          <w:szCs w:val="28"/>
          <w:highlight w:val="none"/>
          <w:lang w:val="en-US" w:eastAsia="zh-CN"/>
        </w:rPr>
        <w:t>，投标文件中提交由投标人法人代表签署的承诺函。</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5.7.1 桥架的长度偏差：长度2</w:t>
      </w:r>
      <w:r>
        <w:rPr>
          <w:rFonts w:hint="eastAsia" w:ascii="微软雅黑" w:hAnsi="微软雅黑" w:eastAsia="微软雅黑" w:cs="微软雅黑"/>
          <w:sz w:val="28"/>
          <w:szCs w:val="28"/>
          <w:highlight w:val="none"/>
          <w:lang w:val="en-US" w:eastAsia="zh-CN"/>
        </w:rPr>
        <w:t>~</w:t>
      </w:r>
      <w:r>
        <w:rPr>
          <w:rFonts w:hint="eastAsia" w:ascii="宋体" w:hAnsi="宋体" w:eastAsia="宋体" w:cs="宋体"/>
          <w:sz w:val="28"/>
          <w:szCs w:val="28"/>
          <w:highlight w:val="none"/>
          <w:lang w:val="en-US" w:eastAsia="zh-CN"/>
        </w:rPr>
        <w:t>3m 时，偏差不大于±3mm；长度4</w:t>
      </w:r>
      <w:r>
        <w:rPr>
          <w:rFonts w:hint="eastAsia" w:ascii="微软雅黑" w:hAnsi="微软雅黑" w:eastAsia="微软雅黑" w:cs="微软雅黑"/>
          <w:sz w:val="28"/>
          <w:szCs w:val="28"/>
          <w:highlight w:val="none"/>
          <w:lang w:val="en-US" w:eastAsia="zh-CN"/>
        </w:rPr>
        <w:t>~</w:t>
      </w:r>
      <w:r>
        <w:rPr>
          <w:rFonts w:hint="eastAsia" w:ascii="宋体" w:hAnsi="宋体" w:eastAsia="宋体" w:cs="宋体"/>
          <w:sz w:val="28"/>
          <w:szCs w:val="28"/>
          <w:highlight w:val="none"/>
          <w:lang w:val="en-US" w:eastAsia="zh-CN"/>
        </w:rPr>
        <w:t>6m 时，偏差不大于±4mm。</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5.7.2 桥架的宽度偏差：当宽度不大于400mm 时，偏差不大于±2mm，当宽度大于400mm 时，偏差不大于±3mm。</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5.7.3 盖板宽度要大于桥架宽度。</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5.7.4 除以上要求外，其它厚度规格指标不得出现负偏差。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5.7.5铝合金桥架表面平面度允差每米不大于4mm。</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color w:val="auto"/>
          <w:sz w:val="28"/>
          <w:szCs w:val="28"/>
          <w:highlight w:val="none"/>
          <w:lang w:val="en-US" w:eastAsia="zh-CN"/>
        </w:rPr>
      </w:pPr>
      <w:r>
        <w:rPr>
          <w:rFonts w:hint="eastAsia" w:ascii="宋体" w:hAnsi="宋体" w:eastAsia="宋体" w:cs="宋体"/>
          <w:sz w:val="28"/>
          <w:szCs w:val="28"/>
          <w:highlight w:val="none"/>
          <w:lang w:val="en-US" w:eastAsia="zh-CN"/>
        </w:rPr>
        <w:t>5.8</w:t>
      </w:r>
      <w:r>
        <w:rPr>
          <w:rFonts w:hint="eastAsia"/>
          <w:sz w:val="28"/>
          <w:szCs w:val="28"/>
          <w:highlight w:val="none"/>
          <w:lang w:val="en-US" w:eastAsia="zh-CN"/>
        </w:rPr>
        <w:t>铝合金桥架所有安装附件按桥架的规格对应数量（5.15）进行配套提供</w:t>
      </w:r>
      <w:r>
        <w:rPr>
          <w:rFonts w:hint="eastAsia"/>
          <w:color w:val="auto"/>
          <w:sz w:val="28"/>
          <w:szCs w:val="28"/>
          <w:highlight w:val="none"/>
          <w:lang w:val="en-US" w:eastAsia="zh-CN"/>
        </w:rPr>
        <w:t>，其中连接板、紧固螺栓、跨接线、固定压板、防电化学橡胶垫等附件含在桥架主体（直通、弯通、三通、四通、变通）中；不锈钢抱箍含在桥架盖板主体中；投标文件须</w:t>
      </w:r>
      <w:r>
        <w:rPr>
          <w:rFonts w:hint="eastAsia"/>
          <w:sz w:val="28"/>
          <w:szCs w:val="28"/>
          <w:highlight w:val="none"/>
          <w:lang w:val="en-US" w:eastAsia="zh-CN"/>
        </w:rPr>
        <w:t>提供说明文件</w:t>
      </w:r>
      <w:r>
        <w:rPr>
          <w:rFonts w:hint="eastAsia"/>
          <w:color w:val="auto"/>
          <w:sz w:val="28"/>
          <w:szCs w:val="28"/>
          <w:highlight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5.9三通、四通、异径接头等报价以大头尺寸为准，小头尺寸变化不影响价格。</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5.10桥架安装所需的连接片、螺栓螺母、垫片、盖板固定所需抱箍按要求实际所需数量102%供货，但不另计费用。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5.11 隔板（包括固定螺栓）卖方报出单价供买方选用，买方选用的隔板应在卖方工厂按要求分隔方式与桥架完成组装，组装费用包括在隔板报价中，不再单独计费。</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5.12 投标方必须能提供按招标方要求半径的绕罐区敷设的弧形桥架，与直线敷设桥架的价格相同，不能满足此条件必须声明并征得买方同意。</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5.13 本招标技术文件要求中未列出，但安装过程中可能用到的卖方制造的与桥架安装有关的附件，卖方应在报价清单中列出并报价以便买方选用。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ascii="宋体" w:hAnsi="宋体" w:eastAsia="宋体" w:cs="宋体"/>
          <w:sz w:val="28"/>
          <w:szCs w:val="28"/>
          <w:highlight w:val="none"/>
          <w:lang w:val="en-US" w:eastAsia="zh-CN"/>
        </w:rPr>
        <w:t>5.14</w:t>
      </w:r>
      <w:r>
        <w:rPr>
          <w:rFonts w:hint="eastAsia"/>
          <w:sz w:val="28"/>
          <w:szCs w:val="28"/>
          <w:highlight w:val="none"/>
          <w:lang w:val="en-US" w:eastAsia="zh-CN"/>
        </w:rPr>
        <w:t>与其他供货方所供应的桥架连接处，由相关各方互相配合确认连接方案，所需的连接附件各承担一半。</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ascii="宋体" w:hAnsi="宋体" w:eastAsia="宋体" w:cs="宋体"/>
          <w:sz w:val="28"/>
          <w:szCs w:val="28"/>
          <w:highlight w:val="none"/>
          <w:lang w:val="en-US" w:eastAsia="zh-CN"/>
        </w:rPr>
        <w:t>5.15</w:t>
      </w:r>
      <w:r>
        <w:rPr>
          <w:rFonts w:hint="eastAsia"/>
          <w:sz w:val="28"/>
          <w:szCs w:val="28"/>
          <w:highlight w:val="none"/>
          <w:lang w:val="en-US" w:eastAsia="zh-CN"/>
        </w:rPr>
        <w:t>★投标人投标时承诺所投产品满足安装附件与桥架规格对应的成套数量</w:t>
      </w:r>
      <w:r>
        <w:rPr>
          <w:rFonts w:hint="eastAsia"/>
          <w:sz w:val="28"/>
          <w:szCs w:val="28"/>
          <w:highlight w:val="none"/>
          <w:lang w:val="en-US" w:eastAsia="zh-CN"/>
        </w:rPr>
        <w:t>，并在投标文件中提交由投标人法人代表签署的承诺函。</w:t>
      </w:r>
    </w:p>
    <w:tbl>
      <w:tblPr>
        <w:tblStyle w:val="63"/>
        <w:tblpPr w:leftFromText="180" w:rightFromText="180" w:vertAnchor="text" w:horzAnchor="page" w:tblpX="1091" w:tblpY="136"/>
        <w:tblOverlap w:val="never"/>
        <w:tblW w:w="994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93"/>
        <w:gridCol w:w="2560"/>
        <w:gridCol w:w="461"/>
        <w:gridCol w:w="960"/>
        <w:gridCol w:w="984"/>
        <w:gridCol w:w="948"/>
        <w:gridCol w:w="972"/>
        <w:gridCol w:w="972"/>
        <w:gridCol w:w="15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49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序号</w:t>
            </w:r>
          </w:p>
        </w:tc>
        <w:tc>
          <w:tcPr>
            <w:tcW w:w="25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配 件 名称</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单位</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直通配置 (件/节)</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弯通配置 (件/节)</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三通配置 (件/节)</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四通配置 (件/节)</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异径接头 (件/节)</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备  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铝合金连接片 (H≤100)</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每套内、外各1件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vMerge w:val="continue"/>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连接螺栓(成套)</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12</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12</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eastAsia="zh-CN"/>
              </w:rPr>
            </w:pPr>
            <w:r>
              <w:rPr>
                <w:rFonts w:hint="eastAsia" w:ascii="等线 Light" w:hAnsi="等线 Light" w:eastAsia="等线 Light" w:cs="等线 Light"/>
                <w:i w:val="0"/>
                <w:iCs w:val="0"/>
                <w:color w:val="000000"/>
                <w:sz w:val="18"/>
                <w:szCs w:val="18"/>
                <w:highlight w:val="none"/>
                <w:u w:val="none"/>
                <w:lang w:val="en-US" w:eastAsia="zh-CN"/>
              </w:rPr>
              <w:t>18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12</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铝合金连接片 (200≥H≥150)</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6</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每套内、外各2件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vMerge w:val="continue"/>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连接螺栓(成套)</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48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sz w:val="18"/>
                <w:szCs w:val="18"/>
                <w:highlight w:val="none"/>
                <w:u w:val="none"/>
                <w:lang w:val="en-US"/>
              </w:rPr>
            </w:pPr>
            <w:r>
              <w:rPr>
                <w:rFonts w:hint="eastAsia" w:ascii="等线 Light" w:hAnsi="等线 Light" w:eastAsia="等线 Light" w:cs="等线 Light"/>
                <w:i w:val="0"/>
                <w:iCs w:val="0"/>
                <w:color w:val="000000"/>
                <w:kern w:val="0"/>
                <w:sz w:val="18"/>
                <w:szCs w:val="18"/>
                <w:highlight w:val="none"/>
                <w:u w:val="none"/>
                <w:lang w:val="en-US" w:eastAsia="zh-CN" w:bidi="ar"/>
              </w:rPr>
              <w:t>24</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铝合金连接片 (H≥200)</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套</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6</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8</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159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每套内、外各2件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vMerge w:val="continue"/>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连接螺栓(成套)</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54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72</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default" w:ascii="等线 Light" w:hAnsi="等线 Light" w:eastAsia="等线 Light" w:cs="等线 Light"/>
                <w:i w:val="0"/>
                <w:iCs w:val="0"/>
                <w:color w:val="000000"/>
                <w:kern w:val="0"/>
                <w:sz w:val="18"/>
                <w:szCs w:val="18"/>
                <w:highlight w:val="none"/>
                <w:u w:val="none"/>
                <w:lang w:val="en-US" w:eastAsia="zh-CN" w:bidi="ar"/>
              </w:rPr>
            </w:pPr>
            <w:r>
              <w:rPr>
                <w:rFonts w:hint="eastAsia" w:ascii="等线 Light" w:hAnsi="等线 Light" w:eastAsia="等线 Light" w:cs="等线 Light"/>
                <w:i w:val="0"/>
                <w:iCs w:val="0"/>
                <w:color w:val="000000"/>
                <w:kern w:val="0"/>
                <w:sz w:val="18"/>
                <w:szCs w:val="18"/>
                <w:highlight w:val="none"/>
                <w:u w:val="none"/>
                <w:lang w:val="en-US" w:eastAsia="zh-CN" w:bidi="ar"/>
              </w:rPr>
              <w:t>36</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铜芯黄绿跨接线</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1</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桥架固定压板</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1596" w:type="dxa"/>
            <w:tcBorders>
              <w:tl2br w:val="nil"/>
              <w:tr2bl w:val="nil"/>
            </w:tcBorders>
            <w:shd w:val="clear" w:color="auto" w:fill="auto"/>
            <w:vAlign w:val="center"/>
          </w:tcPr>
          <w:p>
            <w:pPr>
              <w:jc w:val="center"/>
              <w:rPr>
                <w:rFonts w:hint="eastAsia" w:ascii="等线 Light" w:hAnsi="等线 Light" w:eastAsia="等线 Light" w:cs="等线 Light"/>
                <w:i w:val="0"/>
                <w:iCs w:val="0"/>
                <w:color w:val="000000"/>
                <w:sz w:val="18"/>
                <w:szCs w:val="18"/>
                <w:highlight w:val="none"/>
                <w:u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5" w:hRule="atLeast"/>
        </w:trPr>
        <w:tc>
          <w:tcPr>
            <w:tcW w:w="49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5</w:t>
            </w:r>
          </w:p>
        </w:tc>
        <w:tc>
          <w:tcPr>
            <w:tcW w:w="2560" w:type="dxa"/>
            <w:tcBorders>
              <w:tl2br w:val="nil"/>
              <w:tr2bl w:val="nil"/>
            </w:tcBorders>
            <w:shd w:val="clear" w:color="auto" w:fill="auto"/>
            <w:vAlign w:val="center"/>
          </w:tcPr>
          <w:p>
            <w:pPr>
              <w:keepNext w:val="0"/>
              <w:keepLines w:val="0"/>
              <w:widowControl/>
              <w:suppressLineNumbers w:val="0"/>
              <w:jc w:val="left"/>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防台风抱箍</w:t>
            </w:r>
          </w:p>
        </w:tc>
        <w:tc>
          <w:tcPr>
            <w:tcW w:w="46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件</w:t>
            </w:r>
          </w:p>
        </w:tc>
        <w:tc>
          <w:tcPr>
            <w:tcW w:w="96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3/2米</w:t>
            </w:r>
          </w:p>
        </w:tc>
        <w:tc>
          <w:tcPr>
            <w:tcW w:w="98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94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3</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4</w:t>
            </w:r>
          </w:p>
        </w:tc>
        <w:tc>
          <w:tcPr>
            <w:tcW w:w="9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等线 Light" w:hAnsi="等线 Light" w:eastAsia="等线 Light" w:cs="等线 Light"/>
                <w:i w:val="0"/>
                <w:iCs w:val="0"/>
                <w:color w:val="000000"/>
                <w:sz w:val="18"/>
                <w:szCs w:val="18"/>
                <w:highlight w:val="none"/>
                <w:u w:val="none"/>
              </w:rPr>
            </w:pPr>
            <w:r>
              <w:rPr>
                <w:rFonts w:hint="eastAsia" w:ascii="等线 Light" w:hAnsi="等线 Light" w:eastAsia="等线 Light" w:cs="等线 Light"/>
                <w:i w:val="0"/>
                <w:iCs w:val="0"/>
                <w:color w:val="000000"/>
                <w:kern w:val="0"/>
                <w:sz w:val="18"/>
                <w:szCs w:val="18"/>
                <w:highlight w:val="none"/>
                <w:u w:val="none"/>
                <w:lang w:val="en-US" w:eastAsia="zh-CN" w:bidi="ar"/>
              </w:rPr>
              <w:t>2</w:t>
            </w:r>
          </w:p>
        </w:tc>
        <w:tc>
          <w:tcPr>
            <w:tcW w:w="1596" w:type="dxa"/>
            <w:tcBorders>
              <w:tl2br w:val="nil"/>
              <w:tr2bl w:val="nil"/>
            </w:tcBorders>
            <w:shd w:val="clear" w:color="auto" w:fill="auto"/>
            <w:noWrap/>
            <w:vAlign w:val="center"/>
          </w:tcPr>
          <w:p>
            <w:pPr>
              <w:rPr>
                <w:rFonts w:hint="eastAsia" w:ascii="等线 Light" w:hAnsi="等线 Light" w:eastAsia="等线 Light" w:cs="等线 Light"/>
                <w:i w:val="0"/>
                <w:iCs w:val="0"/>
                <w:color w:val="000000"/>
                <w:sz w:val="18"/>
                <w:szCs w:val="18"/>
                <w:highlight w:val="none"/>
                <w:u w:val="none"/>
              </w:rPr>
            </w:pPr>
          </w:p>
        </w:tc>
      </w:tr>
    </w:tbl>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bookmarkStart w:id="119" w:name="_top"/>
      <w:bookmarkEnd w:id="119"/>
      <w:r>
        <w:rPr>
          <w:rFonts w:hint="eastAsia" w:ascii="宋体" w:hAnsi="宋体" w:eastAsia="宋体" w:cs="宋体"/>
          <w:sz w:val="28"/>
          <w:szCs w:val="28"/>
          <w:highlight w:val="none"/>
          <w:lang w:val="en-US" w:eastAsia="zh-CN"/>
        </w:rPr>
        <w:t>5.16仪表耐火电缆槽盒技术要求</w:t>
      </w:r>
    </w:p>
    <w:p>
      <w:pPr>
        <w:pStyle w:val="2"/>
        <w:numPr>
          <w:ilvl w:val="0"/>
          <w:numId w:val="0"/>
        </w:numPr>
        <w:ind w:leftChars="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5.16.1结构型式</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5.16.1.1 仪表耐火电缆槽盒结构型式应采用</w:t>
      </w:r>
      <w:r>
        <w:rPr>
          <w:rFonts w:hint="default" w:ascii="宋体" w:hAnsi="宋体" w:eastAsia="宋体" w:cs="宋体"/>
          <w:sz w:val="28"/>
          <w:szCs w:val="28"/>
          <w:highlight w:val="none"/>
          <w:lang w:val="en-US" w:eastAsia="zh-CN"/>
        </w:rPr>
        <w:t>符合</w:t>
      </w:r>
      <w:r>
        <w:rPr>
          <w:rFonts w:hint="eastAsia" w:asciiTheme="minorHAnsi" w:hAnsiTheme="minorHAnsi" w:eastAsiaTheme="minorEastAsia" w:cstheme="minorBidi"/>
          <w:kern w:val="2"/>
          <w:sz w:val="28"/>
          <w:szCs w:val="28"/>
          <w:highlight w:val="none"/>
          <w:lang w:val="en-US" w:eastAsia="zh-CN" w:bidi="ar-SA"/>
        </w:rPr>
        <w:t>《耐火电缆槽盒》</w:t>
      </w:r>
      <w:r>
        <w:rPr>
          <w:rFonts w:hint="default" w:ascii="宋体" w:hAnsi="宋体" w:eastAsia="宋体" w:cs="宋体"/>
          <w:sz w:val="28"/>
          <w:szCs w:val="28"/>
          <w:highlight w:val="none"/>
          <w:lang w:val="en-US" w:eastAsia="zh-CN"/>
        </w:rPr>
        <w:t>GB 29415</w:t>
      </w:r>
      <w:r>
        <w:rPr>
          <w:rFonts w:hint="eastAsia" w:ascii="宋体" w:hAnsi="宋体" w:eastAsia="宋体" w:cs="宋体"/>
          <w:sz w:val="28"/>
          <w:szCs w:val="28"/>
          <w:highlight w:val="none"/>
          <w:lang w:val="en-US" w:eastAsia="zh-CN"/>
        </w:rPr>
        <w:t>-2013国家</w:t>
      </w:r>
      <w:r>
        <w:rPr>
          <w:rFonts w:hint="default" w:ascii="宋体" w:hAnsi="宋体" w:eastAsia="宋体" w:cs="宋体"/>
          <w:sz w:val="28"/>
          <w:szCs w:val="28"/>
          <w:highlight w:val="none"/>
          <w:lang w:val="en-US" w:eastAsia="zh-CN"/>
        </w:rPr>
        <w:t>标准的</w:t>
      </w:r>
      <w:r>
        <w:rPr>
          <w:rFonts w:hint="eastAsia" w:ascii="宋体" w:hAnsi="宋体" w:eastAsia="宋体" w:cs="宋体"/>
          <w:kern w:val="2"/>
          <w:sz w:val="28"/>
          <w:szCs w:val="28"/>
          <w:highlight w:val="none"/>
          <w:lang w:val="en-US" w:eastAsia="zh-CN" w:bidi="ar-SA"/>
        </w:rPr>
        <w:t>复合型空腹式，非透气型。</w:t>
      </w:r>
    </w:p>
    <w:p>
      <w:pPr>
        <w:pStyle w:val="2"/>
        <w:numPr>
          <w:ilvl w:val="0"/>
          <w:numId w:val="0"/>
        </w:numPr>
        <w:ind w:leftChars="0"/>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drawing>
          <wp:anchor distT="0" distB="0" distL="114300" distR="114300" simplePos="0" relativeHeight="251662336" behindDoc="1" locked="0" layoutInCell="1" allowOverlap="1">
            <wp:simplePos x="0" y="0"/>
            <wp:positionH relativeFrom="column">
              <wp:posOffset>815340</wp:posOffset>
            </wp:positionH>
            <wp:positionV relativeFrom="paragraph">
              <wp:posOffset>71120</wp:posOffset>
            </wp:positionV>
            <wp:extent cx="3957320" cy="2621915"/>
            <wp:effectExtent l="0" t="0" r="35560" b="29845"/>
            <wp:wrapTight wrapText="bothSides">
              <wp:wrapPolygon>
                <wp:start x="0" y="0"/>
                <wp:lineTo x="0" y="21469"/>
                <wp:lineTo x="21545" y="21469"/>
                <wp:lineTo x="21545" y="0"/>
                <wp:lineTo x="0" y="0"/>
              </wp:wrapPolygon>
            </wp:wrapTight>
            <wp:docPr id="7" name="图片 7" descr="dbhdnonkjdaahjj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bhdnonkjdaahjjm"/>
                    <pic:cNvPicPr>
                      <a:picLocks noChangeAspect="1"/>
                    </pic:cNvPicPr>
                  </pic:nvPicPr>
                  <pic:blipFill>
                    <a:blip r:embed="rId9"/>
                    <a:stretch>
                      <a:fillRect/>
                    </a:stretch>
                  </pic:blipFill>
                  <pic:spPr>
                    <a:xfrm>
                      <a:off x="0" y="0"/>
                      <a:ext cx="3957320" cy="2621915"/>
                    </a:xfrm>
                    <a:prstGeom prst="rect">
                      <a:avLst/>
                    </a:prstGeom>
                  </pic:spPr>
                </pic:pic>
              </a:graphicData>
            </a:graphic>
          </wp:anchor>
        </w:drawing>
      </w:r>
    </w:p>
    <w:p>
      <w:pPr>
        <w:pStyle w:val="2"/>
        <w:numPr>
          <w:ilvl w:val="0"/>
          <w:numId w:val="0"/>
        </w:numPr>
        <w:ind w:leftChars="0"/>
        <w:rPr>
          <w:rFonts w:hint="eastAsia" w:ascii="宋体" w:hAnsi="宋体" w:eastAsia="宋体" w:cs="宋体"/>
          <w:kern w:val="2"/>
          <w:sz w:val="28"/>
          <w:szCs w:val="28"/>
          <w:highlight w:val="none"/>
          <w:lang w:val="en-US" w:eastAsia="zh-CN" w:bidi="ar-SA"/>
        </w:rPr>
      </w:pPr>
    </w:p>
    <w:p>
      <w:pPr>
        <w:pStyle w:val="2"/>
        <w:numPr>
          <w:ilvl w:val="0"/>
          <w:numId w:val="0"/>
        </w:numPr>
        <w:ind w:leftChars="0"/>
        <w:rPr>
          <w:rFonts w:hint="eastAsia" w:ascii="宋体" w:hAnsi="宋体" w:eastAsia="宋体" w:cs="宋体"/>
          <w:kern w:val="2"/>
          <w:sz w:val="28"/>
          <w:szCs w:val="28"/>
          <w:highlight w:val="none"/>
          <w:lang w:val="en-US" w:eastAsia="zh-CN" w:bidi="ar-SA"/>
        </w:rPr>
      </w:pPr>
    </w:p>
    <w:p>
      <w:pPr>
        <w:pStyle w:val="2"/>
        <w:numPr>
          <w:ilvl w:val="0"/>
          <w:numId w:val="0"/>
        </w:numPr>
        <w:ind w:leftChars="0"/>
        <w:rPr>
          <w:rFonts w:hint="eastAsia" w:ascii="宋体" w:hAnsi="宋体" w:eastAsia="宋体" w:cs="宋体"/>
          <w:kern w:val="2"/>
          <w:sz w:val="28"/>
          <w:szCs w:val="28"/>
          <w:highlight w:val="none"/>
          <w:lang w:val="en-US" w:eastAsia="zh-CN" w:bidi="ar-SA"/>
        </w:rPr>
      </w:pPr>
    </w:p>
    <w:p>
      <w:pPr>
        <w:pStyle w:val="2"/>
        <w:numPr>
          <w:ilvl w:val="0"/>
          <w:numId w:val="0"/>
        </w:numPr>
        <w:ind w:leftChars="0"/>
        <w:rPr>
          <w:rFonts w:hint="eastAsia" w:ascii="宋体" w:hAnsi="宋体" w:eastAsia="宋体" w:cs="宋体"/>
          <w:kern w:val="2"/>
          <w:sz w:val="28"/>
          <w:szCs w:val="28"/>
          <w:highlight w:val="none"/>
          <w:lang w:val="en-US" w:eastAsia="zh-CN" w:bidi="ar-SA"/>
        </w:rPr>
      </w:pPr>
    </w:p>
    <w:p>
      <w:pPr>
        <w:pStyle w:val="2"/>
        <w:numPr>
          <w:ilvl w:val="0"/>
          <w:numId w:val="0"/>
        </w:numPr>
        <w:ind w:leftChars="0"/>
        <w:rPr>
          <w:rFonts w:hint="eastAsia" w:ascii="宋体" w:hAnsi="宋体" w:eastAsia="宋体" w:cs="宋体"/>
          <w:kern w:val="2"/>
          <w:sz w:val="28"/>
          <w:szCs w:val="28"/>
          <w:highlight w:val="none"/>
          <w:lang w:val="en-US" w:eastAsia="zh-CN" w:bidi="ar-SA"/>
        </w:rPr>
      </w:pP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5.16.1.2 复合型空腹式仪表耐火电缆槽盒的耐火性能等级为F4，耐火维持工作时间不应低于30min；投标人承诺供货时提供国家级防火建筑材料质量监督检验中心出具的型式试验报告。</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        </w:t>
      </w:r>
      <w:r>
        <w:rPr>
          <w:rFonts w:hint="eastAsia" w:ascii="宋体" w:hAnsi="宋体" w:eastAsia="宋体" w:cs="宋体"/>
          <w:kern w:val="2"/>
          <w:sz w:val="28"/>
          <w:szCs w:val="28"/>
          <w:highlight w:val="none"/>
          <w:lang w:val="en-US" w:eastAsia="zh-CN" w:bidi="ar-SA"/>
        </w:rPr>
        <w:drawing>
          <wp:inline distT="0" distB="0" distL="114300" distR="114300">
            <wp:extent cx="4790440" cy="867410"/>
            <wp:effectExtent l="0" t="0" r="10160" b="1270"/>
            <wp:docPr id="8" name="图片 8" descr="1756708115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56708115454"/>
                    <pic:cNvPicPr>
                      <a:picLocks noChangeAspect="1"/>
                    </pic:cNvPicPr>
                  </pic:nvPicPr>
                  <pic:blipFill>
                    <a:blip r:embed="rId10"/>
                    <a:stretch>
                      <a:fillRect/>
                    </a:stretch>
                  </pic:blipFill>
                  <pic:spPr>
                    <a:xfrm>
                      <a:off x="0" y="0"/>
                      <a:ext cx="4790440" cy="867410"/>
                    </a:xfrm>
                    <a:prstGeom prst="rect">
                      <a:avLst/>
                    </a:prstGeom>
                  </pic:spPr>
                </pic:pic>
              </a:graphicData>
            </a:graphic>
          </wp:inline>
        </w:drawing>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5.16.1.3复合型空腹式仪仪表耐火电缆槽盒（包括盖板、隔板、连接片、调角片）采用热浸锌碳钢制耐火槽盒＋防火涂料。防火涂料性能和涂层厚度均应符合GB14907-2018规定。</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5.16.2 材料性能</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5.16.2.1 仪表耐火电缆槽盒应采用优质冷轧钢板，钢板材质应符合GB/T 11253标准中Q235冷轧碳钢的相关规定。</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5.16.2.2 仪表耐火电缆槽盒及附件表面防护处理采用自动化温控热浸锌工艺，锌的材质为0#锌，含锌量为99.995%以上，附件的防腐处理应与桥架的主体结构一致。热浸锌技术要求见下表：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gridCol w:w="1205"/>
        <w:gridCol w:w="1149"/>
        <w:gridCol w:w="3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067"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表面防护层厚度um</w:t>
            </w:r>
          </w:p>
        </w:tc>
        <w:tc>
          <w:tcPr>
            <w:tcW w:w="1205"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附着力</w:t>
            </w:r>
          </w:p>
        </w:tc>
        <w:tc>
          <w:tcPr>
            <w:tcW w:w="1149"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均匀性</w:t>
            </w:r>
          </w:p>
        </w:tc>
        <w:tc>
          <w:tcPr>
            <w:tcW w:w="3877"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外观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jc w:val="center"/>
        </w:trPr>
        <w:tc>
          <w:tcPr>
            <w:tcW w:w="2067" w:type="dxa"/>
            <w:noWrap w:val="0"/>
            <w:vAlign w:val="center"/>
          </w:tcPr>
          <w:p>
            <w:pPr>
              <w:spacing w:before="240" w:beforeLines="100" w:after="240" w:afterLines="100"/>
              <w:outlineLvl w:val="9"/>
              <w:rPr>
                <w:rFonts w:hint="default" w:ascii="宋体" w:hAnsi="宋体" w:cs="Arial"/>
                <w:highlight w:val="none"/>
                <w:lang w:val="en-US" w:eastAsia="zh-CN"/>
              </w:rPr>
            </w:pPr>
            <w:r>
              <w:rPr>
                <w:rFonts w:hint="eastAsia" w:ascii="宋体" w:hAnsi="宋体" w:cs="Arial"/>
                <w:highlight w:val="none"/>
                <w:lang w:val="en-US" w:eastAsia="zh-CN"/>
              </w:rPr>
              <w:t>≥65</w:t>
            </w:r>
          </w:p>
        </w:tc>
        <w:tc>
          <w:tcPr>
            <w:tcW w:w="1205" w:type="dxa"/>
            <w:noWrap w:val="0"/>
            <w:vAlign w:val="center"/>
          </w:tcPr>
          <w:p>
            <w:pPr>
              <w:spacing w:before="240" w:beforeLines="100" w:after="240" w:afterLines="100"/>
              <w:outlineLvl w:val="9"/>
              <w:rPr>
                <w:rFonts w:hint="eastAsia" w:ascii="宋体" w:hAnsi="宋体" w:cs="Arial"/>
                <w:highlight w:val="none"/>
                <w:lang w:val="en-US" w:eastAsia="zh-CN"/>
              </w:rPr>
            </w:pPr>
            <w:r>
              <w:rPr>
                <w:rFonts w:hint="eastAsia" w:ascii="宋体" w:hAnsi="宋体" w:cs="Arial"/>
                <w:highlight w:val="none"/>
                <w:lang w:val="en-US" w:eastAsia="zh-CN"/>
              </w:rPr>
              <w:t>锌层不应有剥离、起皮、凸起等现象</w:t>
            </w:r>
          </w:p>
        </w:tc>
        <w:tc>
          <w:tcPr>
            <w:tcW w:w="1149" w:type="dxa"/>
            <w:noWrap w:val="0"/>
            <w:vAlign w:val="center"/>
          </w:tcPr>
          <w:p>
            <w:pPr>
              <w:spacing w:before="240" w:beforeLines="100" w:after="240" w:afterLines="100"/>
              <w:outlineLvl w:val="9"/>
              <w:rPr>
                <w:rFonts w:hint="eastAsia" w:ascii="宋体" w:hAnsi="宋体" w:cs="Arial"/>
                <w:highlight w:val="none"/>
                <w:lang w:val="en-US" w:eastAsia="zh-CN"/>
              </w:rPr>
            </w:pPr>
            <w:r>
              <w:rPr>
                <w:rFonts w:hint="eastAsia" w:ascii="宋体" w:hAnsi="宋体" w:cs="Arial"/>
                <w:highlight w:val="none"/>
                <w:lang w:val="en-US" w:eastAsia="zh-CN"/>
              </w:rPr>
              <w:t>浸锌层应不露出金属基体</w:t>
            </w:r>
          </w:p>
        </w:tc>
        <w:tc>
          <w:tcPr>
            <w:tcW w:w="3877" w:type="dxa"/>
            <w:noWrap w:val="0"/>
            <w:vAlign w:val="top"/>
          </w:tcPr>
          <w:p>
            <w:pPr>
              <w:spacing w:before="240" w:beforeLines="100" w:after="240" w:afterLines="100"/>
              <w:outlineLvl w:val="9"/>
              <w:rPr>
                <w:rFonts w:hint="eastAsia" w:ascii="宋体" w:hAnsi="宋体" w:cs="Arial"/>
                <w:highlight w:val="none"/>
                <w:lang w:val="en-US" w:eastAsia="zh-CN"/>
              </w:rPr>
            </w:pPr>
            <w:r>
              <w:rPr>
                <w:rFonts w:hint="eastAsia" w:ascii="宋体" w:hAnsi="宋体" w:cs="Arial"/>
                <w:highlight w:val="none"/>
                <w:lang w:val="en-US" w:eastAsia="zh-CN"/>
              </w:rPr>
              <w:t>锌层表面应均匀、无毛刺、过烧、挂灰、伤痕等缺陷，直径小于2mm的漏镀点不得超过3个；且在任一100cm2的面积内不得有2个漏镀点.</w:t>
            </w:r>
          </w:p>
        </w:tc>
      </w:tr>
    </w:tbl>
    <w:p>
      <w:pPr>
        <w:pStyle w:val="2"/>
        <w:numPr>
          <w:ilvl w:val="0"/>
          <w:numId w:val="0"/>
        </w:numPr>
        <w:ind w:leftChars="0"/>
        <w:rPr>
          <w:rFonts w:hint="eastAsia"/>
          <w:highlight w:val="none"/>
          <w:lang w:val="en-US" w:eastAsia="zh-CN"/>
        </w:rPr>
      </w:pP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5.16.2.3 仪表耐火仪表电缆槽盒（包括附件）的外观（包括铭牌）、材料及表面处理、承载力及防护等级均应满足</w:t>
      </w:r>
      <w:r>
        <w:rPr>
          <w:rFonts w:hint="eastAsia" w:asciiTheme="minorHAnsi" w:hAnsiTheme="minorHAnsi" w:eastAsiaTheme="minorEastAsia" w:cstheme="minorBidi"/>
          <w:kern w:val="2"/>
          <w:sz w:val="28"/>
          <w:szCs w:val="28"/>
          <w:highlight w:val="none"/>
          <w:lang w:val="en-US" w:eastAsia="zh-CN" w:bidi="ar-SA"/>
        </w:rPr>
        <w:t>《耐火电缆槽盒》</w:t>
      </w:r>
      <w:r>
        <w:rPr>
          <w:rFonts w:hint="default" w:ascii="宋体" w:hAnsi="宋体" w:eastAsia="宋体" w:cs="宋体"/>
          <w:sz w:val="28"/>
          <w:szCs w:val="28"/>
          <w:highlight w:val="none"/>
          <w:lang w:val="en-US" w:eastAsia="zh-CN"/>
        </w:rPr>
        <w:t>GB 29415</w:t>
      </w:r>
      <w:r>
        <w:rPr>
          <w:rFonts w:hint="eastAsia" w:ascii="宋体" w:hAnsi="宋体" w:eastAsia="宋体" w:cs="宋体"/>
          <w:sz w:val="28"/>
          <w:szCs w:val="28"/>
          <w:highlight w:val="none"/>
          <w:lang w:val="en-US" w:eastAsia="zh-CN"/>
        </w:rPr>
        <w:t>-2013国家</w:t>
      </w:r>
      <w:r>
        <w:rPr>
          <w:rFonts w:hint="default" w:ascii="宋体" w:hAnsi="宋体" w:eastAsia="宋体" w:cs="宋体"/>
          <w:sz w:val="28"/>
          <w:szCs w:val="28"/>
          <w:highlight w:val="none"/>
          <w:lang w:val="en-US" w:eastAsia="zh-CN"/>
        </w:rPr>
        <w:t>标准</w:t>
      </w:r>
      <w:r>
        <w:rPr>
          <w:rFonts w:hint="eastAsia" w:ascii="宋体" w:hAnsi="宋体" w:eastAsia="宋体" w:cs="宋体"/>
          <w:sz w:val="28"/>
          <w:szCs w:val="28"/>
          <w:highlight w:val="none"/>
          <w:lang w:val="en-US" w:eastAsia="zh-CN"/>
        </w:rPr>
        <w:t>的要求。</w:t>
      </w:r>
      <w:r>
        <w:rPr>
          <w:rFonts w:hint="eastAsia" w:ascii="宋体" w:hAnsi="宋体" w:eastAsia="宋体" w:cs="宋体"/>
          <w:kern w:val="2"/>
          <w:sz w:val="28"/>
          <w:szCs w:val="28"/>
          <w:highlight w:val="none"/>
          <w:lang w:val="en-US" w:eastAsia="zh-CN" w:bidi="ar-SA"/>
        </w:rPr>
        <w:t>投标人应在技术文件中标明槽盒的安全工作荷载，槽盒在承受安全工作荷载时的最大挠度与其跨度之比不应大于1/200。</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5.16.3 尺寸要求</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5.16.3.1 《框架采购清单》中仪表耐火电缆槽盒的尺寸均为槽盒内尺寸（内宽度和内高度），投标人提供的产品规格型号应能满足清单的要求。</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5.16.3.2 仪表耐火电缆槽盒及盖板板材厚度应满足</w:t>
      </w:r>
      <w:r>
        <w:rPr>
          <w:rFonts w:hint="eastAsia" w:asciiTheme="minorHAnsi" w:hAnsiTheme="minorHAnsi" w:eastAsiaTheme="minorEastAsia" w:cstheme="minorBidi"/>
          <w:kern w:val="2"/>
          <w:sz w:val="28"/>
          <w:szCs w:val="28"/>
          <w:highlight w:val="none"/>
          <w:lang w:val="en-US" w:eastAsia="zh-CN" w:bidi="ar-SA"/>
        </w:rPr>
        <w:t>《</w:t>
      </w:r>
      <w:r>
        <w:rPr>
          <w:rFonts w:hint="eastAsia" w:cstheme="minorBidi"/>
          <w:kern w:val="2"/>
          <w:sz w:val="28"/>
          <w:szCs w:val="28"/>
          <w:highlight w:val="none"/>
          <w:lang w:val="en-US" w:eastAsia="zh-CN" w:bidi="ar-SA"/>
        </w:rPr>
        <w:t>钢制电缆桥架技术规程</w:t>
      </w:r>
      <w:r>
        <w:rPr>
          <w:rFonts w:hint="eastAsia" w:asciiTheme="minorHAnsi" w:hAnsiTheme="minorHAnsi" w:eastAsiaTheme="minorEastAsia" w:cstheme="minorBidi"/>
          <w:kern w:val="2"/>
          <w:sz w:val="28"/>
          <w:szCs w:val="28"/>
          <w:highlight w:val="none"/>
          <w:lang w:val="en-US" w:eastAsia="zh-CN" w:bidi="ar-SA"/>
        </w:rPr>
        <w:t>》</w:t>
      </w:r>
      <w:r>
        <w:rPr>
          <w:rFonts w:hint="eastAsia" w:ascii="宋体" w:hAnsi="宋体" w:eastAsia="宋体" w:cs="宋体"/>
          <w:sz w:val="28"/>
          <w:szCs w:val="28"/>
          <w:highlight w:val="none"/>
          <w:lang w:val="en-US" w:eastAsia="zh-CN"/>
        </w:rPr>
        <w:t>CECS 31-2017国家</w:t>
      </w:r>
      <w:r>
        <w:rPr>
          <w:rFonts w:hint="default" w:ascii="宋体" w:hAnsi="宋体" w:eastAsia="宋体" w:cs="宋体"/>
          <w:sz w:val="28"/>
          <w:szCs w:val="28"/>
          <w:highlight w:val="none"/>
          <w:lang w:val="en-US" w:eastAsia="zh-CN"/>
        </w:rPr>
        <w:t>标准</w:t>
      </w:r>
      <w:r>
        <w:rPr>
          <w:rFonts w:hint="eastAsia" w:ascii="宋体" w:hAnsi="宋体" w:eastAsia="宋体" w:cs="宋体"/>
          <w:sz w:val="28"/>
          <w:szCs w:val="28"/>
          <w:highlight w:val="none"/>
          <w:lang w:val="en-US" w:eastAsia="zh-CN"/>
        </w:rPr>
        <w:t>中的要求；</w:t>
      </w:r>
      <w:r>
        <w:rPr>
          <w:rFonts w:hint="eastAsia" w:ascii="宋体" w:hAnsi="宋体" w:eastAsia="宋体" w:cs="宋体"/>
          <w:kern w:val="2"/>
          <w:sz w:val="28"/>
          <w:szCs w:val="28"/>
          <w:highlight w:val="none"/>
          <w:lang w:val="en-US" w:eastAsia="zh-CN" w:bidi="ar-SA"/>
        </w:rPr>
        <w:t>连接板的厚度和相应尺寸的槽盒钢板厚度相同，要求双面连接；隔板厚度≥2.0mm。</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5.16.4 附件要求</w:t>
      </w:r>
    </w:p>
    <w:p>
      <w:pPr>
        <w:pStyle w:val="2"/>
        <w:numPr>
          <w:ilvl w:val="0"/>
          <w:numId w:val="0"/>
        </w:numPr>
        <w:ind w:leftChars="0"/>
        <w:jc w:val="both"/>
        <w:rPr>
          <w:rFonts w:hint="eastAsia"/>
          <w:color w:val="auto"/>
          <w:sz w:val="28"/>
          <w:szCs w:val="28"/>
          <w:highlight w:val="none"/>
          <w:lang w:val="en-US" w:eastAsia="zh-CN"/>
        </w:rPr>
      </w:pPr>
      <w:r>
        <w:rPr>
          <w:rFonts w:hint="eastAsia" w:ascii="宋体" w:hAnsi="宋体" w:eastAsia="宋体" w:cs="宋体"/>
          <w:kern w:val="2"/>
          <w:sz w:val="28"/>
          <w:szCs w:val="28"/>
          <w:highlight w:val="none"/>
          <w:lang w:val="en-US" w:eastAsia="zh-CN" w:bidi="ar-SA"/>
        </w:rPr>
        <w:t>5.16.4.1 仪表耐火电缆桥架</w:t>
      </w:r>
      <w:r>
        <w:rPr>
          <w:rFonts w:hint="eastAsia"/>
          <w:sz w:val="28"/>
          <w:szCs w:val="28"/>
          <w:highlight w:val="none"/>
          <w:lang w:val="en-US" w:eastAsia="zh-CN"/>
        </w:rPr>
        <w:t>所有安装附件按桥架的规格对应数量进行配套提供</w:t>
      </w:r>
      <w:r>
        <w:rPr>
          <w:rFonts w:hint="eastAsia"/>
          <w:color w:val="auto"/>
          <w:sz w:val="28"/>
          <w:szCs w:val="28"/>
          <w:highlight w:val="none"/>
          <w:lang w:val="en-US" w:eastAsia="zh-CN"/>
        </w:rPr>
        <w:t>，其中连接板、紧固螺栓、跨接线、固定压板等附件含在桥架主体（直通、弯通、三通、四通、变通）中；不锈钢抱箍含在桥架盖板主体中，要求配置3个/2米；投标文件须</w:t>
      </w:r>
      <w:r>
        <w:rPr>
          <w:rFonts w:hint="eastAsia"/>
          <w:sz w:val="28"/>
          <w:szCs w:val="28"/>
          <w:highlight w:val="none"/>
          <w:lang w:val="en-US" w:eastAsia="zh-CN"/>
        </w:rPr>
        <w:t>提供说明文件</w:t>
      </w:r>
      <w:r>
        <w:rPr>
          <w:rFonts w:hint="eastAsia"/>
          <w:color w:val="auto"/>
          <w:sz w:val="28"/>
          <w:szCs w:val="28"/>
          <w:highlight w:val="none"/>
          <w:lang w:val="en-US" w:eastAsia="zh-CN"/>
        </w:rPr>
        <w:t>。</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5.16.4.2 仪表耐火电缆槽盒本体与盖板之间采用304不锈钢抱箍固定。抱箍尺寸应满足以下要求：</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槽盒宽度200mm及以下：抱箍厚度≥0.5mm，抱箍宽度≥12mm；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槽盒宽度200mm以上：抱箍厚度≥0.9mm，抱箍宽度≥18mm。</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5.16.4.3 </w:t>
      </w:r>
      <w:r>
        <w:rPr>
          <w:rFonts w:hint="eastAsia"/>
          <w:sz w:val="28"/>
          <w:szCs w:val="28"/>
          <w:highlight w:val="none"/>
          <w:lang w:val="en-US" w:eastAsia="zh-CN"/>
        </w:rPr>
        <w:t>所有连接用的螺栓、螺母、垫圈、自攻螺丝、加强通丝、固定压板、衬板等紧固件采用304不锈钢材质。</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5.16.4.4 仪表耐火电缆槽盒使用连接片或伸缩节连接时，采用内、外双面连接。</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5.16.6交付要求</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仪表耐火电缆槽盒交付时，需提供的文件内容至少应包括：</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（1）型式试验报告</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（2）出厂检验报告</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（3）产品合格证</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（4）发货清单</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（5）不同型号的仪表耐火电缆槽盒提供相应的使用说明书，说明书应包括型号、结构尺寸（附结构图）、技术参数、适用范围、使用环境、运输、保管及其它注意事项。</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5.17电信耐火电缆槽盒技术要求</w:t>
      </w:r>
    </w:p>
    <w:p>
      <w:pPr>
        <w:pStyle w:val="2"/>
        <w:numPr>
          <w:ilvl w:val="0"/>
          <w:numId w:val="0"/>
        </w:numPr>
        <w:ind w:leftChars="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5.17.1结构型式</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5.17.1.1 耐火电缆槽盒结构型式采用普通式或夹芯式，非透气型。</w:t>
      </w:r>
    </w:p>
    <w:p>
      <w:pPr>
        <w:pStyle w:val="2"/>
        <w:numPr>
          <w:ilvl w:val="0"/>
          <w:numId w:val="0"/>
        </w:numPr>
        <w:ind w:leftChars="0"/>
        <w:jc w:val="center"/>
        <w:rPr>
          <w:rFonts w:hint="eastAsia"/>
          <w:highlight w:val="none"/>
          <w:lang w:val="en-US" w:eastAsia="zh-CN"/>
        </w:rPr>
      </w:pPr>
      <w:r>
        <w:rPr>
          <w:rFonts w:hint="eastAsia"/>
          <w:highlight w:val="none"/>
          <w:lang w:val="en-US" w:eastAsia="zh-CN"/>
        </w:rPr>
        <w:drawing>
          <wp:inline distT="0" distB="0" distL="114300" distR="114300">
            <wp:extent cx="3084830" cy="2219325"/>
            <wp:effectExtent l="0" t="0" r="8890" b="5715"/>
            <wp:docPr id="2" name="图片 2" descr="175670793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56707939761"/>
                    <pic:cNvPicPr>
                      <a:picLocks noChangeAspect="1"/>
                    </pic:cNvPicPr>
                  </pic:nvPicPr>
                  <pic:blipFill>
                    <a:blip r:embed="rId11"/>
                    <a:stretch>
                      <a:fillRect/>
                    </a:stretch>
                  </pic:blipFill>
                  <pic:spPr>
                    <a:xfrm>
                      <a:off x="0" y="0"/>
                      <a:ext cx="3084830" cy="2219325"/>
                    </a:xfrm>
                    <a:prstGeom prst="rect">
                      <a:avLst/>
                    </a:prstGeom>
                  </pic:spPr>
                </pic:pic>
              </a:graphicData>
            </a:graphic>
          </wp:inline>
        </w:drawing>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5.17.1.2 普通式耐火电缆槽盒的耐火性能等级为F4，耐火维持工作时间不应低于30min；夹芯式耐火电缆槽盒的耐火性能等级为F1，耐火维持工作时间不应低于90min。投标人承诺供货时提供国家级防火建筑材料质量监督检验中心出具的型式试验报告。</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        </w:t>
      </w:r>
      <w:r>
        <w:rPr>
          <w:rFonts w:hint="eastAsia" w:ascii="宋体" w:hAnsi="宋体" w:eastAsia="宋体" w:cs="宋体"/>
          <w:kern w:val="2"/>
          <w:sz w:val="28"/>
          <w:szCs w:val="28"/>
          <w:highlight w:val="none"/>
          <w:lang w:val="en-US" w:eastAsia="zh-CN" w:bidi="ar-SA"/>
        </w:rPr>
        <w:drawing>
          <wp:inline distT="0" distB="0" distL="114300" distR="114300">
            <wp:extent cx="4790440" cy="867410"/>
            <wp:effectExtent l="0" t="0" r="10160" b="1270"/>
            <wp:docPr id="3" name="图片 3" descr="1756708115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56708115454"/>
                    <pic:cNvPicPr>
                      <a:picLocks noChangeAspect="1"/>
                    </pic:cNvPicPr>
                  </pic:nvPicPr>
                  <pic:blipFill>
                    <a:blip r:embed="rId10"/>
                    <a:stretch>
                      <a:fillRect/>
                    </a:stretch>
                  </pic:blipFill>
                  <pic:spPr>
                    <a:xfrm>
                      <a:off x="0" y="0"/>
                      <a:ext cx="4790440" cy="867410"/>
                    </a:xfrm>
                    <a:prstGeom prst="rect">
                      <a:avLst/>
                    </a:prstGeom>
                  </pic:spPr>
                </pic:pic>
              </a:graphicData>
            </a:graphic>
          </wp:inline>
        </w:drawing>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5.17.1.3普通式耐火电缆槽盒采用热浸锌碳钢耐火槽盒＋防火涂料。防火涂料性能及厚度应符合GB14907-2018规定。</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5.17.1.4 夹芯式耐火电缆槽盒采用热浸锌碳钢耐火槽盒＋防火涂料＋硅酸铝耐火棉＋内衬无机防火板。防火涂料性能及厚度应符合GB14907-2018规定；耐火棉层厚度不低于25mm，耐火棉性能应符合GB/T 16400-2023规定；防火板厚度不低于5mm。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5.17.2 材料性能</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5.17.2.1 耐火电缆槽盒应采用优质冷轧钢板，钢板材质应符合GB/T 11253标准中Q235冷轧钢的相关规定。</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5.17.2.2 耐火仪表电缆槽盒及附件表面防护处理采用自动化温控热浸锌工艺，锌的材质为0#锌，含锌量为99.995%以上，附件的防腐处理应与桥架的主体结构一致。热浸锌技术要求见下表：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gridCol w:w="1205"/>
        <w:gridCol w:w="1149"/>
        <w:gridCol w:w="3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067"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表面防护层厚度um</w:t>
            </w:r>
          </w:p>
        </w:tc>
        <w:tc>
          <w:tcPr>
            <w:tcW w:w="1205"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附着力</w:t>
            </w:r>
          </w:p>
        </w:tc>
        <w:tc>
          <w:tcPr>
            <w:tcW w:w="1149"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均匀性</w:t>
            </w:r>
          </w:p>
        </w:tc>
        <w:tc>
          <w:tcPr>
            <w:tcW w:w="3877" w:type="dxa"/>
            <w:noWrap w:val="0"/>
            <w:vAlign w:val="center"/>
          </w:tcPr>
          <w:p>
            <w:pPr>
              <w:spacing w:before="240" w:beforeLines="100" w:after="240" w:afterLines="100"/>
              <w:jc w:val="center"/>
              <w:outlineLvl w:val="9"/>
              <w:rPr>
                <w:rFonts w:hint="eastAsia" w:ascii="宋体" w:hAnsi="宋体" w:cs="Arial"/>
                <w:highlight w:val="none"/>
                <w:lang w:val="en-US" w:eastAsia="zh-CN"/>
              </w:rPr>
            </w:pPr>
            <w:r>
              <w:rPr>
                <w:rFonts w:hint="eastAsia" w:ascii="宋体" w:hAnsi="宋体" w:cs="Arial"/>
                <w:highlight w:val="none"/>
                <w:lang w:val="en-US" w:eastAsia="zh-CN"/>
              </w:rPr>
              <w:t>外观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jc w:val="center"/>
        </w:trPr>
        <w:tc>
          <w:tcPr>
            <w:tcW w:w="2067" w:type="dxa"/>
            <w:noWrap w:val="0"/>
            <w:vAlign w:val="center"/>
          </w:tcPr>
          <w:p>
            <w:pPr>
              <w:spacing w:before="240" w:beforeLines="100" w:after="240" w:afterLines="100"/>
              <w:outlineLvl w:val="9"/>
              <w:rPr>
                <w:rFonts w:hint="default" w:ascii="宋体" w:hAnsi="宋体" w:cs="Arial"/>
                <w:highlight w:val="none"/>
                <w:lang w:val="en-US" w:eastAsia="zh-CN"/>
              </w:rPr>
            </w:pPr>
            <w:r>
              <w:rPr>
                <w:rFonts w:hint="eastAsia" w:ascii="宋体" w:hAnsi="宋体" w:cs="Arial"/>
                <w:highlight w:val="none"/>
                <w:lang w:val="en-US" w:eastAsia="zh-CN"/>
              </w:rPr>
              <w:t>≥65</w:t>
            </w:r>
          </w:p>
        </w:tc>
        <w:tc>
          <w:tcPr>
            <w:tcW w:w="1205" w:type="dxa"/>
            <w:noWrap w:val="0"/>
            <w:vAlign w:val="center"/>
          </w:tcPr>
          <w:p>
            <w:pPr>
              <w:spacing w:before="240" w:beforeLines="100" w:after="240" w:afterLines="100"/>
              <w:outlineLvl w:val="9"/>
              <w:rPr>
                <w:rFonts w:hint="eastAsia" w:ascii="宋体" w:hAnsi="宋体" w:cs="Arial"/>
                <w:highlight w:val="none"/>
                <w:lang w:val="en-US" w:eastAsia="zh-CN"/>
              </w:rPr>
            </w:pPr>
            <w:r>
              <w:rPr>
                <w:rFonts w:hint="eastAsia" w:ascii="宋体" w:hAnsi="宋体" w:cs="Arial"/>
                <w:highlight w:val="none"/>
                <w:lang w:val="en-US" w:eastAsia="zh-CN"/>
              </w:rPr>
              <w:t>锌层不应有剥离、起皮、凸起等现象</w:t>
            </w:r>
          </w:p>
        </w:tc>
        <w:tc>
          <w:tcPr>
            <w:tcW w:w="1149" w:type="dxa"/>
            <w:noWrap w:val="0"/>
            <w:vAlign w:val="center"/>
          </w:tcPr>
          <w:p>
            <w:pPr>
              <w:spacing w:before="240" w:beforeLines="100" w:after="240" w:afterLines="100"/>
              <w:outlineLvl w:val="9"/>
              <w:rPr>
                <w:rFonts w:hint="eastAsia" w:ascii="宋体" w:hAnsi="宋体" w:cs="Arial"/>
                <w:highlight w:val="none"/>
                <w:lang w:val="en-US" w:eastAsia="zh-CN"/>
              </w:rPr>
            </w:pPr>
            <w:r>
              <w:rPr>
                <w:rFonts w:hint="eastAsia" w:ascii="宋体" w:hAnsi="宋体" w:cs="Arial"/>
                <w:highlight w:val="none"/>
                <w:lang w:val="en-US" w:eastAsia="zh-CN"/>
              </w:rPr>
              <w:t>浸锌层应不露出金属基体</w:t>
            </w:r>
          </w:p>
        </w:tc>
        <w:tc>
          <w:tcPr>
            <w:tcW w:w="3877" w:type="dxa"/>
            <w:noWrap w:val="0"/>
            <w:vAlign w:val="top"/>
          </w:tcPr>
          <w:p>
            <w:pPr>
              <w:spacing w:before="240" w:beforeLines="100" w:after="240" w:afterLines="100"/>
              <w:outlineLvl w:val="9"/>
              <w:rPr>
                <w:rFonts w:hint="eastAsia" w:ascii="宋体" w:hAnsi="宋体" w:cs="Arial"/>
                <w:highlight w:val="none"/>
                <w:lang w:val="en-US" w:eastAsia="zh-CN"/>
              </w:rPr>
            </w:pPr>
            <w:r>
              <w:rPr>
                <w:rFonts w:hint="eastAsia" w:ascii="宋体" w:hAnsi="宋体" w:cs="Arial"/>
                <w:highlight w:val="none"/>
                <w:lang w:val="en-US" w:eastAsia="zh-CN"/>
              </w:rPr>
              <w:t>锌层表面应均匀、无毛刺、过烧、挂灰、伤痕等缺陷，直径小于2mm的漏镀点不得超过3个；且在任一100cm2的面积内不得有2个漏镀点.</w:t>
            </w:r>
          </w:p>
        </w:tc>
      </w:tr>
    </w:tbl>
    <w:p>
      <w:pPr>
        <w:pStyle w:val="2"/>
        <w:numPr>
          <w:ilvl w:val="0"/>
          <w:numId w:val="0"/>
        </w:numPr>
        <w:ind w:leftChars="0"/>
        <w:rPr>
          <w:rFonts w:hint="eastAsia"/>
          <w:highlight w:val="none"/>
          <w:lang w:val="en-US" w:eastAsia="zh-CN"/>
        </w:rPr>
      </w:pP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5.17.2.3 投标人应在技术文件中标明槽盒的安全工作荷载，槽盒在承受安全工作荷载时的最大挠度与其跨度之比不应大于1/200。</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5.17.3 尺寸要求</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5.17.3.1 《耐火电缆槽盒框架采购清单》中耐火电缆槽盒的尺寸均为槽盒内尺寸（内宽度和内高度），投标人提供的产品规格型号应能满足清单的要求。</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5.17.3.2 耐火电缆槽盒板材厚度应满足以下要求（以下均为内宽度）：</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 宽度600mm及以上槽盒，钢板的厚度≥3.0mm，盖板厚度≥2.5mm；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 宽度500mm、400mm的槽盒，钢板厚度要求≥2.5mm，盖板的厚度≥2.0mm；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 宽度300mm、200mm的槽盒，钢板厚度要求≥2.0mm，盖板的厚度≥1.5mm；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 宽度100mm及以下槽盒，钢板厚度要求≥1.5mm，盖板的厚度≥1.2mm；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（5）连接板的厚度和相应尺寸的槽盒钢板厚度相同，要求双面连接；</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 隔板厚度≥2.0mm。</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5.17.4 外观要求</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5.17.4.1 耐火电缆槽盒各部件表面应平整，不允许有裂纹、压坑及明显的凹凸、锤痕、毛刺等缺陷。</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5.17.4.2 耐火电缆槽盒焊接表面应光滑，不允许有气孔、夹渣、疏松等缺陷。</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5.17.4.3 耐火电缆槽盒涂覆部件的防护层应均匀，不应有剥落、起皮、凸起、漏涂或流淌等缺陷。</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5.16.4.4 耐火电缆槽盒应在显著位置施加永久性产品标志铭牌，且不应采用粘贴方式。标志铭牌字体清晰、易读，内容应符合规范GB 29415-2013的要求。</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5.17.5 附件要求</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5.17.5 .1 弯头、三通、变径接头等需与耐火电缆槽盒主体同材质、同结构型式，内壁光滑无毛刺。</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5.17.5.2 耐火电缆槽盒本体与盖板之间采用304不锈钢抱箍固定。抱箍尺寸应满足以下要求：</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槽盒宽度200mm及以下：抱箍厚度≥0.5mm，抱箍宽度≥12mm；</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槽盒宽度200mm以上：抱箍厚度≥0.9mm，抱箍宽度≥18mm。</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5.17.5.3 耐火电缆槽盒使用连接片或伸缩节连接时，采用内、外双面连接。</w:t>
      </w:r>
    </w:p>
    <w:p>
      <w:pPr>
        <w:pStyle w:val="2"/>
        <w:numPr>
          <w:ilvl w:val="0"/>
          <w:numId w:val="0"/>
        </w:numPr>
        <w:ind w:leftChars="0"/>
        <w:jc w:val="both"/>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5.17.6交付要求</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耐火电缆槽盒交付时，需提供的文件内容至少应包括：</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（1）型式试验报告</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（2）出厂检验报告</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（3）产品合格证</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（4）发货清单</w:t>
      </w:r>
    </w:p>
    <w:p>
      <w:pPr>
        <w:pStyle w:val="2"/>
        <w:numPr>
          <w:ilvl w:val="0"/>
          <w:numId w:val="0"/>
        </w:numPr>
        <w:ind w:leftChars="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（5）不同型号的耐火电缆槽盒提供相应的使用说明书，说明书应包括型号、结构尺寸（附结构图）、技术参数、适用范围、使用环境、运输、保管及其它注意事项。</w:t>
      </w:r>
    </w:p>
    <w:bookmarkEnd w:id="32"/>
    <w:bookmarkEnd w:id="33"/>
    <w:bookmarkEnd w:id="34"/>
    <w:bookmarkEnd w:id="35"/>
    <w:bookmarkEnd w:id="36"/>
    <w:bookmarkEnd w:id="116"/>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default" w:ascii="黑体" w:hAnsi="黑体" w:eastAsia="黑体" w:cs="黑体"/>
          <w:b/>
          <w:bCs/>
          <w:kern w:val="44"/>
          <w:sz w:val="32"/>
          <w:szCs w:val="32"/>
          <w:highlight w:val="none"/>
          <w:u w:val="none"/>
          <w:lang w:val="en-US" w:eastAsia="zh-CN" w:bidi="ar-SA"/>
        </w:rPr>
      </w:pPr>
      <w:bookmarkStart w:id="120" w:name="_Toc25681"/>
      <w:bookmarkStart w:id="121" w:name="_Toc20484"/>
      <w:bookmarkStart w:id="122" w:name="_Toc8114"/>
      <w:bookmarkStart w:id="123" w:name="_Toc156801496"/>
      <w:bookmarkStart w:id="124" w:name="_Toc261783512"/>
      <w:bookmarkStart w:id="125" w:name="_Toc156802941"/>
      <w:bookmarkStart w:id="126" w:name="_Toc125871345"/>
      <w:bookmarkStart w:id="127" w:name="_Toc156802771"/>
      <w:bookmarkStart w:id="128" w:name="_Toc156802321"/>
      <w:bookmarkStart w:id="129" w:name="_Toc156802696"/>
      <w:bookmarkStart w:id="130" w:name="_Toc156802396"/>
      <w:r>
        <w:rPr>
          <w:rFonts w:hint="default" w:ascii="黑体" w:hAnsi="黑体" w:eastAsia="黑体" w:cs="黑体"/>
          <w:b/>
          <w:bCs/>
          <w:kern w:val="44"/>
          <w:sz w:val="32"/>
          <w:szCs w:val="32"/>
          <w:highlight w:val="none"/>
          <w:u w:val="none"/>
          <w:lang w:val="en-US" w:eastAsia="zh-CN" w:bidi="ar-SA"/>
        </w:rPr>
        <w:t>包装</w:t>
      </w:r>
      <w:r>
        <w:rPr>
          <w:rFonts w:hint="eastAsia" w:ascii="黑体" w:hAnsi="黑体" w:eastAsia="黑体" w:cs="黑体"/>
          <w:b/>
          <w:bCs/>
          <w:kern w:val="44"/>
          <w:sz w:val="32"/>
          <w:szCs w:val="32"/>
          <w:highlight w:val="none"/>
          <w:u w:val="none"/>
          <w:lang w:val="en-US" w:eastAsia="zh-CN" w:bidi="ar-SA"/>
        </w:rPr>
        <w:t>、运输及交货</w:t>
      </w:r>
      <w:bookmarkEnd w:id="120"/>
      <w:bookmarkEnd w:id="121"/>
      <w:bookmarkEnd w:id="122"/>
    </w:p>
    <w:p>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bookmarkStart w:id="131" w:name="_Toc4062"/>
      <w:bookmarkStart w:id="132" w:name="_Toc29364"/>
      <w:r>
        <w:rPr>
          <w:rFonts w:hint="eastAsia"/>
          <w:sz w:val="28"/>
          <w:szCs w:val="28"/>
          <w:highlight w:val="none"/>
          <w:lang w:val="en-US" w:eastAsia="zh-CN"/>
        </w:rPr>
        <w:t>包装</w:t>
      </w:r>
      <w:bookmarkEnd w:id="131"/>
      <w:bookmarkEnd w:id="132"/>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highlight w:val="none"/>
          <w:lang w:val="en-US" w:eastAsia="zh-CN"/>
        </w:rPr>
      </w:pPr>
      <w:bookmarkStart w:id="133" w:name="_Toc276492437"/>
      <w:bookmarkStart w:id="134" w:name="_Toc276490919"/>
      <w:bookmarkStart w:id="135" w:name="_Toc276301529"/>
      <w:r>
        <w:rPr>
          <w:rFonts w:hint="eastAsia"/>
          <w:sz w:val="28"/>
          <w:szCs w:val="28"/>
          <w:highlight w:val="none"/>
          <w:lang w:val="en-US" w:eastAsia="zh-CN"/>
        </w:rPr>
        <w:t>投标人在包装箱的两个侧面上，用不褪色的油漆以明显易见的中文字样</w:t>
      </w:r>
      <w:r>
        <w:rPr>
          <w:rFonts w:hint="eastAsia"/>
          <w:sz w:val="28"/>
          <w:szCs w:val="28"/>
          <w:highlight w:val="none"/>
          <w:lang w:val="en-US" w:eastAsia="zh-CN"/>
        </w:rPr>
        <w:t>印刷以下标记：</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highlight w:val="none"/>
          <w:lang w:val="en-US" w:eastAsia="zh-CN"/>
        </w:rPr>
      </w:pPr>
      <w:r>
        <w:rPr>
          <w:rFonts w:hint="eastAsia"/>
          <w:sz w:val="28"/>
          <w:szCs w:val="28"/>
          <w:highlight w:val="none"/>
          <w:lang w:val="en-US" w:eastAsia="zh-CN"/>
        </w:rPr>
        <w:t>合同号</w:t>
      </w:r>
      <w:r>
        <w:rPr>
          <w:rFonts w:hint="eastAsia"/>
          <w:highlight w:val="none"/>
          <w:lang w:val="en-US" w:eastAsia="zh-CN"/>
        </w:rPr>
        <w:t>：</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highlight w:val="none"/>
          <w:lang w:val="en-US" w:eastAsia="zh-CN"/>
        </w:rPr>
      </w:pPr>
      <w:r>
        <w:rPr>
          <w:rFonts w:hint="eastAsia"/>
          <w:highlight w:val="none"/>
          <w:lang w:val="en-US" w:eastAsia="zh-CN"/>
        </w:rPr>
        <w:t xml:space="preserve"> </w:t>
      </w:r>
      <w:r>
        <w:rPr>
          <w:rFonts w:hint="eastAsia" w:ascii="宋体" w:hAnsi="宋体" w:cs="宋体"/>
          <w:sz w:val="28"/>
          <w:szCs w:val="28"/>
          <w:highlight w:val="none"/>
        </w:rPr>
        <w:t>制造厂名称和产品名称；</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 xml:space="preserve">目的站： </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收货人名称：</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桥架型式和规格(型号,电压,规格和截面)；</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执行标准编号；</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桥架长度（以米计）；</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 xml:space="preserve">制造日期； </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重量（以千克计）；</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桥架盘识别号和线盘正确的旋转方向；</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rPr>
      </w:pPr>
      <w:r>
        <w:rPr>
          <w:rFonts w:hint="eastAsia"/>
          <w:sz w:val="28"/>
          <w:szCs w:val="28"/>
          <w:highlight w:val="none"/>
          <w:lang w:val="en-US" w:eastAsia="zh-CN"/>
        </w:rPr>
        <w:t>桥架盘</w:t>
      </w:r>
      <w:r>
        <w:rPr>
          <w:rFonts w:hint="eastAsia" w:ascii="宋体" w:hAnsi="宋体" w:eastAsia="宋体" w:cs="宋体"/>
          <w:sz w:val="28"/>
          <w:szCs w:val="28"/>
          <w:highlight w:val="none"/>
        </w:rPr>
        <w:t>编号；</w:t>
      </w:r>
    </w:p>
    <w:p>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firstLine="0"/>
        <w:textAlignment w:val="auto"/>
        <w:rPr>
          <w:rFonts w:hint="eastAsia"/>
          <w:highlight w:val="none"/>
          <w:lang w:val="en-US" w:eastAsia="zh-CN"/>
        </w:rPr>
      </w:pPr>
      <w:r>
        <w:rPr>
          <w:rFonts w:hint="eastAsia" w:ascii="宋体" w:hAnsi="宋体" w:eastAsia="宋体" w:cs="宋体"/>
          <w:sz w:val="28"/>
          <w:szCs w:val="28"/>
          <w:highlight w:val="none"/>
        </w:rPr>
        <w:t>必要的文字和符号。</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每批货物备妥及装运车辆发出24小时内，投标人应以传真和电子邮件方式将该批货物的如下内容通知招标人。</w:t>
      </w:r>
    </w:p>
    <w:p>
      <w:pPr>
        <w:keepNext w:val="0"/>
        <w:keepLines w:val="0"/>
        <w:pageBreakBefore w:val="0"/>
        <w:widowControl w:val="0"/>
        <w:numPr>
          <w:ilvl w:val="0"/>
          <w:numId w:val="19"/>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合同号；</w:t>
      </w:r>
    </w:p>
    <w:p>
      <w:pPr>
        <w:keepNext w:val="0"/>
        <w:keepLines w:val="0"/>
        <w:pageBreakBefore w:val="0"/>
        <w:widowControl w:val="0"/>
        <w:numPr>
          <w:ilvl w:val="0"/>
          <w:numId w:val="19"/>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项目名称；</w:t>
      </w:r>
      <w:r>
        <w:rPr>
          <w:rFonts w:hint="eastAsia"/>
          <w:sz w:val="28"/>
          <w:szCs w:val="28"/>
          <w:highlight w:val="none"/>
          <w:lang w:val="en-US" w:eastAsia="zh-CN"/>
        </w:rPr>
        <w:tab/>
      </w:r>
    </w:p>
    <w:p>
      <w:pPr>
        <w:keepNext w:val="0"/>
        <w:keepLines w:val="0"/>
        <w:pageBreakBefore w:val="0"/>
        <w:widowControl w:val="0"/>
        <w:numPr>
          <w:ilvl w:val="0"/>
          <w:numId w:val="19"/>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货物预计运抵日；</w:t>
      </w:r>
    </w:p>
    <w:p>
      <w:pPr>
        <w:keepNext w:val="0"/>
        <w:keepLines w:val="0"/>
        <w:pageBreakBefore w:val="0"/>
        <w:widowControl w:val="0"/>
        <w:numPr>
          <w:ilvl w:val="0"/>
          <w:numId w:val="19"/>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货物名称及编号；</w:t>
      </w:r>
    </w:p>
    <w:p>
      <w:pPr>
        <w:keepNext w:val="0"/>
        <w:keepLines w:val="0"/>
        <w:pageBreakBefore w:val="0"/>
        <w:widowControl w:val="0"/>
        <w:numPr>
          <w:ilvl w:val="0"/>
          <w:numId w:val="19"/>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r>
        <w:rPr>
          <w:rFonts w:hint="eastAsia"/>
          <w:sz w:val="28"/>
          <w:szCs w:val="28"/>
          <w:highlight w:val="none"/>
          <w:lang w:val="en-US" w:eastAsia="zh-CN"/>
        </w:rPr>
        <w:t>总</w:t>
      </w:r>
      <w:r>
        <w:rPr>
          <w:rFonts w:hint="eastAsia" w:ascii="宋体" w:hAnsi="宋体" w:eastAsia="宋体" w:cs="宋体"/>
          <w:sz w:val="28"/>
          <w:szCs w:val="28"/>
          <w:highlight w:val="none"/>
          <w:lang w:val="en-US" w:eastAsia="zh-CN"/>
        </w:rPr>
        <w:t>包装件数和每件包装的装箱清单。</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每个包装箱应有二份“装箱单”，采用塑料袋密封包装，分别放置并固定在包装箱内外壁上。</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要严格按照投标人给出的说明书对设备进行包装、运输和储存。投标人应在交货前的适当时间提供设备的运输和储存说明书。</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设备制造完成并通过试验后应及时包装，否则应得到切实的保护。其包装也应符合铁路、公路和海运部门的有关规定。</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cs="宋体"/>
          <w:sz w:val="28"/>
          <w:szCs w:val="28"/>
          <w:highlight w:val="none"/>
        </w:rPr>
      </w:pPr>
      <w:r>
        <w:rPr>
          <w:rFonts w:hint="eastAsia" w:ascii="宋体" w:hAnsi="宋体" w:eastAsia="宋体" w:cs="宋体"/>
          <w:sz w:val="28"/>
          <w:szCs w:val="28"/>
          <w:highlight w:val="none"/>
          <w:lang w:val="en-US" w:eastAsia="zh-CN"/>
        </w:rPr>
        <w:t>设备包装应能保证各零部件在运输过程中不致遭到脏污、损坏、变形、丢失及受潮。对于其中的绝缘部件及由有机绝缘材料制成的绝缘件应特别加以保护，以免损坏和受潮。对于外露的接触表面，应有预防腐蚀的措施。所有运输措施均应经过验证。因包装原因造成设备损坏由投标人负责。</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cs="宋体"/>
          <w:sz w:val="28"/>
          <w:szCs w:val="28"/>
          <w:highlight w:val="none"/>
        </w:rPr>
      </w:pPr>
      <w:r>
        <w:rPr>
          <w:rFonts w:hint="eastAsia" w:ascii="宋体" w:hAnsi="宋体" w:cs="宋体"/>
          <w:sz w:val="28"/>
          <w:szCs w:val="28"/>
          <w:highlight w:val="none"/>
          <w:lang w:val="en-US" w:eastAsia="zh-CN"/>
        </w:rPr>
        <w:t>桥架外包装</w:t>
      </w:r>
      <w:r>
        <w:rPr>
          <w:rFonts w:hint="eastAsia" w:ascii="宋体" w:hAnsi="宋体" w:cs="宋体"/>
          <w:sz w:val="28"/>
          <w:szCs w:val="28"/>
          <w:highlight w:val="none"/>
        </w:rPr>
        <w:t>应印有“惠州壳牌三期专用”标志。</w:t>
      </w:r>
    </w:p>
    <w:p>
      <w:pPr>
        <w:keepNext w:val="0"/>
        <w:keepLines w:val="0"/>
        <w:pageBreakBefore w:val="0"/>
        <w:widowControl w:val="0"/>
        <w:numPr>
          <w:ilvl w:val="0"/>
          <w:numId w:val="17"/>
        </w:numPr>
        <w:kinsoku/>
        <w:wordWrap/>
        <w:overflowPunct/>
        <w:topLinePunct w:val="0"/>
        <w:autoSpaceDE/>
        <w:autoSpaceDN/>
        <w:bidi w:val="0"/>
        <w:adjustRightInd/>
        <w:snapToGrid/>
        <w:spacing w:line="560" w:lineRule="exact"/>
        <w:ind w:left="0"/>
        <w:textAlignment w:val="auto"/>
        <w:rPr>
          <w:rFonts w:hint="eastAsia" w:ascii="宋体" w:hAnsi="宋体" w:cs="宋体"/>
          <w:sz w:val="28"/>
          <w:szCs w:val="28"/>
          <w:highlight w:val="none"/>
        </w:rPr>
      </w:pPr>
      <w:r>
        <w:rPr>
          <w:rFonts w:hint="eastAsia" w:ascii="宋体" w:hAnsi="宋体" w:cs="宋体"/>
          <w:color w:val="000000"/>
          <w:kern w:val="0"/>
          <w:sz w:val="28"/>
          <w:szCs w:val="28"/>
          <w:highlight w:val="none"/>
        </w:rPr>
        <w:t>投标方交付的所有货物要符合</w:t>
      </w:r>
      <w:r>
        <w:rPr>
          <w:rFonts w:hint="eastAsia" w:ascii="宋体" w:hAnsi="宋体" w:cs="宋体"/>
          <w:color w:val="000000"/>
          <w:spacing w:val="-50"/>
          <w:kern w:val="0"/>
          <w:sz w:val="28"/>
          <w:szCs w:val="28"/>
          <w:highlight w:val="none"/>
        </w:rPr>
        <w:t xml:space="preserve"> </w:t>
      </w:r>
      <w:r>
        <w:rPr>
          <w:rFonts w:hint="eastAsia" w:ascii="宋体" w:hAnsi="宋体" w:cs="宋体"/>
          <w:color w:val="000000"/>
          <w:kern w:val="0"/>
          <w:sz w:val="28"/>
          <w:szCs w:val="28"/>
          <w:highlight w:val="none"/>
        </w:rPr>
        <w:t>GB191《</w:t>
      </w:r>
      <w:r>
        <w:rPr>
          <w:rFonts w:hint="eastAsia" w:ascii="宋体" w:hAnsi="宋体" w:cs="宋体"/>
          <w:color w:val="000000"/>
          <w:spacing w:val="-12"/>
          <w:kern w:val="0"/>
          <w:sz w:val="28"/>
          <w:szCs w:val="28"/>
          <w:highlight w:val="none"/>
        </w:rPr>
        <w:t xml:space="preserve"> </w:t>
      </w:r>
      <w:r>
        <w:rPr>
          <w:rFonts w:hint="eastAsia" w:ascii="宋体" w:hAnsi="宋体" w:cs="宋体"/>
          <w:color w:val="000000"/>
          <w:kern w:val="0"/>
          <w:sz w:val="28"/>
          <w:szCs w:val="28"/>
          <w:highlight w:val="none"/>
        </w:rPr>
        <w:t>包装储运指示标志》 的规定，并具有适合</w:t>
      </w:r>
      <w:r>
        <w:rPr>
          <w:rFonts w:hint="eastAsia" w:ascii="宋体" w:hAnsi="宋体" w:cs="宋体"/>
          <w:color w:val="000000"/>
          <w:spacing w:val="5"/>
          <w:kern w:val="0"/>
          <w:sz w:val="28"/>
          <w:szCs w:val="28"/>
          <w:highlight w:val="none"/>
        </w:rPr>
        <w:t>长途运输多次搬运、装卸的坚固包装，不能</w:t>
      </w:r>
      <w:r>
        <w:rPr>
          <w:rFonts w:hint="eastAsia" w:ascii="宋体" w:hAnsi="宋体" w:cs="宋体"/>
          <w:color w:val="000000"/>
          <w:spacing w:val="3"/>
          <w:kern w:val="0"/>
          <w:sz w:val="28"/>
          <w:szCs w:val="28"/>
          <w:highlight w:val="none"/>
        </w:rPr>
        <w:t>造</w:t>
      </w:r>
      <w:r>
        <w:rPr>
          <w:rFonts w:hint="eastAsia" w:ascii="宋体" w:hAnsi="宋体" w:cs="宋体"/>
          <w:color w:val="000000"/>
          <w:spacing w:val="5"/>
          <w:kern w:val="0"/>
          <w:sz w:val="28"/>
          <w:szCs w:val="28"/>
          <w:highlight w:val="none"/>
        </w:rPr>
        <w:t>成运输过程中箱件破损，设备和零部件散失。根据设备本身和施工现场的特</w:t>
      </w:r>
      <w:r>
        <w:rPr>
          <w:rFonts w:hint="eastAsia" w:ascii="宋体" w:hAnsi="宋体" w:cs="宋体"/>
          <w:color w:val="000000"/>
          <w:spacing w:val="3"/>
          <w:kern w:val="0"/>
          <w:sz w:val="28"/>
          <w:szCs w:val="28"/>
          <w:highlight w:val="none"/>
        </w:rPr>
        <w:t>点</w:t>
      </w:r>
      <w:r>
        <w:rPr>
          <w:rFonts w:hint="eastAsia" w:ascii="宋体" w:hAnsi="宋体" w:cs="宋体"/>
          <w:color w:val="000000"/>
          <w:spacing w:val="5"/>
          <w:kern w:val="0"/>
          <w:sz w:val="28"/>
          <w:szCs w:val="28"/>
          <w:highlight w:val="none"/>
        </w:rPr>
        <w:t>，在包装上应分别具有防雨、防潮、防冻、防霉、防锈、防腐蚀的保护措施</w:t>
      </w:r>
      <w:r>
        <w:rPr>
          <w:rFonts w:hint="eastAsia" w:ascii="宋体" w:hAnsi="宋体" w:cs="宋体"/>
          <w:color w:val="000000"/>
          <w:spacing w:val="3"/>
          <w:kern w:val="0"/>
          <w:sz w:val="28"/>
          <w:szCs w:val="28"/>
          <w:highlight w:val="none"/>
        </w:rPr>
        <w:t>。</w:t>
      </w:r>
      <w:r>
        <w:rPr>
          <w:rFonts w:hint="eastAsia" w:ascii="宋体" w:hAnsi="宋体" w:cs="宋体"/>
          <w:color w:val="000000"/>
          <w:spacing w:val="5"/>
          <w:kern w:val="0"/>
          <w:sz w:val="28"/>
          <w:szCs w:val="28"/>
          <w:highlight w:val="none"/>
        </w:rPr>
        <w:t>设备运抵现场时，应包装和防护</w:t>
      </w:r>
      <w:r>
        <w:rPr>
          <w:rFonts w:hint="eastAsia" w:ascii="宋体" w:hAnsi="宋体" w:cs="宋体"/>
          <w:color w:val="000000"/>
          <w:kern w:val="0"/>
          <w:sz w:val="28"/>
          <w:szCs w:val="28"/>
          <w:highlight w:val="none"/>
        </w:rPr>
        <w:t>完好，表面清洁，内无异物，零部件、装箱单和技术资料齐全。</w:t>
      </w:r>
    </w:p>
    <w:p>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bookmarkStart w:id="136" w:name="_Toc292019786"/>
      <w:bookmarkStart w:id="137" w:name="_Toc279695210"/>
      <w:bookmarkStart w:id="138" w:name="_Toc15985"/>
      <w:bookmarkStart w:id="139" w:name="_Toc282993365"/>
      <w:bookmarkStart w:id="140" w:name="_Toc282433761"/>
      <w:bookmarkStart w:id="141" w:name="_Toc5155"/>
      <w:r>
        <w:rPr>
          <w:rFonts w:hint="eastAsia" w:ascii="宋体" w:hAnsi="宋体" w:eastAsia="宋体" w:cs="宋体"/>
          <w:sz w:val="28"/>
          <w:szCs w:val="28"/>
          <w:highlight w:val="none"/>
          <w:lang w:val="en-US" w:eastAsia="zh-CN"/>
        </w:rPr>
        <w:t>运输</w:t>
      </w:r>
      <w:bookmarkEnd w:id="133"/>
      <w:bookmarkEnd w:id="134"/>
      <w:bookmarkEnd w:id="135"/>
      <w:bookmarkEnd w:id="136"/>
      <w:bookmarkEnd w:id="137"/>
      <w:bookmarkEnd w:id="138"/>
      <w:bookmarkEnd w:id="139"/>
      <w:bookmarkEnd w:id="140"/>
      <w:bookmarkEnd w:id="141"/>
    </w:p>
    <w:p>
      <w:pPr>
        <w:keepNext w:val="0"/>
        <w:keepLines w:val="0"/>
        <w:pageBreakBefore w:val="0"/>
        <w:widowControl w:val="0"/>
        <w:numPr>
          <w:ilvl w:val="0"/>
          <w:numId w:val="20"/>
        </w:numPr>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每批货物备妥及装运车辆发出24小时内，投标人应以传真和电子邮件方式将该批货物的如下内容通知招标人。</w:t>
      </w:r>
    </w:p>
    <w:p>
      <w:pPr>
        <w:keepNext w:val="0"/>
        <w:keepLines w:val="0"/>
        <w:pageBreakBefore w:val="0"/>
        <w:widowControl w:val="0"/>
        <w:numPr>
          <w:ilvl w:val="0"/>
          <w:numId w:val="21"/>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合同号；</w:t>
      </w:r>
    </w:p>
    <w:p>
      <w:pPr>
        <w:keepNext w:val="0"/>
        <w:keepLines w:val="0"/>
        <w:pageBreakBefore w:val="0"/>
        <w:widowControl w:val="0"/>
        <w:numPr>
          <w:ilvl w:val="0"/>
          <w:numId w:val="21"/>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项目名称；</w:t>
      </w:r>
      <w:r>
        <w:rPr>
          <w:rFonts w:hint="eastAsia"/>
          <w:sz w:val="28"/>
          <w:szCs w:val="28"/>
          <w:highlight w:val="none"/>
          <w:lang w:val="en-US" w:eastAsia="zh-CN"/>
        </w:rPr>
        <w:tab/>
      </w:r>
    </w:p>
    <w:p>
      <w:pPr>
        <w:keepNext w:val="0"/>
        <w:keepLines w:val="0"/>
        <w:pageBreakBefore w:val="0"/>
        <w:widowControl w:val="0"/>
        <w:numPr>
          <w:ilvl w:val="0"/>
          <w:numId w:val="21"/>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货物预计运抵日；</w:t>
      </w:r>
    </w:p>
    <w:p>
      <w:pPr>
        <w:keepNext w:val="0"/>
        <w:keepLines w:val="0"/>
        <w:pageBreakBefore w:val="0"/>
        <w:widowControl w:val="0"/>
        <w:numPr>
          <w:ilvl w:val="0"/>
          <w:numId w:val="21"/>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货物名称及编号；</w:t>
      </w:r>
    </w:p>
    <w:p>
      <w:pPr>
        <w:keepNext w:val="0"/>
        <w:keepLines w:val="0"/>
        <w:pageBreakBefore w:val="0"/>
        <w:widowControl w:val="0"/>
        <w:numPr>
          <w:ilvl w:val="0"/>
          <w:numId w:val="21"/>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r>
        <w:rPr>
          <w:rFonts w:hint="eastAsia"/>
          <w:sz w:val="28"/>
          <w:szCs w:val="28"/>
          <w:highlight w:val="none"/>
          <w:lang w:val="en-US" w:eastAsia="zh-CN"/>
        </w:rPr>
        <w:t>总</w:t>
      </w:r>
      <w:r>
        <w:rPr>
          <w:rFonts w:hint="eastAsia" w:ascii="宋体" w:hAnsi="宋体" w:eastAsia="宋体" w:cs="宋体"/>
          <w:sz w:val="28"/>
          <w:szCs w:val="28"/>
          <w:highlight w:val="none"/>
          <w:lang w:val="en-US" w:eastAsia="zh-CN"/>
        </w:rPr>
        <w:t>包装件数和每件包装的装箱清单；</w:t>
      </w:r>
    </w:p>
    <w:p>
      <w:pPr>
        <w:keepNext w:val="0"/>
        <w:keepLines w:val="0"/>
        <w:pageBreakBefore w:val="0"/>
        <w:widowControl w:val="0"/>
        <w:numPr>
          <w:ilvl w:val="0"/>
          <w:numId w:val="20"/>
        </w:numPr>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运输方式为：公路、铁路或海运运输方式，运输保险费及运输由制造方承担。制造方应在每件包装箱的两个侧面上，用不干胶纸以明显易见的中文字样印刷以下标记：</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合同号；</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目的地；</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供货、收货单位名称、收货人；</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设备名称、此箱设备名称；</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箱号/件号；</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体积（长×宽×高，以毫米表示）；</w:t>
      </w:r>
    </w:p>
    <w:p>
      <w:pPr>
        <w:keepNext w:val="0"/>
        <w:keepLines w:val="0"/>
        <w:pageBreakBefore w:val="0"/>
        <w:widowControl w:val="0"/>
        <w:numPr>
          <w:ilvl w:val="0"/>
          <w:numId w:val="22"/>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保</w:t>
      </w:r>
      <w:r>
        <w:rPr>
          <w:rFonts w:hint="eastAsia" w:ascii="宋体" w:hAnsi="宋体" w:eastAsia="宋体" w:cs="宋体"/>
          <w:sz w:val="28"/>
          <w:szCs w:val="28"/>
          <w:highlight w:val="none"/>
          <w:lang w:val="en-US" w:eastAsia="zh-CN"/>
        </w:rPr>
        <w:t>管注意事项；</w:t>
      </w:r>
    </w:p>
    <w:p>
      <w:pPr>
        <w:keepNext w:val="0"/>
        <w:keepLines w:val="0"/>
        <w:pageBreakBefore w:val="0"/>
        <w:widowControl w:val="0"/>
        <w:numPr>
          <w:ilvl w:val="0"/>
          <w:numId w:val="20"/>
        </w:numPr>
        <w:kinsoku/>
        <w:wordWrap/>
        <w:overflowPunct/>
        <w:topLinePunct w:val="0"/>
        <w:autoSpaceDE/>
        <w:autoSpaceDN/>
        <w:bidi w:val="0"/>
        <w:adjustRightInd/>
        <w:snapToGrid/>
        <w:spacing w:line="560" w:lineRule="exact"/>
        <w:ind w:left="0"/>
        <w:textAlignment w:val="auto"/>
        <w:rPr>
          <w:rFonts w:hint="eastAsia"/>
          <w:sz w:val="28"/>
          <w:szCs w:val="28"/>
          <w:highlight w:val="none"/>
          <w:lang w:val="en-US" w:eastAsia="zh-CN"/>
        </w:rPr>
      </w:pPr>
      <w:r>
        <w:rPr>
          <w:rFonts w:hint="eastAsia"/>
          <w:sz w:val="28"/>
          <w:szCs w:val="28"/>
          <w:highlight w:val="none"/>
          <w:lang w:val="en-US" w:eastAsia="zh-CN"/>
        </w:rPr>
        <w:t>桥架</w:t>
      </w:r>
      <w:r>
        <w:rPr>
          <w:rFonts w:hint="eastAsia"/>
          <w:sz w:val="28"/>
          <w:szCs w:val="28"/>
          <w:highlight w:val="none"/>
        </w:rPr>
        <w:t>在装卸、运输过程中发生任何意外，</w:t>
      </w:r>
      <w:r>
        <w:rPr>
          <w:rFonts w:hint="eastAsia"/>
          <w:sz w:val="28"/>
          <w:szCs w:val="28"/>
          <w:highlight w:val="none"/>
          <w:lang w:val="en-US" w:eastAsia="zh-CN"/>
        </w:rPr>
        <w:t>投标人</w:t>
      </w:r>
      <w:r>
        <w:rPr>
          <w:rFonts w:hint="eastAsia"/>
          <w:sz w:val="28"/>
          <w:szCs w:val="28"/>
          <w:highlight w:val="none"/>
        </w:rPr>
        <w:t>承担全部责任。</w:t>
      </w:r>
    </w:p>
    <w:p>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b w:val="0"/>
          <w:kern w:val="44"/>
          <w:sz w:val="28"/>
          <w:szCs w:val="28"/>
          <w:highlight w:val="none"/>
          <w:u w:val="none"/>
          <w:lang w:val="en-US" w:eastAsia="zh-CN"/>
        </w:rPr>
      </w:pPr>
      <w:bookmarkStart w:id="142" w:name="_Toc1719"/>
      <w:bookmarkStart w:id="143" w:name="_Toc27883"/>
      <w:r>
        <w:rPr>
          <w:rFonts w:hint="eastAsia" w:ascii="宋体" w:hAnsi="宋体" w:eastAsia="宋体" w:cs="宋体"/>
          <w:b w:val="0"/>
          <w:kern w:val="44"/>
          <w:sz w:val="28"/>
          <w:szCs w:val="28"/>
          <w:highlight w:val="none"/>
          <w:u w:val="none"/>
          <w:lang w:val="en-US" w:eastAsia="zh-CN"/>
        </w:rPr>
        <w:t>交货</w:t>
      </w:r>
      <w:bookmarkEnd w:id="142"/>
      <w:bookmarkEnd w:id="143"/>
    </w:p>
    <w:p>
      <w:pPr>
        <w:keepNext w:val="0"/>
        <w:keepLines w:val="0"/>
        <w:pageBreakBefore w:val="0"/>
        <w:widowControl w:val="0"/>
        <w:numPr>
          <w:ilvl w:val="0"/>
          <w:numId w:val="23"/>
        </w:numPr>
        <w:kinsoku/>
        <w:wordWrap/>
        <w:overflowPunct/>
        <w:topLinePunct w:val="0"/>
        <w:autoSpaceDE/>
        <w:autoSpaceDN/>
        <w:bidi w:val="0"/>
        <w:adjustRightInd/>
        <w:snapToGrid/>
        <w:spacing w:line="560" w:lineRule="exact"/>
        <w:ind w:left="0"/>
        <w:textAlignment w:val="auto"/>
        <w:rPr>
          <w:rFonts w:hint="eastAsia"/>
          <w:sz w:val="28"/>
          <w:szCs w:val="28"/>
          <w:highlight w:val="none"/>
          <w:lang w:val="en-US" w:eastAsia="zh-CN"/>
        </w:rPr>
      </w:pPr>
      <w:r>
        <w:rPr>
          <w:rFonts w:hint="eastAsia"/>
          <w:sz w:val="28"/>
          <w:szCs w:val="28"/>
          <w:highlight w:val="none"/>
          <w:lang w:val="en-US" w:eastAsia="zh-CN"/>
        </w:rPr>
        <w:t>交货时间：见招标文件。</w:t>
      </w:r>
    </w:p>
    <w:p>
      <w:pPr>
        <w:keepNext w:val="0"/>
        <w:keepLines w:val="0"/>
        <w:pageBreakBefore w:val="0"/>
        <w:widowControl w:val="0"/>
        <w:numPr>
          <w:ilvl w:val="0"/>
          <w:numId w:val="23"/>
        </w:numPr>
        <w:kinsoku/>
        <w:wordWrap/>
        <w:overflowPunct/>
        <w:topLinePunct w:val="0"/>
        <w:autoSpaceDE/>
        <w:autoSpaceDN/>
        <w:bidi w:val="0"/>
        <w:adjustRightInd/>
        <w:snapToGrid/>
        <w:spacing w:line="560" w:lineRule="exact"/>
        <w:ind w:left="0"/>
        <w:textAlignment w:val="auto"/>
        <w:rPr>
          <w:rFonts w:hint="default" w:ascii="Calibri" w:hAnsi="Calibri" w:eastAsia="宋体" w:cs="Times New Roman"/>
          <w:sz w:val="24"/>
          <w:szCs w:val="24"/>
          <w:highlight w:val="none"/>
          <w:lang w:val="en-US" w:eastAsia="zh-CN"/>
        </w:rPr>
      </w:pPr>
      <w:r>
        <w:rPr>
          <w:rFonts w:hint="eastAsia" w:ascii="宋体" w:hAnsi="宋体" w:eastAsia="宋体" w:cs="宋体"/>
          <w:sz w:val="28"/>
          <w:szCs w:val="28"/>
          <w:highlight w:val="none"/>
          <w:lang w:val="en-US" w:eastAsia="zh-CN"/>
        </w:rPr>
        <w:t>交货地点：见招标文件。</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eastAsia" w:ascii="黑体" w:hAnsi="黑体" w:eastAsia="黑体" w:cs="黑体"/>
          <w:highlight w:val="none"/>
          <w:lang w:val="en-US" w:eastAsia="zh-CN"/>
        </w:rPr>
      </w:pPr>
      <w:bookmarkStart w:id="144" w:name="_Toc18522"/>
      <w:bookmarkStart w:id="145" w:name="_Toc17916"/>
      <w:r>
        <w:rPr>
          <w:rFonts w:hint="eastAsia" w:ascii="黑体" w:hAnsi="黑体" w:eastAsia="黑体" w:cs="黑体"/>
          <w:highlight w:val="none"/>
          <w:lang w:val="en-US" w:eastAsia="zh-CN"/>
        </w:rPr>
        <w:t>验收、安装及调试</w:t>
      </w:r>
      <w:bookmarkEnd w:id="144"/>
      <w:bookmarkEnd w:id="145"/>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bookmarkStart w:id="146" w:name="_Toc5114"/>
      <w:bookmarkStart w:id="147" w:name="_Toc2350"/>
      <w:r>
        <w:rPr>
          <w:rFonts w:hint="eastAsia" w:ascii="宋体" w:hAnsi="宋体" w:cs="宋体"/>
          <w:sz w:val="28"/>
          <w:szCs w:val="28"/>
          <w:highlight w:val="none"/>
          <w:lang w:eastAsia="zh-CN"/>
        </w:rPr>
        <w:t>投标人</w:t>
      </w:r>
      <w:r>
        <w:rPr>
          <w:rFonts w:hint="eastAsia" w:ascii="宋体" w:hAnsi="宋体" w:cs="宋体"/>
          <w:sz w:val="28"/>
          <w:szCs w:val="28"/>
          <w:highlight w:val="none"/>
        </w:rPr>
        <w:t>应在合同（订单）签订后不超过两周的时间内向</w:t>
      </w:r>
      <w:r>
        <w:rPr>
          <w:rFonts w:hint="eastAsia" w:ascii="宋体" w:hAnsi="宋体" w:cs="宋体"/>
          <w:sz w:val="28"/>
          <w:szCs w:val="28"/>
          <w:highlight w:val="none"/>
          <w:lang w:eastAsia="zh-CN"/>
        </w:rPr>
        <w:t>招标人</w:t>
      </w:r>
      <w:r>
        <w:rPr>
          <w:rFonts w:hint="eastAsia" w:ascii="宋体" w:hAnsi="宋体" w:cs="宋体"/>
          <w:sz w:val="28"/>
          <w:szCs w:val="28"/>
          <w:highlight w:val="none"/>
        </w:rPr>
        <w:t>提交一份详细的生产计划表。这份计划表应以图表形式说明设计、试验、材料采购、制造、工厂检验、抽样检验、包装及运输，包括对每项工作及其过程足够详细的全部细节。</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生产本合同（订单）</w:t>
      </w:r>
      <w:r>
        <w:rPr>
          <w:rFonts w:hint="eastAsia" w:ascii="宋体" w:hAnsi="宋体" w:cs="宋体"/>
          <w:sz w:val="28"/>
          <w:szCs w:val="28"/>
          <w:highlight w:val="none"/>
          <w:lang w:val="en-US" w:eastAsia="zh-CN"/>
        </w:rPr>
        <w:t>桥架</w:t>
      </w:r>
      <w:r>
        <w:rPr>
          <w:rFonts w:hint="eastAsia" w:ascii="宋体" w:hAnsi="宋体" w:cs="宋体"/>
          <w:sz w:val="28"/>
          <w:szCs w:val="28"/>
          <w:highlight w:val="none"/>
        </w:rPr>
        <w:t>前一周</w:t>
      </w:r>
      <w:r>
        <w:rPr>
          <w:rFonts w:hint="eastAsia" w:ascii="宋体" w:hAnsi="宋体" w:cs="宋体"/>
          <w:sz w:val="28"/>
          <w:szCs w:val="28"/>
          <w:highlight w:val="none"/>
          <w:lang w:eastAsia="zh-CN"/>
        </w:rPr>
        <w:t>投标人</w:t>
      </w:r>
      <w:r>
        <w:rPr>
          <w:rFonts w:hint="eastAsia" w:ascii="宋体" w:hAnsi="宋体" w:cs="宋体"/>
          <w:sz w:val="28"/>
          <w:szCs w:val="28"/>
          <w:highlight w:val="none"/>
        </w:rPr>
        <w:t>就生产计划及具体时间应以书面形式发给</w:t>
      </w:r>
      <w:r>
        <w:rPr>
          <w:rFonts w:hint="eastAsia" w:ascii="宋体" w:hAnsi="宋体" w:cs="宋体"/>
          <w:sz w:val="28"/>
          <w:szCs w:val="28"/>
          <w:highlight w:val="none"/>
          <w:lang w:eastAsia="zh-CN"/>
        </w:rPr>
        <w:t>招标人</w:t>
      </w:r>
      <w:r>
        <w:rPr>
          <w:rFonts w:hint="eastAsia" w:ascii="宋体" w:hAnsi="宋体" w:cs="宋体"/>
          <w:sz w:val="28"/>
          <w:szCs w:val="28"/>
          <w:highlight w:val="none"/>
        </w:rPr>
        <w:t>进一步确认，必要时，</w:t>
      </w:r>
      <w:r>
        <w:rPr>
          <w:rFonts w:hint="eastAsia" w:ascii="宋体" w:hAnsi="宋体" w:cs="宋体"/>
          <w:sz w:val="28"/>
          <w:szCs w:val="28"/>
          <w:highlight w:val="none"/>
          <w:lang w:eastAsia="zh-CN"/>
        </w:rPr>
        <w:t>招标人</w:t>
      </w:r>
      <w:r>
        <w:rPr>
          <w:rFonts w:hint="eastAsia" w:ascii="宋体" w:hAnsi="宋体" w:cs="宋体"/>
          <w:sz w:val="28"/>
          <w:szCs w:val="28"/>
          <w:highlight w:val="none"/>
        </w:rPr>
        <w:t>将派遣监造工程师或代表对</w:t>
      </w:r>
      <w:r>
        <w:rPr>
          <w:rFonts w:hint="eastAsia" w:ascii="宋体" w:hAnsi="宋体" w:cs="宋体"/>
          <w:sz w:val="28"/>
          <w:szCs w:val="28"/>
          <w:highlight w:val="none"/>
          <w:lang w:val="en-US" w:eastAsia="zh-CN"/>
        </w:rPr>
        <w:t>桥架</w:t>
      </w:r>
      <w:r>
        <w:rPr>
          <w:rFonts w:hint="eastAsia" w:ascii="宋体" w:hAnsi="宋体" w:cs="宋体"/>
          <w:sz w:val="28"/>
          <w:szCs w:val="28"/>
          <w:highlight w:val="none"/>
        </w:rPr>
        <w:t>全生产周期的质量进行监控以及对各工艺阶段的检验和测试以及包装运输等进行过程监督，</w:t>
      </w:r>
      <w:r>
        <w:rPr>
          <w:rFonts w:hint="eastAsia" w:ascii="宋体" w:hAnsi="宋体" w:cs="宋体"/>
          <w:sz w:val="28"/>
          <w:szCs w:val="28"/>
          <w:highlight w:val="none"/>
          <w:lang w:eastAsia="zh-CN"/>
        </w:rPr>
        <w:t>投标人</w:t>
      </w:r>
      <w:r>
        <w:rPr>
          <w:rFonts w:hint="eastAsia" w:ascii="宋体" w:hAnsi="宋体" w:cs="宋体"/>
          <w:sz w:val="28"/>
          <w:szCs w:val="28"/>
          <w:highlight w:val="none"/>
        </w:rPr>
        <w:t>应提供充分的便利条件。派遣的代表身份将以书面形式通知</w:t>
      </w:r>
      <w:r>
        <w:rPr>
          <w:rFonts w:hint="eastAsia" w:ascii="宋体" w:hAnsi="宋体" w:cs="宋体"/>
          <w:sz w:val="28"/>
          <w:szCs w:val="28"/>
          <w:highlight w:val="none"/>
          <w:lang w:eastAsia="zh-CN"/>
        </w:rPr>
        <w:t>投标人</w:t>
      </w:r>
      <w:r>
        <w:rPr>
          <w:rFonts w:hint="eastAsia" w:ascii="宋体" w:hAnsi="宋体" w:cs="宋体"/>
          <w:sz w:val="28"/>
          <w:szCs w:val="28"/>
          <w:highlight w:val="none"/>
        </w:rPr>
        <w:t>。</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lang w:eastAsia="zh-CN"/>
        </w:rPr>
        <w:t>招标人</w:t>
      </w:r>
      <w:r>
        <w:rPr>
          <w:rFonts w:hint="eastAsia" w:ascii="宋体" w:hAnsi="宋体" w:cs="宋体"/>
          <w:sz w:val="28"/>
          <w:szCs w:val="28"/>
          <w:highlight w:val="none"/>
        </w:rPr>
        <w:t>代表将根据本标准的要求对工艺过程、抽样检验和例行试验等过程进行监督，若发现合同</w:t>
      </w:r>
      <w:r>
        <w:rPr>
          <w:rFonts w:hint="eastAsia" w:ascii="宋体" w:hAnsi="宋体" w:cs="宋体"/>
          <w:sz w:val="28"/>
          <w:szCs w:val="28"/>
          <w:highlight w:val="none"/>
          <w:lang w:val="en-US" w:eastAsia="zh-CN"/>
        </w:rPr>
        <w:t>桥架</w:t>
      </w:r>
      <w:r>
        <w:rPr>
          <w:rFonts w:hint="eastAsia" w:ascii="宋体" w:hAnsi="宋体" w:cs="宋体"/>
          <w:sz w:val="28"/>
          <w:szCs w:val="28"/>
          <w:highlight w:val="none"/>
        </w:rPr>
        <w:t>经检验不符合本标准的要求，可以拒收，</w:t>
      </w:r>
      <w:r>
        <w:rPr>
          <w:rFonts w:hint="eastAsia" w:ascii="宋体" w:hAnsi="宋体" w:cs="宋体"/>
          <w:sz w:val="28"/>
          <w:szCs w:val="28"/>
          <w:highlight w:val="none"/>
          <w:lang w:eastAsia="zh-CN"/>
        </w:rPr>
        <w:t>投标人</w:t>
      </w:r>
      <w:r>
        <w:rPr>
          <w:rFonts w:hint="eastAsia" w:ascii="宋体" w:hAnsi="宋体" w:cs="宋体"/>
          <w:sz w:val="28"/>
          <w:szCs w:val="28"/>
          <w:highlight w:val="none"/>
        </w:rPr>
        <w:t>应及时安排重新生产等事宜，并按双方协商的时间供货。对于</w:t>
      </w:r>
      <w:r>
        <w:rPr>
          <w:rFonts w:hint="eastAsia" w:ascii="宋体" w:hAnsi="宋体" w:cs="宋体"/>
          <w:sz w:val="28"/>
          <w:szCs w:val="28"/>
          <w:highlight w:val="none"/>
          <w:lang w:eastAsia="zh-CN"/>
        </w:rPr>
        <w:t>招标人</w:t>
      </w:r>
      <w:r>
        <w:rPr>
          <w:rFonts w:hint="eastAsia" w:ascii="宋体" w:hAnsi="宋体" w:cs="宋体"/>
          <w:sz w:val="28"/>
          <w:szCs w:val="28"/>
          <w:highlight w:val="none"/>
        </w:rPr>
        <w:t>代表提出的意见和建议，</w:t>
      </w:r>
      <w:r>
        <w:rPr>
          <w:rFonts w:hint="eastAsia" w:ascii="宋体" w:hAnsi="宋体" w:cs="宋体"/>
          <w:sz w:val="28"/>
          <w:szCs w:val="28"/>
          <w:highlight w:val="none"/>
          <w:lang w:eastAsia="zh-CN"/>
        </w:rPr>
        <w:t>投标人</w:t>
      </w:r>
      <w:r>
        <w:rPr>
          <w:rFonts w:hint="eastAsia" w:ascii="宋体" w:hAnsi="宋体" w:cs="宋体"/>
          <w:sz w:val="28"/>
          <w:szCs w:val="28"/>
          <w:highlight w:val="none"/>
        </w:rPr>
        <w:t>应认真考虑其意见，并采取必要措施以确保待运合同</w:t>
      </w:r>
      <w:r>
        <w:rPr>
          <w:rFonts w:hint="eastAsia" w:ascii="宋体" w:hAnsi="宋体" w:cs="宋体"/>
          <w:sz w:val="28"/>
          <w:szCs w:val="28"/>
          <w:highlight w:val="none"/>
          <w:lang w:val="en-US" w:eastAsia="zh-CN"/>
        </w:rPr>
        <w:t>桥架</w:t>
      </w:r>
      <w:r>
        <w:rPr>
          <w:rFonts w:hint="eastAsia" w:ascii="宋体" w:hAnsi="宋体" w:cs="宋体"/>
          <w:sz w:val="28"/>
          <w:szCs w:val="28"/>
          <w:highlight w:val="none"/>
        </w:rPr>
        <w:t>的质量。</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eastAsiaTheme="minorEastAsia"/>
          <w:b w:val="0"/>
          <w:bCs w:val="0"/>
          <w:color w:val="auto"/>
          <w:sz w:val="28"/>
          <w:szCs w:val="28"/>
          <w:highlight w:val="none"/>
          <w:u w:val="none" w:color="00B0F0"/>
        </w:rPr>
      </w:pPr>
      <w:r>
        <w:rPr>
          <w:rFonts w:hint="eastAsia" w:ascii="宋体" w:hAnsi="宋体" w:cs="宋体" w:eastAsiaTheme="minorEastAsia"/>
          <w:b w:val="0"/>
          <w:bCs w:val="0"/>
          <w:color w:val="auto"/>
          <w:sz w:val="28"/>
          <w:szCs w:val="28"/>
          <w:highlight w:val="none"/>
          <w:u w:val="none" w:color="00B0F0"/>
        </w:rPr>
        <w:t>桥架及附件实行分级验收；一级验收为工厂验收，招标人派代表或委托第三方机构前往制造厂进行出厂前检验，主要对材料、外观、</w:t>
      </w:r>
      <w:r>
        <w:rPr>
          <w:rFonts w:hint="eastAsia" w:ascii="宋体" w:hAnsi="宋体" w:cs="宋体"/>
          <w:b w:val="0"/>
          <w:bCs w:val="0"/>
          <w:color w:val="auto"/>
          <w:sz w:val="28"/>
          <w:szCs w:val="28"/>
          <w:highlight w:val="none"/>
          <w:u w:val="none" w:color="00B0F0"/>
          <w:lang w:val="en-US" w:eastAsia="zh-CN"/>
        </w:rPr>
        <w:t>尺寸（宽度、高度、长度）、厚度（梯边、横档、</w:t>
      </w:r>
      <w:r>
        <w:rPr>
          <w:rFonts w:hint="default"/>
          <w:sz w:val="28"/>
          <w:szCs w:val="28"/>
          <w:highlight w:val="none"/>
          <w:lang w:val="en-US" w:eastAsia="zh-CN"/>
        </w:rPr>
        <w:t>底板、中间隔板、</w:t>
      </w:r>
      <w:r>
        <w:rPr>
          <w:rFonts w:hint="eastAsia"/>
          <w:sz w:val="28"/>
          <w:szCs w:val="28"/>
          <w:highlight w:val="none"/>
          <w:lang w:val="en-US" w:eastAsia="zh-CN"/>
        </w:rPr>
        <w:t>连</w:t>
      </w:r>
      <w:r>
        <w:rPr>
          <w:rFonts w:hint="default"/>
          <w:sz w:val="28"/>
          <w:szCs w:val="28"/>
          <w:highlight w:val="none"/>
          <w:lang w:val="en-US" w:eastAsia="zh-CN"/>
        </w:rPr>
        <w:t>接板</w:t>
      </w:r>
      <w:r>
        <w:rPr>
          <w:rFonts w:hint="eastAsia"/>
          <w:sz w:val="28"/>
          <w:szCs w:val="28"/>
          <w:highlight w:val="none"/>
          <w:lang w:val="en-US" w:eastAsia="zh-CN"/>
        </w:rPr>
        <w:t>、伸缩板、调节板</w:t>
      </w:r>
      <w:r>
        <w:rPr>
          <w:rFonts w:hint="default"/>
          <w:sz w:val="28"/>
          <w:szCs w:val="28"/>
          <w:highlight w:val="none"/>
          <w:lang w:val="en-US" w:eastAsia="zh-CN"/>
        </w:rPr>
        <w:t>及盖板</w:t>
      </w:r>
      <w:r>
        <w:rPr>
          <w:rFonts w:hint="eastAsia"/>
          <w:sz w:val="28"/>
          <w:szCs w:val="28"/>
          <w:highlight w:val="none"/>
          <w:lang w:val="en-US" w:eastAsia="zh-CN"/>
        </w:rPr>
        <w:t>等</w:t>
      </w:r>
      <w:r>
        <w:rPr>
          <w:rFonts w:hint="eastAsia" w:ascii="宋体" w:hAnsi="宋体" w:cs="宋体"/>
          <w:b w:val="0"/>
          <w:bCs w:val="0"/>
          <w:color w:val="auto"/>
          <w:sz w:val="28"/>
          <w:szCs w:val="28"/>
          <w:highlight w:val="none"/>
          <w:u w:val="none" w:color="00B0F0"/>
          <w:lang w:val="en-US" w:eastAsia="zh-CN"/>
        </w:rPr>
        <w:t>）</w:t>
      </w:r>
      <w:r>
        <w:rPr>
          <w:rFonts w:hint="eastAsia" w:ascii="宋体" w:hAnsi="宋体" w:cs="宋体" w:eastAsiaTheme="minorEastAsia"/>
          <w:b w:val="0"/>
          <w:bCs w:val="0"/>
          <w:color w:val="auto"/>
          <w:sz w:val="28"/>
          <w:szCs w:val="28"/>
          <w:highlight w:val="none"/>
          <w:u w:val="none" w:color="00B0F0"/>
        </w:rPr>
        <w:t>、焊接（如有）及表面</w:t>
      </w:r>
      <w:r>
        <w:rPr>
          <w:rFonts w:hint="eastAsia" w:ascii="宋体" w:hAnsi="宋体" w:cs="宋体"/>
          <w:b w:val="0"/>
          <w:bCs w:val="0"/>
          <w:color w:val="auto"/>
          <w:sz w:val="28"/>
          <w:szCs w:val="28"/>
          <w:highlight w:val="none"/>
          <w:u w:val="none" w:color="00B0F0"/>
          <w:lang w:val="en-US" w:eastAsia="zh-CN"/>
        </w:rPr>
        <w:t>氧化层</w:t>
      </w:r>
      <w:r>
        <w:rPr>
          <w:rFonts w:hint="eastAsia" w:ascii="宋体" w:hAnsi="宋体" w:cs="宋体" w:eastAsiaTheme="minorEastAsia"/>
          <w:b w:val="0"/>
          <w:bCs w:val="0"/>
          <w:color w:val="auto"/>
          <w:sz w:val="28"/>
          <w:szCs w:val="28"/>
          <w:highlight w:val="none"/>
          <w:u w:val="none" w:color="00B0F0"/>
        </w:rPr>
        <w:t>处理</w:t>
      </w:r>
      <w:r>
        <w:rPr>
          <w:rFonts w:hint="eastAsia" w:ascii="宋体" w:hAnsi="宋体" w:cs="宋体"/>
          <w:b w:val="0"/>
          <w:bCs w:val="0"/>
          <w:color w:val="auto"/>
          <w:sz w:val="28"/>
          <w:szCs w:val="28"/>
          <w:highlight w:val="none"/>
          <w:u w:val="none" w:color="00B0F0"/>
          <w:lang w:eastAsia="zh-CN"/>
        </w:rPr>
        <w:t>（</w:t>
      </w:r>
      <w:r>
        <w:rPr>
          <w:rFonts w:hint="eastAsia" w:ascii="宋体" w:hAnsi="宋体" w:cs="宋体"/>
          <w:b w:val="0"/>
          <w:bCs w:val="0"/>
          <w:color w:val="auto"/>
          <w:sz w:val="28"/>
          <w:szCs w:val="28"/>
          <w:highlight w:val="none"/>
          <w:u w:val="none" w:color="00B0F0"/>
          <w:lang w:val="en-US" w:eastAsia="zh-CN"/>
        </w:rPr>
        <w:t>包括氧化层厚度</w:t>
      </w:r>
      <w:r>
        <w:rPr>
          <w:rFonts w:hint="eastAsia" w:ascii="宋体" w:hAnsi="宋体" w:cs="宋体"/>
          <w:b w:val="0"/>
          <w:bCs w:val="0"/>
          <w:color w:val="auto"/>
          <w:sz w:val="28"/>
          <w:szCs w:val="28"/>
          <w:highlight w:val="none"/>
          <w:u w:val="none" w:color="00B0F0"/>
          <w:lang w:eastAsia="zh-CN"/>
        </w:rPr>
        <w:t>）</w:t>
      </w:r>
      <w:r>
        <w:rPr>
          <w:rFonts w:hint="eastAsia" w:ascii="宋体" w:hAnsi="宋体" w:cs="宋体" w:eastAsiaTheme="minorEastAsia"/>
          <w:b w:val="0"/>
          <w:bCs w:val="0"/>
          <w:color w:val="auto"/>
          <w:sz w:val="28"/>
          <w:szCs w:val="28"/>
          <w:highlight w:val="none"/>
          <w:u w:val="none" w:color="00B0F0"/>
        </w:rPr>
        <w:t>等制造质量进行验收，验收合格方可出厂；二级验收为项目现场验收，由招标人代表及（或）施工单位人员对桥架及附件的外观、</w:t>
      </w:r>
      <w:r>
        <w:rPr>
          <w:rFonts w:hint="eastAsia" w:ascii="宋体" w:hAnsi="宋体" w:cs="宋体"/>
          <w:b w:val="0"/>
          <w:bCs w:val="0"/>
          <w:color w:val="auto"/>
          <w:sz w:val="28"/>
          <w:szCs w:val="28"/>
          <w:highlight w:val="none"/>
          <w:u w:val="none" w:color="00B0F0"/>
          <w:lang w:val="en-US" w:eastAsia="zh-CN"/>
        </w:rPr>
        <w:t>尺寸（宽度、高度、长度）、厚度（梯边、横档、</w:t>
      </w:r>
      <w:r>
        <w:rPr>
          <w:rFonts w:hint="default"/>
          <w:sz w:val="28"/>
          <w:szCs w:val="28"/>
          <w:highlight w:val="none"/>
          <w:lang w:val="en-US" w:eastAsia="zh-CN"/>
        </w:rPr>
        <w:t>底板、中间隔板、</w:t>
      </w:r>
      <w:r>
        <w:rPr>
          <w:rFonts w:hint="eastAsia"/>
          <w:sz w:val="28"/>
          <w:szCs w:val="28"/>
          <w:highlight w:val="none"/>
          <w:lang w:val="en-US" w:eastAsia="zh-CN"/>
        </w:rPr>
        <w:t>连</w:t>
      </w:r>
      <w:r>
        <w:rPr>
          <w:rFonts w:hint="default"/>
          <w:sz w:val="28"/>
          <w:szCs w:val="28"/>
          <w:highlight w:val="none"/>
          <w:lang w:val="en-US" w:eastAsia="zh-CN"/>
        </w:rPr>
        <w:t>接板</w:t>
      </w:r>
      <w:r>
        <w:rPr>
          <w:rFonts w:hint="eastAsia"/>
          <w:sz w:val="28"/>
          <w:szCs w:val="28"/>
          <w:highlight w:val="none"/>
          <w:lang w:val="en-US" w:eastAsia="zh-CN"/>
        </w:rPr>
        <w:t>、伸缩板、调节板</w:t>
      </w:r>
      <w:r>
        <w:rPr>
          <w:rFonts w:hint="default"/>
          <w:sz w:val="28"/>
          <w:szCs w:val="28"/>
          <w:highlight w:val="none"/>
          <w:lang w:val="en-US" w:eastAsia="zh-CN"/>
        </w:rPr>
        <w:t>及盖板</w:t>
      </w:r>
      <w:r>
        <w:rPr>
          <w:rFonts w:hint="eastAsia"/>
          <w:sz w:val="28"/>
          <w:szCs w:val="28"/>
          <w:highlight w:val="none"/>
          <w:lang w:val="en-US" w:eastAsia="zh-CN"/>
        </w:rPr>
        <w:t>等</w:t>
      </w:r>
      <w:r>
        <w:rPr>
          <w:rFonts w:hint="eastAsia" w:ascii="宋体" w:hAnsi="宋体" w:cs="宋体"/>
          <w:b w:val="0"/>
          <w:bCs w:val="0"/>
          <w:color w:val="auto"/>
          <w:sz w:val="28"/>
          <w:szCs w:val="28"/>
          <w:highlight w:val="none"/>
          <w:u w:val="none" w:color="00B0F0"/>
          <w:lang w:val="en-US" w:eastAsia="zh-CN"/>
        </w:rPr>
        <w:t>）、</w:t>
      </w:r>
      <w:r>
        <w:rPr>
          <w:rFonts w:hint="eastAsia" w:ascii="宋体" w:hAnsi="宋体" w:cs="宋体" w:eastAsiaTheme="minorEastAsia"/>
          <w:b w:val="0"/>
          <w:bCs w:val="0"/>
          <w:color w:val="auto"/>
          <w:sz w:val="28"/>
          <w:szCs w:val="28"/>
          <w:highlight w:val="none"/>
          <w:u w:val="none" w:color="00B0F0"/>
        </w:rPr>
        <w:t>表面</w:t>
      </w:r>
      <w:r>
        <w:rPr>
          <w:rFonts w:hint="eastAsia" w:ascii="宋体" w:hAnsi="宋体" w:cs="宋体"/>
          <w:b w:val="0"/>
          <w:bCs w:val="0"/>
          <w:color w:val="auto"/>
          <w:sz w:val="28"/>
          <w:szCs w:val="28"/>
          <w:highlight w:val="none"/>
          <w:u w:val="none" w:color="00B0F0"/>
          <w:lang w:val="en-US" w:eastAsia="zh-CN"/>
        </w:rPr>
        <w:t>氧化层</w:t>
      </w:r>
      <w:r>
        <w:rPr>
          <w:rFonts w:hint="eastAsia" w:ascii="宋体" w:hAnsi="宋体" w:cs="宋体" w:eastAsiaTheme="minorEastAsia"/>
          <w:b w:val="0"/>
          <w:bCs w:val="0"/>
          <w:color w:val="auto"/>
          <w:sz w:val="28"/>
          <w:szCs w:val="28"/>
          <w:highlight w:val="none"/>
          <w:u w:val="none" w:color="00B0F0"/>
        </w:rPr>
        <w:t>处理</w:t>
      </w:r>
      <w:r>
        <w:rPr>
          <w:rFonts w:hint="eastAsia" w:ascii="宋体" w:hAnsi="宋体" w:cs="宋体"/>
          <w:b w:val="0"/>
          <w:bCs w:val="0"/>
          <w:color w:val="auto"/>
          <w:sz w:val="28"/>
          <w:szCs w:val="28"/>
          <w:highlight w:val="none"/>
          <w:u w:val="none" w:color="00B0F0"/>
          <w:lang w:eastAsia="zh-CN"/>
        </w:rPr>
        <w:t>（</w:t>
      </w:r>
      <w:r>
        <w:rPr>
          <w:rFonts w:hint="eastAsia" w:ascii="宋体" w:hAnsi="宋体" w:cs="宋体"/>
          <w:b w:val="0"/>
          <w:bCs w:val="0"/>
          <w:color w:val="auto"/>
          <w:sz w:val="28"/>
          <w:szCs w:val="28"/>
          <w:highlight w:val="none"/>
          <w:u w:val="none" w:color="00B0F0"/>
          <w:lang w:val="en-US" w:eastAsia="zh-CN"/>
        </w:rPr>
        <w:t>包括氧化层厚度</w:t>
      </w:r>
      <w:r>
        <w:rPr>
          <w:rFonts w:hint="eastAsia" w:ascii="宋体" w:hAnsi="宋体" w:cs="宋体"/>
          <w:b w:val="0"/>
          <w:bCs w:val="0"/>
          <w:color w:val="auto"/>
          <w:sz w:val="28"/>
          <w:szCs w:val="28"/>
          <w:highlight w:val="none"/>
          <w:u w:val="none" w:color="00B0F0"/>
          <w:lang w:eastAsia="zh-CN"/>
        </w:rPr>
        <w:t>）、</w:t>
      </w:r>
      <w:r>
        <w:rPr>
          <w:rFonts w:hint="eastAsia" w:ascii="宋体" w:hAnsi="宋体" w:cs="宋体" w:eastAsiaTheme="minorEastAsia"/>
          <w:b w:val="0"/>
          <w:bCs w:val="0"/>
          <w:color w:val="auto"/>
          <w:sz w:val="28"/>
          <w:szCs w:val="28"/>
          <w:highlight w:val="none"/>
          <w:u w:val="none" w:color="00B0F0"/>
        </w:rPr>
        <w:t>数量和随货文件等进行验收，验收合格签署验收报告。</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eastAsiaTheme="minorEastAsia"/>
          <w:color w:val="auto"/>
          <w:sz w:val="28"/>
          <w:szCs w:val="28"/>
          <w:highlight w:val="none"/>
          <w:u w:val="none"/>
          <w:lang w:val="en-US" w:eastAsia="zh-CN"/>
        </w:rPr>
        <w:t>桥架</w:t>
      </w:r>
      <w:r>
        <w:rPr>
          <w:rFonts w:hint="eastAsia" w:ascii="宋体" w:hAnsi="宋体" w:cs="宋体" w:eastAsiaTheme="minorEastAsia"/>
          <w:color w:val="auto"/>
          <w:sz w:val="28"/>
          <w:szCs w:val="28"/>
          <w:highlight w:val="none"/>
          <w:u w:val="none"/>
        </w:rPr>
        <w:t>在发货状态或者</w:t>
      </w:r>
      <w:r>
        <w:rPr>
          <w:rFonts w:hint="eastAsia" w:ascii="宋体" w:hAnsi="宋体" w:cs="宋体" w:eastAsiaTheme="minorEastAsia"/>
          <w:color w:val="auto"/>
          <w:sz w:val="28"/>
          <w:szCs w:val="28"/>
          <w:highlight w:val="none"/>
          <w:u w:val="none"/>
          <w:lang w:eastAsia="zh-CN"/>
        </w:rPr>
        <w:t>桥架</w:t>
      </w:r>
      <w:r>
        <w:rPr>
          <w:rFonts w:hint="eastAsia" w:ascii="宋体" w:hAnsi="宋体" w:cs="宋体" w:eastAsiaTheme="minorEastAsia"/>
          <w:color w:val="auto"/>
          <w:sz w:val="28"/>
          <w:szCs w:val="28"/>
          <w:highlight w:val="none"/>
          <w:u w:val="none"/>
        </w:rPr>
        <w:t>在运到</w:t>
      </w:r>
      <w:r>
        <w:rPr>
          <w:rFonts w:hint="eastAsia" w:ascii="宋体" w:hAnsi="宋体" w:cs="宋体" w:eastAsiaTheme="minorEastAsia"/>
          <w:color w:val="auto"/>
          <w:sz w:val="28"/>
          <w:szCs w:val="28"/>
          <w:highlight w:val="none"/>
          <w:u w:val="none"/>
          <w:lang w:val="en-US" w:eastAsia="zh-CN"/>
        </w:rPr>
        <w:t>招标人</w:t>
      </w:r>
      <w:r>
        <w:rPr>
          <w:rFonts w:hint="eastAsia" w:ascii="宋体" w:hAnsi="宋体" w:cs="宋体" w:eastAsiaTheme="minorEastAsia"/>
          <w:color w:val="auto"/>
          <w:sz w:val="28"/>
          <w:szCs w:val="28"/>
          <w:highlight w:val="none"/>
          <w:u w:val="none"/>
        </w:rPr>
        <w:t>指定</w:t>
      </w:r>
      <w:r>
        <w:rPr>
          <w:rFonts w:hint="eastAsia" w:ascii="宋体" w:hAnsi="宋体" w:cs="宋体"/>
          <w:sz w:val="28"/>
          <w:szCs w:val="28"/>
          <w:highlight w:val="none"/>
        </w:rPr>
        <w:t>仓库或敷设现场后，</w:t>
      </w:r>
      <w:r>
        <w:rPr>
          <w:rFonts w:hint="eastAsia" w:ascii="宋体" w:hAnsi="宋体" w:cs="宋体"/>
          <w:sz w:val="28"/>
          <w:szCs w:val="28"/>
          <w:highlight w:val="none"/>
          <w:lang w:eastAsia="zh-CN"/>
        </w:rPr>
        <w:t>招标人</w:t>
      </w:r>
      <w:r>
        <w:rPr>
          <w:rFonts w:hint="eastAsia" w:ascii="宋体" w:hAnsi="宋体" w:cs="宋体"/>
          <w:sz w:val="28"/>
          <w:szCs w:val="28"/>
          <w:highlight w:val="none"/>
        </w:rPr>
        <w:t xml:space="preserve">有权进行抽查检验， </w:t>
      </w:r>
      <w:r>
        <w:rPr>
          <w:rFonts w:hint="eastAsia" w:ascii="宋体" w:hAnsi="宋体" w:cs="宋体"/>
          <w:sz w:val="28"/>
          <w:szCs w:val="28"/>
          <w:highlight w:val="none"/>
          <w:lang w:eastAsia="zh-CN"/>
        </w:rPr>
        <w:t>投标人</w:t>
      </w:r>
      <w:r>
        <w:rPr>
          <w:rFonts w:hint="eastAsia" w:ascii="宋体" w:hAnsi="宋体" w:cs="宋体"/>
          <w:sz w:val="28"/>
          <w:szCs w:val="28"/>
          <w:highlight w:val="none"/>
        </w:rPr>
        <w:t>不得因为该</w:t>
      </w:r>
      <w:r>
        <w:rPr>
          <w:rFonts w:hint="eastAsia" w:ascii="宋体" w:hAnsi="宋体" w:cs="宋体"/>
          <w:sz w:val="28"/>
          <w:szCs w:val="28"/>
          <w:highlight w:val="none"/>
          <w:lang w:eastAsia="zh-CN"/>
        </w:rPr>
        <w:t>桥架</w:t>
      </w:r>
      <w:r>
        <w:rPr>
          <w:rFonts w:hint="eastAsia" w:ascii="宋体" w:hAnsi="宋体" w:cs="宋体"/>
          <w:sz w:val="28"/>
          <w:szCs w:val="28"/>
          <w:highlight w:val="none"/>
        </w:rPr>
        <w:t>已由</w:t>
      </w:r>
      <w:r>
        <w:rPr>
          <w:rFonts w:hint="eastAsia" w:ascii="宋体" w:hAnsi="宋体" w:cs="宋体"/>
          <w:sz w:val="28"/>
          <w:szCs w:val="28"/>
          <w:highlight w:val="none"/>
          <w:lang w:eastAsia="zh-CN"/>
        </w:rPr>
        <w:t>招标人</w:t>
      </w:r>
      <w:r>
        <w:rPr>
          <w:rFonts w:hint="eastAsia" w:ascii="宋体" w:hAnsi="宋体" w:cs="宋体"/>
          <w:sz w:val="28"/>
          <w:szCs w:val="28"/>
          <w:highlight w:val="none"/>
        </w:rPr>
        <w:t>代表监造或者发货前已由</w:t>
      </w:r>
      <w:r>
        <w:rPr>
          <w:rFonts w:hint="eastAsia" w:ascii="宋体" w:hAnsi="宋体" w:cs="宋体"/>
          <w:sz w:val="28"/>
          <w:szCs w:val="28"/>
          <w:highlight w:val="none"/>
          <w:lang w:eastAsia="zh-CN"/>
        </w:rPr>
        <w:t>招标人</w:t>
      </w:r>
      <w:r>
        <w:rPr>
          <w:rFonts w:hint="eastAsia" w:ascii="宋体" w:hAnsi="宋体" w:cs="宋体"/>
          <w:sz w:val="28"/>
          <w:szCs w:val="28"/>
          <w:highlight w:val="none"/>
        </w:rPr>
        <w:t>代表通过验收作为理由而受到限制。</w:t>
      </w:r>
      <w:r>
        <w:rPr>
          <w:rFonts w:hint="eastAsia" w:ascii="宋体" w:hAnsi="宋体" w:cs="宋体"/>
          <w:sz w:val="28"/>
          <w:szCs w:val="28"/>
          <w:highlight w:val="none"/>
          <w:lang w:eastAsia="zh-CN"/>
        </w:rPr>
        <w:t>招标人</w:t>
      </w:r>
      <w:r>
        <w:rPr>
          <w:rFonts w:hint="eastAsia" w:ascii="宋体" w:hAnsi="宋体" w:cs="宋体"/>
          <w:sz w:val="28"/>
          <w:szCs w:val="28"/>
          <w:highlight w:val="none"/>
        </w:rPr>
        <w:t>代表参加工厂试验，包括会签任何试验结果，既不免除</w:t>
      </w:r>
      <w:r>
        <w:rPr>
          <w:rFonts w:hint="eastAsia" w:ascii="宋体" w:hAnsi="宋体" w:cs="宋体"/>
          <w:sz w:val="28"/>
          <w:szCs w:val="28"/>
          <w:highlight w:val="none"/>
          <w:lang w:eastAsia="zh-CN"/>
        </w:rPr>
        <w:t>投标人</w:t>
      </w:r>
      <w:r>
        <w:rPr>
          <w:rFonts w:hint="eastAsia" w:ascii="宋体" w:hAnsi="宋体" w:cs="宋体"/>
          <w:sz w:val="28"/>
          <w:szCs w:val="28"/>
          <w:highlight w:val="none"/>
        </w:rPr>
        <w:t>按合同规定应负的责任，也不能代替</w:t>
      </w:r>
      <w:r>
        <w:rPr>
          <w:rFonts w:hint="eastAsia" w:ascii="宋体" w:hAnsi="宋体" w:cs="宋体"/>
          <w:sz w:val="28"/>
          <w:szCs w:val="28"/>
          <w:highlight w:val="none"/>
          <w:lang w:eastAsia="zh-CN"/>
        </w:rPr>
        <w:t>桥架</w:t>
      </w:r>
      <w:r>
        <w:rPr>
          <w:rFonts w:hint="eastAsia" w:ascii="宋体" w:hAnsi="宋体" w:cs="宋体"/>
          <w:sz w:val="28"/>
          <w:szCs w:val="28"/>
          <w:highlight w:val="none"/>
        </w:rPr>
        <w:t>到达现场后</w:t>
      </w:r>
      <w:r>
        <w:rPr>
          <w:rFonts w:hint="eastAsia" w:ascii="宋体" w:hAnsi="宋体" w:cs="宋体"/>
          <w:sz w:val="28"/>
          <w:szCs w:val="28"/>
          <w:highlight w:val="none"/>
          <w:lang w:eastAsia="zh-CN"/>
        </w:rPr>
        <w:t>招标人</w:t>
      </w:r>
      <w:r>
        <w:rPr>
          <w:rFonts w:hint="eastAsia" w:ascii="宋体" w:hAnsi="宋体" w:cs="宋体"/>
          <w:sz w:val="28"/>
          <w:szCs w:val="28"/>
          <w:highlight w:val="none"/>
        </w:rPr>
        <w:t>对其进行的检验。</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sz w:val="28"/>
          <w:szCs w:val="28"/>
          <w:highlight w:val="none"/>
          <w:lang w:val="en-US" w:eastAsia="zh-CN"/>
        </w:rPr>
      </w:pPr>
      <w:r>
        <w:rPr>
          <w:rFonts w:hint="eastAsia" w:ascii="宋体" w:hAnsi="宋体" w:cs="宋体"/>
          <w:sz w:val="28"/>
          <w:szCs w:val="28"/>
          <w:highlight w:val="none"/>
        </w:rPr>
        <w:t>每</w:t>
      </w:r>
      <w:r>
        <w:rPr>
          <w:rFonts w:hint="eastAsia" w:ascii="宋体" w:hAnsi="宋体" w:cs="宋体"/>
          <w:sz w:val="28"/>
          <w:szCs w:val="28"/>
          <w:highlight w:val="none"/>
          <w:lang w:val="en-US" w:eastAsia="zh-CN"/>
        </w:rPr>
        <w:t>批</w:t>
      </w:r>
      <w:r>
        <w:rPr>
          <w:rFonts w:hint="eastAsia" w:ascii="宋体" w:hAnsi="宋体" w:cs="宋体"/>
          <w:sz w:val="28"/>
          <w:szCs w:val="28"/>
          <w:highlight w:val="none"/>
          <w:lang w:eastAsia="zh-CN"/>
        </w:rPr>
        <w:t>桥架</w:t>
      </w:r>
      <w:r>
        <w:rPr>
          <w:rFonts w:hint="eastAsia" w:ascii="宋体" w:hAnsi="宋体" w:cs="宋体"/>
          <w:sz w:val="28"/>
          <w:szCs w:val="28"/>
          <w:highlight w:val="none"/>
        </w:rPr>
        <w:t>都应附有产品质量验收合格证和出厂报告，合格证的序列号应具有生产过程记录的可追溯性。</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sz w:val="28"/>
          <w:szCs w:val="28"/>
          <w:highlight w:val="none"/>
          <w:lang w:val="en-US" w:eastAsia="zh-CN"/>
        </w:rPr>
      </w:pPr>
      <w:r>
        <w:rPr>
          <w:rFonts w:hint="eastAsia"/>
          <w:sz w:val="28"/>
          <w:szCs w:val="28"/>
          <w:highlight w:val="none"/>
          <w:lang w:val="en-US" w:eastAsia="zh-CN"/>
        </w:rPr>
        <w:t>验收</w:t>
      </w:r>
      <w:bookmarkEnd w:id="146"/>
      <w:bookmarkEnd w:id="147"/>
    </w:p>
    <w:p>
      <w:pPr>
        <w:keepNext w:val="0"/>
        <w:keepLines w:val="0"/>
        <w:pageBreakBefore w:val="0"/>
        <w:widowControl w:val="0"/>
        <w:numPr>
          <w:ilvl w:val="0"/>
          <w:numId w:val="25"/>
        </w:numPr>
        <w:tabs>
          <w:tab w:val="left" w:pos="0"/>
        </w:tabs>
        <w:kinsoku/>
        <w:wordWrap/>
        <w:overflowPunct/>
        <w:topLinePunct w:val="0"/>
        <w:autoSpaceDE/>
        <w:autoSpaceDN/>
        <w:bidi w:val="0"/>
        <w:adjustRightInd/>
        <w:snapToGrid/>
        <w:spacing w:line="560" w:lineRule="exact"/>
        <w:ind w:left="0" w:leftChars="0" w:firstLine="0" w:firstLineChars="0"/>
        <w:textAlignment w:val="auto"/>
        <w:rPr>
          <w:rFonts w:hint="eastAsia"/>
          <w:highlight w:val="none"/>
          <w:lang w:val="en-US" w:eastAsia="zh-CN"/>
        </w:rPr>
      </w:pPr>
      <w:r>
        <w:rPr>
          <w:rFonts w:hint="eastAsia"/>
          <w:sz w:val="28"/>
          <w:szCs w:val="28"/>
          <w:highlight w:val="none"/>
          <w:lang w:val="en-US" w:eastAsia="zh-CN"/>
        </w:rPr>
        <w:t>现场开箱前，招标人通知投标人到场共同进行开箱检查与验收。</w:t>
      </w:r>
      <w:r>
        <w:rPr>
          <w:rFonts w:hint="eastAsia"/>
          <w:highlight w:val="none"/>
          <w:lang w:val="en-US" w:eastAsia="zh-CN"/>
        </w:rPr>
        <w:t xml:space="preserve"> </w:t>
      </w:r>
    </w:p>
    <w:p>
      <w:pPr>
        <w:keepNext w:val="0"/>
        <w:keepLines w:val="0"/>
        <w:pageBreakBefore w:val="0"/>
        <w:widowControl w:val="0"/>
        <w:numPr>
          <w:ilvl w:val="0"/>
          <w:numId w:val="25"/>
        </w:numPr>
        <w:tabs>
          <w:tab w:val="left" w:pos="0"/>
        </w:tabs>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运到施工现场，验收时检查</w:t>
      </w:r>
      <w:r>
        <w:rPr>
          <w:rFonts w:hint="eastAsia" w:ascii="宋体" w:hAnsi="宋体" w:cs="宋体" w:eastAsiaTheme="minorEastAsia"/>
          <w:b w:val="0"/>
          <w:bCs w:val="0"/>
          <w:color w:val="auto"/>
          <w:sz w:val="28"/>
          <w:szCs w:val="28"/>
          <w:highlight w:val="none"/>
          <w:u w:val="none" w:color="00B0F0"/>
        </w:rPr>
        <w:t>桥架及附件的外观、</w:t>
      </w:r>
      <w:r>
        <w:rPr>
          <w:rFonts w:hint="eastAsia" w:ascii="宋体" w:hAnsi="宋体" w:cs="宋体"/>
          <w:b w:val="0"/>
          <w:bCs w:val="0"/>
          <w:color w:val="auto"/>
          <w:sz w:val="28"/>
          <w:szCs w:val="28"/>
          <w:highlight w:val="none"/>
          <w:u w:val="none" w:color="00B0F0"/>
          <w:lang w:val="en-US" w:eastAsia="zh-CN"/>
        </w:rPr>
        <w:t>尺寸（宽度、高度、长度）、厚度（梯边、横档、</w:t>
      </w:r>
      <w:r>
        <w:rPr>
          <w:rFonts w:hint="default"/>
          <w:sz w:val="28"/>
          <w:szCs w:val="28"/>
          <w:highlight w:val="none"/>
          <w:lang w:val="en-US" w:eastAsia="zh-CN"/>
        </w:rPr>
        <w:t>底板、中间隔板、</w:t>
      </w:r>
      <w:r>
        <w:rPr>
          <w:rFonts w:hint="eastAsia"/>
          <w:sz w:val="28"/>
          <w:szCs w:val="28"/>
          <w:highlight w:val="none"/>
          <w:lang w:val="en-US" w:eastAsia="zh-CN"/>
        </w:rPr>
        <w:t>连</w:t>
      </w:r>
      <w:r>
        <w:rPr>
          <w:rFonts w:hint="default"/>
          <w:sz w:val="28"/>
          <w:szCs w:val="28"/>
          <w:highlight w:val="none"/>
          <w:lang w:val="en-US" w:eastAsia="zh-CN"/>
        </w:rPr>
        <w:t>接板</w:t>
      </w:r>
      <w:r>
        <w:rPr>
          <w:rFonts w:hint="eastAsia"/>
          <w:sz w:val="28"/>
          <w:szCs w:val="28"/>
          <w:highlight w:val="none"/>
          <w:lang w:val="en-US" w:eastAsia="zh-CN"/>
        </w:rPr>
        <w:t>、伸缩板、调节板</w:t>
      </w:r>
      <w:r>
        <w:rPr>
          <w:rFonts w:hint="default"/>
          <w:sz w:val="28"/>
          <w:szCs w:val="28"/>
          <w:highlight w:val="none"/>
          <w:lang w:val="en-US" w:eastAsia="zh-CN"/>
        </w:rPr>
        <w:t>及盖板</w:t>
      </w:r>
      <w:r>
        <w:rPr>
          <w:rFonts w:hint="eastAsia"/>
          <w:sz w:val="28"/>
          <w:szCs w:val="28"/>
          <w:highlight w:val="none"/>
          <w:lang w:val="en-US" w:eastAsia="zh-CN"/>
        </w:rPr>
        <w:t>等</w:t>
      </w:r>
      <w:r>
        <w:rPr>
          <w:rFonts w:hint="eastAsia" w:ascii="宋体" w:hAnsi="宋体" w:cs="宋体"/>
          <w:b w:val="0"/>
          <w:bCs w:val="0"/>
          <w:color w:val="auto"/>
          <w:sz w:val="28"/>
          <w:szCs w:val="28"/>
          <w:highlight w:val="none"/>
          <w:u w:val="none" w:color="00B0F0"/>
          <w:lang w:val="en-US" w:eastAsia="zh-CN"/>
        </w:rPr>
        <w:t>）、</w:t>
      </w:r>
      <w:r>
        <w:rPr>
          <w:rFonts w:hint="eastAsia" w:ascii="宋体" w:hAnsi="宋体" w:cs="宋体" w:eastAsiaTheme="minorEastAsia"/>
          <w:b w:val="0"/>
          <w:bCs w:val="0"/>
          <w:color w:val="auto"/>
          <w:sz w:val="28"/>
          <w:szCs w:val="28"/>
          <w:highlight w:val="none"/>
          <w:u w:val="none" w:color="00B0F0"/>
        </w:rPr>
        <w:t>表面</w:t>
      </w:r>
      <w:r>
        <w:rPr>
          <w:rFonts w:hint="eastAsia" w:ascii="宋体" w:hAnsi="宋体" w:cs="宋体"/>
          <w:b w:val="0"/>
          <w:bCs w:val="0"/>
          <w:color w:val="auto"/>
          <w:sz w:val="28"/>
          <w:szCs w:val="28"/>
          <w:highlight w:val="none"/>
          <w:u w:val="none" w:color="00B0F0"/>
          <w:lang w:val="en-US" w:eastAsia="zh-CN"/>
        </w:rPr>
        <w:t>氧化层</w:t>
      </w:r>
      <w:r>
        <w:rPr>
          <w:rFonts w:hint="eastAsia" w:ascii="宋体" w:hAnsi="宋体" w:cs="宋体" w:eastAsiaTheme="minorEastAsia"/>
          <w:b w:val="0"/>
          <w:bCs w:val="0"/>
          <w:color w:val="auto"/>
          <w:sz w:val="28"/>
          <w:szCs w:val="28"/>
          <w:highlight w:val="none"/>
          <w:u w:val="none" w:color="00B0F0"/>
        </w:rPr>
        <w:t>处理</w:t>
      </w:r>
      <w:r>
        <w:rPr>
          <w:rFonts w:hint="eastAsia" w:ascii="宋体" w:hAnsi="宋体" w:cs="宋体"/>
          <w:b w:val="0"/>
          <w:bCs w:val="0"/>
          <w:color w:val="auto"/>
          <w:sz w:val="28"/>
          <w:szCs w:val="28"/>
          <w:highlight w:val="none"/>
          <w:u w:val="none" w:color="00B0F0"/>
          <w:lang w:eastAsia="zh-CN"/>
        </w:rPr>
        <w:t>（</w:t>
      </w:r>
      <w:r>
        <w:rPr>
          <w:rFonts w:hint="eastAsia" w:ascii="宋体" w:hAnsi="宋体" w:cs="宋体"/>
          <w:b w:val="0"/>
          <w:bCs w:val="0"/>
          <w:color w:val="auto"/>
          <w:sz w:val="28"/>
          <w:szCs w:val="28"/>
          <w:highlight w:val="none"/>
          <w:u w:val="none" w:color="00B0F0"/>
          <w:lang w:val="en-US" w:eastAsia="zh-CN"/>
        </w:rPr>
        <w:t>包括氧化层厚度</w:t>
      </w:r>
      <w:r>
        <w:rPr>
          <w:rFonts w:hint="eastAsia" w:ascii="宋体" w:hAnsi="宋体" w:cs="宋体"/>
          <w:b w:val="0"/>
          <w:bCs w:val="0"/>
          <w:color w:val="auto"/>
          <w:sz w:val="28"/>
          <w:szCs w:val="28"/>
          <w:highlight w:val="none"/>
          <w:u w:val="none" w:color="00B0F0"/>
          <w:lang w:eastAsia="zh-CN"/>
        </w:rPr>
        <w:t>）、</w:t>
      </w:r>
      <w:r>
        <w:rPr>
          <w:rFonts w:hint="eastAsia" w:ascii="宋体" w:hAnsi="宋体" w:cs="宋体" w:eastAsiaTheme="minorEastAsia"/>
          <w:b w:val="0"/>
          <w:bCs w:val="0"/>
          <w:color w:val="auto"/>
          <w:sz w:val="28"/>
          <w:szCs w:val="28"/>
          <w:highlight w:val="none"/>
          <w:u w:val="none" w:color="00B0F0"/>
        </w:rPr>
        <w:t>数量和随货文件等进行验收</w:t>
      </w:r>
      <w:r>
        <w:rPr>
          <w:rFonts w:hint="eastAsia" w:ascii="宋体" w:hAnsi="宋体" w:cs="宋体"/>
          <w:b w:val="0"/>
          <w:bCs w:val="0"/>
          <w:color w:val="auto"/>
          <w:sz w:val="28"/>
          <w:szCs w:val="28"/>
          <w:highlight w:val="none"/>
          <w:u w:val="none" w:color="00B0F0"/>
          <w:lang w:val="en-US" w:eastAsia="zh-CN"/>
        </w:rPr>
        <w:t>并记录，</w:t>
      </w:r>
      <w:r>
        <w:rPr>
          <w:rFonts w:hint="eastAsia" w:ascii="宋体" w:hAnsi="宋体" w:eastAsia="宋体" w:cs="宋体"/>
          <w:sz w:val="28"/>
          <w:szCs w:val="28"/>
          <w:highlight w:val="none"/>
          <w:lang w:val="en-US" w:eastAsia="zh-CN"/>
        </w:rPr>
        <w:t>如发现缺陷，分析原因，查清责任，并及时进行处理或更换。</w:t>
      </w:r>
    </w:p>
    <w:p>
      <w:pPr>
        <w:keepNext w:val="0"/>
        <w:keepLines w:val="0"/>
        <w:pageBreakBefore w:val="0"/>
        <w:widowControl w:val="0"/>
        <w:numPr>
          <w:ilvl w:val="1"/>
          <w:numId w:val="24"/>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b w:val="0"/>
          <w:bCs w:val="0"/>
          <w:kern w:val="44"/>
          <w:sz w:val="28"/>
          <w:szCs w:val="28"/>
          <w:highlight w:val="none"/>
          <w:u w:val="none"/>
          <w:lang w:val="en-US" w:eastAsia="zh-CN"/>
        </w:rPr>
      </w:pPr>
      <w:bookmarkStart w:id="148" w:name="_Toc5377"/>
      <w:bookmarkStart w:id="149" w:name="_Toc19654"/>
      <w:r>
        <w:rPr>
          <w:rFonts w:hint="eastAsia" w:ascii="宋体" w:hAnsi="宋体" w:eastAsia="宋体" w:cs="宋体"/>
          <w:b w:val="0"/>
          <w:bCs w:val="0"/>
          <w:kern w:val="44"/>
          <w:sz w:val="28"/>
          <w:szCs w:val="28"/>
          <w:highlight w:val="none"/>
          <w:u w:val="none"/>
          <w:lang w:val="en-US" w:eastAsia="zh-CN"/>
        </w:rPr>
        <w:t>维护</w:t>
      </w:r>
      <w:bookmarkEnd w:id="148"/>
      <w:bookmarkEnd w:id="149"/>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560" w:firstLineChars="200"/>
        <w:textAlignment w:val="auto"/>
        <w:rPr>
          <w:rFonts w:hint="eastAsia"/>
          <w:highlight w:val="none"/>
          <w:lang w:val="en-US" w:eastAsia="zh-CN"/>
        </w:rPr>
      </w:pPr>
      <w:r>
        <w:rPr>
          <w:rFonts w:hint="eastAsia" w:ascii="宋体" w:hAnsi="宋体" w:eastAsia="宋体" w:cs="宋体"/>
          <w:sz w:val="28"/>
          <w:szCs w:val="28"/>
          <w:highlight w:val="none"/>
          <w:lang w:val="en-US" w:eastAsia="zh-CN"/>
        </w:rPr>
        <w:t>在使用过程中发生故障，投标人一旦接到招标人的维修需求信息后，保证响应时间不超过1小时，到达现场时间不超过24小时，排除故障问题时间不超过72小时。</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default"/>
          <w:highlight w:val="none"/>
          <w:lang w:val="en-US" w:eastAsia="zh-CN"/>
        </w:rPr>
      </w:pPr>
      <w:bookmarkStart w:id="150" w:name="_Toc1392"/>
      <w:bookmarkStart w:id="151" w:name="_Toc11584"/>
      <w:bookmarkStart w:id="152" w:name="_Toc6070"/>
      <w:r>
        <w:rPr>
          <w:rFonts w:hint="eastAsia" w:ascii="黑体" w:hAnsi="黑体" w:eastAsia="黑体" w:cs="黑体"/>
          <w:highlight w:val="none"/>
          <w:lang w:val="en-US" w:eastAsia="zh-CN"/>
        </w:rPr>
        <w:t>质量保证及性能考核</w:t>
      </w:r>
      <w:bookmarkEnd w:id="150"/>
      <w:bookmarkEnd w:id="151"/>
      <w:bookmarkEnd w:id="152"/>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投标人须有健全的质量保证体系，该体系包括质量保证程序、组织方式和所涉人员的资料证明及影响项目质量的各项活动如设计、采购、制造、运输、安装、调试和维护等控制。</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质量保证计划必须明确的检验和控制：</w:t>
      </w:r>
    </w:p>
    <w:p>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left="0" w:firstLine="0"/>
        <w:textAlignment w:val="auto"/>
        <w:rPr>
          <w:rFonts w:hint="eastAsia"/>
          <w:highlight w:val="none"/>
          <w:lang w:val="en-US" w:eastAsia="zh-CN"/>
        </w:rPr>
      </w:pPr>
      <w:r>
        <w:rPr>
          <w:rFonts w:hint="eastAsia"/>
          <w:sz w:val="28"/>
          <w:szCs w:val="28"/>
          <w:highlight w:val="none"/>
          <w:lang w:val="en-US" w:eastAsia="zh-CN"/>
        </w:rPr>
        <w:t>货物出售者货源的检验和控制；</w:t>
      </w:r>
    </w:p>
    <w:p>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所采购的材料的技术文件的控制；</w:t>
      </w:r>
    </w:p>
    <w:p>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材料的控制；</w:t>
      </w:r>
    </w:p>
    <w:p>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特殊工艺控制；</w:t>
      </w:r>
    </w:p>
    <w:p>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left="0" w:firstLine="0"/>
        <w:textAlignment w:val="auto"/>
        <w:rPr>
          <w:rFonts w:hint="default"/>
          <w:sz w:val="28"/>
          <w:szCs w:val="28"/>
          <w:highlight w:val="none"/>
          <w:lang w:val="en-US" w:eastAsia="zh-CN"/>
        </w:rPr>
      </w:pPr>
      <w:r>
        <w:rPr>
          <w:rFonts w:hint="eastAsia"/>
          <w:sz w:val="28"/>
          <w:szCs w:val="28"/>
          <w:highlight w:val="none"/>
          <w:lang w:val="en-US" w:eastAsia="zh-CN"/>
        </w:rPr>
        <w:t>现场施工监督。</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sz w:val="28"/>
          <w:szCs w:val="28"/>
          <w:highlight w:val="none"/>
          <w:lang w:val="en-US" w:eastAsia="zh-CN"/>
        </w:rPr>
        <w:t>投标人应提出施工现场安装注意事项及安装质量保证方法。</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投标人应提供有关质量保证的各项文件，包括但不限于：</w:t>
      </w:r>
    </w:p>
    <w:p>
      <w:pPr>
        <w:keepNext w:val="0"/>
        <w:keepLines w:val="0"/>
        <w:pageBreakBefore w:val="0"/>
        <w:widowControl w:val="0"/>
        <w:numPr>
          <w:ilvl w:val="0"/>
          <w:numId w:val="28"/>
        </w:numPr>
        <w:kinsoku/>
        <w:wordWrap/>
        <w:overflowPunct/>
        <w:topLinePunct w:val="0"/>
        <w:autoSpaceDE/>
        <w:autoSpaceDN/>
        <w:bidi w:val="0"/>
        <w:adjustRightInd/>
        <w:snapToGrid/>
        <w:spacing w:line="560" w:lineRule="exact"/>
        <w:ind w:left="0" w:firstLine="0"/>
        <w:textAlignment w:val="auto"/>
        <w:rPr>
          <w:rFonts w:hint="eastAsia"/>
          <w:highlight w:val="none"/>
          <w:lang w:val="en-US" w:eastAsia="zh-CN"/>
        </w:rPr>
      </w:pPr>
      <w:r>
        <w:rPr>
          <w:rFonts w:hint="eastAsia"/>
          <w:sz w:val="28"/>
          <w:szCs w:val="28"/>
          <w:highlight w:val="none"/>
          <w:lang w:val="en-US" w:eastAsia="zh-CN"/>
        </w:rPr>
        <w:t>产品检验合格证书；</w:t>
      </w:r>
    </w:p>
    <w:p>
      <w:pPr>
        <w:keepNext w:val="0"/>
        <w:keepLines w:val="0"/>
        <w:pageBreakBefore w:val="0"/>
        <w:widowControl w:val="0"/>
        <w:numPr>
          <w:ilvl w:val="0"/>
          <w:numId w:val="2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材料检验合格证书；</w:t>
      </w:r>
    </w:p>
    <w:p>
      <w:pPr>
        <w:keepNext w:val="0"/>
        <w:keepLines w:val="0"/>
        <w:pageBreakBefore w:val="0"/>
        <w:widowControl w:val="0"/>
        <w:numPr>
          <w:ilvl w:val="0"/>
          <w:numId w:val="2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主要部件材料试验报告；</w:t>
      </w:r>
    </w:p>
    <w:p>
      <w:pPr>
        <w:keepNext w:val="0"/>
        <w:keepLines w:val="0"/>
        <w:pageBreakBefore w:val="0"/>
        <w:widowControl w:val="0"/>
        <w:numPr>
          <w:ilvl w:val="0"/>
          <w:numId w:val="28"/>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lang w:val="en-US" w:eastAsia="zh-CN"/>
        </w:rPr>
      </w:pPr>
      <w:r>
        <w:rPr>
          <w:rFonts w:hint="eastAsia"/>
          <w:sz w:val="28"/>
          <w:szCs w:val="28"/>
          <w:highlight w:val="none"/>
          <w:lang w:val="en-US" w:eastAsia="zh-CN"/>
        </w:rPr>
        <w:t>投标人应提供货物制造的各项工艺记录、检验记录等档案副本。</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投标人应对所有供货货物质量总负责，加强各种材料的检测，对材料、制造商外购部件等加强检验。</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验收报告签署之前，投标人对其运行负全部责任；验收试验报告签署之后，招标人开始接管货物，逐步进入商业运行阶段。</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全部货物必须是全新的、持久耐用的。应满足作为一个完整产品所能满足的全部要求。</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投标人应保证制造过程中的所有工艺、材料试验等（包括投标人的外购件在内）均应符合本标准的规定。若投标人根据运行经验指定投标人提供某种外购零部件, 投标人应积极配合。</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附属及配套货物必须满足有关行业标准的要求，并提供试验报告和产品合格证。</w:t>
      </w:r>
    </w:p>
    <w:p>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质保期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sz w:val="28"/>
          <w:szCs w:val="28"/>
          <w:highlight w:val="none"/>
          <w:lang w:val="en-US" w:eastAsia="zh-CN"/>
        </w:rPr>
        <w:t>质保期以招标文件正文为准。</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eastAsia" w:ascii="黑体" w:hAnsi="黑体" w:eastAsia="黑体" w:cs="黑体"/>
          <w:highlight w:val="none"/>
          <w:lang w:val="en-US" w:eastAsia="zh-CN"/>
        </w:rPr>
      </w:pPr>
      <w:bookmarkStart w:id="153" w:name="_Toc31085"/>
      <w:bookmarkStart w:id="154" w:name="_Toc32661"/>
      <w:bookmarkStart w:id="155" w:name="_Toc16121"/>
      <w:r>
        <w:rPr>
          <w:rFonts w:hint="eastAsia" w:ascii="黑体" w:hAnsi="黑体" w:eastAsia="黑体" w:cs="黑体"/>
          <w:highlight w:val="none"/>
          <w:lang w:val="en-US" w:eastAsia="zh-CN"/>
        </w:rPr>
        <w:t>技术培训、服务及设计联络</w:t>
      </w:r>
      <w:bookmarkEnd w:id="153"/>
      <w:bookmarkEnd w:id="154"/>
      <w:bookmarkEnd w:id="155"/>
    </w:p>
    <w:p>
      <w:pPr>
        <w:keepNext w:val="0"/>
        <w:keepLines w:val="0"/>
        <w:pageBreakBefore w:val="0"/>
        <w:widowControl w:val="0"/>
        <w:numPr>
          <w:ilvl w:val="0"/>
          <w:numId w:val="29"/>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投标人应根据招标人要求及时提供以下技术服务：</w:t>
      </w:r>
    </w:p>
    <w:p>
      <w:pPr>
        <w:keepNext w:val="0"/>
        <w:keepLines w:val="0"/>
        <w:pageBreakBefore w:val="0"/>
        <w:widowControl w:val="0"/>
        <w:numPr>
          <w:ilvl w:val="0"/>
          <w:numId w:val="3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实施、参与或监督所供设备的项目现场组装、安装、调试、试运行和其他程序。</w:t>
      </w:r>
    </w:p>
    <w:p>
      <w:pPr>
        <w:keepNext w:val="0"/>
        <w:keepLines w:val="0"/>
        <w:pageBreakBefore w:val="0"/>
        <w:widowControl w:val="0"/>
        <w:numPr>
          <w:ilvl w:val="0"/>
          <w:numId w:val="3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派遣有经验的和称职的技术人员（应自备必要的工作防护用品及安装调试所需的备件和工具）到项目现场对设备的装载、卸载、安装、试车、试运行与考核进行技术指导。</w:t>
      </w:r>
    </w:p>
    <w:p>
      <w:pPr>
        <w:keepNext w:val="0"/>
        <w:keepLines w:val="0"/>
        <w:pageBreakBefore w:val="0"/>
        <w:widowControl w:val="0"/>
        <w:numPr>
          <w:ilvl w:val="0"/>
          <w:numId w:val="3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在质保期内对设备的运行进行监督、维护和修理的技术服务指导，该等服务不得免除投标人在质保期内应承担的义务。</w:t>
      </w:r>
    </w:p>
    <w:p>
      <w:pPr>
        <w:keepNext w:val="0"/>
        <w:keepLines w:val="0"/>
        <w:pageBreakBefore w:val="0"/>
        <w:widowControl w:val="0"/>
        <w:numPr>
          <w:ilvl w:val="0"/>
          <w:numId w:val="3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在投标人地址、项目现场或招标人指定的其它地址就设备的安装、组装、试运行、运行、维护和修理对招标人人员进行培训。</w:t>
      </w:r>
    </w:p>
    <w:p>
      <w:pPr>
        <w:keepNext w:val="0"/>
        <w:keepLines w:val="0"/>
        <w:pageBreakBefore w:val="0"/>
        <w:widowControl w:val="0"/>
        <w:numPr>
          <w:ilvl w:val="0"/>
          <w:numId w:val="30"/>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技术协议和本合同其他条款规定的服务。</w:t>
      </w:r>
    </w:p>
    <w:p>
      <w:pPr>
        <w:keepNext w:val="0"/>
        <w:keepLines w:val="0"/>
        <w:pageBreakBefore w:val="0"/>
        <w:widowControl w:val="0"/>
        <w:numPr>
          <w:ilvl w:val="0"/>
          <w:numId w:val="29"/>
        </w:numPr>
        <w:kinsoku/>
        <w:wordWrap/>
        <w:overflowPunct/>
        <w:topLinePunct w:val="0"/>
        <w:autoSpaceDE/>
        <w:autoSpaceDN/>
        <w:bidi w:val="0"/>
        <w:adjustRightInd/>
        <w:snapToGrid/>
        <w:spacing w:line="560" w:lineRule="exact"/>
        <w:textAlignment w:val="auto"/>
        <w:rPr>
          <w:rFonts w:hint="eastAsia" w:ascii="Calibri" w:hAnsi="Calibri" w:eastAsia="宋体" w:cs="Times New Roman"/>
          <w:sz w:val="28"/>
          <w:szCs w:val="28"/>
          <w:highlight w:val="none"/>
          <w:lang w:val="en-US" w:eastAsia="zh-CN"/>
        </w:rPr>
      </w:pPr>
      <w:r>
        <w:rPr>
          <w:rFonts w:hint="eastAsia" w:ascii="Calibri" w:hAnsi="Calibri" w:eastAsia="宋体" w:cs="Times New Roman"/>
          <w:sz w:val="28"/>
          <w:szCs w:val="28"/>
          <w:highlight w:val="none"/>
          <w:lang w:val="en-US" w:eastAsia="zh-CN"/>
        </w:rPr>
        <w:t>投标人现场技术服务应涵盖所有现场服务工作，包含从开箱检验、安装、调试、试车、相关辅助系统的配合、送电、现场培训、性能测试等全部工作，且技术服务总工时包含路程时间。除非由于招标人的原因造成额外的服务日，否则应为总包人工时，合同总价（含增值税）包含投标人提供上述技术服务的全部费用。</w:t>
      </w:r>
    </w:p>
    <w:p>
      <w:pPr>
        <w:keepNext w:val="0"/>
        <w:keepLines w:val="0"/>
        <w:pageBreakBefore w:val="0"/>
        <w:widowControl w:val="0"/>
        <w:numPr>
          <w:ilvl w:val="0"/>
          <w:numId w:val="29"/>
        </w:numPr>
        <w:kinsoku/>
        <w:wordWrap/>
        <w:overflowPunct/>
        <w:topLinePunct w:val="0"/>
        <w:autoSpaceDE/>
        <w:autoSpaceDN/>
        <w:bidi w:val="0"/>
        <w:adjustRightInd/>
        <w:snapToGrid/>
        <w:spacing w:line="560" w:lineRule="exact"/>
        <w:textAlignment w:val="auto"/>
        <w:rPr>
          <w:rFonts w:hint="eastAsia" w:ascii="Calibri" w:hAnsi="Calibri" w:eastAsia="宋体" w:cs="Times New Roman"/>
          <w:sz w:val="28"/>
          <w:szCs w:val="28"/>
          <w:highlight w:val="none"/>
          <w:lang w:val="en-US" w:eastAsia="zh-CN"/>
        </w:rPr>
      </w:pPr>
      <w:r>
        <w:rPr>
          <w:rFonts w:hint="eastAsia" w:ascii="Calibri" w:hAnsi="Calibri" w:eastAsia="宋体" w:cs="Times New Roman"/>
          <w:sz w:val="28"/>
          <w:szCs w:val="28"/>
          <w:highlight w:val="none"/>
          <w:lang w:val="en-US" w:eastAsia="zh-CN"/>
        </w:rPr>
        <w:t>货物验收</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桥架到达现场后，双方代表在现场对设备进行开箱检查和验收工作。招标人应提前5天通知投标人派人参加，如投标人人员不能按时到达，现场的开箱检查及验收工作正常进行，但招标人应做好记录，投标人予以承认。</w:t>
      </w:r>
    </w:p>
    <w:p>
      <w:pPr>
        <w:keepNext w:val="0"/>
        <w:keepLines w:val="0"/>
        <w:pageBreakBefore w:val="0"/>
        <w:widowControl w:val="0"/>
        <w:numPr>
          <w:ilvl w:val="0"/>
          <w:numId w:val="29"/>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技术培训</w:t>
      </w:r>
    </w:p>
    <w:p>
      <w:pPr>
        <w:keepNext w:val="0"/>
        <w:keepLines w:val="0"/>
        <w:pageBreakBefore w:val="0"/>
        <w:widowControl w:val="0"/>
        <w:numPr>
          <w:ilvl w:val="0"/>
          <w:numId w:val="31"/>
        </w:numPr>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sz w:val="28"/>
          <w:szCs w:val="28"/>
          <w:highlight w:val="none"/>
          <w:lang w:val="en-US" w:eastAsia="zh-CN"/>
        </w:rPr>
        <w:t>投标人负责提出培训内容和培训计划，由招标人确认。除非双方一致同意，否则不能随意更改培训计划。投标人选派有经验和有能力的专业人员对招标人技术和运行人员进行培训。</w:t>
      </w:r>
    </w:p>
    <w:p>
      <w:pPr>
        <w:pStyle w:val="193"/>
        <w:keepNext/>
        <w:keepLines w:val="0"/>
        <w:pageBreakBefore w:val="0"/>
        <w:widowControl w:val="0"/>
        <w:numPr>
          <w:ilvl w:val="0"/>
          <w:numId w:val="31"/>
        </w:numPr>
        <w:kinsoku/>
        <w:wordWrap/>
        <w:overflowPunct/>
        <w:topLinePunct w:val="0"/>
        <w:autoSpaceDE/>
        <w:autoSpaceDN/>
        <w:bidi w:val="0"/>
        <w:adjustRightInd/>
        <w:snapToGrid/>
        <w:spacing w:line="560" w:lineRule="exact"/>
        <w:ind w:left="0" w:leftChars="0" w:firstLine="0" w:firstLineChars="0"/>
        <w:textAlignment w:val="auto"/>
        <w:rPr>
          <w:rFonts w:hint="eastAsia" w:asciiTheme="minorHAnsi" w:hAnsiTheme="minorHAnsi" w:eastAsiaTheme="minorEastAsia" w:cstheme="minorBidi"/>
          <w:kern w:val="2"/>
          <w:sz w:val="28"/>
          <w:szCs w:val="28"/>
          <w:highlight w:val="none"/>
          <w:lang w:val="en-US" w:eastAsia="zh-CN" w:bidi="ar-SA"/>
        </w:rPr>
      </w:pPr>
      <w:r>
        <w:rPr>
          <w:rFonts w:hint="eastAsia" w:asciiTheme="minorHAnsi" w:hAnsiTheme="minorHAnsi" w:eastAsiaTheme="minorEastAsia" w:cstheme="minorBidi"/>
          <w:kern w:val="2"/>
          <w:sz w:val="28"/>
          <w:szCs w:val="28"/>
          <w:highlight w:val="none"/>
          <w:lang w:val="en-US" w:eastAsia="zh-CN" w:bidi="ar-SA"/>
        </w:rPr>
        <w:t>投标人指派专门人员实施培训计划，负责指导学员正确理解设计意图，认识设备的特点和特性，掌握运行、维修和管理中要遵守的规则等方面的综合知识。培训采用对实物进行系统的解释、作专题报告、现场参观、实际操作和阅读相关的技术资料和图纸等方式进行。在培训期间，投标人免费提供必要的技术资料、图纸、设备和仪器。投标人对被培训人员在培训期间的表现作出评价。</w:t>
      </w:r>
    </w:p>
    <w:p>
      <w:pPr>
        <w:keepLines w:val="0"/>
        <w:pageBreakBefore w:val="0"/>
        <w:widowControl w:val="0"/>
        <w:numPr>
          <w:ilvl w:val="0"/>
          <w:numId w:val="31"/>
        </w:numPr>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ascii="宋体" w:hAnsi="宋体" w:eastAsia="宋体" w:cs="宋体"/>
          <w:sz w:val="28"/>
          <w:szCs w:val="28"/>
          <w:highlight w:val="none"/>
          <w:lang w:val="en-US" w:eastAsia="zh-CN"/>
        </w:rPr>
        <w:t>培训的时间、人数、地点等具体内容由双方商定。</w:t>
      </w:r>
    </w:p>
    <w:p>
      <w:pPr>
        <w:keepNext w:val="0"/>
        <w:keepLines w:val="0"/>
        <w:pageBreakBefore w:val="0"/>
        <w:widowControl w:val="0"/>
        <w:numPr>
          <w:ilvl w:val="0"/>
          <w:numId w:val="29"/>
        </w:numPr>
        <w:kinsoku/>
        <w:wordWrap/>
        <w:overflowPunct/>
        <w:topLinePunct w:val="0"/>
        <w:autoSpaceDE/>
        <w:autoSpaceDN/>
        <w:bidi w:val="0"/>
        <w:adjustRightInd/>
        <w:snapToGrid/>
        <w:spacing w:line="560" w:lineRule="exact"/>
        <w:textAlignment w:val="auto"/>
        <w:rPr>
          <w:rFonts w:hint="eastAsia" w:ascii="Calibri" w:hAnsi="Calibri" w:eastAsia="宋体" w:cs="Times New Roman"/>
          <w:sz w:val="28"/>
          <w:szCs w:val="28"/>
          <w:highlight w:val="none"/>
          <w:lang w:val="en-US" w:eastAsia="zh-CN"/>
        </w:rPr>
      </w:pPr>
      <w:r>
        <w:rPr>
          <w:rFonts w:hint="eastAsia" w:ascii="Calibri" w:hAnsi="Calibri" w:eastAsia="宋体" w:cs="Times New Roman"/>
          <w:sz w:val="28"/>
          <w:szCs w:val="28"/>
          <w:highlight w:val="none"/>
          <w:lang w:val="en-US" w:eastAsia="zh-CN"/>
        </w:rPr>
        <w:t>现场技术服务</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sz w:val="28"/>
          <w:szCs w:val="28"/>
          <w:highlight w:val="none"/>
          <w:lang w:val="en-US" w:eastAsia="zh-CN"/>
        </w:rPr>
        <w:t>投标人要派出合格的、能独立解决问题的现场服务人员，保证所提供的设备安全、正常投运。投标人提供的现场服务要能满足工程需要。</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招标人服务人员的一切费用已包含在设备总价中，包括诸如服务人员的工资及各种补助、交通费、通讯费、食宿费、医疗费、各种保险费、各种税费等。</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现场服务人员的工作时间与现场要求相一致，以满足现场安装、调试和试运行的要求。招标人不再因投标人现场服务人员的加班和节假日而另付费用。</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投标人的服务范围是指其在现场进行的工作和对招标人的运行、维护和管理人员进行必要的技术培训。投标人的服务在其投标报价范围内。</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投标人提供完整的系统调试方案，包括分部调试、联合试运转详细文件，并进行调试工作、确认调试结果和负责性能验收试验。</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投标人负责解决系统在投入商业运行前的试运期间发现的问题，确保设备达到设计性能。</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投标人响应时间：24h到现场服务。</w:t>
      </w:r>
    </w:p>
    <w:p>
      <w:pPr>
        <w:keepNext w:val="0"/>
        <w:keepLines w:val="0"/>
        <w:pageBreakBefore w:val="0"/>
        <w:widowControl w:val="0"/>
        <w:numPr>
          <w:ilvl w:val="0"/>
          <w:numId w:val="32"/>
        </w:numPr>
        <w:kinsoku/>
        <w:wordWrap/>
        <w:overflowPunct/>
        <w:topLinePunct w:val="0"/>
        <w:autoSpaceDE/>
        <w:autoSpaceDN/>
        <w:bidi w:val="0"/>
        <w:adjustRightInd/>
        <w:snapToGrid/>
        <w:spacing w:line="560" w:lineRule="exact"/>
        <w:textAlignment w:val="auto"/>
        <w:rPr>
          <w:rFonts w:hint="eastAsia" w:ascii="Calibri" w:hAnsi="Calibri" w:eastAsia="宋体" w:cs="Times New Roman"/>
          <w:szCs w:val="24"/>
          <w:highlight w:val="none"/>
          <w:lang w:val="en-US" w:eastAsia="zh-CN"/>
        </w:rPr>
      </w:pPr>
      <w:r>
        <w:rPr>
          <w:rFonts w:hint="eastAsia"/>
          <w:sz w:val="28"/>
          <w:szCs w:val="28"/>
          <w:highlight w:val="none"/>
          <w:lang w:val="en-US" w:eastAsia="zh-CN"/>
        </w:rPr>
        <w:t>投标人现场服务人员在现场时应遵守《中海壳牌三期乙烯项目HSE协议书》规定，因此造成的费用由投标人承担。</w:t>
      </w:r>
    </w:p>
    <w:p>
      <w:pPr>
        <w:keepNext w:val="0"/>
        <w:keepLines w:val="0"/>
        <w:pageBreakBefore w:val="0"/>
        <w:widowControl w:val="0"/>
        <w:numPr>
          <w:ilvl w:val="0"/>
          <w:numId w:val="29"/>
        </w:numPr>
        <w:kinsoku/>
        <w:wordWrap/>
        <w:overflowPunct/>
        <w:topLinePunct w:val="0"/>
        <w:autoSpaceDE/>
        <w:autoSpaceDN/>
        <w:bidi w:val="0"/>
        <w:adjustRightInd/>
        <w:snapToGrid/>
        <w:spacing w:line="560" w:lineRule="exact"/>
        <w:textAlignment w:val="auto"/>
        <w:rPr>
          <w:rFonts w:hint="default" w:ascii="Calibri" w:hAnsi="Calibri" w:eastAsia="宋体" w:cs="Times New Roman"/>
          <w:sz w:val="24"/>
          <w:szCs w:val="24"/>
          <w:highlight w:val="none"/>
          <w:lang w:val="en-US" w:eastAsia="zh-CN"/>
        </w:rPr>
      </w:pPr>
      <w:bookmarkStart w:id="156" w:name="_Toc292019782"/>
      <w:bookmarkStart w:id="157" w:name="_Toc283011676"/>
      <w:bookmarkStart w:id="158" w:name="_Toc282433724"/>
      <w:bookmarkStart w:id="159" w:name="_Toc283142582"/>
      <w:bookmarkStart w:id="160" w:name="_Toc277686885"/>
      <w:bookmarkStart w:id="161" w:name="_Toc282428316"/>
      <w:r>
        <w:rPr>
          <w:rFonts w:hint="default" w:ascii="Calibri" w:hAnsi="Calibri" w:eastAsia="宋体" w:cs="Times New Roman"/>
          <w:sz w:val="28"/>
          <w:szCs w:val="28"/>
          <w:highlight w:val="none"/>
          <w:lang w:val="en-US" w:eastAsia="zh-CN"/>
        </w:rPr>
        <w:t>设计联络</w:t>
      </w:r>
      <w:bookmarkEnd w:id="156"/>
      <w:bookmarkEnd w:id="157"/>
      <w:bookmarkEnd w:id="158"/>
      <w:bookmarkEnd w:id="159"/>
      <w:bookmarkEnd w:id="160"/>
      <w:bookmarkEnd w:id="161"/>
    </w:p>
    <w:p>
      <w:pPr>
        <w:keepNext w:val="0"/>
        <w:keepLines w:val="0"/>
        <w:pageBreakBefore w:val="0"/>
        <w:widowControl w:val="0"/>
        <w:numPr>
          <w:ilvl w:val="0"/>
          <w:numId w:val="33"/>
        </w:numPr>
        <w:kinsoku/>
        <w:wordWrap/>
        <w:overflowPunct/>
        <w:topLinePunct w:val="0"/>
        <w:autoSpaceDE/>
        <w:autoSpaceDN/>
        <w:bidi w:val="0"/>
        <w:adjustRightInd/>
        <w:snapToGrid/>
        <w:spacing w:line="560" w:lineRule="exact"/>
        <w:textAlignment w:val="auto"/>
        <w:rPr>
          <w:rFonts w:hint="default" w:ascii="Calibri" w:hAnsi="Calibri" w:eastAsia="宋体" w:cs="Times New Roman"/>
          <w:sz w:val="24"/>
          <w:szCs w:val="24"/>
          <w:highlight w:val="none"/>
          <w:lang w:val="en-US" w:eastAsia="zh-CN"/>
        </w:rPr>
      </w:pPr>
      <w:r>
        <w:rPr>
          <w:rFonts w:hint="eastAsia" w:ascii="宋体" w:hAnsi="宋体" w:eastAsia="宋体" w:cs="宋体"/>
          <w:sz w:val="28"/>
          <w:szCs w:val="28"/>
          <w:highlight w:val="none"/>
          <w:lang w:val="en-US" w:eastAsia="zh-CN"/>
        </w:rPr>
        <w:t>投标人应在收到中标通知书后的</w:t>
      </w:r>
      <w:r>
        <w:rPr>
          <w:rFonts w:hint="eastAsia" w:ascii="宋体" w:hAnsi="宋体" w:eastAsia="宋体" w:cs="宋体"/>
          <w:sz w:val="28"/>
          <w:szCs w:val="28"/>
          <w:highlight w:val="none"/>
          <w:u w:val="single"/>
          <w:lang w:val="en-US" w:eastAsia="zh-CN"/>
        </w:rPr>
        <w:t>30</w:t>
      </w:r>
      <w:r>
        <w:rPr>
          <w:rFonts w:hint="eastAsia" w:ascii="宋体" w:hAnsi="宋体" w:eastAsia="宋体" w:cs="宋体"/>
          <w:sz w:val="28"/>
          <w:szCs w:val="28"/>
          <w:highlight w:val="none"/>
          <w:lang w:val="en-US" w:eastAsia="zh-CN"/>
        </w:rPr>
        <w:t>天内向投标人提供正式版的用于设计、设备监造和检验、现场安装和调试以及运行维护方面的图纸、说明书和有关技术资料。</w:t>
      </w:r>
    </w:p>
    <w:p>
      <w:pPr>
        <w:keepNext w:val="0"/>
        <w:keepLines w:val="0"/>
        <w:pageBreakBefore w:val="0"/>
        <w:widowControl w:val="0"/>
        <w:numPr>
          <w:ilvl w:val="0"/>
          <w:numId w:val="33"/>
        </w:numPr>
        <w:kinsoku/>
        <w:wordWrap/>
        <w:overflowPunct/>
        <w:topLinePunct w:val="0"/>
        <w:autoSpaceDE/>
        <w:autoSpaceDN/>
        <w:bidi w:val="0"/>
        <w:adjustRightInd/>
        <w:snapToGrid/>
        <w:spacing w:line="560" w:lineRule="exact"/>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投标人</w:t>
      </w:r>
      <w:r>
        <w:rPr>
          <w:rFonts w:hint="default" w:ascii="宋体" w:hAnsi="宋体" w:eastAsia="宋体" w:cs="宋体"/>
          <w:sz w:val="28"/>
          <w:szCs w:val="28"/>
          <w:highlight w:val="none"/>
          <w:lang w:val="en-US" w:eastAsia="zh-CN"/>
        </w:rPr>
        <w:t>应按</w:t>
      </w:r>
      <w:r>
        <w:rPr>
          <w:rFonts w:hint="eastAsia" w:ascii="宋体" w:hAnsi="宋体" w:eastAsia="宋体" w:cs="宋体"/>
          <w:sz w:val="28"/>
          <w:szCs w:val="28"/>
          <w:highlight w:val="none"/>
          <w:lang w:val="en-US" w:eastAsia="zh-CN"/>
        </w:rPr>
        <w:t>招标人</w:t>
      </w:r>
      <w:r>
        <w:rPr>
          <w:rFonts w:hint="default" w:ascii="宋体" w:hAnsi="宋体" w:eastAsia="宋体" w:cs="宋体"/>
          <w:sz w:val="28"/>
          <w:szCs w:val="28"/>
          <w:highlight w:val="none"/>
          <w:lang w:val="en-US" w:eastAsia="zh-CN"/>
        </w:rPr>
        <w:t>需要及时参与设计联络工作</w:t>
      </w:r>
      <w:r>
        <w:rPr>
          <w:rFonts w:hint="eastAsia" w:ascii="宋体" w:hAnsi="宋体" w:eastAsia="宋体" w:cs="宋体"/>
          <w:sz w:val="28"/>
          <w:szCs w:val="28"/>
          <w:highlight w:val="none"/>
          <w:lang w:val="en-US" w:eastAsia="zh-CN"/>
        </w:rPr>
        <w:t>（包括安排人员到设计院设计对接，费用由投标人承担）</w:t>
      </w:r>
      <w:r>
        <w:rPr>
          <w:rFonts w:hint="default" w:ascii="宋体" w:hAnsi="宋体" w:eastAsia="宋体" w:cs="宋体"/>
          <w:sz w:val="28"/>
          <w:szCs w:val="28"/>
          <w:highlight w:val="none"/>
          <w:lang w:val="en-US" w:eastAsia="zh-CN"/>
        </w:rPr>
        <w:t>，提供设计所需的相关资料，以保证</w:t>
      </w:r>
      <w:r>
        <w:rPr>
          <w:rFonts w:hint="eastAsia" w:ascii="宋体" w:hAnsi="宋体" w:eastAsia="宋体" w:cs="宋体"/>
          <w:sz w:val="28"/>
          <w:szCs w:val="28"/>
          <w:highlight w:val="none"/>
          <w:lang w:val="en-US" w:eastAsia="zh-CN"/>
        </w:rPr>
        <w:t>招标人</w:t>
      </w:r>
      <w:r>
        <w:rPr>
          <w:rFonts w:hint="default" w:ascii="宋体" w:hAnsi="宋体" w:eastAsia="宋体" w:cs="宋体"/>
          <w:sz w:val="28"/>
          <w:szCs w:val="28"/>
          <w:highlight w:val="none"/>
          <w:lang w:val="en-US" w:eastAsia="zh-CN"/>
        </w:rPr>
        <w:t>工期要求</w:t>
      </w:r>
      <w:r>
        <w:rPr>
          <w:rFonts w:hint="eastAsia" w:ascii="宋体" w:hAnsi="宋体" w:eastAsia="宋体" w:cs="宋体"/>
          <w:sz w:val="28"/>
          <w:szCs w:val="28"/>
          <w:highlight w:val="none"/>
          <w:lang w:val="en-US" w:eastAsia="zh-CN"/>
        </w:rPr>
        <w:t>；</w:t>
      </w:r>
    </w:p>
    <w:p>
      <w:pPr>
        <w:keepNext w:val="0"/>
        <w:keepLines w:val="0"/>
        <w:pageBreakBefore w:val="0"/>
        <w:widowControl w:val="0"/>
        <w:numPr>
          <w:ilvl w:val="0"/>
          <w:numId w:val="33"/>
        </w:numPr>
        <w:kinsoku/>
        <w:wordWrap/>
        <w:overflowPunct/>
        <w:topLinePunct w:val="0"/>
        <w:autoSpaceDE/>
        <w:autoSpaceDN/>
        <w:bidi w:val="0"/>
        <w:adjustRightInd/>
        <w:snapToGrid/>
        <w:spacing w:line="560" w:lineRule="exact"/>
        <w:textAlignment w:val="auto"/>
        <w:rPr>
          <w:rFonts w:hint="default"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t>投标</w:t>
      </w:r>
      <w:r>
        <w:rPr>
          <w:rFonts w:hint="eastAsia" w:ascii="宋体" w:hAnsi="宋体" w:eastAsia="宋体" w:cs="宋体"/>
          <w:kern w:val="2"/>
          <w:sz w:val="28"/>
          <w:szCs w:val="28"/>
          <w:highlight w:val="none"/>
          <w:lang w:val="en-US" w:eastAsia="zh-CN" w:bidi="ar-SA"/>
        </w:rPr>
        <w:t>人</w:t>
      </w:r>
      <w:r>
        <w:rPr>
          <w:rFonts w:hint="default" w:ascii="宋体" w:hAnsi="宋体" w:eastAsia="宋体" w:cs="宋体"/>
          <w:kern w:val="2"/>
          <w:sz w:val="28"/>
          <w:szCs w:val="28"/>
          <w:highlight w:val="none"/>
          <w:lang w:val="en-US" w:eastAsia="zh-CN" w:bidi="ar-SA"/>
        </w:rPr>
        <w:t>提供的图纸必须经</w:t>
      </w:r>
      <w:r>
        <w:rPr>
          <w:rFonts w:hint="eastAsia" w:ascii="宋体" w:hAnsi="宋体" w:eastAsia="宋体" w:cs="宋体"/>
          <w:kern w:val="2"/>
          <w:sz w:val="28"/>
          <w:szCs w:val="28"/>
          <w:highlight w:val="none"/>
          <w:lang w:val="en-US" w:eastAsia="zh-CN" w:bidi="ar-SA"/>
        </w:rPr>
        <w:t>招标人</w:t>
      </w:r>
      <w:r>
        <w:rPr>
          <w:rFonts w:hint="default" w:ascii="宋体" w:hAnsi="宋体" w:eastAsia="宋体" w:cs="宋体"/>
          <w:kern w:val="2"/>
          <w:sz w:val="28"/>
          <w:szCs w:val="28"/>
          <w:highlight w:val="none"/>
          <w:lang w:val="en-US" w:eastAsia="zh-CN" w:bidi="ar-SA"/>
        </w:rPr>
        <w:t>代表确认。</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eastAsia" w:ascii="黑体" w:hAnsi="黑体" w:eastAsia="黑体" w:cs="黑体"/>
          <w:highlight w:val="none"/>
          <w:lang w:val="en-US" w:eastAsia="zh-CN"/>
        </w:rPr>
      </w:pPr>
      <w:bookmarkStart w:id="162" w:name="_Toc6025"/>
      <w:bookmarkStart w:id="163" w:name="_Toc3540"/>
      <w:bookmarkStart w:id="164" w:name="_Toc2944"/>
      <w:r>
        <w:rPr>
          <w:rFonts w:hint="eastAsia" w:ascii="黑体" w:hAnsi="黑体" w:eastAsia="黑体" w:cs="黑体"/>
          <w:highlight w:val="none"/>
          <w:lang w:val="en-US" w:eastAsia="zh-CN"/>
        </w:rPr>
        <w:t>检验、试验和监造</w:t>
      </w:r>
      <w:bookmarkEnd w:id="162"/>
      <w:bookmarkEnd w:id="163"/>
      <w:bookmarkEnd w:id="164"/>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ascii="宋体" w:hAnsi="宋体" w:cs="宋体"/>
          <w:sz w:val="28"/>
          <w:szCs w:val="28"/>
          <w:highlight w:val="none"/>
        </w:rPr>
      </w:pPr>
      <w:bookmarkStart w:id="165" w:name="_Toc34840951"/>
      <w:bookmarkStart w:id="166" w:name="_Toc12589"/>
      <w:r>
        <w:rPr>
          <w:rFonts w:ascii="Calibri" w:hAnsi="Calibri" w:cs="Calibri"/>
          <w:sz w:val="28"/>
          <w:szCs w:val="28"/>
          <w:highlight w:val="none"/>
        </w:rPr>
        <w:t>根据相关国标和行标等有关标准及其补充说明进行各项试验，有关条款的特殊要求和补充应在试验期间遵守并执行。</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ascii="宋体" w:hAnsi="宋体" w:cs="宋体"/>
          <w:sz w:val="28"/>
          <w:szCs w:val="28"/>
          <w:highlight w:val="none"/>
        </w:rPr>
      </w:pPr>
      <w:r>
        <w:rPr>
          <w:rFonts w:hint="eastAsia"/>
          <w:sz w:val="28"/>
          <w:szCs w:val="28"/>
          <w:highlight w:val="none"/>
        </w:rPr>
        <w:t>检测和试验</w:t>
      </w:r>
      <w:bookmarkEnd w:id="165"/>
    </w:p>
    <w:p>
      <w:pPr>
        <w:keepNext w:val="0"/>
        <w:keepLines w:val="0"/>
        <w:pageBreakBefore w:val="0"/>
        <w:widowControl w:val="0"/>
        <w:numPr>
          <w:ilvl w:val="2"/>
          <w:numId w:val="35"/>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lang w:eastAsia="zh-CN"/>
        </w:rPr>
        <w:t>招标人</w:t>
      </w:r>
      <w:r>
        <w:rPr>
          <w:rFonts w:hint="eastAsia" w:ascii="宋体" w:hAnsi="宋体" w:cs="宋体"/>
          <w:sz w:val="28"/>
          <w:szCs w:val="28"/>
          <w:highlight w:val="none"/>
        </w:rPr>
        <w:t>有权在</w:t>
      </w:r>
      <w:r>
        <w:rPr>
          <w:rFonts w:hint="eastAsia" w:ascii="宋体" w:hAnsi="宋体" w:cs="宋体"/>
          <w:sz w:val="28"/>
          <w:szCs w:val="28"/>
          <w:highlight w:val="none"/>
          <w:lang w:eastAsia="zh-CN"/>
        </w:rPr>
        <w:t>桥架</w:t>
      </w:r>
      <w:r>
        <w:rPr>
          <w:rFonts w:hint="eastAsia" w:ascii="宋体" w:hAnsi="宋体" w:cs="宋体"/>
          <w:sz w:val="28"/>
          <w:szCs w:val="28"/>
          <w:highlight w:val="none"/>
        </w:rPr>
        <w:t>生产和试验过程中检查</w:t>
      </w:r>
      <w:r>
        <w:rPr>
          <w:rFonts w:hint="eastAsia" w:ascii="宋体" w:hAnsi="宋体" w:cs="宋体"/>
          <w:sz w:val="28"/>
          <w:szCs w:val="28"/>
          <w:highlight w:val="none"/>
          <w:lang w:eastAsia="zh-CN"/>
        </w:rPr>
        <w:t>桥架，</w:t>
      </w:r>
      <w:r>
        <w:rPr>
          <w:rFonts w:hint="eastAsia" w:ascii="宋体" w:hAnsi="宋体" w:cs="宋体"/>
          <w:sz w:val="28"/>
          <w:szCs w:val="28"/>
          <w:highlight w:val="none"/>
        </w:rPr>
        <w:t>以确保</w:t>
      </w:r>
      <w:r>
        <w:rPr>
          <w:rFonts w:hint="eastAsia" w:ascii="宋体" w:hAnsi="宋体" w:cs="宋体"/>
          <w:sz w:val="28"/>
          <w:szCs w:val="28"/>
          <w:highlight w:val="none"/>
          <w:lang w:eastAsia="zh-CN"/>
        </w:rPr>
        <w:t>桥架</w:t>
      </w:r>
      <w:r>
        <w:rPr>
          <w:rFonts w:hint="eastAsia" w:ascii="宋体" w:hAnsi="宋体" w:cs="宋体"/>
          <w:sz w:val="28"/>
          <w:szCs w:val="28"/>
          <w:highlight w:val="none"/>
        </w:rPr>
        <w:t>材料和工艺符合本标准的要求。</w:t>
      </w:r>
    </w:p>
    <w:p>
      <w:pPr>
        <w:keepNext w:val="0"/>
        <w:keepLines w:val="0"/>
        <w:pageBreakBefore w:val="0"/>
        <w:widowControl w:val="0"/>
        <w:numPr>
          <w:ilvl w:val="2"/>
          <w:numId w:val="35"/>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必要时，</w:t>
      </w:r>
      <w:r>
        <w:rPr>
          <w:rFonts w:hint="eastAsia" w:ascii="宋体" w:hAnsi="宋体" w:cs="宋体"/>
          <w:sz w:val="28"/>
          <w:szCs w:val="28"/>
          <w:highlight w:val="none"/>
          <w:lang w:eastAsia="zh-CN"/>
        </w:rPr>
        <w:t>招标人</w:t>
      </w:r>
      <w:r>
        <w:rPr>
          <w:rFonts w:hint="eastAsia" w:ascii="宋体" w:hAnsi="宋体" w:cs="宋体"/>
          <w:sz w:val="28"/>
          <w:szCs w:val="28"/>
          <w:highlight w:val="none"/>
        </w:rPr>
        <w:t>可以增加抽样试验项目和</w:t>
      </w:r>
      <w:r>
        <w:rPr>
          <w:rFonts w:hint="eastAsia" w:ascii="宋体" w:hAnsi="宋体" w:cs="宋体"/>
          <w:sz w:val="28"/>
          <w:szCs w:val="28"/>
          <w:highlight w:val="none"/>
          <w:lang w:eastAsia="zh-CN"/>
        </w:rPr>
        <w:t>桥架</w:t>
      </w:r>
      <w:r>
        <w:rPr>
          <w:rFonts w:hint="eastAsia" w:ascii="宋体" w:hAnsi="宋体" w:cs="宋体"/>
          <w:sz w:val="28"/>
          <w:szCs w:val="28"/>
          <w:highlight w:val="none"/>
        </w:rPr>
        <w:t>用原材料的确认试验项目，具体由</w:t>
      </w:r>
      <w:r>
        <w:rPr>
          <w:rFonts w:hint="eastAsia" w:ascii="宋体" w:hAnsi="宋体" w:cs="宋体"/>
          <w:sz w:val="28"/>
          <w:szCs w:val="28"/>
          <w:highlight w:val="none"/>
          <w:lang w:eastAsia="zh-CN"/>
        </w:rPr>
        <w:t>招标人</w:t>
      </w:r>
      <w:r>
        <w:rPr>
          <w:rFonts w:hint="eastAsia" w:ascii="宋体" w:hAnsi="宋体" w:cs="宋体"/>
          <w:sz w:val="28"/>
          <w:szCs w:val="28"/>
          <w:highlight w:val="none"/>
        </w:rPr>
        <w:t>指定的监造代表根据现场情况确定。</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highlight w:val="none"/>
        </w:rPr>
      </w:pPr>
      <w:bookmarkStart w:id="167" w:name="OLE_LINK1"/>
      <w:r>
        <w:rPr>
          <w:rFonts w:hint="eastAsia" w:ascii="宋体" w:hAnsi="宋体" w:eastAsia="宋体" w:cs="宋体"/>
          <w:sz w:val="28"/>
          <w:szCs w:val="28"/>
          <w:highlight w:val="none"/>
        </w:rPr>
        <w:t>★型式试验</w:t>
      </w:r>
    </w:p>
    <w:bookmarkEnd w:id="167"/>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投标人</w:t>
      </w:r>
      <w:r>
        <w:rPr>
          <w:rFonts w:hint="eastAsia" w:ascii="宋体" w:hAnsi="宋体" w:eastAsia="宋体" w:cs="宋体"/>
          <w:sz w:val="28"/>
          <w:szCs w:val="28"/>
          <w:highlight w:val="none"/>
          <w:lang w:val="en-US" w:eastAsia="zh-CN"/>
        </w:rPr>
        <w:t>在投标文件中</w:t>
      </w:r>
      <w:r>
        <w:rPr>
          <w:rFonts w:hint="eastAsia" w:ascii="宋体" w:hAnsi="宋体" w:eastAsia="宋体" w:cs="宋体"/>
          <w:sz w:val="28"/>
          <w:szCs w:val="28"/>
          <w:highlight w:val="none"/>
        </w:rPr>
        <w:t>须提供在相同电缆桥架</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铝合金</w:t>
      </w:r>
      <w:r>
        <w:rPr>
          <w:rFonts w:hint="eastAsia" w:ascii="宋体" w:hAnsi="宋体" w:eastAsia="宋体" w:cs="宋体"/>
          <w:sz w:val="28"/>
          <w:szCs w:val="28"/>
          <w:highlight w:val="none"/>
        </w:rPr>
        <w:t>桥架</w:t>
      </w:r>
      <w:r>
        <w:rPr>
          <w:rFonts w:hint="eastAsia" w:ascii="宋体" w:hAnsi="宋体" w:eastAsia="宋体" w:cs="宋体"/>
          <w:sz w:val="28"/>
          <w:szCs w:val="28"/>
          <w:highlight w:val="none"/>
          <w:lang w:val="en-US" w:eastAsia="zh-CN"/>
        </w:rPr>
        <w:t>规格</w:t>
      </w:r>
      <w:r>
        <w:rPr>
          <w:rFonts w:hint="eastAsia" w:ascii="宋体" w:hAnsi="宋体" w:eastAsia="宋体" w:cs="宋体"/>
          <w:sz w:val="28"/>
          <w:szCs w:val="28"/>
          <w:highlight w:val="none"/>
        </w:rPr>
        <w:t>不低于W800mm×H150mm×L6000m</w:t>
      </w:r>
      <w:r>
        <w:rPr>
          <w:rFonts w:hint="eastAsia" w:ascii="宋体" w:hAnsi="宋体" w:eastAsia="宋体" w:cs="宋体"/>
          <w:sz w:val="28"/>
          <w:szCs w:val="28"/>
          <w:highlight w:val="none"/>
          <w:lang w:val="en-US" w:eastAsia="zh-CN"/>
        </w:rPr>
        <w:t>m</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上进行的</w:t>
      </w:r>
      <w:r>
        <w:rPr>
          <w:rFonts w:hint="eastAsia" w:ascii="宋体" w:hAnsi="宋体" w:eastAsia="宋体" w:cs="宋体"/>
          <w:sz w:val="28"/>
          <w:szCs w:val="28"/>
          <w:highlight w:val="none"/>
          <w:lang w:val="en-US" w:eastAsia="zh-CN"/>
        </w:rPr>
        <w:t>各种</w:t>
      </w:r>
      <w:r>
        <w:rPr>
          <w:rFonts w:hint="eastAsia" w:ascii="宋体" w:hAnsi="宋体" w:eastAsia="宋体" w:cs="宋体"/>
          <w:sz w:val="28"/>
          <w:szCs w:val="28"/>
          <w:highlight w:val="none"/>
        </w:rPr>
        <w:t>型式试验证书</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lang w:val="en-US" w:eastAsia="zh-CN"/>
        </w:rPr>
        <w:t>投标人应在投标文件中提交由投标人法人代表签署的承诺函，</w:t>
      </w:r>
      <w:r>
        <w:rPr>
          <w:rFonts w:hint="eastAsia" w:ascii="宋体" w:hAnsi="宋体" w:eastAsia="宋体" w:cs="宋体"/>
          <w:sz w:val="28"/>
          <w:szCs w:val="28"/>
          <w:highlight w:val="none"/>
          <w:lang w:val="en-US" w:eastAsia="zh-CN"/>
        </w:rPr>
        <w:t>承诺供货时提供覆盖招标文件全系列的铝合金槽式桥架型式试验报告。</w:t>
      </w:r>
      <w:r>
        <w:rPr>
          <w:rFonts w:hint="eastAsia" w:ascii="宋体" w:hAnsi="宋体" w:eastAsia="宋体" w:cs="宋体"/>
          <w:sz w:val="28"/>
          <w:szCs w:val="28"/>
          <w:highlight w:val="none"/>
        </w:rPr>
        <w:t>试验项目应包括但不限于以下项目：</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允许荷载试验</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人工气候试验</w:t>
      </w:r>
      <w:r>
        <w:rPr>
          <w:rFonts w:hint="eastAsia" w:ascii="宋体" w:hAnsi="宋体" w:eastAsia="宋体" w:cs="宋体"/>
          <w:color w:val="auto"/>
          <w:sz w:val="28"/>
          <w:szCs w:val="28"/>
          <w:highlight w:val="none"/>
          <w:lang w:val="en-US" w:eastAsia="zh-CN"/>
        </w:rPr>
        <w:t>-交变湿热试验</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防腐层性能试验（包括厚度、附着力、均匀性）</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保护电路连续性试验</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外观和尺寸精度检查</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盐雾试验</w:t>
      </w:r>
    </w:p>
    <w:p>
      <w:pPr>
        <w:keepNext w:val="0"/>
        <w:keepLines w:val="0"/>
        <w:pageBreakBefore w:val="0"/>
        <w:widowControl w:val="0"/>
        <w:numPr>
          <w:ilvl w:val="2"/>
          <w:numId w:val="36"/>
        </w:numPr>
        <w:kinsoku/>
        <w:wordWrap/>
        <w:overflowPunct/>
        <w:topLinePunct w:val="0"/>
        <w:autoSpaceDE/>
        <w:autoSpaceDN/>
        <w:bidi w:val="0"/>
        <w:adjustRightInd/>
        <w:snapToGrid/>
        <w:spacing w:line="560" w:lineRule="exact"/>
        <w:ind w:left="709" w:leftChars="0" w:hanging="709"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撞击试验</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ascii="Calibri" w:hAnsi="Calibri" w:eastAsia="宋体" w:cs="Times New Roman"/>
          <w:b w:val="0"/>
          <w:kern w:val="44"/>
          <w:sz w:val="24"/>
          <w:szCs w:val="24"/>
          <w:highlight w:val="none"/>
          <w:u w:val="none"/>
          <w:lang w:val="en-US" w:eastAsia="zh-CN"/>
        </w:rPr>
      </w:pPr>
      <w:r>
        <w:rPr>
          <w:rFonts w:hint="eastAsia"/>
          <w:sz w:val="28"/>
          <w:szCs w:val="28"/>
          <w:highlight w:val="none"/>
        </w:rPr>
        <w:t>例行试验</w:t>
      </w:r>
      <w:r>
        <w:rPr>
          <w:rFonts w:hint="eastAsia" w:ascii="Calibri" w:hAnsi="Calibri" w:eastAsia="宋体" w:cs="Times New Roman"/>
          <w:b w:val="0"/>
          <w:kern w:val="44"/>
          <w:sz w:val="24"/>
          <w:szCs w:val="24"/>
          <w:highlight w:val="none"/>
          <w:u w:val="none"/>
          <w:lang w:val="en-US" w:eastAsia="zh-CN"/>
        </w:rPr>
        <w:t xml:space="preserve"> </w:t>
      </w:r>
    </w:p>
    <w:p>
      <w:pPr>
        <w:keepNext w:val="0"/>
        <w:keepLines w:val="0"/>
        <w:pageBreakBefore w:val="0"/>
        <w:widowControl w:val="0"/>
        <w:numPr>
          <w:ilvl w:val="2"/>
          <w:numId w:val="37"/>
        </w:numPr>
        <w:kinsoku/>
        <w:wordWrap/>
        <w:overflowPunct/>
        <w:topLinePunct w:val="0"/>
        <w:autoSpaceDE/>
        <w:autoSpaceDN/>
        <w:bidi w:val="0"/>
        <w:adjustRightInd/>
        <w:snapToGrid/>
        <w:spacing w:line="560" w:lineRule="exact"/>
        <w:ind w:left="709" w:leftChars="0" w:hanging="709" w:firstLineChars="0"/>
        <w:textAlignment w:val="auto"/>
        <w:rPr>
          <w:rFonts w:hint="eastAsia"/>
          <w:highlight w:val="none"/>
          <w:lang w:val="en-US" w:eastAsia="zh-CN"/>
        </w:rPr>
      </w:pPr>
      <w:r>
        <w:rPr>
          <w:rFonts w:hint="eastAsia"/>
          <w:sz w:val="28"/>
          <w:szCs w:val="28"/>
          <w:highlight w:val="none"/>
          <w:lang w:val="en-US" w:eastAsia="zh-CN"/>
        </w:rPr>
        <w:t>符合性检查 ，核对产品与技术规定和数据单的符合性。</w:t>
      </w:r>
    </w:p>
    <w:p>
      <w:pPr>
        <w:keepNext w:val="0"/>
        <w:keepLines w:val="0"/>
        <w:pageBreakBefore w:val="0"/>
        <w:widowControl w:val="0"/>
        <w:numPr>
          <w:ilvl w:val="2"/>
          <w:numId w:val="3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sz w:val="28"/>
          <w:szCs w:val="28"/>
          <w:highlight w:val="none"/>
          <w:lang w:val="en-US" w:eastAsia="zh-CN"/>
        </w:rPr>
        <w:t>所有电缆桥架及其附件均应在工厂内进行例行试验，例行试验根据国</w:t>
      </w:r>
      <w:r>
        <w:rPr>
          <w:rFonts w:hint="eastAsia" w:ascii="宋体" w:hAnsi="宋体" w:cs="宋体"/>
          <w:sz w:val="28"/>
          <w:szCs w:val="28"/>
          <w:highlight w:val="none"/>
        </w:rPr>
        <w:t>家有关规范进行，并应有合格的例行试验合格证书供买方审阅。</w:t>
      </w:r>
    </w:p>
    <w:p>
      <w:pPr>
        <w:keepNext w:val="0"/>
        <w:keepLines w:val="0"/>
        <w:pageBreakBefore w:val="0"/>
        <w:widowControl w:val="0"/>
        <w:numPr>
          <w:ilvl w:val="0"/>
          <w:numId w:val="38"/>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cs="宋体"/>
          <w:sz w:val="28"/>
          <w:szCs w:val="28"/>
          <w:highlight w:val="none"/>
        </w:rPr>
      </w:pPr>
      <w:r>
        <w:rPr>
          <w:rFonts w:hint="eastAsia" w:ascii="宋体" w:hAnsi="宋体" w:cs="宋体"/>
          <w:sz w:val="28"/>
          <w:szCs w:val="28"/>
          <w:highlight w:val="none"/>
        </w:rPr>
        <w:t>外观质量（全检）</w:t>
      </w:r>
      <w:r>
        <w:rPr>
          <w:rFonts w:hint="eastAsia" w:ascii="宋体" w:hAnsi="宋体" w:cs="宋体"/>
          <w:sz w:val="28"/>
          <w:szCs w:val="28"/>
          <w:highlight w:val="none"/>
          <w:lang w:eastAsia="zh-CN"/>
        </w:rPr>
        <w:t>。</w:t>
      </w:r>
    </w:p>
    <w:p>
      <w:pPr>
        <w:keepNext w:val="0"/>
        <w:keepLines w:val="0"/>
        <w:pageBreakBefore w:val="0"/>
        <w:widowControl w:val="0"/>
        <w:numPr>
          <w:ilvl w:val="0"/>
          <w:numId w:val="38"/>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cs="宋体"/>
          <w:sz w:val="28"/>
          <w:szCs w:val="28"/>
          <w:highlight w:val="none"/>
        </w:rPr>
      </w:pPr>
      <w:r>
        <w:rPr>
          <w:rFonts w:hint="eastAsia" w:ascii="宋体" w:hAnsi="宋体" w:cs="宋体"/>
          <w:sz w:val="28"/>
          <w:szCs w:val="28"/>
          <w:highlight w:val="none"/>
        </w:rPr>
        <w:t>尺寸精度（抽检）</w:t>
      </w:r>
      <w:r>
        <w:rPr>
          <w:rFonts w:hint="eastAsia" w:ascii="宋体" w:hAnsi="宋体" w:cs="宋体"/>
          <w:sz w:val="28"/>
          <w:szCs w:val="28"/>
          <w:highlight w:val="none"/>
          <w:lang w:eastAsia="zh-CN"/>
        </w:rPr>
        <w:t>。</w:t>
      </w:r>
    </w:p>
    <w:p>
      <w:pPr>
        <w:keepNext w:val="0"/>
        <w:keepLines w:val="0"/>
        <w:pageBreakBefore w:val="0"/>
        <w:widowControl w:val="0"/>
        <w:numPr>
          <w:ilvl w:val="0"/>
          <w:numId w:val="38"/>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cs="宋体"/>
          <w:sz w:val="28"/>
          <w:szCs w:val="28"/>
          <w:highlight w:val="none"/>
        </w:rPr>
      </w:pPr>
      <w:r>
        <w:rPr>
          <w:rFonts w:hint="eastAsia" w:ascii="宋体" w:hAnsi="宋体" w:cs="宋体"/>
          <w:sz w:val="28"/>
          <w:szCs w:val="28"/>
          <w:highlight w:val="none"/>
        </w:rPr>
        <w:t>焊接表面质量（全检）</w:t>
      </w:r>
      <w:r>
        <w:rPr>
          <w:rFonts w:hint="eastAsia" w:ascii="宋体" w:hAnsi="宋体" w:cs="宋体"/>
          <w:sz w:val="28"/>
          <w:szCs w:val="28"/>
          <w:highlight w:val="none"/>
          <w:lang w:eastAsia="zh-CN"/>
        </w:rPr>
        <w:t>。</w:t>
      </w:r>
    </w:p>
    <w:p>
      <w:pPr>
        <w:keepNext w:val="0"/>
        <w:keepLines w:val="0"/>
        <w:pageBreakBefore w:val="0"/>
        <w:widowControl w:val="0"/>
        <w:numPr>
          <w:ilvl w:val="0"/>
          <w:numId w:val="38"/>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cs="宋体"/>
          <w:sz w:val="28"/>
          <w:szCs w:val="28"/>
          <w:highlight w:val="none"/>
        </w:rPr>
      </w:pPr>
      <w:r>
        <w:rPr>
          <w:rFonts w:hint="eastAsia" w:ascii="宋体" w:hAnsi="宋体" w:cs="宋体"/>
          <w:sz w:val="28"/>
          <w:szCs w:val="28"/>
          <w:highlight w:val="none"/>
        </w:rPr>
        <w:t>表面阳极氧化膜厚度、涂层厚度及附着力（抽检）</w:t>
      </w:r>
      <w:r>
        <w:rPr>
          <w:rFonts w:hint="eastAsia" w:ascii="宋体" w:hAnsi="宋体" w:cs="宋体"/>
          <w:sz w:val="28"/>
          <w:szCs w:val="28"/>
          <w:highlight w:val="none"/>
          <w:lang w:eastAsia="zh-CN"/>
        </w:rPr>
        <w:t>。</w:t>
      </w:r>
    </w:p>
    <w:p>
      <w:pPr>
        <w:keepNext w:val="0"/>
        <w:keepLines w:val="0"/>
        <w:pageBreakBefore w:val="0"/>
        <w:widowControl w:val="0"/>
        <w:numPr>
          <w:ilvl w:val="0"/>
          <w:numId w:val="38"/>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cs="宋体"/>
          <w:sz w:val="28"/>
          <w:szCs w:val="28"/>
          <w:highlight w:val="none"/>
        </w:rPr>
      </w:pPr>
      <w:r>
        <w:rPr>
          <w:rFonts w:hint="eastAsia" w:ascii="宋体" w:hAnsi="宋体" w:cs="宋体"/>
          <w:sz w:val="28"/>
          <w:szCs w:val="28"/>
          <w:highlight w:val="none"/>
        </w:rPr>
        <w:t>热浸锌层均匀性（抽检）。</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ascii="宋体" w:hAnsi="宋体" w:cs="宋体"/>
          <w:sz w:val="28"/>
          <w:szCs w:val="28"/>
          <w:highlight w:val="none"/>
        </w:rPr>
      </w:pPr>
      <w:r>
        <w:rPr>
          <w:rFonts w:hint="eastAsia" w:ascii="宋体" w:hAnsi="宋体" w:cs="宋体"/>
          <w:sz w:val="28"/>
          <w:szCs w:val="28"/>
          <w:highlight w:val="none"/>
        </w:rPr>
        <w:t>抽样试验</w:t>
      </w:r>
    </w:p>
    <w:p>
      <w:pPr>
        <w:keepNext w:val="0"/>
        <w:keepLines w:val="0"/>
        <w:pageBreakBefore w:val="0"/>
        <w:widowControl w:val="0"/>
        <w:numPr>
          <w:ilvl w:val="2"/>
          <w:numId w:val="3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买方将在产品中随机抽样，进行检验，并进行材料成分分析。抽样检验1次。买方有权利委托第三方检验，如果发现与技术协议中的材质要求不符合或不符合相应的国家或行业标准，买方有权利进行退货处理或者中止合同且委托检验费用由卖方负责。</w:t>
      </w:r>
    </w:p>
    <w:p>
      <w:pPr>
        <w:keepNext w:val="0"/>
        <w:keepLines w:val="0"/>
        <w:pageBreakBefore w:val="0"/>
        <w:widowControl w:val="0"/>
        <w:numPr>
          <w:ilvl w:val="2"/>
          <w:numId w:val="3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样本应为随机抽样，抽检数量待定，但不宜少于3件，允许荷载试验仅取1件。</w:t>
      </w:r>
    </w:p>
    <w:p>
      <w:pPr>
        <w:keepNext w:val="0"/>
        <w:keepLines w:val="0"/>
        <w:pageBreakBefore w:val="0"/>
        <w:widowControl w:val="0"/>
        <w:numPr>
          <w:ilvl w:val="2"/>
          <w:numId w:val="3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批产品样本中有1件不合格，可抽取同批产品第二样本进行检验，如仍不合格，则该批产品即为不合格。</w:t>
      </w:r>
    </w:p>
    <w:p>
      <w:pPr>
        <w:keepNext w:val="0"/>
        <w:keepLines w:val="0"/>
        <w:pageBreakBefore w:val="0"/>
        <w:widowControl w:val="0"/>
        <w:numPr>
          <w:ilvl w:val="2"/>
          <w:numId w:val="3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防腐层质量，可允许直接对产品或同一材料相同工艺制作的样本进行检验。</w:t>
      </w:r>
    </w:p>
    <w:p>
      <w:pPr>
        <w:keepNext w:val="0"/>
        <w:keepLines w:val="0"/>
        <w:pageBreakBefore w:val="0"/>
        <w:widowControl w:val="0"/>
        <w:numPr>
          <w:ilvl w:val="2"/>
          <w:numId w:val="3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lang w:val="en-US" w:eastAsia="zh-CN"/>
        </w:rPr>
        <w:t>投标人中标后在签技术协议前按照招标文件技术要求提供以下规格的样品备案（单位mm）：</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1120" w:firstLineChars="400"/>
        <w:textAlignment w:val="auto"/>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铝合金槽式直通桥架直通+盖板+抱箍(1个)：100×100×2  长：500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1120" w:firstLineChars="400"/>
        <w:textAlignment w:val="auto"/>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铝合金槽式直通桥架直通+盖板+抱箍(1个)：300×200×3  长：500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1120" w:firstLineChars="400"/>
        <w:textAlignment w:val="auto"/>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铝合金槽式直通桥架直通+盖板+隔板：400×300×3  长：500</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sz w:val="28"/>
          <w:szCs w:val="28"/>
          <w:highlight w:val="none"/>
        </w:rPr>
      </w:pPr>
      <w:r>
        <w:rPr>
          <w:rFonts w:hint="eastAsia"/>
          <w:sz w:val="28"/>
          <w:szCs w:val="28"/>
          <w:highlight w:val="none"/>
        </w:rPr>
        <w:t>赴工厂中间检查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sz w:val="28"/>
          <w:szCs w:val="28"/>
          <w:highlight w:val="none"/>
        </w:rPr>
      </w:pPr>
      <w:r>
        <w:rPr>
          <w:rFonts w:hint="eastAsia"/>
          <w:sz w:val="28"/>
          <w:szCs w:val="28"/>
          <w:highlight w:val="none"/>
        </w:rPr>
        <w:t>买方要求卖方接受买方代表到卖方工厂进行产品的中间检验。该检验一般为抽样试验和例行试验，抽样试验费用由卖方负担。卖方应在足够长的时间内通知买方参加试验。</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r>
        <w:rPr>
          <w:rFonts w:hint="eastAsia"/>
          <w:sz w:val="28"/>
          <w:szCs w:val="28"/>
          <w:highlight w:val="none"/>
        </w:rPr>
        <w:t>产品应有制造厂检查合格后方能出厂，每个出厂的包装件上应附有产品质量检验合格证。</w:t>
      </w:r>
    </w:p>
    <w:p>
      <w:pPr>
        <w:keepNext w:val="0"/>
        <w:keepLines w:val="0"/>
        <w:pageBreakBefore w:val="0"/>
        <w:widowControl w:val="0"/>
        <w:numPr>
          <w:ilvl w:val="0"/>
          <w:numId w:val="34"/>
        </w:numPr>
        <w:kinsoku/>
        <w:wordWrap/>
        <w:overflowPunct/>
        <w:topLinePunct w:val="0"/>
        <w:autoSpaceDE/>
        <w:autoSpaceDN/>
        <w:bidi w:val="0"/>
        <w:adjustRightInd/>
        <w:snapToGrid/>
        <w:spacing w:line="560" w:lineRule="exact"/>
        <w:ind w:left="0" w:firstLine="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报告、货物到达现场验收（如适用）产品到达现场后，在规定期限内验收检查，并应符合下列要求：</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(1)包装及密封良好。</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(2)开箱检查型号、规格符合设计。</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(3)产品的技术文件齐全。</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(4)按本规范要求外观检查合格。</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(5)除非另行商定，开箱检验应在货物到达1个月内进行。具体日期双方商议确定。</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(6)开箱检验由买方，设备监理，卖方，施工单位共同参加，并由施工单位记录，最后各方在开箱报告上签字确认。</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Calibri" w:hAnsi="Calibri" w:eastAsia="宋体" w:cs="Times New Roman"/>
          <w:b w:val="0"/>
          <w:kern w:val="44"/>
          <w:szCs w:val="24"/>
          <w:highlight w:val="none"/>
          <w:u w:val="none"/>
          <w:lang w:val="en-US" w:eastAsia="zh-CN"/>
        </w:rPr>
      </w:pPr>
      <w:r>
        <w:rPr>
          <w:rFonts w:hint="eastAsia" w:ascii="宋体" w:hAnsi="宋体" w:eastAsia="宋体" w:cs="宋体"/>
          <w:sz w:val="28"/>
          <w:szCs w:val="28"/>
          <w:highlight w:val="none"/>
          <w:lang w:val="en-US" w:eastAsia="zh-CN"/>
        </w:rPr>
        <w:t>(7)若开箱检验中发现有型号和备件与“技术文件”和“供货范围”不符，卖方应更换或补齐。</w:t>
      </w:r>
    </w:p>
    <w:bookmarkEnd w:id="166"/>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eastAsia" w:ascii="黑体" w:hAnsi="黑体" w:eastAsia="黑体" w:cs="黑体"/>
          <w:highlight w:val="none"/>
          <w:lang w:val="en-US" w:eastAsia="zh-CN"/>
        </w:rPr>
      </w:pPr>
      <w:bookmarkStart w:id="168" w:name="_Toc4392"/>
      <w:bookmarkStart w:id="169" w:name="_Toc1353"/>
      <w:bookmarkStart w:id="170" w:name="_Toc19427"/>
      <w:r>
        <w:rPr>
          <w:rFonts w:hint="eastAsia" w:ascii="黑体" w:hAnsi="黑体" w:eastAsia="黑体" w:cs="黑体"/>
          <w:highlight w:val="none"/>
          <w:lang w:val="en-US" w:eastAsia="zh-CN"/>
        </w:rPr>
        <w:t>防腐及铭牌标识</w:t>
      </w:r>
      <w:bookmarkEnd w:id="168"/>
      <w:bookmarkEnd w:id="169"/>
      <w:bookmarkEnd w:id="170"/>
    </w:p>
    <w:p>
      <w:pPr>
        <w:keepNext w:val="0"/>
        <w:keepLines w:val="0"/>
        <w:pageBreakBefore w:val="0"/>
        <w:widowControl w:val="0"/>
        <w:numPr>
          <w:ilvl w:val="0"/>
          <w:numId w:val="40"/>
        </w:numPr>
        <w:kinsoku/>
        <w:wordWrap/>
        <w:overflowPunct/>
        <w:topLinePunct w:val="0"/>
        <w:autoSpaceDE/>
        <w:autoSpaceDN/>
        <w:bidi w:val="0"/>
        <w:adjustRightInd/>
        <w:snapToGrid/>
        <w:spacing w:line="560" w:lineRule="exact"/>
        <w:ind w:left="0" w:firstLine="0"/>
        <w:textAlignment w:val="auto"/>
        <w:rPr>
          <w:rFonts w:hint="default"/>
          <w:sz w:val="28"/>
          <w:szCs w:val="28"/>
          <w:highlight w:val="none"/>
          <w:lang w:val="en-US" w:eastAsia="zh-CN"/>
        </w:rPr>
      </w:pPr>
      <w:bookmarkStart w:id="171" w:name="_Toc11545"/>
      <w:r>
        <w:rPr>
          <w:rFonts w:hint="eastAsia"/>
          <w:sz w:val="28"/>
          <w:szCs w:val="28"/>
          <w:highlight w:val="none"/>
          <w:lang w:val="en-US" w:eastAsia="zh-CN"/>
        </w:rPr>
        <w:t>防腐</w:t>
      </w:r>
      <w:bookmarkEnd w:id="171"/>
    </w:p>
    <w:p>
      <w:pPr>
        <w:pStyle w:val="193"/>
        <w:keepNext/>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textAlignment w:val="auto"/>
        <w:rPr>
          <w:rFonts w:hint="default" w:ascii="Calibri" w:hAnsi="Calibri" w:eastAsia="宋体" w:cs="Times New Roman"/>
          <w:sz w:val="24"/>
          <w:szCs w:val="24"/>
          <w:highlight w:val="none"/>
          <w:lang w:val="en-US" w:eastAsia="zh-CN"/>
        </w:rPr>
      </w:pPr>
      <w:r>
        <w:rPr>
          <w:rFonts w:hint="default" w:ascii="Calibri" w:hAnsi="Calibri" w:eastAsia="宋体" w:cs="Times New Roman"/>
          <w:sz w:val="28"/>
          <w:szCs w:val="28"/>
          <w:highlight w:val="none"/>
          <w:lang w:val="en-US" w:eastAsia="zh-CN"/>
        </w:rPr>
        <w:t>所有金属部分应根据制造厂的防腐标准和指定的环境条件进行防腐处理。</w:t>
      </w:r>
    </w:p>
    <w:p>
      <w:pPr>
        <w:keepNext w:val="0"/>
        <w:keepLines w:val="0"/>
        <w:pageBreakBefore w:val="0"/>
        <w:widowControl w:val="0"/>
        <w:numPr>
          <w:ilvl w:val="0"/>
          <w:numId w:val="40"/>
        </w:numPr>
        <w:kinsoku/>
        <w:wordWrap/>
        <w:overflowPunct/>
        <w:topLinePunct w:val="0"/>
        <w:autoSpaceDE/>
        <w:autoSpaceDN/>
        <w:bidi w:val="0"/>
        <w:adjustRightInd/>
        <w:snapToGrid/>
        <w:spacing w:line="560" w:lineRule="exact"/>
        <w:ind w:left="0" w:firstLine="0"/>
        <w:textAlignment w:val="auto"/>
        <w:rPr>
          <w:rFonts w:hint="default"/>
          <w:sz w:val="28"/>
          <w:szCs w:val="28"/>
          <w:highlight w:val="none"/>
          <w:lang w:val="en-US" w:eastAsia="zh-CN"/>
        </w:rPr>
      </w:pPr>
      <w:bookmarkStart w:id="172" w:name="_Toc29830"/>
      <w:bookmarkStart w:id="173" w:name="_Toc25003"/>
      <w:r>
        <w:rPr>
          <w:rFonts w:hint="default"/>
          <w:sz w:val="28"/>
          <w:szCs w:val="28"/>
          <w:highlight w:val="none"/>
          <w:lang w:val="en-US" w:eastAsia="zh-CN"/>
        </w:rPr>
        <w:t>铭牌标识</w:t>
      </w:r>
      <w:bookmarkEnd w:id="172"/>
      <w:bookmarkEnd w:id="173"/>
    </w:p>
    <w:p>
      <w:pPr>
        <w:keepNext w:val="0"/>
        <w:keepLines w:val="0"/>
        <w:pageBreakBefore w:val="0"/>
        <w:widowControl w:val="0"/>
        <w:numPr>
          <w:ilvl w:val="0"/>
          <w:numId w:val="41"/>
        </w:numPr>
        <w:kinsoku/>
        <w:wordWrap/>
        <w:overflowPunct/>
        <w:topLinePunct w:val="0"/>
        <w:autoSpaceDE/>
        <w:autoSpaceDN/>
        <w:bidi w:val="0"/>
        <w:adjustRightInd/>
        <w:snapToGrid/>
        <w:spacing w:line="560" w:lineRule="exact"/>
        <w:textAlignment w:val="auto"/>
        <w:rPr>
          <w:rFonts w:hint="default"/>
          <w:highlight w:val="none"/>
          <w:lang w:val="en-US" w:eastAsia="zh-CN"/>
        </w:rPr>
      </w:pPr>
      <w:r>
        <w:rPr>
          <w:rFonts w:hint="default"/>
          <w:sz w:val="28"/>
          <w:szCs w:val="28"/>
          <w:highlight w:val="none"/>
          <w:lang w:val="en-US" w:eastAsia="zh-CN"/>
        </w:rPr>
        <w:t>铭牌和标牌应根据制造厂标准进行标记，并应满足</w:t>
      </w:r>
      <w:r>
        <w:rPr>
          <w:rFonts w:hint="eastAsia"/>
          <w:sz w:val="28"/>
          <w:szCs w:val="28"/>
          <w:highlight w:val="none"/>
          <w:lang w:val="en-US" w:eastAsia="zh-CN"/>
        </w:rPr>
        <w:t>招标人</w:t>
      </w:r>
      <w:r>
        <w:rPr>
          <w:rFonts w:hint="default"/>
          <w:sz w:val="28"/>
          <w:szCs w:val="28"/>
          <w:highlight w:val="none"/>
          <w:lang w:val="en-US" w:eastAsia="zh-CN"/>
        </w:rPr>
        <w:t>的要求。</w:t>
      </w:r>
    </w:p>
    <w:p>
      <w:pPr>
        <w:keepNext w:val="0"/>
        <w:keepLines w:val="0"/>
        <w:pageBreakBefore w:val="0"/>
        <w:widowControl w:val="0"/>
        <w:numPr>
          <w:ilvl w:val="0"/>
          <w:numId w:val="41"/>
        </w:numPr>
        <w:kinsoku/>
        <w:wordWrap/>
        <w:overflowPunct/>
        <w:topLinePunct w:val="0"/>
        <w:autoSpaceDE/>
        <w:autoSpaceDN/>
        <w:bidi w:val="0"/>
        <w:adjustRightInd/>
        <w:snapToGrid/>
        <w:spacing w:line="560" w:lineRule="exact"/>
        <w:textAlignment w:val="auto"/>
        <w:rPr>
          <w:rFonts w:hint="default"/>
          <w:sz w:val="28"/>
          <w:szCs w:val="28"/>
          <w:highlight w:val="none"/>
          <w:lang w:val="en-US" w:eastAsia="zh-CN"/>
        </w:rPr>
      </w:pPr>
      <w:r>
        <w:rPr>
          <w:rFonts w:hint="default"/>
          <w:sz w:val="28"/>
          <w:szCs w:val="28"/>
          <w:highlight w:val="none"/>
          <w:lang w:val="en-US" w:eastAsia="zh-CN"/>
        </w:rPr>
        <w:t>铭牌应该固定在</w:t>
      </w:r>
      <w:r>
        <w:rPr>
          <w:rFonts w:hint="eastAsia"/>
          <w:sz w:val="28"/>
          <w:szCs w:val="28"/>
          <w:highlight w:val="none"/>
          <w:lang w:val="en-US" w:eastAsia="zh-CN"/>
        </w:rPr>
        <w:t>设备</w:t>
      </w:r>
      <w:r>
        <w:rPr>
          <w:rFonts w:hint="default"/>
          <w:sz w:val="28"/>
          <w:szCs w:val="28"/>
          <w:highlight w:val="none"/>
          <w:lang w:val="en-US" w:eastAsia="zh-CN"/>
        </w:rPr>
        <w:t>的表面或醒目的地方，铭牌</w:t>
      </w:r>
      <w:r>
        <w:rPr>
          <w:rFonts w:hint="eastAsia"/>
          <w:sz w:val="28"/>
          <w:szCs w:val="28"/>
          <w:highlight w:val="none"/>
          <w:lang w:val="en-US" w:eastAsia="zh-CN"/>
        </w:rPr>
        <w:t>为不锈钢</w:t>
      </w:r>
      <w:r>
        <w:rPr>
          <w:rFonts w:hint="default"/>
          <w:sz w:val="28"/>
          <w:szCs w:val="28"/>
          <w:highlight w:val="none"/>
          <w:lang w:val="en-US" w:eastAsia="zh-CN"/>
        </w:rPr>
        <w:t>制成、铭牌为</w:t>
      </w:r>
      <w:r>
        <w:rPr>
          <w:rFonts w:hint="eastAsia"/>
          <w:sz w:val="28"/>
          <w:szCs w:val="28"/>
          <w:highlight w:val="none"/>
          <w:lang w:val="en-US" w:eastAsia="zh-CN"/>
        </w:rPr>
        <w:t>原底或</w:t>
      </w:r>
      <w:r>
        <w:rPr>
          <w:rFonts w:hint="default"/>
          <w:sz w:val="28"/>
          <w:szCs w:val="28"/>
          <w:highlight w:val="none"/>
          <w:lang w:val="en-US" w:eastAsia="zh-CN"/>
        </w:rPr>
        <w:t>白底，其上为黑色的粗体字，并用中文标注。</w:t>
      </w:r>
    </w:p>
    <w:p>
      <w:pPr>
        <w:keepNext w:val="0"/>
        <w:keepLines w:val="0"/>
        <w:pageBreakBefore w:val="0"/>
        <w:widowControl w:val="0"/>
        <w:numPr>
          <w:ilvl w:val="0"/>
          <w:numId w:val="41"/>
        </w:numPr>
        <w:kinsoku/>
        <w:wordWrap/>
        <w:overflowPunct/>
        <w:topLinePunct w:val="0"/>
        <w:autoSpaceDE/>
        <w:autoSpaceDN/>
        <w:bidi w:val="0"/>
        <w:adjustRightInd/>
        <w:snapToGrid/>
        <w:spacing w:line="560" w:lineRule="exact"/>
        <w:textAlignment w:val="auto"/>
        <w:rPr>
          <w:rFonts w:hint="default" w:ascii="Calibri" w:hAnsi="Calibri" w:eastAsia="宋体" w:cs="Times New Roman"/>
          <w:sz w:val="24"/>
          <w:szCs w:val="24"/>
          <w:highlight w:val="none"/>
          <w:lang w:val="en-US" w:eastAsia="zh-CN"/>
        </w:rPr>
      </w:pPr>
      <w:r>
        <w:rPr>
          <w:rFonts w:hint="eastAsia"/>
          <w:sz w:val="28"/>
          <w:szCs w:val="28"/>
          <w:highlight w:val="none"/>
          <w:lang w:val="en-US" w:eastAsia="zh-CN"/>
        </w:rPr>
        <w:t>货物</w:t>
      </w:r>
      <w:r>
        <w:rPr>
          <w:rFonts w:hint="eastAsia" w:cstheme="minorBidi"/>
          <w:kern w:val="2"/>
          <w:sz w:val="28"/>
          <w:szCs w:val="28"/>
          <w:highlight w:val="none"/>
          <w:lang w:val="en-US" w:eastAsia="zh-CN" w:bidi="ar-SA"/>
        </w:rPr>
        <w:t>标识</w:t>
      </w:r>
      <w:r>
        <w:rPr>
          <w:rFonts w:hint="default" w:asciiTheme="minorHAnsi" w:hAnsiTheme="minorHAnsi" w:eastAsiaTheme="minorEastAsia" w:cstheme="minorBidi"/>
          <w:kern w:val="2"/>
          <w:sz w:val="28"/>
          <w:szCs w:val="28"/>
          <w:highlight w:val="none"/>
          <w:lang w:val="en-US" w:eastAsia="zh-CN" w:bidi="ar-SA"/>
        </w:rPr>
        <w:t>包括以下内容，但不仅限于以下内容：</w:t>
      </w:r>
    </w:p>
    <w:p>
      <w:pPr>
        <w:keepNext w:val="0"/>
        <w:keepLines w:val="0"/>
        <w:pageBreakBefore w:val="0"/>
        <w:widowControl w:val="0"/>
        <w:numPr>
          <w:ilvl w:val="0"/>
          <w:numId w:val="42"/>
        </w:numPr>
        <w:kinsoku/>
        <w:wordWrap/>
        <w:overflowPunct/>
        <w:topLinePunct w:val="0"/>
        <w:autoSpaceDE/>
        <w:autoSpaceDN/>
        <w:bidi w:val="0"/>
        <w:adjustRightInd/>
        <w:snapToGrid/>
        <w:spacing w:line="560" w:lineRule="exact"/>
        <w:ind w:left="0" w:leftChars="0" w:firstLine="0" w:firstLineChars="0"/>
        <w:textAlignment w:val="auto"/>
        <w:rPr>
          <w:rFonts w:hint="default"/>
          <w:highlight w:val="none"/>
          <w:lang w:val="en-US" w:eastAsia="zh-CN"/>
        </w:rPr>
      </w:pPr>
      <w:r>
        <w:rPr>
          <w:rFonts w:hint="default"/>
          <w:sz w:val="28"/>
          <w:szCs w:val="28"/>
          <w:highlight w:val="none"/>
          <w:lang w:val="en-US" w:eastAsia="zh-CN"/>
        </w:rPr>
        <w:t>制造厂名称</w:t>
      </w:r>
    </w:p>
    <w:p>
      <w:pPr>
        <w:keepNext w:val="0"/>
        <w:keepLines w:val="0"/>
        <w:pageBreakBefore w:val="0"/>
        <w:widowControl w:val="0"/>
        <w:numPr>
          <w:ilvl w:val="0"/>
          <w:numId w:val="42"/>
        </w:numPr>
        <w:kinsoku/>
        <w:wordWrap/>
        <w:overflowPunct/>
        <w:topLinePunct w:val="0"/>
        <w:autoSpaceDE/>
        <w:autoSpaceDN/>
        <w:bidi w:val="0"/>
        <w:adjustRightInd/>
        <w:snapToGrid/>
        <w:spacing w:line="560" w:lineRule="exact"/>
        <w:ind w:left="0" w:leftChars="0" w:firstLine="0" w:firstLineChars="0"/>
        <w:textAlignment w:val="auto"/>
        <w:rPr>
          <w:rFonts w:hint="default"/>
          <w:sz w:val="28"/>
          <w:szCs w:val="28"/>
          <w:highlight w:val="none"/>
          <w:lang w:val="en-US" w:eastAsia="zh-CN"/>
        </w:rPr>
      </w:pPr>
      <w:r>
        <w:rPr>
          <w:rFonts w:hint="default"/>
          <w:sz w:val="28"/>
          <w:szCs w:val="28"/>
          <w:highlight w:val="none"/>
          <w:lang w:val="en-US" w:eastAsia="zh-CN"/>
        </w:rPr>
        <w:t>型号</w:t>
      </w:r>
    </w:p>
    <w:p>
      <w:pPr>
        <w:keepNext w:val="0"/>
        <w:keepLines w:val="0"/>
        <w:pageBreakBefore w:val="0"/>
        <w:widowControl w:val="0"/>
        <w:numPr>
          <w:ilvl w:val="0"/>
          <w:numId w:val="42"/>
        </w:numPr>
        <w:kinsoku/>
        <w:wordWrap/>
        <w:overflowPunct/>
        <w:topLinePunct w:val="0"/>
        <w:autoSpaceDE/>
        <w:autoSpaceDN/>
        <w:bidi w:val="0"/>
        <w:adjustRightInd/>
        <w:snapToGrid/>
        <w:spacing w:line="560" w:lineRule="exact"/>
        <w:ind w:left="0" w:leftChars="0" w:firstLine="0" w:firstLineChars="0"/>
        <w:textAlignment w:val="auto"/>
        <w:rPr>
          <w:rFonts w:hint="default"/>
          <w:sz w:val="28"/>
          <w:szCs w:val="28"/>
          <w:highlight w:val="none"/>
          <w:lang w:val="en-US" w:eastAsia="zh-CN"/>
        </w:rPr>
      </w:pPr>
      <w:r>
        <w:rPr>
          <w:rFonts w:hint="eastAsia"/>
          <w:sz w:val="28"/>
          <w:szCs w:val="28"/>
          <w:highlight w:val="none"/>
          <w:lang w:val="en-US" w:eastAsia="zh-CN"/>
        </w:rPr>
        <w:t>规格参数</w:t>
      </w:r>
    </w:p>
    <w:p>
      <w:pPr>
        <w:keepNext w:val="0"/>
        <w:keepLines w:val="0"/>
        <w:pageBreakBefore w:val="0"/>
        <w:widowControl w:val="0"/>
        <w:numPr>
          <w:ilvl w:val="0"/>
          <w:numId w:val="42"/>
        </w:numPr>
        <w:kinsoku/>
        <w:wordWrap/>
        <w:overflowPunct/>
        <w:topLinePunct w:val="0"/>
        <w:autoSpaceDE/>
        <w:autoSpaceDN/>
        <w:bidi w:val="0"/>
        <w:adjustRightInd/>
        <w:snapToGrid/>
        <w:spacing w:line="560" w:lineRule="exact"/>
        <w:ind w:left="0" w:leftChars="0" w:firstLine="0" w:firstLineChars="0"/>
        <w:textAlignment w:val="auto"/>
        <w:rPr>
          <w:rFonts w:hint="default" w:ascii="Calibri" w:hAnsi="Calibri" w:eastAsia="宋体" w:cs="宋体"/>
          <w:sz w:val="24"/>
          <w:szCs w:val="24"/>
          <w:highlight w:val="none"/>
          <w:lang w:val="en-US" w:eastAsia="zh-CN"/>
        </w:rPr>
      </w:pPr>
      <w:r>
        <w:rPr>
          <w:rFonts w:hint="default"/>
          <w:sz w:val="28"/>
          <w:szCs w:val="28"/>
          <w:highlight w:val="none"/>
          <w:lang w:val="en-US" w:eastAsia="zh-CN"/>
        </w:rPr>
        <w:t>生产日期</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default"/>
          <w:highlight w:val="none"/>
          <w:lang w:val="en-US" w:eastAsia="zh-CN"/>
        </w:rPr>
      </w:pPr>
      <w:bookmarkStart w:id="174" w:name="_Toc1506"/>
      <w:bookmarkStart w:id="175" w:name="_Toc7437"/>
      <w:bookmarkStart w:id="176" w:name="_Toc15539"/>
      <w:r>
        <w:rPr>
          <w:rFonts w:hint="eastAsia" w:ascii="黑体" w:hAnsi="黑体" w:eastAsia="黑体" w:cs="黑体"/>
          <w:highlight w:val="none"/>
          <w:lang w:val="en-US" w:eastAsia="zh-CN"/>
        </w:rPr>
        <w:t>交付文件要求</w:t>
      </w:r>
      <w:bookmarkEnd w:id="174"/>
      <w:bookmarkEnd w:id="175"/>
      <w:bookmarkEnd w:id="176"/>
    </w:p>
    <w:bookmarkEnd w:id="123"/>
    <w:bookmarkEnd w:id="124"/>
    <w:bookmarkEnd w:id="125"/>
    <w:bookmarkEnd w:id="126"/>
    <w:bookmarkEnd w:id="127"/>
    <w:bookmarkEnd w:id="128"/>
    <w:bookmarkEnd w:id="129"/>
    <w:bookmarkEnd w:id="130"/>
    <w:p>
      <w:pPr>
        <w:keepNext w:val="0"/>
        <w:keepLines w:val="0"/>
        <w:pageBreakBefore w:val="0"/>
        <w:widowControl w:val="0"/>
        <w:numPr>
          <w:ilvl w:val="0"/>
          <w:numId w:val="43"/>
        </w:numPr>
        <w:kinsoku/>
        <w:wordWrap/>
        <w:overflowPunct/>
        <w:topLinePunct w:val="0"/>
        <w:autoSpaceDE/>
        <w:autoSpaceDN/>
        <w:bidi w:val="0"/>
        <w:adjustRightInd/>
        <w:snapToGrid/>
        <w:spacing w:line="560" w:lineRule="exact"/>
        <w:textAlignment w:val="auto"/>
        <w:rPr>
          <w:rFonts w:hint="eastAsia"/>
          <w:sz w:val="28"/>
          <w:szCs w:val="28"/>
          <w:highlight w:val="none"/>
          <w:lang w:val="en-US" w:eastAsia="zh-CN"/>
        </w:rPr>
      </w:pPr>
      <w:r>
        <w:rPr>
          <w:rFonts w:hint="eastAsia"/>
          <w:sz w:val="28"/>
          <w:szCs w:val="28"/>
          <w:highlight w:val="none"/>
          <w:lang w:val="en-US" w:eastAsia="zh-CN"/>
        </w:rPr>
        <w:t>投标技术文件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投标人的投标文件应至少包含以下信息：</w:t>
      </w:r>
    </w:p>
    <w:p>
      <w:pPr>
        <w:keepNext w:val="0"/>
        <w:keepLines w:val="0"/>
        <w:pageBreakBefore w:val="0"/>
        <w:widowControl w:val="0"/>
        <w:numPr>
          <w:ilvl w:val="0"/>
          <w:numId w:val="44"/>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投标人的技术偏离表；</w:t>
      </w:r>
    </w:p>
    <w:p>
      <w:pPr>
        <w:keepNext w:val="0"/>
        <w:keepLines w:val="0"/>
        <w:pageBreakBefore w:val="0"/>
        <w:widowControl w:val="0"/>
        <w:numPr>
          <w:ilvl w:val="0"/>
          <w:numId w:val="44"/>
        </w:numPr>
        <w:kinsoku/>
        <w:wordWrap/>
        <w:overflowPunct/>
        <w:topLinePunct w:val="0"/>
        <w:autoSpaceDE/>
        <w:autoSpaceDN/>
        <w:bidi w:val="0"/>
        <w:adjustRightInd/>
        <w:snapToGrid/>
        <w:spacing w:line="560" w:lineRule="exact"/>
        <w:ind w:left="425" w:leftChars="0" w:hanging="425"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产品资质证书；</w:t>
      </w:r>
    </w:p>
    <w:p>
      <w:pPr>
        <w:keepNext w:val="0"/>
        <w:keepLines w:val="0"/>
        <w:pageBreakBefore w:val="0"/>
        <w:widowControl w:val="0"/>
        <w:numPr>
          <w:ilvl w:val="0"/>
          <w:numId w:val="44"/>
        </w:numPr>
        <w:kinsoku/>
        <w:wordWrap/>
        <w:overflowPunct/>
        <w:topLinePunct w:val="0"/>
        <w:autoSpaceDE/>
        <w:autoSpaceDN/>
        <w:bidi w:val="0"/>
        <w:adjustRightInd/>
        <w:snapToGrid/>
        <w:spacing w:line="560" w:lineRule="exact"/>
        <w:ind w:left="425" w:leftChars="0" w:hanging="425" w:firstLineChars="0"/>
        <w:textAlignment w:val="auto"/>
        <w:rPr>
          <w:rFonts w:hint="eastAsia" w:ascii="Calibri" w:hAnsi="Calibri" w:eastAsia="宋体" w:cs="Times New Roman"/>
          <w:szCs w:val="24"/>
          <w:highlight w:val="none"/>
          <w:lang w:val="en-US" w:eastAsia="zh-CN"/>
        </w:rPr>
      </w:pPr>
      <w:r>
        <w:rPr>
          <w:rFonts w:hint="eastAsia" w:ascii="宋体" w:hAnsi="宋体" w:eastAsia="宋体" w:cs="宋体"/>
          <w:sz w:val="28"/>
          <w:szCs w:val="28"/>
          <w:highlight w:val="none"/>
          <w:lang w:val="en-US" w:eastAsia="zh-CN"/>
        </w:rPr>
        <w:t>同类产品近三年的国家级权威第三方检测机构出具的型式试验报告。</w:t>
      </w:r>
    </w:p>
    <w:p>
      <w:pPr>
        <w:keepNext w:val="0"/>
        <w:keepLines w:val="0"/>
        <w:pageBreakBefore w:val="0"/>
        <w:widowControl w:val="0"/>
        <w:numPr>
          <w:ilvl w:val="0"/>
          <w:numId w:val="43"/>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交付技术文件。</w:t>
      </w:r>
    </w:p>
    <w:p>
      <w:pPr>
        <w:keepNext w:val="0"/>
        <w:keepLines w:val="0"/>
        <w:pageBreakBefore w:val="0"/>
        <w:widowControl w:val="0"/>
        <w:numPr>
          <w:ilvl w:val="0"/>
          <w:numId w:val="43"/>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w:t>
      </w:r>
      <w:r>
        <w:rPr>
          <w:rFonts w:hint="eastAsia" w:ascii="宋体" w:hAnsi="宋体" w:eastAsia="宋体" w:cs="宋体"/>
          <w:sz w:val="28"/>
          <w:szCs w:val="28"/>
          <w:highlight w:val="none"/>
          <w:lang w:val="en-US" w:eastAsia="zh-CN"/>
        </w:rPr>
        <w:t>标方应向招标方及设计方提供以下资料（但不限于以下要求）：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(1)货物样本。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(2)安装说明书。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Calibri" w:hAnsi="Calibri" w:eastAsia="宋体" w:cs="Times New Roman"/>
          <w:szCs w:val="24"/>
          <w:highlight w:val="none"/>
          <w:lang w:val="en-US" w:eastAsia="zh-CN"/>
        </w:rPr>
      </w:pPr>
      <w:r>
        <w:rPr>
          <w:rFonts w:hint="eastAsia" w:ascii="宋体" w:hAnsi="宋体" w:eastAsia="宋体" w:cs="宋体"/>
          <w:sz w:val="28"/>
          <w:szCs w:val="28"/>
          <w:highlight w:val="none"/>
          <w:lang w:val="en-US" w:eastAsia="zh-CN"/>
        </w:rPr>
        <w:t>(3)其他体系或产品证书。</w:t>
      </w:r>
    </w:p>
    <w:p>
      <w:pPr>
        <w:keepNext w:val="0"/>
        <w:keepLines w:val="0"/>
        <w:pageBreakBefore w:val="0"/>
        <w:widowControl w:val="0"/>
        <w:numPr>
          <w:ilvl w:val="0"/>
          <w:numId w:val="43"/>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下列资料应随机提供：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ascii="宋体" w:hAnsi="宋体" w:eastAsia="宋体" w:cs="宋体"/>
          <w:sz w:val="28"/>
          <w:szCs w:val="28"/>
          <w:highlight w:val="none"/>
          <w:lang w:val="en-US" w:eastAsia="zh-CN"/>
        </w:rPr>
        <w:t>(1)经检验机构盖章的图纸扫描件/复印件，需加盖制造商鲜章。</w:t>
      </w:r>
      <w:r>
        <w:rPr>
          <w:rFonts w:hint="eastAsia"/>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highlight w:val="none"/>
          <w:lang w:val="en-US" w:eastAsia="zh-CN" w:bidi="ar-SA"/>
        </w:rPr>
        <w:t>(2)</w:t>
      </w:r>
      <w:r>
        <w:rPr>
          <w:rFonts w:hint="eastAsia" w:ascii="宋体" w:hAnsi="宋体" w:eastAsia="宋体" w:cs="宋体"/>
          <w:sz w:val="28"/>
          <w:szCs w:val="28"/>
          <w:highlight w:val="none"/>
          <w:lang w:val="en-US" w:eastAsia="zh-CN"/>
        </w:rPr>
        <w:t>产品出厂检验合格证书，包括主要部件的合格证书。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(3)产品出厂试验报告，包括主要部件的试验报告。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(4)使用说明书，包括主要部件所附带的说明书。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(5)装箱单一览表。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t>(6)所</w:t>
      </w:r>
      <w:r>
        <w:rPr>
          <w:rFonts w:hint="eastAsia" w:ascii="宋体" w:hAnsi="宋体" w:eastAsia="宋体" w:cs="宋体"/>
          <w:kern w:val="2"/>
          <w:sz w:val="28"/>
          <w:szCs w:val="28"/>
          <w:highlight w:val="none"/>
          <w:lang w:val="en-US" w:eastAsia="zh-CN" w:bidi="ar-SA"/>
        </w:rPr>
        <w:t>有文件应包括纸质版本及电子版本，其中图纸类还应包括可编辑的电子版本。</w:t>
      </w:r>
    </w:p>
    <w:p>
      <w:pPr>
        <w:keepNext w:val="0"/>
        <w:keepLines w:val="0"/>
        <w:pageBreakBefore w:val="0"/>
        <w:widowControl w:val="0"/>
        <w:numPr>
          <w:ilvl w:val="0"/>
          <w:numId w:val="43"/>
        </w:numPr>
        <w:kinsoku/>
        <w:wordWrap/>
        <w:overflowPunct/>
        <w:topLinePunct w:val="0"/>
        <w:autoSpaceDE/>
        <w:autoSpaceDN/>
        <w:bidi w:val="0"/>
        <w:adjustRightInd/>
        <w:snapToGrid/>
        <w:spacing w:line="560" w:lineRule="exact"/>
        <w:textAlignment w:val="auto"/>
        <w:rPr>
          <w:rFonts w:hint="eastAsia" w:ascii="Calibri" w:hAnsi="Calibri" w:eastAsia="宋体" w:cs="Times New Roman"/>
          <w:sz w:val="28"/>
          <w:szCs w:val="28"/>
          <w:highlight w:val="none"/>
          <w:lang w:val="en-US" w:eastAsia="zh-CN"/>
        </w:rPr>
      </w:pPr>
      <w:r>
        <w:rPr>
          <w:rFonts w:hint="eastAsia" w:ascii="Calibri" w:hAnsi="Calibri" w:eastAsia="宋体" w:cs="Times New Roman"/>
          <w:sz w:val="28"/>
          <w:szCs w:val="28"/>
          <w:highlight w:val="none"/>
          <w:lang w:val="en-US" w:eastAsia="zh-CN"/>
        </w:rPr>
        <w:t>按本项目要求提供的其他文件。</w:t>
      </w:r>
    </w:p>
    <w:p>
      <w:pPr>
        <w:keepNext w:val="0"/>
        <w:keepLines w:val="0"/>
        <w:pageBreakBefore w:val="0"/>
        <w:widowControl w:val="0"/>
        <w:numPr>
          <w:ilvl w:val="0"/>
          <w:numId w:val="43"/>
        </w:numPr>
        <w:kinsoku/>
        <w:wordWrap/>
        <w:overflowPunct/>
        <w:topLinePunct w:val="0"/>
        <w:autoSpaceDE/>
        <w:autoSpaceDN/>
        <w:bidi w:val="0"/>
        <w:adjustRightInd/>
        <w:snapToGrid/>
        <w:spacing w:line="560" w:lineRule="exact"/>
        <w:textAlignment w:val="auto"/>
        <w:rPr>
          <w:rFonts w:hint="default" w:ascii="Calibri" w:hAnsi="Calibri" w:eastAsia="宋体" w:cs="Times New Roman"/>
          <w:sz w:val="24"/>
          <w:szCs w:val="24"/>
          <w:highlight w:val="none"/>
          <w:lang w:val="en-US" w:eastAsia="zh-CN"/>
        </w:rPr>
      </w:pPr>
      <w:r>
        <w:rPr>
          <w:rFonts w:hint="eastAsia" w:ascii="Calibri" w:hAnsi="Calibri" w:eastAsia="宋体" w:cs="Times New Roman"/>
          <w:sz w:val="28"/>
          <w:szCs w:val="28"/>
          <w:highlight w:val="none"/>
          <w:lang w:val="en-US" w:eastAsia="zh-CN"/>
        </w:rPr>
        <w:t>需遵循中海壳牌惠州三期乙烯项目和聚碳项目对供应商交付的要求，详见附件</w:t>
      </w:r>
      <w:r>
        <w:rPr>
          <w:rFonts w:hint="eastAsia" w:ascii="Calibri" w:hAnsi="Calibri" w:eastAsia="宋体" w:cs="Times New Roman"/>
          <w:sz w:val="24"/>
          <w:szCs w:val="24"/>
          <w:highlight w:val="none"/>
          <w:lang w:val="en-US" w:eastAsia="zh-CN"/>
        </w:rPr>
        <w:t>。</w:t>
      </w: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default" w:ascii="宋体" w:hAnsi="宋体" w:eastAsia="宋体" w:cs="宋体"/>
          <w:b/>
          <w:bCs/>
          <w:kern w:val="44"/>
          <w:sz w:val="24"/>
          <w:szCs w:val="24"/>
          <w:highlight w:val="none"/>
          <w:u w:val="none"/>
          <w:lang w:val="en-US" w:eastAsia="zh-CN"/>
        </w:rPr>
      </w:pPr>
      <w:bookmarkStart w:id="177" w:name="_Toc7372"/>
      <w:r>
        <w:rPr>
          <w:rFonts w:hint="eastAsia" w:ascii="黑体" w:hAnsi="黑体" w:eastAsia="黑体" w:cs="黑体"/>
          <w:b/>
          <w:bCs/>
          <w:kern w:val="44"/>
          <w:sz w:val="32"/>
          <w:szCs w:val="32"/>
          <w:highlight w:val="none"/>
          <w:u w:val="none"/>
          <w:lang w:val="en-US" w:eastAsia="zh-CN"/>
        </w:rPr>
        <w:t>投标技术文件要求</w:t>
      </w:r>
      <w:bookmarkEnd w:id="177"/>
    </w:p>
    <w:p>
      <w:pPr>
        <w:spacing w:line="360" w:lineRule="auto"/>
        <w:ind w:right="0" w:rightChars="0" w:firstLine="560" w:firstLineChars="20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8"/>
          <w:szCs w:val="28"/>
          <w:highlight w:val="none"/>
          <w:lang w:val="en-US" w:eastAsia="zh-CN" w:bidi="ar-SA"/>
        </w:rPr>
        <w:t>投标技术文件必须对招标技术文件作出实质性响应，并按不少于如下目录进行编写。</w:t>
      </w:r>
    </w:p>
    <w:p>
      <w:pPr>
        <w:spacing w:line="360" w:lineRule="auto"/>
        <w:ind w:right="0" w:rightChars="0" w:firstLine="482" w:firstLineChars="200"/>
        <w:jc w:val="center"/>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目  录</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 xml:space="preserve"> 公司介绍</w:t>
      </w:r>
    </w:p>
    <w:p>
      <w:pPr>
        <w:keepLines w:val="0"/>
        <w:pageBreakBefore w:val="0"/>
        <w:widowControl w:val="0"/>
        <w:kinsoku/>
        <w:wordWrap/>
        <w:overflowPunct/>
        <w:topLinePunct w:val="0"/>
        <w:autoSpaceDE/>
        <w:autoSpaceDN/>
        <w:bidi w:val="0"/>
        <w:adjustRightInd/>
        <w:snapToGrid/>
        <w:spacing w:line="540" w:lineRule="exact"/>
        <w:ind w:right="0" w:rightChars="0"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default" w:ascii="宋体" w:hAnsi="宋体" w:eastAsia="宋体" w:cs="宋体"/>
          <w:color w:val="000000"/>
          <w:kern w:val="2"/>
          <w:sz w:val="24"/>
          <w:szCs w:val="24"/>
          <w:highlight w:val="none"/>
          <w:lang w:val="en-US" w:eastAsia="zh-CN" w:bidi="ar-SA"/>
        </w:rPr>
        <w:t>内容包括公司技术及生产能力、生产制造工艺</w:t>
      </w:r>
      <w:r>
        <w:rPr>
          <w:rFonts w:hint="eastAsia" w:ascii="宋体" w:hAnsi="宋体" w:eastAsia="宋体" w:cs="宋体"/>
          <w:color w:val="000000"/>
          <w:kern w:val="2"/>
          <w:sz w:val="24"/>
          <w:szCs w:val="24"/>
          <w:highlight w:val="none"/>
          <w:lang w:val="en-US" w:eastAsia="zh-CN" w:bidi="ar-SA"/>
        </w:rPr>
        <w:t>流程、</w:t>
      </w:r>
      <w:r>
        <w:rPr>
          <w:rFonts w:hint="default" w:ascii="宋体" w:hAnsi="宋体" w:eastAsia="宋体" w:cs="宋体"/>
          <w:color w:val="000000"/>
          <w:kern w:val="2"/>
          <w:sz w:val="24"/>
          <w:szCs w:val="24"/>
          <w:highlight w:val="none"/>
          <w:lang w:val="en-US" w:eastAsia="zh-CN" w:bidi="ar-SA"/>
        </w:rPr>
        <w:t>主要生产</w:t>
      </w:r>
      <w:r>
        <w:rPr>
          <w:rFonts w:hint="eastAsia" w:ascii="宋体" w:hAnsi="宋体" w:eastAsia="宋体" w:cs="宋体"/>
          <w:color w:val="000000"/>
          <w:kern w:val="2"/>
          <w:sz w:val="24"/>
          <w:szCs w:val="24"/>
          <w:highlight w:val="none"/>
          <w:lang w:val="en-US" w:eastAsia="zh-CN" w:bidi="ar-SA"/>
        </w:rPr>
        <w:t>机具</w:t>
      </w:r>
      <w:r>
        <w:rPr>
          <w:rFonts w:hint="default" w:ascii="宋体" w:hAnsi="宋体" w:eastAsia="宋体" w:cs="宋体"/>
          <w:color w:val="000000"/>
          <w:kern w:val="2"/>
          <w:sz w:val="24"/>
          <w:szCs w:val="24"/>
          <w:highlight w:val="none"/>
          <w:lang w:val="en-US" w:eastAsia="zh-CN" w:bidi="ar-SA"/>
        </w:rPr>
        <w:t>设备和检验设备、质量管理体系等</w:t>
      </w:r>
      <w:r>
        <w:rPr>
          <w:rFonts w:hint="eastAsia" w:ascii="宋体" w:hAnsi="宋体" w:eastAsia="宋体" w:cs="宋体"/>
          <w:color w:val="000000"/>
          <w:kern w:val="2"/>
          <w:sz w:val="24"/>
          <w:szCs w:val="24"/>
          <w:highlight w:val="none"/>
          <w:lang w:val="en-US" w:eastAsia="zh-CN" w:bidi="ar-SA"/>
        </w:rPr>
        <w:t>。</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产品性能介绍及说明</w:t>
      </w:r>
    </w:p>
    <w:p>
      <w:pPr>
        <w:keepNext w:val="0"/>
        <w:keepLines w:val="0"/>
        <w:pageBreakBefore w:val="0"/>
        <w:widowControl w:val="0"/>
        <w:numPr>
          <w:ilvl w:val="0"/>
          <w:numId w:val="46"/>
        </w:numPr>
        <w:kinsoku/>
        <w:wordWrap/>
        <w:overflowPunct/>
        <w:topLinePunct w:val="0"/>
        <w:autoSpaceDE/>
        <w:autoSpaceDN/>
        <w:bidi w:val="0"/>
        <w:adjustRightInd/>
        <w:snapToGrid/>
        <w:spacing w:line="540" w:lineRule="exact"/>
        <w:ind w:left="845" w:hanging="425"/>
        <w:textAlignment w:val="auto"/>
        <w:rPr>
          <w:rFonts w:hint="default"/>
          <w:sz w:val="28"/>
          <w:szCs w:val="28"/>
          <w:highlight w:val="none"/>
          <w:lang w:val="en-US" w:eastAsia="zh-CN"/>
        </w:rPr>
      </w:pPr>
      <w:r>
        <w:rPr>
          <w:rFonts w:hint="default"/>
          <w:sz w:val="28"/>
          <w:szCs w:val="28"/>
          <w:highlight w:val="none"/>
          <w:lang w:val="en-US" w:eastAsia="zh-CN"/>
        </w:rPr>
        <w:t>设计标准</w:t>
      </w:r>
    </w:p>
    <w:p>
      <w:pPr>
        <w:keepNext w:val="0"/>
        <w:keepLines w:val="0"/>
        <w:pageBreakBefore w:val="0"/>
        <w:widowControl w:val="0"/>
        <w:numPr>
          <w:ilvl w:val="0"/>
          <w:numId w:val="46"/>
        </w:numPr>
        <w:kinsoku/>
        <w:wordWrap/>
        <w:overflowPunct/>
        <w:topLinePunct w:val="0"/>
        <w:autoSpaceDE/>
        <w:autoSpaceDN/>
        <w:bidi w:val="0"/>
        <w:adjustRightInd/>
        <w:snapToGrid/>
        <w:spacing w:line="540" w:lineRule="exact"/>
        <w:ind w:left="845" w:hanging="425"/>
        <w:textAlignment w:val="auto"/>
        <w:rPr>
          <w:rFonts w:hint="default"/>
          <w:sz w:val="28"/>
          <w:szCs w:val="28"/>
          <w:highlight w:val="none"/>
          <w:lang w:val="en-US" w:eastAsia="zh-CN"/>
        </w:rPr>
      </w:pPr>
      <w:r>
        <w:rPr>
          <w:rFonts w:hint="eastAsia"/>
          <w:sz w:val="28"/>
          <w:szCs w:val="28"/>
          <w:highlight w:val="none"/>
          <w:lang w:val="en-US" w:eastAsia="zh-CN"/>
        </w:rPr>
        <w:t>产品性能</w:t>
      </w:r>
    </w:p>
    <w:p>
      <w:pPr>
        <w:keepNext w:val="0"/>
        <w:keepLines w:val="0"/>
        <w:pageBreakBefore w:val="0"/>
        <w:widowControl w:val="0"/>
        <w:numPr>
          <w:ilvl w:val="0"/>
          <w:numId w:val="46"/>
        </w:numPr>
        <w:kinsoku/>
        <w:wordWrap/>
        <w:overflowPunct/>
        <w:topLinePunct w:val="0"/>
        <w:autoSpaceDE/>
        <w:autoSpaceDN/>
        <w:bidi w:val="0"/>
        <w:adjustRightInd/>
        <w:snapToGrid/>
        <w:spacing w:line="540" w:lineRule="exact"/>
        <w:ind w:left="845" w:hanging="425"/>
        <w:textAlignment w:val="auto"/>
        <w:rPr>
          <w:rFonts w:hint="default"/>
          <w:sz w:val="28"/>
          <w:szCs w:val="28"/>
          <w:highlight w:val="none"/>
          <w:lang w:val="en-US" w:eastAsia="zh-CN"/>
        </w:rPr>
      </w:pPr>
      <w:r>
        <w:rPr>
          <w:rFonts w:hint="default"/>
          <w:sz w:val="28"/>
          <w:szCs w:val="28"/>
          <w:highlight w:val="none"/>
          <w:lang w:val="en-US" w:eastAsia="zh-CN"/>
        </w:rPr>
        <w:t>技术数据表</w:t>
      </w:r>
    </w:p>
    <w:p>
      <w:pPr>
        <w:keepNext w:val="0"/>
        <w:keepLines w:val="0"/>
        <w:pageBreakBefore w:val="0"/>
        <w:widowControl w:val="0"/>
        <w:numPr>
          <w:ilvl w:val="0"/>
          <w:numId w:val="46"/>
        </w:numPr>
        <w:kinsoku/>
        <w:wordWrap/>
        <w:overflowPunct/>
        <w:topLinePunct w:val="0"/>
        <w:autoSpaceDE/>
        <w:autoSpaceDN/>
        <w:bidi w:val="0"/>
        <w:adjustRightInd/>
        <w:snapToGrid/>
        <w:spacing w:line="540" w:lineRule="exact"/>
        <w:ind w:left="845" w:hanging="425"/>
        <w:textAlignment w:val="auto"/>
        <w:rPr>
          <w:rFonts w:hint="default"/>
          <w:sz w:val="28"/>
          <w:szCs w:val="28"/>
          <w:highlight w:val="none"/>
          <w:lang w:val="en-US" w:eastAsia="zh-CN"/>
        </w:rPr>
      </w:pPr>
      <w:r>
        <w:rPr>
          <w:rFonts w:hint="default"/>
          <w:sz w:val="28"/>
          <w:szCs w:val="28"/>
          <w:highlight w:val="none"/>
          <w:lang w:val="en-US" w:eastAsia="zh-CN"/>
        </w:rPr>
        <w:t>设备外形图</w:t>
      </w:r>
    </w:p>
    <w:p>
      <w:pPr>
        <w:keepNext w:val="0"/>
        <w:keepLines w:val="0"/>
        <w:pageBreakBefore w:val="0"/>
        <w:widowControl w:val="0"/>
        <w:numPr>
          <w:ilvl w:val="0"/>
          <w:numId w:val="46"/>
        </w:numPr>
        <w:kinsoku/>
        <w:wordWrap/>
        <w:overflowPunct/>
        <w:topLinePunct w:val="0"/>
        <w:autoSpaceDE/>
        <w:autoSpaceDN/>
        <w:bidi w:val="0"/>
        <w:adjustRightInd/>
        <w:snapToGrid/>
        <w:spacing w:line="540" w:lineRule="exact"/>
        <w:ind w:left="845" w:hanging="425"/>
        <w:textAlignment w:val="auto"/>
        <w:rPr>
          <w:rFonts w:hint="default"/>
          <w:sz w:val="28"/>
          <w:szCs w:val="28"/>
          <w:highlight w:val="none"/>
          <w:lang w:val="en-US" w:eastAsia="zh-CN"/>
        </w:rPr>
      </w:pPr>
      <w:r>
        <w:rPr>
          <w:rFonts w:hint="eastAsia"/>
          <w:sz w:val="28"/>
          <w:szCs w:val="28"/>
          <w:highlight w:val="none"/>
          <w:lang w:val="en-US" w:eastAsia="zh-CN"/>
        </w:rPr>
        <w:t>产品样本</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供货范围</w:t>
      </w:r>
    </w:p>
    <w:p>
      <w:pPr>
        <w:keepNext/>
        <w:keepLines w:val="0"/>
        <w:pageBreakBefore w:val="0"/>
        <w:widowControl w:val="0"/>
        <w:numPr>
          <w:ilvl w:val="0"/>
          <w:numId w:val="47"/>
        </w:numPr>
        <w:kinsoku/>
        <w:wordWrap/>
        <w:overflowPunct/>
        <w:topLinePunct w:val="0"/>
        <w:autoSpaceDE/>
        <w:autoSpaceDN/>
        <w:bidi w:val="0"/>
        <w:adjustRightInd/>
        <w:snapToGrid/>
        <w:spacing w:line="540" w:lineRule="exact"/>
        <w:ind w:left="845" w:leftChars="0" w:hanging="425" w:firstLineChars="0"/>
        <w:textAlignment w:val="auto"/>
        <w:rPr>
          <w:rFonts w:hint="default" w:ascii="Calibri" w:hAnsi="Calibri" w:eastAsia="宋体" w:cs="宋体"/>
          <w:sz w:val="24"/>
          <w:szCs w:val="24"/>
          <w:highlight w:val="none"/>
          <w:lang w:val="en-US" w:eastAsia="zh-CN"/>
        </w:rPr>
      </w:pPr>
      <w:r>
        <w:rPr>
          <w:rFonts w:hint="default" w:ascii="Calibri" w:hAnsi="Calibri" w:eastAsia="宋体" w:cs="宋体"/>
          <w:sz w:val="24"/>
          <w:szCs w:val="24"/>
          <w:highlight w:val="none"/>
          <w:lang w:val="en-US" w:eastAsia="zh-CN"/>
        </w:rPr>
        <w:t>设备供货清单</w:t>
      </w:r>
    </w:p>
    <w:p>
      <w:pPr>
        <w:keepNext/>
        <w:keepLines w:val="0"/>
        <w:pageBreakBefore w:val="0"/>
        <w:widowControl w:val="0"/>
        <w:numPr>
          <w:ilvl w:val="0"/>
          <w:numId w:val="47"/>
        </w:numPr>
        <w:kinsoku/>
        <w:wordWrap/>
        <w:overflowPunct/>
        <w:topLinePunct w:val="0"/>
        <w:autoSpaceDE/>
        <w:autoSpaceDN/>
        <w:bidi w:val="0"/>
        <w:adjustRightInd/>
        <w:snapToGrid/>
        <w:spacing w:line="540" w:lineRule="exact"/>
        <w:ind w:left="845" w:leftChars="0" w:hanging="425" w:firstLineChars="0"/>
        <w:textAlignment w:val="auto"/>
        <w:rPr>
          <w:rFonts w:hint="default" w:ascii="Calibri" w:hAnsi="Calibri" w:eastAsia="宋体" w:cs="宋体"/>
          <w:sz w:val="24"/>
          <w:szCs w:val="24"/>
          <w:highlight w:val="none"/>
          <w:lang w:val="en-US" w:eastAsia="zh-CN"/>
        </w:rPr>
      </w:pPr>
      <w:r>
        <w:rPr>
          <w:rFonts w:hint="default" w:ascii="Calibri" w:hAnsi="Calibri" w:eastAsia="宋体" w:cs="宋体"/>
          <w:sz w:val="24"/>
          <w:szCs w:val="24"/>
          <w:highlight w:val="none"/>
          <w:lang w:val="en-US" w:eastAsia="zh-CN"/>
        </w:rPr>
        <w:t>备件清单</w:t>
      </w:r>
    </w:p>
    <w:p>
      <w:pPr>
        <w:keepNext/>
        <w:keepLines w:val="0"/>
        <w:pageBreakBefore w:val="0"/>
        <w:widowControl w:val="0"/>
        <w:numPr>
          <w:ilvl w:val="0"/>
          <w:numId w:val="47"/>
        </w:numPr>
        <w:kinsoku/>
        <w:wordWrap/>
        <w:overflowPunct/>
        <w:topLinePunct w:val="0"/>
        <w:autoSpaceDE/>
        <w:autoSpaceDN/>
        <w:bidi w:val="0"/>
        <w:adjustRightInd/>
        <w:snapToGrid/>
        <w:spacing w:line="540" w:lineRule="exact"/>
        <w:ind w:left="845" w:leftChars="0" w:hanging="425" w:firstLineChars="0"/>
        <w:textAlignment w:val="auto"/>
        <w:rPr>
          <w:rFonts w:hint="default" w:ascii="Calibri" w:hAnsi="Calibri" w:eastAsia="宋体" w:cs="宋体"/>
          <w:sz w:val="24"/>
          <w:szCs w:val="24"/>
          <w:highlight w:val="none"/>
          <w:lang w:val="en-US" w:eastAsia="zh-CN"/>
        </w:rPr>
      </w:pPr>
      <w:r>
        <w:rPr>
          <w:rFonts w:hint="default" w:ascii="Calibri" w:hAnsi="Calibri" w:eastAsia="宋体" w:cs="宋体"/>
          <w:sz w:val="24"/>
          <w:szCs w:val="24"/>
          <w:highlight w:val="none"/>
          <w:lang w:val="en-US" w:eastAsia="zh-CN"/>
        </w:rPr>
        <w:t>专用工具清单</w:t>
      </w:r>
    </w:p>
    <w:p>
      <w:pPr>
        <w:keepNext/>
        <w:keepLines w:val="0"/>
        <w:pageBreakBefore w:val="0"/>
        <w:widowControl w:val="0"/>
        <w:numPr>
          <w:ilvl w:val="0"/>
          <w:numId w:val="47"/>
        </w:numPr>
        <w:kinsoku/>
        <w:wordWrap/>
        <w:overflowPunct/>
        <w:topLinePunct w:val="0"/>
        <w:autoSpaceDE/>
        <w:autoSpaceDN/>
        <w:bidi w:val="0"/>
        <w:adjustRightInd/>
        <w:snapToGrid/>
        <w:spacing w:line="540" w:lineRule="exact"/>
        <w:ind w:left="845" w:leftChars="0" w:hanging="425" w:firstLineChars="0"/>
        <w:textAlignment w:val="auto"/>
        <w:rPr>
          <w:rFonts w:hint="default" w:ascii="Calibri" w:hAnsi="Calibri" w:eastAsia="宋体" w:cs="宋体"/>
          <w:sz w:val="24"/>
          <w:szCs w:val="24"/>
          <w:highlight w:val="none"/>
          <w:lang w:val="en-US" w:eastAsia="zh-CN"/>
        </w:rPr>
      </w:pPr>
      <w:r>
        <w:rPr>
          <w:rFonts w:hint="default" w:ascii="Calibri" w:hAnsi="Calibri" w:eastAsia="宋体" w:cs="宋体"/>
          <w:sz w:val="24"/>
          <w:szCs w:val="24"/>
          <w:highlight w:val="none"/>
          <w:lang w:val="en-US" w:eastAsia="zh-CN"/>
        </w:rPr>
        <w:t>主要原材料及外购关键元器件明细表</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招标技术文件条款响应</w:t>
      </w:r>
    </w:p>
    <w:p>
      <w:pPr>
        <w:keepLines w:val="0"/>
        <w:pageBreakBefore w:val="0"/>
        <w:widowControl w:val="0"/>
        <w:kinsoku/>
        <w:wordWrap/>
        <w:overflowPunct/>
        <w:topLinePunct w:val="0"/>
        <w:autoSpaceDE/>
        <w:autoSpaceDN/>
        <w:bidi w:val="0"/>
        <w:adjustRightInd/>
        <w:snapToGrid/>
        <w:spacing w:line="540" w:lineRule="exact"/>
        <w:ind w:right="0" w:rightChars="0" w:firstLine="480" w:firstLineChars="200"/>
        <w:textAlignment w:val="auto"/>
        <w:rPr>
          <w:rFonts w:hint="eastAsia" w:ascii="Calibri" w:hAnsi="Calibri" w:eastAsia="宋体"/>
          <w:sz w:val="24"/>
          <w:szCs w:val="24"/>
          <w:highlight w:val="none"/>
          <w:lang w:val="en-US" w:eastAsia="zh-CN"/>
        </w:rPr>
      </w:pPr>
      <w:r>
        <w:rPr>
          <w:rFonts w:hint="eastAsia" w:ascii="宋体" w:hAnsi="宋体" w:eastAsia="宋体" w:cs="宋体"/>
          <w:color w:val="000000"/>
          <w:kern w:val="2"/>
          <w:sz w:val="24"/>
          <w:szCs w:val="24"/>
          <w:highlight w:val="none"/>
          <w:lang w:val="en-US" w:eastAsia="zh-CN" w:bidi="ar-SA"/>
        </w:rPr>
        <w:t>需对整个招标技术文件条款要求进行响应，特别是标注有</w:t>
      </w:r>
      <w:r>
        <w:rPr>
          <w:rFonts w:hint="eastAsia" w:ascii="Calibri" w:hAnsi="Calibri" w:eastAsia="宋体"/>
          <w:sz w:val="24"/>
          <w:szCs w:val="24"/>
          <w:highlight w:val="none"/>
          <w:lang w:val="en-US" w:eastAsia="zh-CN"/>
        </w:rPr>
        <w:t>“★”</w:t>
      </w:r>
      <w:r>
        <w:rPr>
          <w:rFonts w:hint="default" w:ascii="Calibri" w:hAnsi="Calibri" w:eastAsia="宋体"/>
          <w:sz w:val="24"/>
          <w:szCs w:val="24"/>
          <w:highlight w:val="none"/>
          <w:lang w:val="en-US" w:eastAsia="zh-CN"/>
        </w:rPr>
        <w:t>的关键性技术条款</w:t>
      </w:r>
      <w:r>
        <w:rPr>
          <w:rFonts w:hint="eastAsia" w:ascii="Calibri" w:hAnsi="Calibri" w:eastAsia="宋体"/>
          <w:sz w:val="24"/>
          <w:szCs w:val="24"/>
          <w:highlight w:val="none"/>
          <w:lang w:val="en-US" w:eastAsia="zh-CN"/>
        </w:rPr>
        <w:t>，必须逐条进行响应。</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技术偏离表及说明</w:t>
      </w:r>
    </w:p>
    <w:p>
      <w:pPr>
        <w:keepLines w:val="0"/>
        <w:pageBreakBefore w:val="0"/>
        <w:widowControl w:val="0"/>
        <w:kinsoku/>
        <w:wordWrap/>
        <w:overflowPunct/>
        <w:topLinePunct w:val="0"/>
        <w:autoSpaceDE/>
        <w:autoSpaceDN/>
        <w:bidi w:val="0"/>
        <w:adjustRightInd/>
        <w:snapToGrid/>
        <w:spacing w:line="540" w:lineRule="exact"/>
        <w:ind w:right="0" w:rightChars="0"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列出与本技术文件要求不一致的地方，并阐述理由。</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default" w:ascii="宋体" w:hAnsi="宋体" w:eastAsia="宋体" w:cs="宋体"/>
          <w:b/>
          <w:bCs/>
          <w:color w:val="000000"/>
          <w:kern w:val="2"/>
          <w:sz w:val="24"/>
          <w:szCs w:val="24"/>
          <w:highlight w:val="none"/>
          <w:lang w:val="en-US" w:eastAsia="zh-CN" w:bidi="ar-SA"/>
        </w:rPr>
        <w:t>投标产品型式试验报告</w:t>
      </w:r>
      <w:r>
        <w:rPr>
          <w:rFonts w:hint="eastAsia" w:ascii="宋体" w:hAnsi="宋体" w:eastAsia="宋体" w:cs="宋体"/>
          <w:b/>
          <w:bCs/>
          <w:color w:val="000000"/>
          <w:kern w:val="2"/>
          <w:sz w:val="24"/>
          <w:szCs w:val="24"/>
          <w:highlight w:val="none"/>
          <w:lang w:val="en-US" w:eastAsia="zh-CN" w:bidi="ar-SA"/>
        </w:rPr>
        <w:t>及鉴定证书</w:t>
      </w:r>
    </w:p>
    <w:p>
      <w:pPr>
        <w:keepLines w:val="0"/>
        <w:pageBreakBefore w:val="0"/>
        <w:widowControl w:val="0"/>
        <w:kinsoku/>
        <w:wordWrap/>
        <w:overflowPunct/>
        <w:topLinePunct w:val="0"/>
        <w:autoSpaceDE/>
        <w:autoSpaceDN/>
        <w:bidi w:val="0"/>
        <w:adjustRightInd/>
        <w:snapToGrid/>
        <w:spacing w:line="540" w:lineRule="exact"/>
        <w:ind w:right="0" w:rightChars="0"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包括投标产品本身的型式试验报告及鉴定证书，还包括招标技术文件中有要求的第三方供货物资的相关检测报告。</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产品业绩</w:t>
      </w:r>
    </w:p>
    <w:p>
      <w:pPr>
        <w:keepNext/>
        <w:keepLines w:val="0"/>
        <w:pageBreakBefore w:val="0"/>
        <w:widowControl w:val="0"/>
        <w:numPr>
          <w:ilvl w:val="0"/>
          <w:numId w:val="48"/>
        </w:numPr>
        <w:kinsoku/>
        <w:wordWrap/>
        <w:overflowPunct/>
        <w:topLinePunct w:val="0"/>
        <w:autoSpaceDE/>
        <w:autoSpaceDN/>
        <w:bidi w:val="0"/>
        <w:adjustRightInd/>
        <w:snapToGrid/>
        <w:spacing w:line="540" w:lineRule="exact"/>
        <w:ind w:left="425" w:leftChars="0" w:hanging="425" w:firstLineChars="0"/>
        <w:textAlignment w:val="auto"/>
        <w:rPr>
          <w:rFonts w:hint="eastAsia" w:ascii="Calibri" w:hAnsi="Calibri" w:eastAsia="宋体" w:cs="宋体"/>
          <w:sz w:val="24"/>
          <w:szCs w:val="24"/>
          <w:highlight w:val="none"/>
          <w:lang w:val="en-US" w:eastAsia="zh-CN"/>
        </w:rPr>
      </w:pPr>
      <w:r>
        <w:rPr>
          <w:rFonts w:hint="eastAsia" w:ascii="Calibri" w:hAnsi="Calibri" w:eastAsia="宋体" w:cs="宋体"/>
          <w:sz w:val="24"/>
          <w:szCs w:val="24"/>
          <w:highlight w:val="none"/>
          <w:lang w:val="en-US" w:eastAsia="zh-CN"/>
        </w:rPr>
        <w:t>投标产品本身的业绩</w:t>
      </w:r>
    </w:p>
    <w:p>
      <w:pPr>
        <w:keepNext/>
        <w:keepLines w:val="0"/>
        <w:pageBreakBefore w:val="0"/>
        <w:widowControl w:val="0"/>
        <w:numPr>
          <w:ilvl w:val="0"/>
          <w:numId w:val="48"/>
        </w:numPr>
        <w:kinsoku/>
        <w:wordWrap/>
        <w:overflowPunct/>
        <w:topLinePunct w:val="0"/>
        <w:autoSpaceDE/>
        <w:autoSpaceDN/>
        <w:bidi w:val="0"/>
        <w:adjustRightInd/>
        <w:snapToGrid/>
        <w:spacing w:line="540" w:lineRule="exact"/>
        <w:ind w:left="425" w:leftChars="0" w:hanging="425" w:firstLineChars="0"/>
        <w:textAlignment w:val="auto"/>
        <w:rPr>
          <w:rFonts w:hint="eastAsia" w:ascii="Calibri" w:hAnsi="Calibri" w:eastAsia="宋体" w:cs="宋体"/>
          <w:sz w:val="24"/>
          <w:szCs w:val="24"/>
          <w:highlight w:val="none"/>
          <w:lang w:val="en-US" w:eastAsia="zh-CN"/>
        </w:rPr>
      </w:pPr>
      <w:r>
        <w:rPr>
          <w:rFonts w:hint="eastAsia" w:ascii="Calibri" w:hAnsi="Calibri" w:eastAsia="宋体" w:cs="宋体"/>
          <w:sz w:val="24"/>
          <w:szCs w:val="24"/>
          <w:highlight w:val="none"/>
          <w:lang w:val="en-US" w:eastAsia="zh-CN"/>
        </w:rPr>
        <w:t>主要元部件来源（分供应商）响应表中其他品牌产品业绩</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产品质量保证</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default" w:ascii="宋体" w:hAnsi="宋体" w:eastAsia="宋体" w:cs="宋体"/>
          <w:b/>
          <w:bCs/>
          <w:color w:val="000000"/>
          <w:kern w:val="2"/>
          <w:sz w:val="24"/>
          <w:szCs w:val="24"/>
          <w:highlight w:val="none"/>
          <w:lang w:val="en-US" w:eastAsia="zh-CN" w:bidi="ar-SA"/>
        </w:rPr>
        <w:t>技术服务</w:t>
      </w:r>
      <w:r>
        <w:rPr>
          <w:rFonts w:hint="eastAsia" w:ascii="宋体" w:hAnsi="宋体" w:eastAsia="宋体" w:cs="宋体"/>
          <w:b/>
          <w:bCs/>
          <w:color w:val="000000"/>
          <w:kern w:val="2"/>
          <w:sz w:val="24"/>
          <w:szCs w:val="24"/>
          <w:highlight w:val="none"/>
          <w:lang w:val="en-US" w:eastAsia="zh-CN" w:bidi="ar-SA"/>
        </w:rPr>
        <w:t>和设计联络</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技术文件交付进度表</w:t>
      </w:r>
    </w:p>
    <w:p>
      <w:pPr>
        <w:keepLines w:val="0"/>
        <w:pageBreakBefore w:val="0"/>
        <w:widowControl w:val="0"/>
        <w:numPr>
          <w:ilvl w:val="0"/>
          <w:numId w:val="45"/>
        </w:numPr>
        <w:kinsoku/>
        <w:wordWrap/>
        <w:overflowPunct/>
        <w:topLinePunct w:val="0"/>
        <w:autoSpaceDE/>
        <w:autoSpaceDN/>
        <w:bidi w:val="0"/>
        <w:adjustRightInd/>
        <w:snapToGrid/>
        <w:spacing w:line="540" w:lineRule="exact"/>
        <w:ind w:left="0" w:leftChars="0" w:right="0" w:rightChars="0" w:firstLine="0" w:firstLineChars="0"/>
        <w:textAlignment w:val="auto"/>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其他</w:t>
      </w:r>
    </w:p>
    <w:p>
      <w:pPr>
        <w:pStyle w:val="2"/>
        <w:numPr>
          <w:ilvl w:val="0"/>
          <w:numId w:val="0"/>
        </w:numPr>
        <w:ind w:leftChars="0"/>
        <w:rPr>
          <w:rFonts w:hint="eastAsia" w:ascii="宋体" w:hAnsi="宋体" w:eastAsia="宋体" w:cs="宋体"/>
          <w:b/>
          <w:bCs/>
          <w:color w:val="000000"/>
          <w:kern w:val="2"/>
          <w:sz w:val="24"/>
          <w:szCs w:val="24"/>
          <w:highlight w:val="none"/>
          <w:lang w:val="en-US" w:eastAsia="zh-CN" w:bidi="ar-SA"/>
        </w:rPr>
      </w:pPr>
    </w:p>
    <w:p>
      <w:pPr>
        <w:pStyle w:val="3"/>
        <w:keepNext/>
        <w:keepLines/>
        <w:pageBreakBefore w:val="0"/>
        <w:widowControl w:val="0"/>
        <w:numPr>
          <w:ilvl w:val="0"/>
          <w:numId w:val="11"/>
        </w:numPr>
        <w:kinsoku/>
        <w:wordWrap/>
        <w:overflowPunct/>
        <w:topLinePunct w:val="0"/>
        <w:autoSpaceDE/>
        <w:autoSpaceDN/>
        <w:bidi w:val="0"/>
        <w:adjustRightInd w:val="0"/>
        <w:snapToGrid/>
        <w:spacing w:after="157" w:afterLines="50" w:line="560" w:lineRule="exact"/>
        <w:ind w:left="0" w:firstLine="0"/>
        <w:textAlignment w:val="baseline"/>
        <w:rPr>
          <w:rFonts w:hint="default" w:ascii="黑体" w:hAnsi="黑体" w:eastAsia="黑体" w:cs="黑体"/>
          <w:b/>
          <w:bCs/>
          <w:kern w:val="44"/>
          <w:sz w:val="32"/>
          <w:szCs w:val="32"/>
          <w:highlight w:val="none"/>
          <w:u w:val="none"/>
          <w:lang w:val="en-US" w:eastAsia="zh-CN"/>
        </w:rPr>
      </w:pPr>
      <w:r>
        <w:rPr>
          <w:rFonts w:hint="eastAsia" w:ascii="黑体" w:hAnsi="黑体" w:eastAsia="黑体" w:cs="黑体"/>
          <w:b/>
          <w:bCs/>
          <w:kern w:val="44"/>
          <w:sz w:val="32"/>
          <w:szCs w:val="32"/>
          <w:highlight w:val="none"/>
          <w:u w:val="none"/>
          <w:lang w:val="en-US" w:eastAsia="zh-CN"/>
        </w:rPr>
        <w:t>附件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en-US" w:eastAsia="zh-CN" w:bidi="ar-SA"/>
        </w:rPr>
        <w:t>附件1：仪表铝合金电缆桥架框架采购清单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eastAsia="宋体" w:cs="宋体"/>
          <w:b w:val="0"/>
          <w:bCs w:val="0"/>
          <w:color w:val="000000"/>
          <w:kern w:val="2"/>
          <w:sz w:val="24"/>
          <w:szCs w:val="24"/>
          <w:highlight w:val="none"/>
          <w:lang w:val="en-US" w:eastAsia="zh-CN" w:bidi="ar-SA"/>
        </w:rPr>
      </w:pPr>
      <w:r>
        <w:rPr>
          <w:rFonts w:hint="default" w:ascii="宋体" w:hAnsi="宋体" w:eastAsia="宋体" w:cs="宋体"/>
          <w:b w:val="0"/>
          <w:bCs w:val="0"/>
          <w:color w:val="000000"/>
          <w:kern w:val="2"/>
          <w:sz w:val="24"/>
          <w:szCs w:val="24"/>
          <w:highlight w:val="none"/>
          <w:lang w:val="en-US" w:eastAsia="zh-CN" w:bidi="ar-SA"/>
        </w:rPr>
        <w:t>附件2：仪表电缆主槽板敷设节点图</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en-US" w:eastAsia="zh-CN" w:bidi="ar-SA"/>
        </w:rPr>
        <w:t>附件3：中海壳牌惠州三期乙烯项目组供应商文件审核流程及交付细则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en-US" w:eastAsia="zh-CN" w:bidi="ar-SA"/>
        </w:rPr>
        <w:t>附件4：75236-06BD-00000DE-PR01-0007_v0 供应商数字化交付规范（供应商版）</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en-US" w:eastAsia="zh-CN" w:bidi="ar-SA"/>
        </w:rPr>
        <w:t>附件5 PR-8820-00000-0007_v0 附件4 供应商文档交付范围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000000"/>
          <w:kern w:val="2"/>
          <w:sz w:val="24"/>
          <w:szCs w:val="24"/>
          <w:highlight w:val="none"/>
          <w:lang w:val="en-US" w:eastAsia="zh-CN" w:bidi="ar-SA"/>
        </w:rPr>
      </w:pPr>
      <w:bookmarkStart w:id="178" w:name="_Toc3531"/>
      <w:r>
        <w:rPr>
          <w:rFonts w:hint="eastAsia" w:ascii="宋体" w:hAnsi="宋体" w:eastAsia="宋体" w:cs="宋体"/>
          <w:b w:val="0"/>
          <w:bCs w:val="0"/>
          <w:color w:val="000000"/>
          <w:kern w:val="2"/>
          <w:sz w:val="24"/>
          <w:szCs w:val="24"/>
          <w:highlight w:val="none"/>
          <w:lang w:val="en-US" w:eastAsia="zh-CN" w:bidi="ar-SA"/>
        </w:rPr>
        <w:t>附件6：中海壳牌惠州聚碳酸酯项目供应商文件审核流程及交付细则</w:t>
      </w:r>
      <w:bookmarkEnd w:id="178"/>
      <w:bookmarkStart w:id="179" w:name="_Toc31360"/>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en-US" w:eastAsia="zh-CN" w:bidi="ar-SA"/>
        </w:rPr>
        <w:t>附件7：中海壳牌惠州聚碳酸酯项目供应商数字化交付规</w:t>
      </w:r>
      <w:r>
        <w:rPr>
          <w:rFonts w:hint="default" w:ascii="宋体" w:hAnsi="宋体" w:eastAsia="宋体" w:cs="宋体"/>
          <w:b w:val="0"/>
          <w:bCs w:val="0"/>
          <w:color w:val="000000"/>
          <w:kern w:val="2"/>
          <w:sz w:val="24"/>
          <w:szCs w:val="24"/>
          <w:highlight w:val="none"/>
          <w:lang w:val="en-US" w:eastAsia="zh-CN" w:bidi="ar-SA"/>
        </w:rPr>
        <w:t>定</w:t>
      </w:r>
      <w:r>
        <w:rPr>
          <w:rFonts w:hint="eastAsia" w:ascii="宋体" w:hAnsi="宋体" w:eastAsia="宋体" w:cs="宋体"/>
          <w:b w:val="0"/>
          <w:bCs w:val="0"/>
          <w:color w:val="000000"/>
          <w:kern w:val="2"/>
          <w:sz w:val="24"/>
          <w:szCs w:val="24"/>
          <w:highlight w:val="none"/>
          <w:lang w:val="en-US" w:eastAsia="zh-CN" w:bidi="ar-SA"/>
        </w:rPr>
        <w:t>（供应商版）</w:t>
      </w:r>
      <w:bookmarkEnd w:id="179"/>
    </w:p>
    <w:p>
      <w:pPr>
        <w:pStyle w:val="2"/>
        <w:numPr>
          <w:ilvl w:val="0"/>
          <w:numId w:val="0"/>
        </w:numPr>
        <w:ind w:leftChars="0"/>
        <w:rPr>
          <w:rFonts w:hint="default"/>
          <w:highlight w:val="none"/>
          <w:lang w:val="en-US" w:eastAsia="zh-CN"/>
        </w:rPr>
      </w:pPr>
    </w:p>
    <w:bookmarkEnd w:id="180"/>
    <w:sectPr>
      <w:headerReference r:id="rId3" w:type="default"/>
      <w:footerReference r:id="rId4" w:type="default"/>
      <w:pgSz w:w="11906" w:h="16838"/>
      <w:pgMar w:top="1440" w:right="1080" w:bottom="1440" w:left="1080" w:header="851" w:footer="850" w:gutter="0"/>
      <w:pgBorders>
        <w:top w:val="none" w:sz="0" w:space="0"/>
        <w:left w:val="none" w:sz="0" w:space="0"/>
        <w:bottom w:val="none" w:sz="0" w:space="0"/>
        <w:right w:val="none" w:sz="0" w:space="0"/>
      </w:pgBorders>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TimesNewRomanPS">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长城仿宋">
    <w:altName w:val="新宋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Univers">
    <w:altName w:val="Arial"/>
    <w:panose1 w:val="00000000000000000000"/>
    <w:charset w:val="00"/>
    <w:family w:val="swiss"/>
    <w:pitch w:val="default"/>
    <w:sig w:usb0="00000000" w:usb1="00000000" w:usb2="00000000" w:usb3="00000000" w:csb0="0000000F" w:csb1="00000000"/>
  </w:font>
  <w:font w:name="Tms Rmn">
    <w:altName w:val="Segoe Print"/>
    <w:panose1 w:val="02020603040505020304"/>
    <w:charset w:val="00"/>
    <w:family w:val="roman"/>
    <w:pitch w:val="default"/>
    <w:sig w:usb0="00000000" w:usb1="00000000" w:usb2="00000000" w:usb3="00000000" w:csb0="00000001" w:csb1="00000000"/>
  </w:font>
  <w:font w:name="方正书宋简体">
    <w:panose1 w:val="02000000000000000000"/>
    <w:charset w:val="86"/>
    <w:family w:val="auto"/>
    <w:pitch w:val="default"/>
    <w:sig w:usb0="A00002BF" w:usb1="184F6CFA" w:usb2="00000012"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Century">
    <w:panose1 w:val="02040604050505020304"/>
    <w:charset w:val="00"/>
    <w:family w:val="roman"/>
    <w:pitch w:val="default"/>
    <w:sig w:usb0="00000287" w:usb1="00000000" w:usb2="00000000" w:usb3="00000000" w:csb0="2000009F" w:csb1="DFD70000"/>
  </w:font>
  <w:font w:name="LF Song">
    <w:altName w:val="宋体"/>
    <w:panose1 w:val="00000000000000000000"/>
    <w:charset w:val="86"/>
    <w:family w:val="auto"/>
    <w:pitch w:val="default"/>
    <w:sig w:usb0="00000000" w:usb1="00000000" w:usb2="00000010" w:usb3="00000000" w:csb0="00040000" w:csb1="00000000"/>
  </w:font>
  <w:font w:name="Futura Bk BT">
    <w:altName w:val="Lucida Sans Unicode"/>
    <w:panose1 w:val="00000000000000000000"/>
    <w:charset w:val="00"/>
    <w:family w:val="swiss"/>
    <w:pitch w:val="default"/>
    <w:sig w:usb0="00000000" w:usb1="00000000" w:usb2="00000000" w:usb3="00000000" w:csb0="0000001B" w:csb1="00000000"/>
  </w:font>
  <w:font w:name="Palatino">
    <w:altName w:val="Palatino Linotype"/>
    <w:panose1 w:val="00000000000000000000"/>
    <w:charset w:val="00"/>
    <w:family w:val="roman"/>
    <w:pitch w:val="default"/>
    <w:sig w:usb0="00000000" w:usb1="00000000" w:usb2="00000000" w:usb3="00000000" w:csb0="00000001" w:csb1="00000000"/>
  </w:font>
  <w:font w:name="LF_Hei">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Monotype Corsiva">
    <w:panose1 w:val="03010101010201010101"/>
    <w:charset w:val="00"/>
    <w:family w:val="script"/>
    <w:pitch w:val="default"/>
    <w:sig w:usb0="00000287" w:usb1="00000000" w:usb2="00000000" w:usb3="00000000" w:csb0="2000009F" w:csb1="DFD70000"/>
  </w:font>
  <w:font w:name="font42">
    <w:altName w:val="Segoe Print"/>
    <w:panose1 w:val="00000000000000000000"/>
    <w:charset w:val="B8"/>
    <w:family w:val="swiss"/>
    <w:pitch w:val="default"/>
    <w:sig w:usb0="00000000" w:usb1="00000000" w:usb2="09E590B0" w:usb3="00000000" w:csb0="5699FFFC" w:csb1="00000002"/>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rFonts w:hint="eastAsia"/>
      </w:rPr>
      <mc:AlternateContent>
        <mc:Choice Requires="wps">
          <w:drawing>
            <wp:anchor distT="0" distB="0" distL="114300" distR="114300" simplePos="0" relativeHeight="251660288" behindDoc="0" locked="0" layoutInCell="1" allowOverlap="1">
              <wp:simplePos x="0" y="0"/>
              <wp:positionH relativeFrom="column">
                <wp:posOffset>2540</wp:posOffset>
              </wp:positionH>
              <wp:positionV relativeFrom="paragraph">
                <wp:posOffset>-102870</wp:posOffset>
              </wp:positionV>
              <wp:extent cx="6183630" cy="15875"/>
              <wp:effectExtent l="0" t="4445" r="7620" b="8255"/>
              <wp:wrapNone/>
              <wp:docPr id="15" name="直接连接符 15"/>
              <wp:cNvGraphicFramePr/>
              <a:graphic xmlns:a="http://schemas.openxmlformats.org/drawingml/2006/main">
                <a:graphicData uri="http://schemas.microsoft.com/office/word/2010/wordprocessingShape">
                  <wps:wsp>
                    <wps:cNvCnPr/>
                    <wps:spPr>
                      <a:xfrm>
                        <a:off x="0" y="0"/>
                        <a:ext cx="6183630" cy="15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8.1pt;height:1.25pt;width:486.9pt;z-index:251660288;mso-width-relative:page;mso-height-relative:page;" filled="f" stroked="t" coordsize="21600,21600" o:gfxdata="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F38ALZAAAACAEAAA8AAAAAAAAAAQAgAAAAIgAAAGRycy9kb3ducmV2&#10;LnhtbFBLAQIUABQAAAAIAIdO4kCcBjBg+wEAANkDAAAOAAAAAAAAAAEAIAAAACgBAABkcnMvZTJv&#10;RG9jLnhtbFBLBQYAAAAABgAGAFkBAACVBQAAAAA=&#10;">
              <v:fill on="f" focussize="0,0"/>
              <v:stroke color="#4A7EBB [3204]" joinstyle="round"/>
              <v:imagedata o:title=""/>
              <o:lock v:ext="edit" aspectratio="f"/>
            </v:lin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4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26</w:t>
                    </w:r>
                    <w:r>
                      <w:t>页</w:t>
                    </w:r>
                  </w:p>
                </w:txbxContent>
              </v:textbox>
            </v:shape>
          </w:pict>
        </mc:Fallback>
      </mc:AlternateContent>
    </w:r>
    <w:r>
      <w:rPr>
        <w:rFonts w:hint="eastAsia"/>
        <w:lang w:eastAsia="zh-CN"/>
      </w:rPr>
      <w:t>仪表铝合金电缆桥架</w:t>
    </w:r>
    <w:r>
      <w:rPr>
        <w:rFonts w:hint="eastAsia"/>
      </w:rPr>
      <w:t>框架</w:t>
    </w:r>
    <w:r>
      <w:rPr>
        <w:rFonts w:hint="eastAsia"/>
        <w:lang w:val="en-US" w:eastAsia="zh-CN"/>
      </w:rPr>
      <w:t>协议采购招标</w:t>
    </w:r>
    <w:r>
      <w:rPr>
        <w:rFonts w:hint="eastAsia"/>
      </w:rPr>
      <w:t>技术文件</w:t>
    </w:r>
    <w:r>
      <w:rPr>
        <w:rFonts w:hint="eastAsia"/>
        <w:lang w:eastAsia="zh-CN"/>
      </w:rPr>
      <w:tab/>
    </w:r>
    <w:r>
      <w:rPr>
        <w:rFonts w:hint="eastAsia"/>
        <w:lang w:eastAsia="zh-CN"/>
      </w:rPr>
      <w:tab/>
    </w:r>
    <w:r>
      <w:rPr>
        <w:rFonts w:hint="eastAsia"/>
        <w:lang w:eastAsia="zh-CN"/>
      </w:rPr>
      <w:tab/>
    </w:r>
  </w:p>
  <w:p>
    <w:pPr>
      <w:pStyle w:val="4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18"/>
        <w:szCs w:val="20"/>
      </w:rPr>
    </w:pPr>
    <w:r>
      <w:rPr>
        <w:sz w:val="18"/>
        <w:szCs w:val="20"/>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104775</wp:posOffset>
              </wp:positionV>
              <wp:extent cx="6199505" cy="8255"/>
              <wp:effectExtent l="0" t="0" r="0" b="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99505" cy="8255"/>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1.05pt;margin-top:8.25pt;height:0.65pt;width:488.15pt;z-index:251659264;mso-width-relative:page;mso-height-relative:page;" filled="f" stroked="t" coordsize="21600,21600" o:gfxdata="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S2IttcAAAAIAQAADwAAAAAAAAABACAAAAAiAAAAZHJzL2Rvd25yZXYueG1sUEsBAhQAFAAAAAgA&#10;h07iQDHdQPXtAQAAuAMAAA4AAAAAAAAAAQAgAAAAJgEAAGRycy9lMm9Eb2MueG1sUEsFBgAAAAAG&#10;AAYAWQEAAIUFAAAAAA==&#10;">
              <v:fill on="f" focussize="0,0"/>
              <v:stroke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3BAAB"/>
    <w:multiLevelType w:val="multilevel"/>
    <w:tmpl w:val="8673BAAB"/>
    <w:lvl w:ilvl="0" w:tentative="0">
      <w:start w:val="1"/>
      <w:numFmt w:val="decimal"/>
      <w:suff w:val="space"/>
      <w:lvlText w:val="10.%1  "/>
      <w:lvlJc w:val="left"/>
      <w:pPr>
        <w:tabs>
          <w:tab w:val="left" w:pos="0"/>
        </w:tabs>
        <w:ind w:left="420" w:hanging="42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E2CF0C0"/>
    <w:multiLevelType w:val="multilevel"/>
    <w:tmpl w:val="8E2CF0C0"/>
    <w:lvl w:ilvl="0" w:tentative="0">
      <w:start w:val="1"/>
      <w:numFmt w:val="decimal"/>
      <w:suff w:val="space"/>
      <w:lvlText w:val="6.%1  "/>
      <w:lvlJc w:val="left"/>
      <w:pPr>
        <w:tabs>
          <w:tab w:val="left" w:pos="0"/>
        </w:tabs>
        <w:ind w:left="420" w:hanging="42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9A8DF7FD"/>
    <w:multiLevelType w:val="multilevel"/>
    <w:tmpl w:val="9A8DF7FD"/>
    <w:lvl w:ilvl="0" w:tentative="0">
      <w:start w:val="1"/>
      <w:numFmt w:val="decimal"/>
      <w:pStyle w:val="249"/>
      <w:suff w:val="space"/>
      <w:lvlText w:val="1.2.%1 "/>
      <w:lvlJc w:val="left"/>
      <w:pPr>
        <w:tabs>
          <w:tab w:val="left" w:pos="0"/>
        </w:tabs>
        <w:ind w:left="0" w:firstLine="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A5A67190"/>
    <w:multiLevelType w:val="singleLevel"/>
    <w:tmpl w:val="A5A67190"/>
    <w:lvl w:ilvl="0" w:tentative="0">
      <w:start w:val="1"/>
      <w:numFmt w:val="decimal"/>
      <w:lvlText w:val="(%1)"/>
      <w:lvlJc w:val="left"/>
      <w:pPr>
        <w:tabs>
          <w:tab w:val="left" w:pos="420"/>
        </w:tabs>
        <w:ind w:left="845" w:hanging="425"/>
      </w:pPr>
      <w:rPr>
        <w:rFonts w:hint="default"/>
      </w:rPr>
    </w:lvl>
  </w:abstractNum>
  <w:abstractNum w:abstractNumId="4">
    <w:nsid w:val="A6720D7C"/>
    <w:multiLevelType w:val="singleLevel"/>
    <w:tmpl w:val="A6720D7C"/>
    <w:lvl w:ilvl="0" w:tentative="0">
      <w:start w:val="1"/>
      <w:numFmt w:val="decimal"/>
      <w:lvlText w:val="(%1)"/>
      <w:lvlJc w:val="left"/>
      <w:pPr>
        <w:tabs>
          <w:tab w:val="left" w:pos="420"/>
        </w:tabs>
        <w:ind w:left="845" w:hanging="425"/>
      </w:pPr>
      <w:rPr>
        <w:rFonts w:hint="default" w:ascii="宋体" w:hAnsi="宋体" w:eastAsia="宋体" w:cs="宋体"/>
        <w:sz w:val="28"/>
        <w:szCs w:val="28"/>
      </w:rPr>
    </w:lvl>
  </w:abstractNum>
  <w:abstractNum w:abstractNumId="5">
    <w:nsid w:val="B3048A7A"/>
    <w:multiLevelType w:val="singleLevel"/>
    <w:tmpl w:val="B3048A7A"/>
    <w:lvl w:ilvl="0" w:tentative="0">
      <w:start w:val="1"/>
      <w:numFmt w:val="decimal"/>
      <w:lvlText w:val="(%1)"/>
      <w:lvlJc w:val="left"/>
      <w:pPr>
        <w:tabs>
          <w:tab w:val="left" w:pos="420"/>
        </w:tabs>
        <w:ind w:left="425" w:hanging="425"/>
      </w:pPr>
      <w:rPr>
        <w:rFonts w:hint="default"/>
      </w:rPr>
    </w:lvl>
  </w:abstractNum>
  <w:abstractNum w:abstractNumId="6">
    <w:nsid w:val="BA24A0FE"/>
    <w:multiLevelType w:val="singleLevel"/>
    <w:tmpl w:val="BA24A0FE"/>
    <w:lvl w:ilvl="0" w:tentative="0">
      <w:start w:val="1"/>
      <w:numFmt w:val="decimal"/>
      <w:lvlText w:val="(%1)"/>
      <w:lvlJc w:val="left"/>
      <w:pPr>
        <w:tabs>
          <w:tab w:val="left" w:pos="420"/>
        </w:tabs>
        <w:ind w:left="845" w:hanging="425"/>
      </w:pPr>
      <w:rPr>
        <w:rFonts w:hint="default" w:ascii="宋体" w:hAnsi="宋体" w:eastAsia="宋体" w:cs="宋体"/>
        <w:sz w:val="28"/>
        <w:szCs w:val="28"/>
      </w:rPr>
    </w:lvl>
  </w:abstractNum>
  <w:abstractNum w:abstractNumId="7">
    <w:nsid w:val="BE0513E1"/>
    <w:multiLevelType w:val="multilevel"/>
    <w:tmpl w:val="BE0513E1"/>
    <w:lvl w:ilvl="0" w:tentative="0">
      <w:start w:val="1"/>
      <w:numFmt w:val="decimal"/>
      <w:suff w:val="space"/>
      <w:lvlText w:val="6.2.%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C65B4A14"/>
    <w:multiLevelType w:val="multilevel"/>
    <w:tmpl w:val="C65B4A14"/>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sz w:val="28"/>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D015B99D"/>
    <w:multiLevelType w:val="multilevel"/>
    <w:tmpl w:val="D015B99D"/>
    <w:lvl w:ilvl="0" w:tentative="0">
      <w:start w:val="1"/>
      <w:numFmt w:val="decimal"/>
      <w:suff w:val="space"/>
      <w:lvlText w:val="9.1.%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D635E819"/>
    <w:multiLevelType w:val="multilevel"/>
    <w:tmpl w:val="D635E819"/>
    <w:lvl w:ilvl="0" w:tentative="0">
      <w:start w:val="1"/>
      <w:numFmt w:val="decimal"/>
      <w:suff w:val="space"/>
      <w:lvlText w:val="11.2.%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D77294DF"/>
    <w:multiLevelType w:val="singleLevel"/>
    <w:tmpl w:val="D77294DF"/>
    <w:lvl w:ilvl="0" w:tentative="0">
      <w:start w:val="1"/>
      <w:numFmt w:val="decimal"/>
      <w:lvlText w:val="(%1)"/>
      <w:lvlJc w:val="left"/>
      <w:pPr>
        <w:tabs>
          <w:tab w:val="left" w:pos="420"/>
        </w:tabs>
        <w:ind w:left="425" w:hanging="425"/>
      </w:pPr>
      <w:rPr>
        <w:rFonts w:hint="default" w:ascii="宋体" w:hAnsi="宋体" w:eastAsia="宋体" w:cs="宋体"/>
        <w:sz w:val="28"/>
        <w:szCs w:val="28"/>
      </w:rPr>
    </w:lvl>
  </w:abstractNum>
  <w:abstractNum w:abstractNumId="12">
    <w:nsid w:val="E0EAF573"/>
    <w:multiLevelType w:val="multilevel"/>
    <w:tmpl w:val="E0EAF573"/>
    <w:lvl w:ilvl="0" w:tentative="0">
      <w:start w:val="1"/>
      <w:numFmt w:val="decimal"/>
      <w:suff w:val="space"/>
      <w:lvlText w:val="8.%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E8B0F6AA"/>
    <w:multiLevelType w:val="singleLevel"/>
    <w:tmpl w:val="E8B0F6AA"/>
    <w:lvl w:ilvl="0" w:tentative="0">
      <w:start w:val="1"/>
      <w:numFmt w:val="decimal"/>
      <w:lvlText w:val="(%1)"/>
      <w:lvlJc w:val="left"/>
      <w:pPr>
        <w:ind w:left="425" w:hanging="425"/>
      </w:pPr>
      <w:rPr>
        <w:rFonts w:hint="default" w:ascii="宋体" w:hAnsi="宋体" w:eastAsia="宋体" w:cs="宋体"/>
        <w:sz w:val="28"/>
        <w:szCs w:val="28"/>
      </w:rPr>
    </w:lvl>
  </w:abstractNum>
  <w:abstractNum w:abstractNumId="14">
    <w:nsid w:val="E91ED254"/>
    <w:multiLevelType w:val="multilevel"/>
    <w:tmpl w:val="E91ED254"/>
    <w:lvl w:ilvl="0" w:tentative="0">
      <w:start w:val="10"/>
      <w:numFmt w:val="decimal"/>
      <w:lvlText w:val="%1."/>
      <w:lvlJc w:val="left"/>
      <w:pPr>
        <w:ind w:left="425" w:hanging="425"/>
      </w:pPr>
      <w:rPr>
        <w:rFonts w:hint="default" w:ascii="宋体" w:hAnsi="宋体" w:eastAsia="宋体" w:cs="宋体"/>
      </w:rPr>
    </w:lvl>
    <w:lvl w:ilvl="1" w:tentative="0">
      <w:start w:val="4"/>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sz w:val="28"/>
        <w:szCs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EBBE046A"/>
    <w:multiLevelType w:val="singleLevel"/>
    <w:tmpl w:val="EBBE046A"/>
    <w:lvl w:ilvl="0" w:tentative="0">
      <w:start w:val="1"/>
      <w:numFmt w:val="chineseCounting"/>
      <w:suff w:val="space"/>
      <w:lvlText w:val="第%1章"/>
      <w:lvlJc w:val="left"/>
      <w:rPr>
        <w:rFonts w:hint="eastAsia"/>
        <w:b/>
        <w:bCs/>
      </w:rPr>
    </w:lvl>
  </w:abstractNum>
  <w:abstractNum w:abstractNumId="16">
    <w:nsid w:val="EE38EB82"/>
    <w:multiLevelType w:val="multilevel"/>
    <w:tmpl w:val="EE38EB82"/>
    <w:lvl w:ilvl="0" w:tentative="0">
      <w:start w:val="1"/>
      <w:numFmt w:val="decimal"/>
      <w:suff w:val="space"/>
      <w:lvlText w:val="12.%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F60FFFFF"/>
    <w:multiLevelType w:val="singleLevel"/>
    <w:tmpl w:val="F60FFFFF"/>
    <w:lvl w:ilvl="0" w:tentative="0">
      <w:start w:val="1"/>
      <w:numFmt w:val="decimal"/>
      <w:lvlText w:val="(%1)"/>
      <w:lvlJc w:val="left"/>
      <w:pPr>
        <w:tabs>
          <w:tab w:val="left" w:pos="420"/>
        </w:tabs>
        <w:ind w:left="845" w:hanging="425"/>
      </w:pPr>
      <w:rPr>
        <w:rFonts w:hint="default"/>
      </w:rPr>
    </w:lvl>
  </w:abstractNum>
  <w:abstractNum w:abstractNumId="18">
    <w:nsid w:val="FC493BFB"/>
    <w:multiLevelType w:val="multilevel"/>
    <w:tmpl w:val="FC493BFB"/>
    <w:lvl w:ilvl="0" w:tentative="0">
      <w:start w:val="1"/>
      <w:numFmt w:val="decimal"/>
      <w:suff w:val="space"/>
      <w:lvlText w:val="%1 "/>
      <w:lvlJc w:val="left"/>
      <w:pPr>
        <w:tabs>
          <w:tab w:val="left" w:pos="0"/>
        </w:tabs>
        <w:ind w:left="420" w:hanging="420"/>
      </w:pPr>
      <w:rPr>
        <w:rFonts w:hint="default" w:ascii="黑体" w:hAnsi="黑体" w:eastAsia="黑体" w:cs="黑体"/>
        <w:sz w:val="32"/>
        <w:szCs w:val="32"/>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pStyle w:val="347"/>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FFFFFFFB"/>
    <w:multiLevelType w:val="multilevel"/>
    <w:tmpl w:val="FFFFFFFB"/>
    <w:lvl w:ilvl="0" w:tentative="0">
      <w:start w:val="1"/>
      <w:numFmt w:val="decimal"/>
      <w:lvlText w:val="%1"/>
      <w:legacy w:legacy="1" w:legacySpace="144" w:legacyIndent="0"/>
      <w:lvlJc w:val="left"/>
    </w:lvl>
    <w:lvl w:ilvl="1" w:tentative="0">
      <w:start w:val="1"/>
      <w:numFmt w:val="decimal"/>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decimal"/>
      <w:pStyle w:val="10"/>
      <w:lvlText w:val=""/>
      <w:lvlJc w:val="left"/>
    </w:lvl>
    <w:lvl w:ilvl="7" w:tentative="0">
      <w:start w:val="0"/>
      <w:numFmt w:val="decimal"/>
      <w:lvlText w:val=""/>
      <w:lvlJc w:val="left"/>
    </w:lvl>
    <w:lvl w:ilvl="8" w:tentative="0">
      <w:start w:val="0"/>
      <w:numFmt w:val="decimal"/>
      <w:lvlText w:val=""/>
      <w:lvlJc w:val="left"/>
    </w:lvl>
  </w:abstractNum>
  <w:abstractNum w:abstractNumId="20">
    <w:nsid w:val="00ABF3AB"/>
    <w:multiLevelType w:val="multilevel"/>
    <w:tmpl w:val="00ABF3AB"/>
    <w:lvl w:ilvl="0" w:tentative="0">
      <w:start w:val="1"/>
      <w:numFmt w:val="decimal"/>
      <w:suff w:val="space"/>
      <w:lvlText w:val="6.3.%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1E28B3C"/>
    <w:multiLevelType w:val="multilevel"/>
    <w:tmpl w:val="01E28B3C"/>
    <w:lvl w:ilvl="0" w:tentative="0">
      <w:start w:val="1"/>
      <w:numFmt w:val="decimal"/>
      <w:suff w:val="space"/>
      <w:lvlText w:val="9.5.%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BE45AF2"/>
    <w:multiLevelType w:val="multilevel"/>
    <w:tmpl w:val="0BE45AF2"/>
    <w:lvl w:ilvl="0" w:tentative="0">
      <w:start w:val="1"/>
      <w:numFmt w:val="none"/>
      <w:pStyle w:val="177"/>
      <w:isLgl/>
      <w:lvlText w:val="1."/>
      <w:lvlJc w:val="left"/>
      <w:pPr>
        <w:tabs>
          <w:tab w:val="left" w:pos="425"/>
        </w:tabs>
        <w:ind w:left="425" w:hanging="425"/>
      </w:pPr>
      <w:rPr>
        <w:rFonts w:hint="eastAsia"/>
      </w:rPr>
    </w:lvl>
    <w:lvl w:ilvl="1" w:tentative="0">
      <w:start w:val="1"/>
      <w:numFmt w:val="none"/>
      <w:lvlRestart w:val="0"/>
      <w:isLgl/>
      <w:lvlText w:val="2.1"/>
      <w:lvlJc w:val="left"/>
      <w:pPr>
        <w:tabs>
          <w:tab w:val="left" w:pos="567"/>
        </w:tabs>
        <w:ind w:left="567" w:hanging="567"/>
      </w:pPr>
      <w:rPr>
        <w:rFonts w:hint="eastAsia"/>
      </w:rPr>
    </w:lvl>
    <w:lvl w:ilvl="2" w:tentative="0">
      <w:start w:val="1"/>
      <w:numFmt w:val="decimal"/>
      <w:lvlRestart w:val="0"/>
      <w:isLgl/>
      <w:lvlText w:val="%11.%2.%3."/>
      <w:lvlJc w:val="left"/>
      <w:pPr>
        <w:tabs>
          <w:tab w:val="left" w:pos="1080"/>
        </w:tabs>
        <w:ind w:left="709" w:hanging="709"/>
      </w:pPr>
      <w:rPr>
        <w:rFonts w:hint="eastAsia"/>
      </w:rPr>
    </w:lvl>
    <w:lvl w:ilvl="3" w:tentative="0">
      <w:start w:val="1"/>
      <w:numFmt w:val="decimal"/>
      <w:lvlText w:val="%11.%2.%3.%4."/>
      <w:lvlJc w:val="left"/>
      <w:pPr>
        <w:tabs>
          <w:tab w:val="left" w:pos="1080"/>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3">
    <w:nsid w:val="1B953D7C"/>
    <w:multiLevelType w:val="singleLevel"/>
    <w:tmpl w:val="1B953D7C"/>
    <w:lvl w:ilvl="0" w:tentative="0">
      <w:start w:val="1"/>
      <w:numFmt w:val="decimal"/>
      <w:lvlText w:val="(%1)"/>
      <w:lvlJc w:val="left"/>
      <w:pPr>
        <w:tabs>
          <w:tab w:val="left" w:pos="420"/>
        </w:tabs>
        <w:ind w:left="845" w:hanging="425"/>
      </w:pPr>
      <w:rPr>
        <w:rFonts w:hint="default" w:ascii="宋体" w:hAnsi="宋体" w:eastAsia="宋体" w:cs="宋体"/>
        <w:sz w:val="28"/>
        <w:szCs w:val="28"/>
      </w:rPr>
    </w:lvl>
  </w:abstractNum>
  <w:abstractNum w:abstractNumId="24">
    <w:nsid w:val="24151C50"/>
    <w:multiLevelType w:val="multilevel"/>
    <w:tmpl w:val="24151C50"/>
    <w:lvl w:ilvl="0" w:tentative="0">
      <w:start w:val="1"/>
      <w:numFmt w:val="decimal"/>
      <w:suff w:val="space"/>
      <w:lvlText w:val="2.1.%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25B7E46D"/>
    <w:multiLevelType w:val="multilevel"/>
    <w:tmpl w:val="25B7E46D"/>
    <w:lvl w:ilvl="0" w:tentative="0">
      <w:start w:val="1"/>
      <w:numFmt w:val="decimal"/>
      <w:suff w:val="space"/>
      <w:lvlText w:val="2.%1  "/>
      <w:lvlJc w:val="left"/>
      <w:pPr>
        <w:tabs>
          <w:tab w:val="left" w:pos="0"/>
        </w:tabs>
        <w:ind w:left="420" w:hanging="42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2723FD61"/>
    <w:multiLevelType w:val="multilevel"/>
    <w:tmpl w:val="2723FD61"/>
    <w:lvl w:ilvl="0" w:tentative="0">
      <w:start w:val="7"/>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1722" w:hanging="567"/>
      </w:pPr>
      <w:rPr>
        <w:rFonts w:hint="default" w:ascii="宋体" w:hAnsi="宋体" w:eastAsia="宋体" w:cs="宋体"/>
        <w:b w:val="0"/>
        <w:bCs w:val="0"/>
        <w:sz w:val="28"/>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28B01861"/>
    <w:multiLevelType w:val="singleLevel"/>
    <w:tmpl w:val="28B01861"/>
    <w:lvl w:ilvl="0" w:tentative="0">
      <w:start w:val="1"/>
      <w:numFmt w:val="decimal"/>
      <w:lvlText w:val="(%1)"/>
      <w:lvlJc w:val="left"/>
      <w:pPr>
        <w:ind w:left="850" w:hanging="425"/>
      </w:pPr>
      <w:rPr>
        <w:rFonts w:hint="default" w:ascii="宋体" w:hAnsi="宋体" w:eastAsia="宋体" w:cs="宋体"/>
        <w:sz w:val="28"/>
        <w:szCs w:val="28"/>
      </w:rPr>
    </w:lvl>
  </w:abstractNum>
  <w:abstractNum w:abstractNumId="28">
    <w:nsid w:val="364C5DA3"/>
    <w:multiLevelType w:val="multilevel"/>
    <w:tmpl w:val="364C5DA3"/>
    <w:lvl w:ilvl="0" w:tentative="0">
      <w:start w:val="10"/>
      <w:numFmt w:val="decimal"/>
      <w:lvlText w:val="%1."/>
      <w:lvlJc w:val="left"/>
      <w:pPr>
        <w:ind w:left="425" w:hanging="425"/>
      </w:pPr>
      <w:rPr>
        <w:rFonts w:hint="default" w:ascii="宋体" w:hAnsi="宋体" w:eastAsia="宋体" w:cs="宋体"/>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sz w:val="28"/>
        <w:szCs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9">
    <w:nsid w:val="36616E2D"/>
    <w:multiLevelType w:val="multilevel"/>
    <w:tmpl w:val="36616E2D"/>
    <w:lvl w:ilvl="0" w:tentative="0">
      <w:start w:val="2"/>
      <w:numFmt w:val="decimal"/>
      <w:pStyle w:val="126"/>
      <w:isLgl/>
      <w:lvlText w:val="%1"/>
      <w:lvlJc w:val="left"/>
      <w:pPr>
        <w:tabs>
          <w:tab w:val="left" w:pos="360"/>
        </w:tabs>
        <w:ind w:left="360" w:hanging="360"/>
      </w:pPr>
      <w:rPr>
        <w:rFonts w:hint="default"/>
      </w:rPr>
    </w:lvl>
    <w:lvl w:ilvl="1" w:tentative="0">
      <w:start w:val="3"/>
      <w:numFmt w:val="decimal"/>
      <w:pStyle w:val="127"/>
      <w:isLgl/>
      <w:lvlText w:val="%1.%2"/>
      <w:lvlJc w:val="left"/>
      <w:pPr>
        <w:tabs>
          <w:tab w:val="left" w:pos="360"/>
        </w:tabs>
        <w:ind w:left="360" w:hanging="360"/>
      </w:pPr>
      <w:rPr>
        <w:rFonts w:hint="default"/>
      </w:rPr>
    </w:lvl>
    <w:lvl w:ilvl="2" w:tentative="0">
      <w:start w:val="1"/>
      <w:numFmt w:val="decimal"/>
      <w:pStyle w:val="128"/>
      <w:isLgl/>
      <w:lvlText w:val="%1.%2.%3"/>
      <w:lvlJc w:val="left"/>
      <w:pPr>
        <w:tabs>
          <w:tab w:val="left" w:pos="720"/>
        </w:tabs>
        <w:ind w:left="720" w:hanging="720"/>
      </w:pPr>
      <w:rPr>
        <w:rFonts w:hint="default"/>
      </w:rPr>
    </w:lvl>
    <w:lvl w:ilvl="3" w:tentative="0">
      <w:start w:val="1"/>
      <w:numFmt w:val="decimal"/>
      <w:pStyle w:val="129"/>
      <w:isLgl/>
      <w:suff w:val="space"/>
      <w:lvlText w:val="%1.%2.%3.%4"/>
      <w:lvlJc w:val="left"/>
      <w:pPr>
        <w:ind w:left="1080" w:hanging="1080"/>
      </w:pPr>
      <w:rPr>
        <w:rFonts w:hint="default"/>
      </w:rPr>
    </w:lvl>
    <w:lvl w:ilvl="4" w:tentative="0">
      <w:start w:val="1"/>
      <w:numFmt w:val="decimal"/>
      <w:pStyle w:val="130"/>
      <w:isLg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0">
    <w:nsid w:val="3686A9C3"/>
    <w:multiLevelType w:val="singleLevel"/>
    <w:tmpl w:val="3686A9C3"/>
    <w:lvl w:ilvl="0" w:tentative="0">
      <w:start w:val="1"/>
      <w:numFmt w:val="decimal"/>
      <w:lvlText w:val="(%1)"/>
      <w:lvlJc w:val="left"/>
      <w:pPr>
        <w:ind w:left="425" w:hanging="425"/>
      </w:pPr>
      <w:rPr>
        <w:rFonts w:hint="default" w:ascii="宋体" w:hAnsi="宋体" w:eastAsia="宋体" w:cs="宋体"/>
        <w:sz w:val="28"/>
        <w:szCs w:val="28"/>
      </w:rPr>
    </w:lvl>
  </w:abstractNum>
  <w:abstractNum w:abstractNumId="31">
    <w:nsid w:val="3FF86901"/>
    <w:multiLevelType w:val="multilevel"/>
    <w:tmpl w:val="3FF86901"/>
    <w:lvl w:ilvl="0" w:tentative="0">
      <w:start w:val="1"/>
      <w:numFmt w:val="decimal"/>
      <w:suff w:val="space"/>
      <w:lvlText w:val="9.4.%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9FAAEBB"/>
    <w:multiLevelType w:val="singleLevel"/>
    <w:tmpl w:val="49FAAEBB"/>
    <w:lvl w:ilvl="0" w:tentative="0">
      <w:start w:val="1"/>
      <w:numFmt w:val="decimal"/>
      <w:pStyle w:val="2"/>
      <w:lvlText w:val="%1."/>
      <w:lvlJc w:val="left"/>
      <w:pPr>
        <w:tabs>
          <w:tab w:val="left" w:pos="360"/>
        </w:tabs>
        <w:ind w:left="360" w:hanging="360"/>
      </w:pPr>
    </w:lvl>
  </w:abstractNum>
  <w:abstractNum w:abstractNumId="33">
    <w:nsid w:val="4A77938A"/>
    <w:multiLevelType w:val="multilevel"/>
    <w:tmpl w:val="4A77938A"/>
    <w:lvl w:ilvl="0" w:tentative="0">
      <w:start w:val="1"/>
      <w:numFmt w:val="decimal"/>
      <w:suff w:val="space"/>
      <w:lvlText w:val="9.6.%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4E357D0A"/>
    <w:multiLevelType w:val="multilevel"/>
    <w:tmpl w:val="4E357D0A"/>
    <w:lvl w:ilvl="0" w:tentative="0">
      <w:start w:val="1"/>
      <w:numFmt w:val="decimal"/>
      <w:pStyle w:val="122"/>
      <w:lvlText w:val="%1"/>
      <w:lvlJc w:val="left"/>
      <w:pPr>
        <w:tabs>
          <w:tab w:val="left" w:pos="425"/>
        </w:tabs>
        <w:ind w:left="425" w:hanging="425"/>
      </w:pPr>
      <w:rPr>
        <w:rFonts w:hint="default"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tabs>
          <w:tab w:val="left" w:pos="567"/>
        </w:tabs>
        <w:ind w:left="567" w:hanging="567"/>
      </w:pPr>
      <w:rPr>
        <w:rFonts w:hint="eastAsia"/>
        <w:sz w:val="24"/>
        <w:szCs w:val="24"/>
      </w:rPr>
    </w:lvl>
    <w:lvl w:ilvl="2" w:tentative="0">
      <w:start w:val="1"/>
      <w:numFmt w:val="decimal"/>
      <w:pStyle w:val="284"/>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5">
    <w:nsid w:val="56CEDBDB"/>
    <w:multiLevelType w:val="multilevel"/>
    <w:tmpl w:val="56CEDBDB"/>
    <w:lvl w:ilvl="0" w:tentative="0">
      <w:start w:val="10"/>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sz w:val="28"/>
        <w:szCs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6">
    <w:nsid w:val="5734431E"/>
    <w:multiLevelType w:val="singleLevel"/>
    <w:tmpl w:val="5734431E"/>
    <w:lvl w:ilvl="0" w:tentative="0">
      <w:start w:val="1"/>
      <w:numFmt w:val="decimal"/>
      <w:lvlText w:val="(%1)"/>
      <w:lvlJc w:val="left"/>
      <w:pPr>
        <w:tabs>
          <w:tab w:val="left" w:pos="420"/>
        </w:tabs>
        <w:ind w:left="425" w:hanging="425"/>
      </w:pPr>
      <w:rPr>
        <w:rFonts w:hint="default" w:ascii="宋体" w:hAnsi="宋体" w:eastAsia="宋体" w:cs="宋体"/>
        <w:sz w:val="28"/>
        <w:szCs w:val="28"/>
      </w:rPr>
    </w:lvl>
  </w:abstractNum>
  <w:abstractNum w:abstractNumId="37">
    <w:nsid w:val="59EA3D55"/>
    <w:multiLevelType w:val="multilevel"/>
    <w:tmpl w:val="59EA3D55"/>
    <w:lvl w:ilvl="0" w:tentative="0">
      <w:start w:val="1"/>
      <w:numFmt w:val="decimal"/>
      <w:pStyle w:val="111"/>
      <w:suff w:val="nothing"/>
      <w:lvlText w:val="%1　"/>
      <w:lvlJc w:val="left"/>
      <w:pPr>
        <w:ind w:left="0" w:firstLine="0"/>
      </w:pPr>
      <w:rPr>
        <w:rFonts w:hint="eastAsia" w:ascii="黑体" w:hAnsi="Times New Roman" w:eastAsia="黑体"/>
        <w:b w:val="0"/>
        <w:i w:val="0"/>
        <w:spacing w:val="0"/>
        <w:position w:val="0"/>
        <w:sz w:val="24"/>
      </w:rPr>
    </w:lvl>
    <w:lvl w:ilvl="1" w:tentative="0">
      <w:start w:val="1"/>
      <w:numFmt w:val="decimal"/>
      <w:pStyle w:val="112"/>
      <w:suff w:val="nothing"/>
      <w:lvlText w:val="%1.%2　"/>
      <w:lvlJc w:val="left"/>
      <w:pPr>
        <w:ind w:left="720" w:firstLine="0"/>
      </w:pPr>
      <w:rPr>
        <w:rFonts w:hint="eastAsia" w:ascii="宋体" w:hAnsi="Times New Roman" w:eastAsia="宋体"/>
        <w:b w:val="0"/>
        <w:i w:val="0"/>
        <w:spacing w:val="0"/>
        <w:position w:val="0"/>
        <w:sz w:val="24"/>
      </w:rPr>
    </w:lvl>
    <w:lvl w:ilvl="2" w:tentative="0">
      <w:start w:val="1"/>
      <w:numFmt w:val="decimal"/>
      <w:pStyle w:val="114"/>
      <w:suff w:val="nothing"/>
      <w:lvlText w:val="%1.%2.%3　"/>
      <w:lvlJc w:val="left"/>
      <w:pPr>
        <w:ind w:left="960" w:firstLine="0"/>
      </w:pPr>
      <w:rPr>
        <w:rFonts w:hint="eastAsia" w:ascii="宋体" w:hAnsi="Times New Roman" w:eastAsia="宋体"/>
        <w:b w:val="0"/>
        <w:i w:val="0"/>
        <w:sz w:val="24"/>
      </w:rPr>
    </w:lvl>
    <w:lvl w:ilvl="3" w:tentative="0">
      <w:start w:val="1"/>
      <w:numFmt w:val="decimal"/>
      <w:pStyle w:val="115"/>
      <w:suff w:val="nothing"/>
      <w:lvlText w:val="%1.%2.%3.%4　"/>
      <w:lvlJc w:val="left"/>
      <w:pPr>
        <w:ind w:left="0" w:firstLine="0"/>
      </w:pPr>
      <w:rPr>
        <w:rFonts w:hint="eastAsia" w:ascii="宋体" w:hAnsi="Times New Roman" w:eastAsia="宋体"/>
        <w:b w:val="0"/>
        <w:i w:val="0"/>
        <w:sz w:val="24"/>
      </w:rPr>
    </w:lvl>
    <w:lvl w:ilvl="4" w:tentative="0">
      <w:start w:val="1"/>
      <w:numFmt w:val="decimal"/>
      <w:pStyle w:val="116"/>
      <w:suff w:val="nothing"/>
      <w:lvlText w:val="%1.%2.%3.%4.%5　"/>
      <w:lvlJc w:val="left"/>
      <w:pPr>
        <w:ind w:left="0" w:firstLine="0"/>
      </w:pPr>
      <w:rPr>
        <w:rFonts w:hint="eastAsia" w:ascii="宋体" w:hAnsi="Times New Roman" w:eastAsia="宋体"/>
        <w:b w:val="0"/>
        <w:i w:val="0"/>
        <w:spacing w:val="0"/>
        <w:position w:val="0"/>
        <w:sz w:val="24"/>
      </w:rPr>
    </w:lvl>
    <w:lvl w:ilvl="5" w:tentative="0">
      <w:start w:val="1"/>
      <w:numFmt w:val="decimal"/>
      <w:pStyle w:val="117"/>
      <w:suff w:val="nothing"/>
      <w:lvlText w:val="%1.%2.%3.%4.%5.%6　"/>
      <w:lvlJc w:val="left"/>
      <w:pPr>
        <w:ind w:left="0" w:firstLine="0"/>
      </w:pPr>
      <w:rPr>
        <w:rFonts w:hint="eastAsia" w:ascii="宋体" w:hAnsi="Times New Roman" w:eastAsia="宋体"/>
        <w:b w:val="0"/>
        <w:i w:val="0"/>
        <w:sz w:val="24"/>
      </w:rPr>
    </w:lvl>
    <w:lvl w:ilvl="6" w:tentative="0">
      <w:start w:val="1"/>
      <w:numFmt w:val="decimal"/>
      <w:suff w:val="nothing"/>
      <w:lvlText w:val="%7%1.%2.%3.%4.%5.%6　"/>
      <w:lvlJc w:val="left"/>
      <w:pPr>
        <w:ind w:left="0" w:firstLine="0"/>
      </w:pPr>
      <w:rPr>
        <w:rFonts w:hint="eastAsia" w:ascii="宋体" w:hAnsi="Times New Roman" w:eastAsia="宋体"/>
        <w:b w:val="0"/>
        <w:i w:val="0"/>
        <w:spacing w:val="0"/>
        <w:position w:val="0"/>
        <w:sz w:val="24"/>
      </w:rPr>
    </w:lvl>
    <w:lvl w:ilvl="7" w:tentative="0">
      <w:start w:val="1"/>
      <w:numFmt w:val="none"/>
      <w:suff w:val="space"/>
      <w:lvlText w:val="——"/>
      <w:lvlJc w:val="left"/>
      <w:pPr>
        <w:ind w:left="380" w:firstLine="0"/>
      </w:pPr>
      <w:rPr>
        <w:rFonts w:hint="eastAsia"/>
      </w:rPr>
    </w:lvl>
    <w:lvl w:ilvl="8" w:tentative="0">
      <w:start w:val="1"/>
      <w:numFmt w:val="bullet"/>
      <w:suff w:val="space"/>
      <w:lvlText w:val=""/>
      <w:lvlJc w:val="left"/>
      <w:pPr>
        <w:ind w:left="1162" w:hanging="762"/>
      </w:pPr>
      <w:rPr>
        <w:rFonts w:hint="default" w:ascii="Wingdings" w:hAnsi="Wingdings"/>
      </w:rPr>
    </w:lvl>
  </w:abstractNum>
  <w:abstractNum w:abstractNumId="38">
    <w:nsid w:val="5A507C04"/>
    <w:multiLevelType w:val="singleLevel"/>
    <w:tmpl w:val="5A507C04"/>
    <w:lvl w:ilvl="0" w:tentative="0">
      <w:start w:val="1"/>
      <w:numFmt w:val="bullet"/>
      <w:pStyle w:val="175"/>
      <w:lvlText w:val=""/>
      <w:lvlJc w:val="left"/>
      <w:pPr>
        <w:tabs>
          <w:tab w:val="left" w:pos="425"/>
        </w:tabs>
        <w:ind w:left="425" w:hanging="425"/>
      </w:pPr>
      <w:rPr>
        <w:rFonts w:hint="default" w:ascii="Wingdings" w:hAnsi="Wingdings"/>
      </w:rPr>
    </w:lvl>
  </w:abstractNum>
  <w:abstractNum w:abstractNumId="39">
    <w:nsid w:val="64BB6DD1"/>
    <w:multiLevelType w:val="multilevel"/>
    <w:tmpl w:val="64BB6DD1"/>
    <w:lvl w:ilvl="0" w:tentative="0">
      <w:start w:val="1"/>
      <w:numFmt w:val="decimal"/>
      <w:suff w:val="space"/>
      <w:lvlText w:val="6.1.%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7E6BC5A"/>
    <w:multiLevelType w:val="singleLevel"/>
    <w:tmpl w:val="67E6BC5A"/>
    <w:lvl w:ilvl="0" w:tentative="0">
      <w:start w:val="1"/>
      <w:numFmt w:val="decimal"/>
      <w:lvlText w:val="(%1)"/>
      <w:lvlJc w:val="left"/>
      <w:pPr>
        <w:tabs>
          <w:tab w:val="left" w:pos="420"/>
        </w:tabs>
        <w:ind w:left="425" w:hanging="425"/>
      </w:pPr>
      <w:rPr>
        <w:rFonts w:hint="default" w:ascii="宋体" w:hAnsi="宋体" w:eastAsia="宋体" w:cs="宋体"/>
        <w:sz w:val="28"/>
        <w:szCs w:val="28"/>
      </w:rPr>
    </w:lvl>
  </w:abstractNum>
  <w:abstractNum w:abstractNumId="41">
    <w:nsid w:val="6BAF87E8"/>
    <w:multiLevelType w:val="multilevel"/>
    <w:tmpl w:val="6BAF87E8"/>
    <w:lvl w:ilvl="0" w:tentative="0">
      <w:start w:val="1"/>
      <w:numFmt w:val="decimal"/>
      <w:suff w:val="space"/>
      <w:lvlText w:val="11.%1  "/>
      <w:lvlJc w:val="left"/>
      <w:pPr>
        <w:tabs>
          <w:tab w:val="left" w:pos="0"/>
        </w:tabs>
        <w:ind w:left="420" w:hanging="42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0ABF637"/>
    <w:multiLevelType w:val="multilevel"/>
    <w:tmpl w:val="70ABF637"/>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b w:val="0"/>
        <w:bCs w:val="0"/>
        <w:sz w:val="28"/>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3">
    <w:nsid w:val="74F53DD4"/>
    <w:multiLevelType w:val="multilevel"/>
    <w:tmpl w:val="74F53DD4"/>
    <w:lvl w:ilvl="0" w:tentative="0">
      <w:start w:val="0"/>
      <w:numFmt w:val="decimal"/>
      <w:pStyle w:val="7"/>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4">
    <w:nsid w:val="76C77AD5"/>
    <w:multiLevelType w:val="multilevel"/>
    <w:tmpl w:val="76C77AD5"/>
    <w:lvl w:ilvl="0" w:tentative="0">
      <w:start w:val="1"/>
      <w:numFmt w:val="chineseCountingThousand"/>
      <w:pStyle w:val="138"/>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pStyle w:val="33"/>
      <w:lvlText w:val="%3."/>
      <w:lvlJc w:val="right"/>
      <w:pPr>
        <w:ind w:left="1260" w:hanging="420"/>
      </w:pPr>
    </w:lvl>
    <w:lvl w:ilvl="3" w:tentative="0">
      <w:start w:val="1"/>
      <w:numFmt w:val="decimal"/>
      <w:pStyle w:val="324"/>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7766F3A1"/>
    <w:multiLevelType w:val="multilevel"/>
    <w:tmpl w:val="7766F3A1"/>
    <w:lvl w:ilvl="0" w:tentative="0">
      <w:start w:val="1"/>
      <w:numFmt w:val="decimal"/>
      <w:suff w:val="space"/>
      <w:lvlText w:val="9.%1 "/>
      <w:lvlJc w:val="left"/>
      <w:pPr>
        <w:tabs>
          <w:tab w:val="left" w:pos="0"/>
        </w:tabs>
        <w:ind w:left="0" w:firstLine="0"/>
      </w:pPr>
      <w:rPr>
        <w:rFonts w:hint="default"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7E2E381D"/>
    <w:multiLevelType w:val="singleLevel"/>
    <w:tmpl w:val="7E2E381D"/>
    <w:lvl w:ilvl="0" w:tentative="0">
      <w:start w:val="1"/>
      <w:numFmt w:val="decimal"/>
      <w:lvlText w:val="(%1)"/>
      <w:lvlJc w:val="left"/>
      <w:pPr>
        <w:tabs>
          <w:tab w:val="left" w:pos="420"/>
        </w:tabs>
        <w:ind w:left="845" w:hanging="425"/>
      </w:pPr>
      <w:rPr>
        <w:rFonts w:hint="default" w:ascii="宋体" w:hAnsi="宋体" w:eastAsia="宋体" w:cs="宋体"/>
        <w:sz w:val="28"/>
        <w:szCs w:val="28"/>
      </w:rPr>
    </w:lvl>
  </w:abstractNum>
  <w:abstractNum w:abstractNumId="47">
    <w:nsid w:val="7E8DDE13"/>
    <w:multiLevelType w:val="multilevel"/>
    <w:tmpl w:val="7E8DDE13"/>
    <w:lvl w:ilvl="0" w:tentative="0">
      <w:start w:val="10"/>
      <w:numFmt w:val="decimal"/>
      <w:lvlText w:val="%1."/>
      <w:lvlJc w:val="left"/>
      <w:pPr>
        <w:ind w:left="425" w:hanging="425"/>
      </w:pPr>
      <w:rPr>
        <w:rFonts w:hint="default" w:ascii="宋体" w:hAnsi="宋体" w:eastAsia="宋体" w:cs="宋体"/>
      </w:rPr>
    </w:lvl>
    <w:lvl w:ilvl="1" w:tentative="0">
      <w:start w:val="3"/>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sz w:val="28"/>
        <w:szCs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3"/>
  </w:num>
  <w:num w:numId="2">
    <w:abstractNumId w:val="19"/>
  </w:num>
  <w:num w:numId="3">
    <w:abstractNumId w:val="32"/>
  </w:num>
  <w:num w:numId="4">
    <w:abstractNumId w:val="44"/>
  </w:num>
  <w:num w:numId="5">
    <w:abstractNumId w:val="37"/>
  </w:num>
  <w:num w:numId="6">
    <w:abstractNumId w:val="34"/>
  </w:num>
  <w:num w:numId="7">
    <w:abstractNumId w:val="29"/>
  </w:num>
  <w:num w:numId="8">
    <w:abstractNumId w:val="38"/>
  </w:num>
  <w:num w:numId="9">
    <w:abstractNumId w:val="22"/>
  </w:num>
  <w:num w:numId="10">
    <w:abstractNumId w:val="2"/>
  </w:num>
  <w:num w:numId="11">
    <w:abstractNumId w:val="18"/>
  </w:num>
  <w:num w:numId="12">
    <w:abstractNumId w:val="42"/>
  </w:num>
  <w:num w:numId="13">
    <w:abstractNumId w:val="25"/>
  </w:num>
  <w:num w:numId="14">
    <w:abstractNumId w:val="24"/>
  </w:num>
  <w:num w:numId="15">
    <w:abstractNumId w:val="8"/>
  </w:num>
  <w:num w:numId="16">
    <w:abstractNumId w:val="1"/>
  </w:num>
  <w:num w:numId="17">
    <w:abstractNumId w:val="39"/>
  </w:num>
  <w:num w:numId="18">
    <w:abstractNumId w:val="4"/>
  </w:num>
  <w:num w:numId="19">
    <w:abstractNumId w:val="23"/>
  </w:num>
  <w:num w:numId="20">
    <w:abstractNumId w:val="7"/>
  </w:num>
  <w:num w:numId="21">
    <w:abstractNumId w:val="11"/>
  </w:num>
  <w:num w:numId="22">
    <w:abstractNumId w:val="36"/>
  </w:num>
  <w:num w:numId="23">
    <w:abstractNumId w:val="20"/>
  </w:num>
  <w:num w:numId="24">
    <w:abstractNumId w:val="26"/>
  </w:num>
  <w:num w:numId="25">
    <w:abstractNumId w:val="13"/>
  </w:num>
  <w:num w:numId="26">
    <w:abstractNumId w:val="12"/>
  </w:num>
  <w:num w:numId="27">
    <w:abstractNumId w:val="6"/>
  </w:num>
  <w:num w:numId="28">
    <w:abstractNumId w:val="46"/>
  </w:num>
  <w:num w:numId="29">
    <w:abstractNumId w:val="45"/>
  </w:num>
  <w:num w:numId="30">
    <w:abstractNumId w:val="9"/>
  </w:num>
  <w:num w:numId="31">
    <w:abstractNumId w:val="31"/>
  </w:num>
  <w:num w:numId="32">
    <w:abstractNumId w:val="21"/>
  </w:num>
  <w:num w:numId="33">
    <w:abstractNumId w:val="33"/>
  </w:num>
  <w:num w:numId="34">
    <w:abstractNumId w:val="0"/>
  </w:num>
  <w:num w:numId="35">
    <w:abstractNumId w:val="35"/>
  </w:num>
  <w:num w:numId="36">
    <w:abstractNumId w:val="28"/>
  </w:num>
  <w:num w:numId="37">
    <w:abstractNumId w:val="47"/>
  </w:num>
  <w:num w:numId="38">
    <w:abstractNumId w:val="27"/>
  </w:num>
  <w:num w:numId="39">
    <w:abstractNumId w:val="14"/>
  </w:num>
  <w:num w:numId="40">
    <w:abstractNumId w:val="41"/>
  </w:num>
  <w:num w:numId="41">
    <w:abstractNumId w:val="10"/>
  </w:num>
  <w:num w:numId="42">
    <w:abstractNumId w:val="40"/>
  </w:num>
  <w:num w:numId="43">
    <w:abstractNumId w:val="16"/>
  </w:num>
  <w:num w:numId="44">
    <w:abstractNumId w:val="30"/>
  </w:num>
  <w:num w:numId="45">
    <w:abstractNumId w:val="15"/>
  </w:num>
  <w:num w:numId="46">
    <w:abstractNumId w:val="3"/>
  </w:num>
  <w:num w:numId="47">
    <w:abstractNumId w:val="17"/>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lZDQ2Mjg0NGJiZjc0MGY5NjFiMzc5M2I2NmVjMDAifQ=="/>
  </w:docVars>
  <w:rsids>
    <w:rsidRoot w:val="00547519"/>
    <w:rsid w:val="00000713"/>
    <w:rsid w:val="00005EE7"/>
    <w:rsid w:val="00007981"/>
    <w:rsid w:val="00010A5C"/>
    <w:rsid w:val="00012937"/>
    <w:rsid w:val="00017E6B"/>
    <w:rsid w:val="00022D8A"/>
    <w:rsid w:val="000231B5"/>
    <w:rsid w:val="0002369E"/>
    <w:rsid w:val="00025B19"/>
    <w:rsid w:val="0003186C"/>
    <w:rsid w:val="00035A12"/>
    <w:rsid w:val="00035AD8"/>
    <w:rsid w:val="00037BA4"/>
    <w:rsid w:val="000506BF"/>
    <w:rsid w:val="00050DC3"/>
    <w:rsid w:val="000510D1"/>
    <w:rsid w:val="000513DA"/>
    <w:rsid w:val="000522B9"/>
    <w:rsid w:val="000528F4"/>
    <w:rsid w:val="000543F9"/>
    <w:rsid w:val="00055665"/>
    <w:rsid w:val="00056847"/>
    <w:rsid w:val="00062634"/>
    <w:rsid w:val="00062AC4"/>
    <w:rsid w:val="00063697"/>
    <w:rsid w:val="00064A9C"/>
    <w:rsid w:val="000740DF"/>
    <w:rsid w:val="000751FA"/>
    <w:rsid w:val="00081F1C"/>
    <w:rsid w:val="00083B43"/>
    <w:rsid w:val="000851F5"/>
    <w:rsid w:val="000854AA"/>
    <w:rsid w:val="00086C10"/>
    <w:rsid w:val="00090082"/>
    <w:rsid w:val="000900C5"/>
    <w:rsid w:val="00090868"/>
    <w:rsid w:val="00092549"/>
    <w:rsid w:val="00096B74"/>
    <w:rsid w:val="00097583"/>
    <w:rsid w:val="000A0226"/>
    <w:rsid w:val="000A1B79"/>
    <w:rsid w:val="000A32F4"/>
    <w:rsid w:val="000A6D30"/>
    <w:rsid w:val="000A736F"/>
    <w:rsid w:val="000B0A20"/>
    <w:rsid w:val="000B0FFE"/>
    <w:rsid w:val="000B16FE"/>
    <w:rsid w:val="000B198A"/>
    <w:rsid w:val="000B25AB"/>
    <w:rsid w:val="000B459A"/>
    <w:rsid w:val="000B470C"/>
    <w:rsid w:val="000C043B"/>
    <w:rsid w:val="000C0C8A"/>
    <w:rsid w:val="000C1D48"/>
    <w:rsid w:val="000C329F"/>
    <w:rsid w:val="000C372E"/>
    <w:rsid w:val="000C62C2"/>
    <w:rsid w:val="000C7B35"/>
    <w:rsid w:val="000D437F"/>
    <w:rsid w:val="000D77F4"/>
    <w:rsid w:val="000E1B5F"/>
    <w:rsid w:val="000E28DD"/>
    <w:rsid w:val="000E6742"/>
    <w:rsid w:val="000F1054"/>
    <w:rsid w:val="000F2B98"/>
    <w:rsid w:val="00101A02"/>
    <w:rsid w:val="00103A83"/>
    <w:rsid w:val="00106F86"/>
    <w:rsid w:val="001104C8"/>
    <w:rsid w:val="00110A58"/>
    <w:rsid w:val="0011124B"/>
    <w:rsid w:val="00111667"/>
    <w:rsid w:val="001146F5"/>
    <w:rsid w:val="00114DC1"/>
    <w:rsid w:val="00114F77"/>
    <w:rsid w:val="0011734E"/>
    <w:rsid w:val="0012154A"/>
    <w:rsid w:val="00122F6F"/>
    <w:rsid w:val="00123EC0"/>
    <w:rsid w:val="00125F0A"/>
    <w:rsid w:val="001272E6"/>
    <w:rsid w:val="00127430"/>
    <w:rsid w:val="00130F69"/>
    <w:rsid w:val="00131935"/>
    <w:rsid w:val="00135732"/>
    <w:rsid w:val="00140F65"/>
    <w:rsid w:val="00141ADE"/>
    <w:rsid w:val="001437D7"/>
    <w:rsid w:val="001454D3"/>
    <w:rsid w:val="001455C0"/>
    <w:rsid w:val="001478D3"/>
    <w:rsid w:val="00151925"/>
    <w:rsid w:val="00157AE5"/>
    <w:rsid w:val="00157D55"/>
    <w:rsid w:val="001605B3"/>
    <w:rsid w:val="0016308E"/>
    <w:rsid w:val="0016314C"/>
    <w:rsid w:val="00165085"/>
    <w:rsid w:val="00165EFD"/>
    <w:rsid w:val="0017077E"/>
    <w:rsid w:val="00174EB1"/>
    <w:rsid w:val="00175445"/>
    <w:rsid w:val="00175CAD"/>
    <w:rsid w:val="00177452"/>
    <w:rsid w:val="001804DD"/>
    <w:rsid w:val="001808EB"/>
    <w:rsid w:val="00186472"/>
    <w:rsid w:val="00186645"/>
    <w:rsid w:val="0019322F"/>
    <w:rsid w:val="00196B65"/>
    <w:rsid w:val="001974CC"/>
    <w:rsid w:val="001A0E03"/>
    <w:rsid w:val="001A34D7"/>
    <w:rsid w:val="001A4FB1"/>
    <w:rsid w:val="001A622E"/>
    <w:rsid w:val="001B285F"/>
    <w:rsid w:val="001B3CAB"/>
    <w:rsid w:val="001B527A"/>
    <w:rsid w:val="001B6201"/>
    <w:rsid w:val="001C175F"/>
    <w:rsid w:val="001C17E0"/>
    <w:rsid w:val="001C3256"/>
    <w:rsid w:val="001C3CBC"/>
    <w:rsid w:val="001C3FA0"/>
    <w:rsid w:val="001C430F"/>
    <w:rsid w:val="001C5439"/>
    <w:rsid w:val="001C5B30"/>
    <w:rsid w:val="001D116F"/>
    <w:rsid w:val="001D2DF5"/>
    <w:rsid w:val="001D4D0D"/>
    <w:rsid w:val="001D55BD"/>
    <w:rsid w:val="001E0BE0"/>
    <w:rsid w:val="001E1526"/>
    <w:rsid w:val="001E5432"/>
    <w:rsid w:val="001F5B71"/>
    <w:rsid w:val="001F60FA"/>
    <w:rsid w:val="002015F6"/>
    <w:rsid w:val="00201AFF"/>
    <w:rsid w:val="00203A08"/>
    <w:rsid w:val="00204E17"/>
    <w:rsid w:val="00205B78"/>
    <w:rsid w:val="002105DA"/>
    <w:rsid w:val="00210F83"/>
    <w:rsid w:val="0021183A"/>
    <w:rsid w:val="002155A5"/>
    <w:rsid w:val="00220B30"/>
    <w:rsid w:val="002215EB"/>
    <w:rsid w:val="00231D1C"/>
    <w:rsid w:val="00233FC6"/>
    <w:rsid w:val="00237EBD"/>
    <w:rsid w:val="00241F0B"/>
    <w:rsid w:val="00247EC5"/>
    <w:rsid w:val="00251487"/>
    <w:rsid w:val="00254164"/>
    <w:rsid w:val="00256128"/>
    <w:rsid w:val="00256C5F"/>
    <w:rsid w:val="00256EDA"/>
    <w:rsid w:val="0026314E"/>
    <w:rsid w:val="00263C18"/>
    <w:rsid w:val="002717CE"/>
    <w:rsid w:val="0028093B"/>
    <w:rsid w:val="00284CF4"/>
    <w:rsid w:val="0028517A"/>
    <w:rsid w:val="00287F18"/>
    <w:rsid w:val="0029435B"/>
    <w:rsid w:val="00294BD0"/>
    <w:rsid w:val="0029642D"/>
    <w:rsid w:val="00296918"/>
    <w:rsid w:val="00297F48"/>
    <w:rsid w:val="00297FA3"/>
    <w:rsid w:val="002A0117"/>
    <w:rsid w:val="002A3B88"/>
    <w:rsid w:val="002A3C2B"/>
    <w:rsid w:val="002A412C"/>
    <w:rsid w:val="002B5509"/>
    <w:rsid w:val="002C164F"/>
    <w:rsid w:val="002C23BB"/>
    <w:rsid w:val="002C5E82"/>
    <w:rsid w:val="002C7792"/>
    <w:rsid w:val="002D7742"/>
    <w:rsid w:val="002E0F3B"/>
    <w:rsid w:val="002E51F3"/>
    <w:rsid w:val="002F0447"/>
    <w:rsid w:val="002F2CC5"/>
    <w:rsid w:val="002F2CED"/>
    <w:rsid w:val="002F38FB"/>
    <w:rsid w:val="002F3B52"/>
    <w:rsid w:val="002F6E18"/>
    <w:rsid w:val="00304ECF"/>
    <w:rsid w:val="00312918"/>
    <w:rsid w:val="00315774"/>
    <w:rsid w:val="00317A30"/>
    <w:rsid w:val="00317CDF"/>
    <w:rsid w:val="003236DC"/>
    <w:rsid w:val="00323BBD"/>
    <w:rsid w:val="00324BAE"/>
    <w:rsid w:val="00324E4E"/>
    <w:rsid w:val="00325A41"/>
    <w:rsid w:val="00325DEF"/>
    <w:rsid w:val="003266E9"/>
    <w:rsid w:val="0032715D"/>
    <w:rsid w:val="0032786F"/>
    <w:rsid w:val="00332805"/>
    <w:rsid w:val="003330E2"/>
    <w:rsid w:val="00333896"/>
    <w:rsid w:val="0033545E"/>
    <w:rsid w:val="00340887"/>
    <w:rsid w:val="00341B05"/>
    <w:rsid w:val="00341FC0"/>
    <w:rsid w:val="00347149"/>
    <w:rsid w:val="00352591"/>
    <w:rsid w:val="00352B54"/>
    <w:rsid w:val="00352F6A"/>
    <w:rsid w:val="00353E45"/>
    <w:rsid w:val="003544D8"/>
    <w:rsid w:val="00356BA2"/>
    <w:rsid w:val="0035715E"/>
    <w:rsid w:val="003573E2"/>
    <w:rsid w:val="00357645"/>
    <w:rsid w:val="003607C4"/>
    <w:rsid w:val="003642DF"/>
    <w:rsid w:val="0036584F"/>
    <w:rsid w:val="00365FE2"/>
    <w:rsid w:val="00367A65"/>
    <w:rsid w:val="0037496C"/>
    <w:rsid w:val="00374E29"/>
    <w:rsid w:val="00382BEC"/>
    <w:rsid w:val="0038425B"/>
    <w:rsid w:val="00385694"/>
    <w:rsid w:val="00385FA8"/>
    <w:rsid w:val="00395E62"/>
    <w:rsid w:val="003A1AC2"/>
    <w:rsid w:val="003A34E4"/>
    <w:rsid w:val="003A6596"/>
    <w:rsid w:val="003B19FB"/>
    <w:rsid w:val="003B1C32"/>
    <w:rsid w:val="003B2AF3"/>
    <w:rsid w:val="003B329F"/>
    <w:rsid w:val="003B5210"/>
    <w:rsid w:val="003C1C2D"/>
    <w:rsid w:val="003C360E"/>
    <w:rsid w:val="003C3EAD"/>
    <w:rsid w:val="003C4293"/>
    <w:rsid w:val="003C4863"/>
    <w:rsid w:val="003C4BB0"/>
    <w:rsid w:val="003C5AB5"/>
    <w:rsid w:val="003C79F0"/>
    <w:rsid w:val="003C7D34"/>
    <w:rsid w:val="003C7FD5"/>
    <w:rsid w:val="003D1DCE"/>
    <w:rsid w:val="003D24A7"/>
    <w:rsid w:val="003D2702"/>
    <w:rsid w:val="003D5CBC"/>
    <w:rsid w:val="003E1EC5"/>
    <w:rsid w:val="003E270D"/>
    <w:rsid w:val="003E2948"/>
    <w:rsid w:val="003E6485"/>
    <w:rsid w:val="003E66F1"/>
    <w:rsid w:val="003E7CF3"/>
    <w:rsid w:val="003F0042"/>
    <w:rsid w:val="003F12EC"/>
    <w:rsid w:val="003F271F"/>
    <w:rsid w:val="003F3C69"/>
    <w:rsid w:val="00401764"/>
    <w:rsid w:val="00401B5C"/>
    <w:rsid w:val="00401DF2"/>
    <w:rsid w:val="00403085"/>
    <w:rsid w:val="00412012"/>
    <w:rsid w:val="00413A98"/>
    <w:rsid w:val="004172A4"/>
    <w:rsid w:val="004203C4"/>
    <w:rsid w:val="00425CDF"/>
    <w:rsid w:val="00430063"/>
    <w:rsid w:val="0043072B"/>
    <w:rsid w:val="004320A0"/>
    <w:rsid w:val="00433373"/>
    <w:rsid w:val="00433491"/>
    <w:rsid w:val="00441BD2"/>
    <w:rsid w:val="00443F61"/>
    <w:rsid w:val="00444867"/>
    <w:rsid w:val="00454FDF"/>
    <w:rsid w:val="004570E6"/>
    <w:rsid w:val="00465845"/>
    <w:rsid w:val="00465C21"/>
    <w:rsid w:val="004667BC"/>
    <w:rsid w:val="00473143"/>
    <w:rsid w:val="0047515F"/>
    <w:rsid w:val="00480CB5"/>
    <w:rsid w:val="00481BA8"/>
    <w:rsid w:val="00481CAB"/>
    <w:rsid w:val="00483596"/>
    <w:rsid w:val="0048385C"/>
    <w:rsid w:val="00483934"/>
    <w:rsid w:val="00484979"/>
    <w:rsid w:val="004872C9"/>
    <w:rsid w:val="00491424"/>
    <w:rsid w:val="00492020"/>
    <w:rsid w:val="00493B5B"/>
    <w:rsid w:val="00494246"/>
    <w:rsid w:val="004B0682"/>
    <w:rsid w:val="004B3ED5"/>
    <w:rsid w:val="004C2137"/>
    <w:rsid w:val="004C2830"/>
    <w:rsid w:val="004D17FE"/>
    <w:rsid w:val="004D6015"/>
    <w:rsid w:val="004D7BF5"/>
    <w:rsid w:val="004E1A76"/>
    <w:rsid w:val="004E4620"/>
    <w:rsid w:val="004E6585"/>
    <w:rsid w:val="004E6C82"/>
    <w:rsid w:val="004F2FFB"/>
    <w:rsid w:val="004F4289"/>
    <w:rsid w:val="004F516E"/>
    <w:rsid w:val="004F6091"/>
    <w:rsid w:val="004F750C"/>
    <w:rsid w:val="0050057F"/>
    <w:rsid w:val="00511DA7"/>
    <w:rsid w:val="0051529F"/>
    <w:rsid w:val="0051601C"/>
    <w:rsid w:val="00523C1F"/>
    <w:rsid w:val="00525CFB"/>
    <w:rsid w:val="0052632C"/>
    <w:rsid w:val="00526826"/>
    <w:rsid w:val="00526DEB"/>
    <w:rsid w:val="0052729B"/>
    <w:rsid w:val="0052735E"/>
    <w:rsid w:val="00533694"/>
    <w:rsid w:val="00534285"/>
    <w:rsid w:val="005364DE"/>
    <w:rsid w:val="005368E6"/>
    <w:rsid w:val="00540571"/>
    <w:rsid w:val="005414E8"/>
    <w:rsid w:val="00541AA0"/>
    <w:rsid w:val="00546E74"/>
    <w:rsid w:val="00547519"/>
    <w:rsid w:val="00550260"/>
    <w:rsid w:val="005529C8"/>
    <w:rsid w:val="005559D1"/>
    <w:rsid w:val="00556857"/>
    <w:rsid w:val="0056032C"/>
    <w:rsid w:val="0056382E"/>
    <w:rsid w:val="00563B5E"/>
    <w:rsid w:val="00565101"/>
    <w:rsid w:val="00565898"/>
    <w:rsid w:val="00565F5D"/>
    <w:rsid w:val="00570BEE"/>
    <w:rsid w:val="00572127"/>
    <w:rsid w:val="00572AB0"/>
    <w:rsid w:val="005730AB"/>
    <w:rsid w:val="005775EE"/>
    <w:rsid w:val="0058017F"/>
    <w:rsid w:val="00583EE2"/>
    <w:rsid w:val="0058532E"/>
    <w:rsid w:val="00594F59"/>
    <w:rsid w:val="005A30F6"/>
    <w:rsid w:val="005A6D58"/>
    <w:rsid w:val="005B15C2"/>
    <w:rsid w:val="005B4588"/>
    <w:rsid w:val="005B4D7D"/>
    <w:rsid w:val="005B5130"/>
    <w:rsid w:val="005B58B0"/>
    <w:rsid w:val="005B760B"/>
    <w:rsid w:val="005C17EF"/>
    <w:rsid w:val="005C45CB"/>
    <w:rsid w:val="005C681F"/>
    <w:rsid w:val="005C7545"/>
    <w:rsid w:val="005D19A6"/>
    <w:rsid w:val="005D1B5D"/>
    <w:rsid w:val="005D404F"/>
    <w:rsid w:val="005D675C"/>
    <w:rsid w:val="005D67B8"/>
    <w:rsid w:val="005E352F"/>
    <w:rsid w:val="005E43A4"/>
    <w:rsid w:val="005F0803"/>
    <w:rsid w:val="005F104A"/>
    <w:rsid w:val="005F2940"/>
    <w:rsid w:val="005F4485"/>
    <w:rsid w:val="005F70CE"/>
    <w:rsid w:val="005F7402"/>
    <w:rsid w:val="00604127"/>
    <w:rsid w:val="006045AD"/>
    <w:rsid w:val="00605EE5"/>
    <w:rsid w:val="00605FBE"/>
    <w:rsid w:val="00610064"/>
    <w:rsid w:val="0061376A"/>
    <w:rsid w:val="006138CC"/>
    <w:rsid w:val="00614D23"/>
    <w:rsid w:val="0062047D"/>
    <w:rsid w:val="006223A1"/>
    <w:rsid w:val="00623D2F"/>
    <w:rsid w:val="006251AD"/>
    <w:rsid w:val="00626EA5"/>
    <w:rsid w:val="00627798"/>
    <w:rsid w:val="006325CC"/>
    <w:rsid w:val="00634E7D"/>
    <w:rsid w:val="00634EC3"/>
    <w:rsid w:val="00636E68"/>
    <w:rsid w:val="0063785A"/>
    <w:rsid w:val="0064066C"/>
    <w:rsid w:val="00640E70"/>
    <w:rsid w:val="0064215E"/>
    <w:rsid w:val="00642498"/>
    <w:rsid w:val="006437EB"/>
    <w:rsid w:val="00644293"/>
    <w:rsid w:val="00650C63"/>
    <w:rsid w:val="00651899"/>
    <w:rsid w:val="00653341"/>
    <w:rsid w:val="006534FD"/>
    <w:rsid w:val="0065660D"/>
    <w:rsid w:val="00657475"/>
    <w:rsid w:val="0065778B"/>
    <w:rsid w:val="0066039D"/>
    <w:rsid w:val="006614B0"/>
    <w:rsid w:val="00661E12"/>
    <w:rsid w:val="006631FF"/>
    <w:rsid w:val="00663AF9"/>
    <w:rsid w:val="006656CE"/>
    <w:rsid w:val="006670C2"/>
    <w:rsid w:val="00670A5F"/>
    <w:rsid w:val="00671C75"/>
    <w:rsid w:val="00673AAE"/>
    <w:rsid w:val="006757C2"/>
    <w:rsid w:val="00677A41"/>
    <w:rsid w:val="00680492"/>
    <w:rsid w:val="0068126C"/>
    <w:rsid w:val="0068220C"/>
    <w:rsid w:val="006826BA"/>
    <w:rsid w:val="00687697"/>
    <w:rsid w:val="006909E4"/>
    <w:rsid w:val="00696CFB"/>
    <w:rsid w:val="00696EF7"/>
    <w:rsid w:val="006972F1"/>
    <w:rsid w:val="00697928"/>
    <w:rsid w:val="006A04F7"/>
    <w:rsid w:val="006A1560"/>
    <w:rsid w:val="006A1750"/>
    <w:rsid w:val="006A4578"/>
    <w:rsid w:val="006A46F9"/>
    <w:rsid w:val="006A5408"/>
    <w:rsid w:val="006A634E"/>
    <w:rsid w:val="006B0467"/>
    <w:rsid w:val="006B30CF"/>
    <w:rsid w:val="006B68DA"/>
    <w:rsid w:val="006B7972"/>
    <w:rsid w:val="006C21BB"/>
    <w:rsid w:val="006C4079"/>
    <w:rsid w:val="006C428E"/>
    <w:rsid w:val="006C45A5"/>
    <w:rsid w:val="006D17C2"/>
    <w:rsid w:val="006D2D65"/>
    <w:rsid w:val="006D602A"/>
    <w:rsid w:val="006D6372"/>
    <w:rsid w:val="006E53B5"/>
    <w:rsid w:val="006E6E0E"/>
    <w:rsid w:val="006E7019"/>
    <w:rsid w:val="006E7449"/>
    <w:rsid w:val="006E7825"/>
    <w:rsid w:val="006F4964"/>
    <w:rsid w:val="006F4F14"/>
    <w:rsid w:val="006F733D"/>
    <w:rsid w:val="00702903"/>
    <w:rsid w:val="00705D9D"/>
    <w:rsid w:val="00711D76"/>
    <w:rsid w:val="00715FA7"/>
    <w:rsid w:val="00716872"/>
    <w:rsid w:val="00720912"/>
    <w:rsid w:val="00721A5B"/>
    <w:rsid w:val="00724552"/>
    <w:rsid w:val="007363F9"/>
    <w:rsid w:val="00740415"/>
    <w:rsid w:val="0074111B"/>
    <w:rsid w:val="00747B96"/>
    <w:rsid w:val="00751452"/>
    <w:rsid w:val="00751AFF"/>
    <w:rsid w:val="00755CEA"/>
    <w:rsid w:val="00760C0D"/>
    <w:rsid w:val="00761A70"/>
    <w:rsid w:val="00765104"/>
    <w:rsid w:val="00766309"/>
    <w:rsid w:val="00767A2B"/>
    <w:rsid w:val="00775241"/>
    <w:rsid w:val="00777081"/>
    <w:rsid w:val="00777986"/>
    <w:rsid w:val="00781C8E"/>
    <w:rsid w:val="00785C70"/>
    <w:rsid w:val="007861F5"/>
    <w:rsid w:val="007871FA"/>
    <w:rsid w:val="0079084D"/>
    <w:rsid w:val="00793425"/>
    <w:rsid w:val="007A133F"/>
    <w:rsid w:val="007A3260"/>
    <w:rsid w:val="007A3AE8"/>
    <w:rsid w:val="007A60E0"/>
    <w:rsid w:val="007A65E5"/>
    <w:rsid w:val="007A778E"/>
    <w:rsid w:val="007B0A46"/>
    <w:rsid w:val="007B4102"/>
    <w:rsid w:val="007B6A67"/>
    <w:rsid w:val="007B7BE6"/>
    <w:rsid w:val="007C23F3"/>
    <w:rsid w:val="007C3AAB"/>
    <w:rsid w:val="007C3BD8"/>
    <w:rsid w:val="007C6078"/>
    <w:rsid w:val="007C6395"/>
    <w:rsid w:val="007C65AE"/>
    <w:rsid w:val="007C7355"/>
    <w:rsid w:val="007D08B3"/>
    <w:rsid w:val="007D09D1"/>
    <w:rsid w:val="007D0B55"/>
    <w:rsid w:val="007D27DF"/>
    <w:rsid w:val="007D52EB"/>
    <w:rsid w:val="007D5CD4"/>
    <w:rsid w:val="007E04B3"/>
    <w:rsid w:val="007E2D0D"/>
    <w:rsid w:val="007E4E75"/>
    <w:rsid w:val="007E600F"/>
    <w:rsid w:val="007E63C8"/>
    <w:rsid w:val="007E652D"/>
    <w:rsid w:val="007F1A3D"/>
    <w:rsid w:val="007F7D5D"/>
    <w:rsid w:val="00801C1B"/>
    <w:rsid w:val="00803658"/>
    <w:rsid w:val="00803A7A"/>
    <w:rsid w:val="00804200"/>
    <w:rsid w:val="00804AA4"/>
    <w:rsid w:val="008124B6"/>
    <w:rsid w:val="0081321B"/>
    <w:rsid w:val="00814D92"/>
    <w:rsid w:val="0082046B"/>
    <w:rsid w:val="0082091B"/>
    <w:rsid w:val="00820C0D"/>
    <w:rsid w:val="00823A37"/>
    <w:rsid w:val="008262C6"/>
    <w:rsid w:val="00826F87"/>
    <w:rsid w:val="00830742"/>
    <w:rsid w:val="008340DF"/>
    <w:rsid w:val="008348B4"/>
    <w:rsid w:val="00835709"/>
    <w:rsid w:val="0083767D"/>
    <w:rsid w:val="008448CF"/>
    <w:rsid w:val="00845FD8"/>
    <w:rsid w:val="00847F57"/>
    <w:rsid w:val="00854845"/>
    <w:rsid w:val="008579F2"/>
    <w:rsid w:val="0086065F"/>
    <w:rsid w:val="008615D9"/>
    <w:rsid w:val="00867427"/>
    <w:rsid w:val="00870ACB"/>
    <w:rsid w:val="00871D7F"/>
    <w:rsid w:val="0087280D"/>
    <w:rsid w:val="00873634"/>
    <w:rsid w:val="00873F33"/>
    <w:rsid w:val="008754CE"/>
    <w:rsid w:val="00876789"/>
    <w:rsid w:val="008827CA"/>
    <w:rsid w:val="00882896"/>
    <w:rsid w:val="00882E56"/>
    <w:rsid w:val="00884498"/>
    <w:rsid w:val="00890562"/>
    <w:rsid w:val="00892417"/>
    <w:rsid w:val="008A03A4"/>
    <w:rsid w:val="008A173B"/>
    <w:rsid w:val="008A1F6C"/>
    <w:rsid w:val="008A26EA"/>
    <w:rsid w:val="008A69CF"/>
    <w:rsid w:val="008B51B3"/>
    <w:rsid w:val="008B54FD"/>
    <w:rsid w:val="008C4442"/>
    <w:rsid w:val="008C7380"/>
    <w:rsid w:val="008D1B27"/>
    <w:rsid w:val="008D2E23"/>
    <w:rsid w:val="008D6829"/>
    <w:rsid w:val="008D6C7C"/>
    <w:rsid w:val="008D6FE6"/>
    <w:rsid w:val="008E0EF4"/>
    <w:rsid w:val="008E12DE"/>
    <w:rsid w:val="008E4225"/>
    <w:rsid w:val="008E64B6"/>
    <w:rsid w:val="008F166E"/>
    <w:rsid w:val="008F2E40"/>
    <w:rsid w:val="008F64F4"/>
    <w:rsid w:val="008F6EBB"/>
    <w:rsid w:val="00905207"/>
    <w:rsid w:val="00905C57"/>
    <w:rsid w:val="0090650F"/>
    <w:rsid w:val="009108BD"/>
    <w:rsid w:val="009143C3"/>
    <w:rsid w:val="00920942"/>
    <w:rsid w:val="00920C0E"/>
    <w:rsid w:val="009240F9"/>
    <w:rsid w:val="00925911"/>
    <w:rsid w:val="009259D1"/>
    <w:rsid w:val="009269BD"/>
    <w:rsid w:val="00926B58"/>
    <w:rsid w:val="009307E3"/>
    <w:rsid w:val="00933FF1"/>
    <w:rsid w:val="009362EA"/>
    <w:rsid w:val="00941A14"/>
    <w:rsid w:val="00943C03"/>
    <w:rsid w:val="0094716A"/>
    <w:rsid w:val="00952535"/>
    <w:rsid w:val="009535FB"/>
    <w:rsid w:val="00961B6D"/>
    <w:rsid w:val="0096316A"/>
    <w:rsid w:val="00966989"/>
    <w:rsid w:val="00966F58"/>
    <w:rsid w:val="00971AE5"/>
    <w:rsid w:val="00974BB2"/>
    <w:rsid w:val="009769E3"/>
    <w:rsid w:val="009772F2"/>
    <w:rsid w:val="00977A1B"/>
    <w:rsid w:val="009862B7"/>
    <w:rsid w:val="00987E16"/>
    <w:rsid w:val="00992E08"/>
    <w:rsid w:val="009949BF"/>
    <w:rsid w:val="009973A9"/>
    <w:rsid w:val="009A3F58"/>
    <w:rsid w:val="009A7F4B"/>
    <w:rsid w:val="009B2F83"/>
    <w:rsid w:val="009B5B1F"/>
    <w:rsid w:val="009C10D3"/>
    <w:rsid w:val="009C2DA8"/>
    <w:rsid w:val="009C67FC"/>
    <w:rsid w:val="009D23A4"/>
    <w:rsid w:val="009D51C5"/>
    <w:rsid w:val="009D74E6"/>
    <w:rsid w:val="009D764A"/>
    <w:rsid w:val="009E317D"/>
    <w:rsid w:val="009E461D"/>
    <w:rsid w:val="009E4F04"/>
    <w:rsid w:val="009E545A"/>
    <w:rsid w:val="009E71EB"/>
    <w:rsid w:val="009F2BD7"/>
    <w:rsid w:val="009F5060"/>
    <w:rsid w:val="009F56B2"/>
    <w:rsid w:val="009F5C7D"/>
    <w:rsid w:val="009F7121"/>
    <w:rsid w:val="00A015B1"/>
    <w:rsid w:val="00A01A2B"/>
    <w:rsid w:val="00A01E16"/>
    <w:rsid w:val="00A0379B"/>
    <w:rsid w:val="00A040E1"/>
    <w:rsid w:val="00A0549E"/>
    <w:rsid w:val="00A07443"/>
    <w:rsid w:val="00A07C77"/>
    <w:rsid w:val="00A11E40"/>
    <w:rsid w:val="00A1322E"/>
    <w:rsid w:val="00A13C99"/>
    <w:rsid w:val="00A155F7"/>
    <w:rsid w:val="00A15F35"/>
    <w:rsid w:val="00A245EF"/>
    <w:rsid w:val="00A262D9"/>
    <w:rsid w:val="00A267F7"/>
    <w:rsid w:val="00A27229"/>
    <w:rsid w:val="00A31E63"/>
    <w:rsid w:val="00A343DB"/>
    <w:rsid w:val="00A372AA"/>
    <w:rsid w:val="00A42023"/>
    <w:rsid w:val="00A4215D"/>
    <w:rsid w:val="00A46669"/>
    <w:rsid w:val="00A47835"/>
    <w:rsid w:val="00A524D4"/>
    <w:rsid w:val="00A53C07"/>
    <w:rsid w:val="00A61962"/>
    <w:rsid w:val="00A67CAD"/>
    <w:rsid w:val="00A72168"/>
    <w:rsid w:val="00A738EE"/>
    <w:rsid w:val="00A755E8"/>
    <w:rsid w:val="00A76E7B"/>
    <w:rsid w:val="00A80FC9"/>
    <w:rsid w:val="00A83C7E"/>
    <w:rsid w:val="00A86294"/>
    <w:rsid w:val="00A87965"/>
    <w:rsid w:val="00A94D98"/>
    <w:rsid w:val="00A95AE8"/>
    <w:rsid w:val="00AA03CF"/>
    <w:rsid w:val="00AA10AC"/>
    <w:rsid w:val="00AB07A4"/>
    <w:rsid w:val="00AB1541"/>
    <w:rsid w:val="00AB450B"/>
    <w:rsid w:val="00AB596E"/>
    <w:rsid w:val="00AB5F33"/>
    <w:rsid w:val="00AB7248"/>
    <w:rsid w:val="00AC107B"/>
    <w:rsid w:val="00AC1FC4"/>
    <w:rsid w:val="00AC25BF"/>
    <w:rsid w:val="00AC3122"/>
    <w:rsid w:val="00AC36BE"/>
    <w:rsid w:val="00AC3F8C"/>
    <w:rsid w:val="00AC594E"/>
    <w:rsid w:val="00AC6F46"/>
    <w:rsid w:val="00AC7F1F"/>
    <w:rsid w:val="00AD15E8"/>
    <w:rsid w:val="00AD36EB"/>
    <w:rsid w:val="00AE07B5"/>
    <w:rsid w:val="00AE1A7C"/>
    <w:rsid w:val="00AE3859"/>
    <w:rsid w:val="00AE70F8"/>
    <w:rsid w:val="00AF1410"/>
    <w:rsid w:val="00AF23FE"/>
    <w:rsid w:val="00AF45FE"/>
    <w:rsid w:val="00AF49C6"/>
    <w:rsid w:val="00AF4F77"/>
    <w:rsid w:val="00B051EB"/>
    <w:rsid w:val="00B05569"/>
    <w:rsid w:val="00B10037"/>
    <w:rsid w:val="00B1032D"/>
    <w:rsid w:val="00B10D14"/>
    <w:rsid w:val="00B13B0B"/>
    <w:rsid w:val="00B15382"/>
    <w:rsid w:val="00B1590A"/>
    <w:rsid w:val="00B170D3"/>
    <w:rsid w:val="00B224B1"/>
    <w:rsid w:val="00B255E9"/>
    <w:rsid w:val="00B27311"/>
    <w:rsid w:val="00B27363"/>
    <w:rsid w:val="00B30FE1"/>
    <w:rsid w:val="00B345ED"/>
    <w:rsid w:val="00B35CA8"/>
    <w:rsid w:val="00B36E2A"/>
    <w:rsid w:val="00B376E9"/>
    <w:rsid w:val="00B37AAF"/>
    <w:rsid w:val="00B426EF"/>
    <w:rsid w:val="00B43B2A"/>
    <w:rsid w:val="00B450F8"/>
    <w:rsid w:val="00B531E9"/>
    <w:rsid w:val="00B54C52"/>
    <w:rsid w:val="00B5751E"/>
    <w:rsid w:val="00B60129"/>
    <w:rsid w:val="00B62AA1"/>
    <w:rsid w:val="00B64B33"/>
    <w:rsid w:val="00B66699"/>
    <w:rsid w:val="00B723F9"/>
    <w:rsid w:val="00B727C1"/>
    <w:rsid w:val="00B728D8"/>
    <w:rsid w:val="00B7555D"/>
    <w:rsid w:val="00B765BD"/>
    <w:rsid w:val="00B82B6C"/>
    <w:rsid w:val="00B840F4"/>
    <w:rsid w:val="00B907B3"/>
    <w:rsid w:val="00B93D61"/>
    <w:rsid w:val="00B96BD5"/>
    <w:rsid w:val="00BA067A"/>
    <w:rsid w:val="00BA2576"/>
    <w:rsid w:val="00BA4474"/>
    <w:rsid w:val="00BA7F97"/>
    <w:rsid w:val="00BB17E2"/>
    <w:rsid w:val="00BB35FA"/>
    <w:rsid w:val="00BC19C0"/>
    <w:rsid w:val="00BC1F8B"/>
    <w:rsid w:val="00BC22EC"/>
    <w:rsid w:val="00BC36FB"/>
    <w:rsid w:val="00BC5DBC"/>
    <w:rsid w:val="00BC63D8"/>
    <w:rsid w:val="00BD129A"/>
    <w:rsid w:val="00BE1545"/>
    <w:rsid w:val="00BE6E18"/>
    <w:rsid w:val="00BF4836"/>
    <w:rsid w:val="00BF4DC5"/>
    <w:rsid w:val="00BF79B0"/>
    <w:rsid w:val="00BF7C18"/>
    <w:rsid w:val="00C01D47"/>
    <w:rsid w:val="00C02D65"/>
    <w:rsid w:val="00C05387"/>
    <w:rsid w:val="00C05533"/>
    <w:rsid w:val="00C0702C"/>
    <w:rsid w:val="00C11ADB"/>
    <w:rsid w:val="00C11B67"/>
    <w:rsid w:val="00C1430E"/>
    <w:rsid w:val="00C163BD"/>
    <w:rsid w:val="00C16FB9"/>
    <w:rsid w:val="00C2751B"/>
    <w:rsid w:val="00C27C37"/>
    <w:rsid w:val="00C34248"/>
    <w:rsid w:val="00C3646B"/>
    <w:rsid w:val="00C42FA6"/>
    <w:rsid w:val="00C51136"/>
    <w:rsid w:val="00C53C9A"/>
    <w:rsid w:val="00C551AE"/>
    <w:rsid w:val="00C5692E"/>
    <w:rsid w:val="00C57652"/>
    <w:rsid w:val="00C612B6"/>
    <w:rsid w:val="00C63C98"/>
    <w:rsid w:val="00C6406F"/>
    <w:rsid w:val="00C67AC0"/>
    <w:rsid w:val="00C67DC2"/>
    <w:rsid w:val="00C73461"/>
    <w:rsid w:val="00C77EC8"/>
    <w:rsid w:val="00C81867"/>
    <w:rsid w:val="00C846DD"/>
    <w:rsid w:val="00C943C1"/>
    <w:rsid w:val="00C968BE"/>
    <w:rsid w:val="00C9712B"/>
    <w:rsid w:val="00C976A8"/>
    <w:rsid w:val="00C9777C"/>
    <w:rsid w:val="00CA1516"/>
    <w:rsid w:val="00CA2AA4"/>
    <w:rsid w:val="00CA3133"/>
    <w:rsid w:val="00CA4255"/>
    <w:rsid w:val="00CA4310"/>
    <w:rsid w:val="00CA4BD8"/>
    <w:rsid w:val="00CA58FF"/>
    <w:rsid w:val="00CB018E"/>
    <w:rsid w:val="00CB31B5"/>
    <w:rsid w:val="00CB384C"/>
    <w:rsid w:val="00CB3CE3"/>
    <w:rsid w:val="00CB4E9F"/>
    <w:rsid w:val="00CB607D"/>
    <w:rsid w:val="00CB62FD"/>
    <w:rsid w:val="00CB77C9"/>
    <w:rsid w:val="00CB7F4F"/>
    <w:rsid w:val="00CC2178"/>
    <w:rsid w:val="00CC2FA0"/>
    <w:rsid w:val="00CC5231"/>
    <w:rsid w:val="00CC5D81"/>
    <w:rsid w:val="00CC776E"/>
    <w:rsid w:val="00CD4DBF"/>
    <w:rsid w:val="00CE3C2F"/>
    <w:rsid w:val="00CE4E4A"/>
    <w:rsid w:val="00CE5833"/>
    <w:rsid w:val="00CE7AEB"/>
    <w:rsid w:val="00CF382A"/>
    <w:rsid w:val="00D00120"/>
    <w:rsid w:val="00D034EA"/>
    <w:rsid w:val="00D03EE0"/>
    <w:rsid w:val="00D040E1"/>
    <w:rsid w:val="00D100A8"/>
    <w:rsid w:val="00D11C4D"/>
    <w:rsid w:val="00D12D09"/>
    <w:rsid w:val="00D12ED2"/>
    <w:rsid w:val="00D15C6B"/>
    <w:rsid w:val="00D16E65"/>
    <w:rsid w:val="00D174FB"/>
    <w:rsid w:val="00D22847"/>
    <w:rsid w:val="00D22C6C"/>
    <w:rsid w:val="00D240BD"/>
    <w:rsid w:val="00D24CAF"/>
    <w:rsid w:val="00D320D1"/>
    <w:rsid w:val="00D32BD5"/>
    <w:rsid w:val="00D33C7C"/>
    <w:rsid w:val="00D4057D"/>
    <w:rsid w:val="00D407F5"/>
    <w:rsid w:val="00D40808"/>
    <w:rsid w:val="00D412C7"/>
    <w:rsid w:val="00D43639"/>
    <w:rsid w:val="00D47D49"/>
    <w:rsid w:val="00D51AEF"/>
    <w:rsid w:val="00D52E14"/>
    <w:rsid w:val="00D55B57"/>
    <w:rsid w:val="00D616A9"/>
    <w:rsid w:val="00D65414"/>
    <w:rsid w:val="00D65809"/>
    <w:rsid w:val="00D660E3"/>
    <w:rsid w:val="00D6636C"/>
    <w:rsid w:val="00D66818"/>
    <w:rsid w:val="00D71B99"/>
    <w:rsid w:val="00D72A83"/>
    <w:rsid w:val="00D75196"/>
    <w:rsid w:val="00D76954"/>
    <w:rsid w:val="00D77207"/>
    <w:rsid w:val="00D809F6"/>
    <w:rsid w:val="00D81916"/>
    <w:rsid w:val="00D8387E"/>
    <w:rsid w:val="00D858FE"/>
    <w:rsid w:val="00D86971"/>
    <w:rsid w:val="00D921E8"/>
    <w:rsid w:val="00D92304"/>
    <w:rsid w:val="00D935D1"/>
    <w:rsid w:val="00D93FB3"/>
    <w:rsid w:val="00D94739"/>
    <w:rsid w:val="00D95217"/>
    <w:rsid w:val="00D96ED2"/>
    <w:rsid w:val="00DA1146"/>
    <w:rsid w:val="00DA3890"/>
    <w:rsid w:val="00DA7EF9"/>
    <w:rsid w:val="00DB0722"/>
    <w:rsid w:val="00DB09E8"/>
    <w:rsid w:val="00DB2180"/>
    <w:rsid w:val="00DB39D0"/>
    <w:rsid w:val="00DB4ED4"/>
    <w:rsid w:val="00DB59C7"/>
    <w:rsid w:val="00DB65A8"/>
    <w:rsid w:val="00DB7416"/>
    <w:rsid w:val="00DC1DEE"/>
    <w:rsid w:val="00DC1EC8"/>
    <w:rsid w:val="00DC3A39"/>
    <w:rsid w:val="00DD072D"/>
    <w:rsid w:val="00DD0A36"/>
    <w:rsid w:val="00DD2756"/>
    <w:rsid w:val="00DD3185"/>
    <w:rsid w:val="00DD3332"/>
    <w:rsid w:val="00DE0579"/>
    <w:rsid w:val="00DE1E5A"/>
    <w:rsid w:val="00DE75CC"/>
    <w:rsid w:val="00DF4E44"/>
    <w:rsid w:val="00DF748B"/>
    <w:rsid w:val="00DF7542"/>
    <w:rsid w:val="00E06A12"/>
    <w:rsid w:val="00E075AA"/>
    <w:rsid w:val="00E1275C"/>
    <w:rsid w:val="00E16E26"/>
    <w:rsid w:val="00E23479"/>
    <w:rsid w:val="00E302BD"/>
    <w:rsid w:val="00E30762"/>
    <w:rsid w:val="00E319B4"/>
    <w:rsid w:val="00E36DCB"/>
    <w:rsid w:val="00E3711C"/>
    <w:rsid w:val="00E408A6"/>
    <w:rsid w:val="00E4150E"/>
    <w:rsid w:val="00E44CBC"/>
    <w:rsid w:val="00E456DF"/>
    <w:rsid w:val="00E467C0"/>
    <w:rsid w:val="00E60E51"/>
    <w:rsid w:val="00E636C5"/>
    <w:rsid w:val="00E64821"/>
    <w:rsid w:val="00E676E9"/>
    <w:rsid w:val="00E67CE5"/>
    <w:rsid w:val="00E76B79"/>
    <w:rsid w:val="00E85C8C"/>
    <w:rsid w:val="00E875A0"/>
    <w:rsid w:val="00E906AD"/>
    <w:rsid w:val="00E92025"/>
    <w:rsid w:val="00E924DB"/>
    <w:rsid w:val="00E93484"/>
    <w:rsid w:val="00E93AC9"/>
    <w:rsid w:val="00E948EC"/>
    <w:rsid w:val="00E97BD9"/>
    <w:rsid w:val="00EA4EAC"/>
    <w:rsid w:val="00EA6124"/>
    <w:rsid w:val="00EB0E57"/>
    <w:rsid w:val="00EB26EC"/>
    <w:rsid w:val="00EB63E5"/>
    <w:rsid w:val="00EB6741"/>
    <w:rsid w:val="00EC187C"/>
    <w:rsid w:val="00EC285F"/>
    <w:rsid w:val="00EC2D97"/>
    <w:rsid w:val="00EC4519"/>
    <w:rsid w:val="00EC721B"/>
    <w:rsid w:val="00EC755C"/>
    <w:rsid w:val="00ED0521"/>
    <w:rsid w:val="00ED15B5"/>
    <w:rsid w:val="00ED1CA1"/>
    <w:rsid w:val="00ED6AB3"/>
    <w:rsid w:val="00EE1BB5"/>
    <w:rsid w:val="00EE289E"/>
    <w:rsid w:val="00EE3964"/>
    <w:rsid w:val="00EE60EC"/>
    <w:rsid w:val="00EE71D4"/>
    <w:rsid w:val="00EE7ADB"/>
    <w:rsid w:val="00EF53C9"/>
    <w:rsid w:val="00EF6BF2"/>
    <w:rsid w:val="00F02531"/>
    <w:rsid w:val="00F04E60"/>
    <w:rsid w:val="00F0645B"/>
    <w:rsid w:val="00F07640"/>
    <w:rsid w:val="00F114F1"/>
    <w:rsid w:val="00F123F0"/>
    <w:rsid w:val="00F179EE"/>
    <w:rsid w:val="00F2022D"/>
    <w:rsid w:val="00F21926"/>
    <w:rsid w:val="00F2306A"/>
    <w:rsid w:val="00F244E0"/>
    <w:rsid w:val="00F2793B"/>
    <w:rsid w:val="00F30DD0"/>
    <w:rsid w:val="00F331E3"/>
    <w:rsid w:val="00F33E17"/>
    <w:rsid w:val="00F346D1"/>
    <w:rsid w:val="00F34B62"/>
    <w:rsid w:val="00F364F6"/>
    <w:rsid w:val="00F3751F"/>
    <w:rsid w:val="00F3760F"/>
    <w:rsid w:val="00F400F7"/>
    <w:rsid w:val="00F408BD"/>
    <w:rsid w:val="00F40905"/>
    <w:rsid w:val="00F420DD"/>
    <w:rsid w:val="00F4229D"/>
    <w:rsid w:val="00F427A0"/>
    <w:rsid w:val="00F42F15"/>
    <w:rsid w:val="00F44CBB"/>
    <w:rsid w:val="00F51FDE"/>
    <w:rsid w:val="00F53607"/>
    <w:rsid w:val="00F54E4A"/>
    <w:rsid w:val="00F55E00"/>
    <w:rsid w:val="00F62963"/>
    <w:rsid w:val="00F64624"/>
    <w:rsid w:val="00F66179"/>
    <w:rsid w:val="00F66442"/>
    <w:rsid w:val="00F6707D"/>
    <w:rsid w:val="00F736F6"/>
    <w:rsid w:val="00F75C8C"/>
    <w:rsid w:val="00F823CF"/>
    <w:rsid w:val="00F83DDF"/>
    <w:rsid w:val="00F84793"/>
    <w:rsid w:val="00F866B3"/>
    <w:rsid w:val="00F92384"/>
    <w:rsid w:val="00F95D12"/>
    <w:rsid w:val="00F96701"/>
    <w:rsid w:val="00FA014A"/>
    <w:rsid w:val="00FA579B"/>
    <w:rsid w:val="00FA678B"/>
    <w:rsid w:val="00FB10E1"/>
    <w:rsid w:val="00FB36EF"/>
    <w:rsid w:val="00FB3E8B"/>
    <w:rsid w:val="00FC0260"/>
    <w:rsid w:val="00FC2D1D"/>
    <w:rsid w:val="00FC32F0"/>
    <w:rsid w:val="00FC4C27"/>
    <w:rsid w:val="00FD0B81"/>
    <w:rsid w:val="00FE2336"/>
    <w:rsid w:val="00FE5DE6"/>
    <w:rsid w:val="00FE694C"/>
    <w:rsid w:val="00FE70A1"/>
    <w:rsid w:val="00FE77F2"/>
    <w:rsid w:val="00FE7D27"/>
    <w:rsid w:val="00FF2437"/>
    <w:rsid w:val="00FF3E2D"/>
    <w:rsid w:val="00FF6A3C"/>
    <w:rsid w:val="01195405"/>
    <w:rsid w:val="011C6938"/>
    <w:rsid w:val="011F0946"/>
    <w:rsid w:val="011F7565"/>
    <w:rsid w:val="01233AED"/>
    <w:rsid w:val="012C6AE4"/>
    <w:rsid w:val="0133390D"/>
    <w:rsid w:val="013E100D"/>
    <w:rsid w:val="018E42F7"/>
    <w:rsid w:val="01AD7F92"/>
    <w:rsid w:val="01D70F12"/>
    <w:rsid w:val="01E1319E"/>
    <w:rsid w:val="01E4442E"/>
    <w:rsid w:val="01ED54F2"/>
    <w:rsid w:val="02184C85"/>
    <w:rsid w:val="02190629"/>
    <w:rsid w:val="022B421F"/>
    <w:rsid w:val="023800B0"/>
    <w:rsid w:val="025603CA"/>
    <w:rsid w:val="026C536C"/>
    <w:rsid w:val="02D84338"/>
    <w:rsid w:val="02DB4780"/>
    <w:rsid w:val="02FC3273"/>
    <w:rsid w:val="030A2589"/>
    <w:rsid w:val="036D21BA"/>
    <w:rsid w:val="037732C7"/>
    <w:rsid w:val="037D56E7"/>
    <w:rsid w:val="03936C6A"/>
    <w:rsid w:val="03A57B81"/>
    <w:rsid w:val="03E25CD6"/>
    <w:rsid w:val="03EE4D8F"/>
    <w:rsid w:val="03F92B52"/>
    <w:rsid w:val="03FC6913"/>
    <w:rsid w:val="04624D85"/>
    <w:rsid w:val="048146F4"/>
    <w:rsid w:val="048707FB"/>
    <w:rsid w:val="04876889"/>
    <w:rsid w:val="04965868"/>
    <w:rsid w:val="04B46EC1"/>
    <w:rsid w:val="04EB0520"/>
    <w:rsid w:val="050339C8"/>
    <w:rsid w:val="051261E1"/>
    <w:rsid w:val="058B78E2"/>
    <w:rsid w:val="05F66454"/>
    <w:rsid w:val="060B0977"/>
    <w:rsid w:val="061B08C3"/>
    <w:rsid w:val="062609C0"/>
    <w:rsid w:val="063901C2"/>
    <w:rsid w:val="06497B03"/>
    <w:rsid w:val="06853A33"/>
    <w:rsid w:val="068D50AF"/>
    <w:rsid w:val="06B337F4"/>
    <w:rsid w:val="06DF30E3"/>
    <w:rsid w:val="06E560F9"/>
    <w:rsid w:val="06EF7F06"/>
    <w:rsid w:val="06FF4708"/>
    <w:rsid w:val="07140E2A"/>
    <w:rsid w:val="07B851BB"/>
    <w:rsid w:val="07C002E2"/>
    <w:rsid w:val="07E31CFF"/>
    <w:rsid w:val="084C21AB"/>
    <w:rsid w:val="08500726"/>
    <w:rsid w:val="08885B9C"/>
    <w:rsid w:val="088E3569"/>
    <w:rsid w:val="08A34DB8"/>
    <w:rsid w:val="08C607F0"/>
    <w:rsid w:val="08D25C57"/>
    <w:rsid w:val="08D33389"/>
    <w:rsid w:val="08F04723"/>
    <w:rsid w:val="08F95097"/>
    <w:rsid w:val="090C4E18"/>
    <w:rsid w:val="095E0D6F"/>
    <w:rsid w:val="095F4501"/>
    <w:rsid w:val="099D67B3"/>
    <w:rsid w:val="09CD34EE"/>
    <w:rsid w:val="09D8199B"/>
    <w:rsid w:val="09E62AB4"/>
    <w:rsid w:val="0A2574B3"/>
    <w:rsid w:val="0A446071"/>
    <w:rsid w:val="0A5F1331"/>
    <w:rsid w:val="0AC22BB4"/>
    <w:rsid w:val="0AC36DFD"/>
    <w:rsid w:val="0ADE02C7"/>
    <w:rsid w:val="0B081071"/>
    <w:rsid w:val="0B1948FD"/>
    <w:rsid w:val="0B1F7084"/>
    <w:rsid w:val="0B566C61"/>
    <w:rsid w:val="0B5B054D"/>
    <w:rsid w:val="0B5E734C"/>
    <w:rsid w:val="0BAC296C"/>
    <w:rsid w:val="0BB43441"/>
    <w:rsid w:val="0BBC7C63"/>
    <w:rsid w:val="0BC32105"/>
    <w:rsid w:val="0BFD0A46"/>
    <w:rsid w:val="0C0C580E"/>
    <w:rsid w:val="0C2D2898"/>
    <w:rsid w:val="0CC457FD"/>
    <w:rsid w:val="0CD773EE"/>
    <w:rsid w:val="0CE12921"/>
    <w:rsid w:val="0D032327"/>
    <w:rsid w:val="0D3161A1"/>
    <w:rsid w:val="0D600EFE"/>
    <w:rsid w:val="0D8A553C"/>
    <w:rsid w:val="0D951D81"/>
    <w:rsid w:val="0DA01CE8"/>
    <w:rsid w:val="0DCB05AE"/>
    <w:rsid w:val="0DE85E53"/>
    <w:rsid w:val="0DF04D08"/>
    <w:rsid w:val="0E171147"/>
    <w:rsid w:val="0E280947"/>
    <w:rsid w:val="0E2B309B"/>
    <w:rsid w:val="0E4A589E"/>
    <w:rsid w:val="0E786710"/>
    <w:rsid w:val="0E81372E"/>
    <w:rsid w:val="0F1335D8"/>
    <w:rsid w:val="0F1D7F5B"/>
    <w:rsid w:val="0F212254"/>
    <w:rsid w:val="0F316BFB"/>
    <w:rsid w:val="0F48750F"/>
    <w:rsid w:val="0F5B2BE7"/>
    <w:rsid w:val="0F645BA1"/>
    <w:rsid w:val="0F887054"/>
    <w:rsid w:val="0FD079FE"/>
    <w:rsid w:val="0FD125E4"/>
    <w:rsid w:val="100A482E"/>
    <w:rsid w:val="10170173"/>
    <w:rsid w:val="102F689A"/>
    <w:rsid w:val="103435D2"/>
    <w:rsid w:val="105A40DF"/>
    <w:rsid w:val="108465A8"/>
    <w:rsid w:val="108A7BFB"/>
    <w:rsid w:val="10D84EA1"/>
    <w:rsid w:val="10E70644"/>
    <w:rsid w:val="10F86567"/>
    <w:rsid w:val="11014D92"/>
    <w:rsid w:val="11922A56"/>
    <w:rsid w:val="11CC5243"/>
    <w:rsid w:val="11D413CD"/>
    <w:rsid w:val="11FE7CD0"/>
    <w:rsid w:val="1217313B"/>
    <w:rsid w:val="121B53C5"/>
    <w:rsid w:val="123845C3"/>
    <w:rsid w:val="12887F77"/>
    <w:rsid w:val="12C54559"/>
    <w:rsid w:val="12F26640"/>
    <w:rsid w:val="13251FF4"/>
    <w:rsid w:val="132F5720"/>
    <w:rsid w:val="133C57E8"/>
    <w:rsid w:val="134110C0"/>
    <w:rsid w:val="134428A9"/>
    <w:rsid w:val="13757D6D"/>
    <w:rsid w:val="139B74C4"/>
    <w:rsid w:val="13B576E5"/>
    <w:rsid w:val="13E214AD"/>
    <w:rsid w:val="13FC2057"/>
    <w:rsid w:val="14170683"/>
    <w:rsid w:val="14335CD2"/>
    <w:rsid w:val="144312AC"/>
    <w:rsid w:val="1463591C"/>
    <w:rsid w:val="14725753"/>
    <w:rsid w:val="14B27262"/>
    <w:rsid w:val="14B33D84"/>
    <w:rsid w:val="14D12333"/>
    <w:rsid w:val="15196A6C"/>
    <w:rsid w:val="151D097C"/>
    <w:rsid w:val="15252E50"/>
    <w:rsid w:val="15B51F06"/>
    <w:rsid w:val="15E77F19"/>
    <w:rsid w:val="16094541"/>
    <w:rsid w:val="161F0A58"/>
    <w:rsid w:val="162A486A"/>
    <w:rsid w:val="164A731D"/>
    <w:rsid w:val="16B209D7"/>
    <w:rsid w:val="16D30503"/>
    <w:rsid w:val="1720040C"/>
    <w:rsid w:val="178456AE"/>
    <w:rsid w:val="17A04234"/>
    <w:rsid w:val="17D905BB"/>
    <w:rsid w:val="17E838C7"/>
    <w:rsid w:val="18722EE9"/>
    <w:rsid w:val="187B413A"/>
    <w:rsid w:val="18B57797"/>
    <w:rsid w:val="18D12839"/>
    <w:rsid w:val="18DA1F55"/>
    <w:rsid w:val="18DC1BC2"/>
    <w:rsid w:val="18E402E6"/>
    <w:rsid w:val="18F94A09"/>
    <w:rsid w:val="19195690"/>
    <w:rsid w:val="199E6903"/>
    <w:rsid w:val="19AF32BC"/>
    <w:rsid w:val="19B40945"/>
    <w:rsid w:val="19E8300C"/>
    <w:rsid w:val="19EE5F80"/>
    <w:rsid w:val="1A605254"/>
    <w:rsid w:val="1A9762CE"/>
    <w:rsid w:val="1AAE33C6"/>
    <w:rsid w:val="1ACF1846"/>
    <w:rsid w:val="1AD87250"/>
    <w:rsid w:val="1AE44668"/>
    <w:rsid w:val="1B085D3F"/>
    <w:rsid w:val="1B7E5AA8"/>
    <w:rsid w:val="1B884CB7"/>
    <w:rsid w:val="1B8A3A3D"/>
    <w:rsid w:val="1B9F338E"/>
    <w:rsid w:val="1BA942F2"/>
    <w:rsid w:val="1BB72E6D"/>
    <w:rsid w:val="1BBB420C"/>
    <w:rsid w:val="1BD27934"/>
    <w:rsid w:val="1BFA097D"/>
    <w:rsid w:val="1C1D70D0"/>
    <w:rsid w:val="1C2638BB"/>
    <w:rsid w:val="1C3D29C2"/>
    <w:rsid w:val="1C812CD0"/>
    <w:rsid w:val="1C947D87"/>
    <w:rsid w:val="1C9B70FD"/>
    <w:rsid w:val="1CA30D42"/>
    <w:rsid w:val="1D013AED"/>
    <w:rsid w:val="1D0D3BB9"/>
    <w:rsid w:val="1D6C4CD6"/>
    <w:rsid w:val="1D6E3596"/>
    <w:rsid w:val="1D954D97"/>
    <w:rsid w:val="1DB84052"/>
    <w:rsid w:val="1DD21378"/>
    <w:rsid w:val="1E017EC3"/>
    <w:rsid w:val="1E1C321D"/>
    <w:rsid w:val="1E256C04"/>
    <w:rsid w:val="1E460550"/>
    <w:rsid w:val="1E5C5802"/>
    <w:rsid w:val="1EF758B9"/>
    <w:rsid w:val="1F003FE9"/>
    <w:rsid w:val="1F00466F"/>
    <w:rsid w:val="1F533349"/>
    <w:rsid w:val="1F6B3698"/>
    <w:rsid w:val="1F7B0413"/>
    <w:rsid w:val="1F8D1A53"/>
    <w:rsid w:val="1FBA251E"/>
    <w:rsid w:val="1FCF1052"/>
    <w:rsid w:val="203B382F"/>
    <w:rsid w:val="20425708"/>
    <w:rsid w:val="206B213D"/>
    <w:rsid w:val="207E225C"/>
    <w:rsid w:val="20E324E2"/>
    <w:rsid w:val="20EF3401"/>
    <w:rsid w:val="20F8627B"/>
    <w:rsid w:val="20FD2F3A"/>
    <w:rsid w:val="212719F0"/>
    <w:rsid w:val="213F6917"/>
    <w:rsid w:val="21B176F7"/>
    <w:rsid w:val="2202158D"/>
    <w:rsid w:val="2240394D"/>
    <w:rsid w:val="224439AE"/>
    <w:rsid w:val="2283053D"/>
    <w:rsid w:val="22BE0F73"/>
    <w:rsid w:val="22CD0827"/>
    <w:rsid w:val="23197621"/>
    <w:rsid w:val="232B3FB8"/>
    <w:rsid w:val="232B5D66"/>
    <w:rsid w:val="235D4796"/>
    <w:rsid w:val="237452E2"/>
    <w:rsid w:val="23820D67"/>
    <w:rsid w:val="23CB4EC6"/>
    <w:rsid w:val="244648B5"/>
    <w:rsid w:val="24844675"/>
    <w:rsid w:val="24B43CA6"/>
    <w:rsid w:val="24F038E7"/>
    <w:rsid w:val="251054E9"/>
    <w:rsid w:val="253B1C25"/>
    <w:rsid w:val="255F0B60"/>
    <w:rsid w:val="25694CF2"/>
    <w:rsid w:val="258B743E"/>
    <w:rsid w:val="25970CBA"/>
    <w:rsid w:val="25FF2C68"/>
    <w:rsid w:val="260339C2"/>
    <w:rsid w:val="2607492C"/>
    <w:rsid w:val="261C49F3"/>
    <w:rsid w:val="26215B5E"/>
    <w:rsid w:val="267D20E3"/>
    <w:rsid w:val="267F2426"/>
    <w:rsid w:val="26E61600"/>
    <w:rsid w:val="271D371F"/>
    <w:rsid w:val="277844EC"/>
    <w:rsid w:val="27896EEB"/>
    <w:rsid w:val="27907C7F"/>
    <w:rsid w:val="27B12B37"/>
    <w:rsid w:val="280B1A43"/>
    <w:rsid w:val="282246D4"/>
    <w:rsid w:val="283B3022"/>
    <w:rsid w:val="285029EE"/>
    <w:rsid w:val="285B7244"/>
    <w:rsid w:val="285F68FA"/>
    <w:rsid w:val="286B55E0"/>
    <w:rsid w:val="2874797E"/>
    <w:rsid w:val="28AD7F47"/>
    <w:rsid w:val="28DA340F"/>
    <w:rsid w:val="290557E2"/>
    <w:rsid w:val="292C1B1A"/>
    <w:rsid w:val="29480A91"/>
    <w:rsid w:val="297F0AB5"/>
    <w:rsid w:val="298634AE"/>
    <w:rsid w:val="29A245D5"/>
    <w:rsid w:val="29D1558B"/>
    <w:rsid w:val="2A003E5D"/>
    <w:rsid w:val="2A0A481A"/>
    <w:rsid w:val="2A3D427C"/>
    <w:rsid w:val="2A4D7312"/>
    <w:rsid w:val="2A7703AB"/>
    <w:rsid w:val="2A8E2897"/>
    <w:rsid w:val="2A8E7D19"/>
    <w:rsid w:val="2A8F072F"/>
    <w:rsid w:val="2AC9063E"/>
    <w:rsid w:val="2ADE56B9"/>
    <w:rsid w:val="2B0735B0"/>
    <w:rsid w:val="2B2C517A"/>
    <w:rsid w:val="2B601A1A"/>
    <w:rsid w:val="2B77655D"/>
    <w:rsid w:val="2B8E7BE2"/>
    <w:rsid w:val="2C005C6C"/>
    <w:rsid w:val="2C22657D"/>
    <w:rsid w:val="2C2C3237"/>
    <w:rsid w:val="2C3201C4"/>
    <w:rsid w:val="2C482CB1"/>
    <w:rsid w:val="2C5B2366"/>
    <w:rsid w:val="2CA14645"/>
    <w:rsid w:val="2CA455C9"/>
    <w:rsid w:val="2D385E3D"/>
    <w:rsid w:val="2D397142"/>
    <w:rsid w:val="2D561D2F"/>
    <w:rsid w:val="2D992479"/>
    <w:rsid w:val="2DD202D8"/>
    <w:rsid w:val="2E264F50"/>
    <w:rsid w:val="2E2E47EE"/>
    <w:rsid w:val="2E486BAC"/>
    <w:rsid w:val="2E4A4A00"/>
    <w:rsid w:val="2E8C39E7"/>
    <w:rsid w:val="2E9F6689"/>
    <w:rsid w:val="2EBF1A5C"/>
    <w:rsid w:val="2F137BF6"/>
    <w:rsid w:val="2F1865D9"/>
    <w:rsid w:val="2F32709B"/>
    <w:rsid w:val="2F435673"/>
    <w:rsid w:val="2F4A6B22"/>
    <w:rsid w:val="2FAF26BE"/>
    <w:rsid w:val="2FD31C58"/>
    <w:rsid w:val="30123133"/>
    <w:rsid w:val="30244008"/>
    <w:rsid w:val="30303CF1"/>
    <w:rsid w:val="30594DDB"/>
    <w:rsid w:val="307C1D23"/>
    <w:rsid w:val="30825925"/>
    <w:rsid w:val="30866529"/>
    <w:rsid w:val="308D5010"/>
    <w:rsid w:val="30AA2DDB"/>
    <w:rsid w:val="30CD4D80"/>
    <w:rsid w:val="30CF21A1"/>
    <w:rsid w:val="30D30B6F"/>
    <w:rsid w:val="30F804BF"/>
    <w:rsid w:val="31231C2B"/>
    <w:rsid w:val="312A4E39"/>
    <w:rsid w:val="31453464"/>
    <w:rsid w:val="314E45DA"/>
    <w:rsid w:val="318E00AA"/>
    <w:rsid w:val="319121DA"/>
    <w:rsid w:val="31DB3761"/>
    <w:rsid w:val="323727A6"/>
    <w:rsid w:val="32633DA5"/>
    <w:rsid w:val="326E0059"/>
    <w:rsid w:val="327338B4"/>
    <w:rsid w:val="32814EE4"/>
    <w:rsid w:val="32851613"/>
    <w:rsid w:val="32C52BAB"/>
    <w:rsid w:val="32CB52DE"/>
    <w:rsid w:val="32D21971"/>
    <w:rsid w:val="33196863"/>
    <w:rsid w:val="33463D5A"/>
    <w:rsid w:val="334760AD"/>
    <w:rsid w:val="335214F5"/>
    <w:rsid w:val="33702899"/>
    <w:rsid w:val="33766BFC"/>
    <w:rsid w:val="33874918"/>
    <w:rsid w:val="33A22F43"/>
    <w:rsid w:val="33B6041B"/>
    <w:rsid w:val="33B9096A"/>
    <w:rsid w:val="33BD23EF"/>
    <w:rsid w:val="33BE4DDD"/>
    <w:rsid w:val="33EB0F7B"/>
    <w:rsid w:val="341E6110"/>
    <w:rsid w:val="342C2EA8"/>
    <w:rsid w:val="34B87A7E"/>
    <w:rsid w:val="34C05919"/>
    <w:rsid w:val="34C4203E"/>
    <w:rsid w:val="34C630A6"/>
    <w:rsid w:val="34C82D26"/>
    <w:rsid w:val="35106E5C"/>
    <w:rsid w:val="352E0C5D"/>
    <w:rsid w:val="35792B4A"/>
    <w:rsid w:val="3586192A"/>
    <w:rsid w:val="35F965A0"/>
    <w:rsid w:val="35FA6CFE"/>
    <w:rsid w:val="364C52D2"/>
    <w:rsid w:val="364D7999"/>
    <w:rsid w:val="365C69BF"/>
    <w:rsid w:val="36716471"/>
    <w:rsid w:val="36792B44"/>
    <w:rsid w:val="368366EE"/>
    <w:rsid w:val="36A72582"/>
    <w:rsid w:val="36A75D12"/>
    <w:rsid w:val="36CC7097"/>
    <w:rsid w:val="36CE7304"/>
    <w:rsid w:val="36EE58A4"/>
    <w:rsid w:val="370D43B6"/>
    <w:rsid w:val="374F4AE9"/>
    <w:rsid w:val="376972ED"/>
    <w:rsid w:val="378A612D"/>
    <w:rsid w:val="379E5D51"/>
    <w:rsid w:val="38133BB6"/>
    <w:rsid w:val="38276EA5"/>
    <w:rsid w:val="382C7B34"/>
    <w:rsid w:val="38523A0A"/>
    <w:rsid w:val="385D1519"/>
    <w:rsid w:val="38635A90"/>
    <w:rsid w:val="38865CC9"/>
    <w:rsid w:val="38984C65"/>
    <w:rsid w:val="38D160C4"/>
    <w:rsid w:val="38EA4A6F"/>
    <w:rsid w:val="392F2AA5"/>
    <w:rsid w:val="39430981"/>
    <w:rsid w:val="395675C8"/>
    <w:rsid w:val="397B655D"/>
    <w:rsid w:val="39D56182"/>
    <w:rsid w:val="39F74BA5"/>
    <w:rsid w:val="39FC3325"/>
    <w:rsid w:val="3A15552A"/>
    <w:rsid w:val="3A2C676D"/>
    <w:rsid w:val="3A673E42"/>
    <w:rsid w:val="3A6E2E89"/>
    <w:rsid w:val="3A7365FF"/>
    <w:rsid w:val="3AAC297E"/>
    <w:rsid w:val="3B2E0052"/>
    <w:rsid w:val="3B442FCD"/>
    <w:rsid w:val="3B543BE4"/>
    <w:rsid w:val="3B5B340B"/>
    <w:rsid w:val="3B612EFA"/>
    <w:rsid w:val="3B627E64"/>
    <w:rsid w:val="3B9349CE"/>
    <w:rsid w:val="3BB77C13"/>
    <w:rsid w:val="3BE60DBD"/>
    <w:rsid w:val="3BEC40E0"/>
    <w:rsid w:val="3C07529C"/>
    <w:rsid w:val="3C1A2DCC"/>
    <w:rsid w:val="3C1E32AD"/>
    <w:rsid w:val="3C283625"/>
    <w:rsid w:val="3C596A05"/>
    <w:rsid w:val="3C7845C3"/>
    <w:rsid w:val="3C8A08D2"/>
    <w:rsid w:val="3CB170E0"/>
    <w:rsid w:val="3CFE11CA"/>
    <w:rsid w:val="3D0D04C5"/>
    <w:rsid w:val="3D414F04"/>
    <w:rsid w:val="3D7D6A04"/>
    <w:rsid w:val="3D857191"/>
    <w:rsid w:val="3D8807B2"/>
    <w:rsid w:val="3D8E6289"/>
    <w:rsid w:val="3D9D4A23"/>
    <w:rsid w:val="3DDB357D"/>
    <w:rsid w:val="3E1503E1"/>
    <w:rsid w:val="3E2F2B43"/>
    <w:rsid w:val="3E3325FE"/>
    <w:rsid w:val="3E721583"/>
    <w:rsid w:val="3EA70758"/>
    <w:rsid w:val="3EAD5328"/>
    <w:rsid w:val="3F291581"/>
    <w:rsid w:val="3F6E666F"/>
    <w:rsid w:val="3FAE21A9"/>
    <w:rsid w:val="3FAF0432"/>
    <w:rsid w:val="3FB26B4E"/>
    <w:rsid w:val="3FBB4D9D"/>
    <w:rsid w:val="3FF32979"/>
    <w:rsid w:val="3FFB5482"/>
    <w:rsid w:val="400576B5"/>
    <w:rsid w:val="40345961"/>
    <w:rsid w:val="404E74E8"/>
    <w:rsid w:val="40573FF7"/>
    <w:rsid w:val="406242B1"/>
    <w:rsid w:val="40635C59"/>
    <w:rsid w:val="407A7081"/>
    <w:rsid w:val="407E4141"/>
    <w:rsid w:val="40BE1148"/>
    <w:rsid w:val="40C4271E"/>
    <w:rsid w:val="40EE65D6"/>
    <w:rsid w:val="40FF7D6F"/>
    <w:rsid w:val="41255CC8"/>
    <w:rsid w:val="4136208F"/>
    <w:rsid w:val="413D1837"/>
    <w:rsid w:val="4143359F"/>
    <w:rsid w:val="415B6A48"/>
    <w:rsid w:val="41772AF5"/>
    <w:rsid w:val="41792343"/>
    <w:rsid w:val="418331C2"/>
    <w:rsid w:val="41AB4E36"/>
    <w:rsid w:val="41D76890"/>
    <w:rsid w:val="42237538"/>
    <w:rsid w:val="422A2CB2"/>
    <w:rsid w:val="42412625"/>
    <w:rsid w:val="42884F34"/>
    <w:rsid w:val="42941C47"/>
    <w:rsid w:val="42DA3921"/>
    <w:rsid w:val="42E142C5"/>
    <w:rsid w:val="42FF2364"/>
    <w:rsid w:val="43071F86"/>
    <w:rsid w:val="43195439"/>
    <w:rsid w:val="431B31A5"/>
    <w:rsid w:val="4339622E"/>
    <w:rsid w:val="4344691B"/>
    <w:rsid w:val="43692301"/>
    <w:rsid w:val="43C10528"/>
    <w:rsid w:val="43CC42FB"/>
    <w:rsid w:val="43E443EC"/>
    <w:rsid w:val="43EE6C12"/>
    <w:rsid w:val="44577999"/>
    <w:rsid w:val="44676ED7"/>
    <w:rsid w:val="44761452"/>
    <w:rsid w:val="449010E3"/>
    <w:rsid w:val="44B2686A"/>
    <w:rsid w:val="44BB7B99"/>
    <w:rsid w:val="44DF1A26"/>
    <w:rsid w:val="44FC58B9"/>
    <w:rsid w:val="45210077"/>
    <w:rsid w:val="45597C8A"/>
    <w:rsid w:val="45D96359"/>
    <w:rsid w:val="45DE4ECD"/>
    <w:rsid w:val="46045EE0"/>
    <w:rsid w:val="461F4717"/>
    <w:rsid w:val="46415F51"/>
    <w:rsid w:val="467F4AF1"/>
    <w:rsid w:val="46A779A8"/>
    <w:rsid w:val="46D973C9"/>
    <w:rsid w:val="46E56A5F"/>
    <w:rsid w:val="47027EC3"/>
    <w:rsid w:val="4703221F"/>
    <w:rsid w:val="4707159E"/>
    <w:rsid w:val="47176886"/>
    <w:rsid w:val="473751E4"/>
    <w:rsid w:val="47463852"/>
    <w:rsid w:val="477616E4"/>
    <w:rsid w:val="47862D65"/>
    <w:rsid w:val="47A125F4"/>
    <w:rsid w:val="47AD71EA"/>
    <w:rsid w:val="47D7406B"/>
    <w:rsid w:val="48240CDE"/>
    <w:rsid w:val="483F42E6"/>
    <w:rsid w:val="4841289B"/>
    <w:rsid w:val="488F2A9A"/>
    <w:rsid w:val="48970623"/>
    <w:rsid w:val="48D356CC"/>
    <w:rsid w:val="494168BE"/>
    <w:rsid w:val="494C2188"/>
    <w:rsid w:val="496036E7"/>
    <w:rsid w:val="496A327D"/>
    <w:rsid w:val="49780F96"/>
    <w:rsid w:val="49C16E0C"/>
    <w:rsid w:val="49FD49BB"/>
    <w:rsid w:val="49FF090F"/>
    <w:rsid w:val="4A084BAC"/>
    <w:rsid w:val="4A1C00E1"/>
    <w:rsid w:val="4A3C1FD9"/>
    <w:rsid w:val="4A5E75A0"/>
    <w:rsid w:val="4AA01CFD"/>
    <w:rsid w:val="4AC24860"/>
    <w:rsid w:val="4AF42DB1"/>
    <w:rsid w:val="4B1C4ECA"/>
    <w:rsid w:val="4B4D7241"/>
    <w:rsid w:val="4B5A0EBE"/>
    <w:rsid w:val="4B924A70"/>
    <w:rsid w:val="4B986E74"/>
    <w:rsid w:val="4BDE0DD7"/>
    <w:rsid w:val="4BF02FF5"/>
    <w:rsid w:val="4BF25E65"/>
    <w:rsid w:val="4C3B6C43"/>
    <w:rsid w:val="4C5E2F58"/>
    <w:rsid w:val="4C936F98"/>
    <w:rsid w:val="4DAB7D28"/>
    <w:rsid w:val="4E131B66"/>
    <w:rsid w:val="4E4452FC"/>
    <w:rsid w:val="4E5722CC"/>
    <w:rsid w:val="4EDB463D"/>
    <w:rsid w:val="4EEE2D9A"/>
    <w:rsid w:val="4EEE39AC"/>
    <w:rsid w:val="4F0C2C58"/>
    <w:rsid w:val="4F1E7EB7"/>
    <w:rsid w:val="4F2856C9"/>
    <w:rsid w:val="4F691C49"/>
    <w:rsid w:val="4F6B5544"/>
    <w:rsid w:val="4F9C1309"/>
    <w:rsid w:val="4FDC4193"/>
    <w:rsid w:val="4FFE57BD"/>
    <w:rsid w:val="4FFE5843"/>
    <w:rsid w:val="500371FA"/>
    <w:rsid w:val="5059155E"/>
    <w:rsid w:val="50621E6E"/>
    <w:rsid w:val="506A2AFE"/>
    <w:rsid w:val="50981590"/>
    <w:rsid w:val="50B36DF6"/>
    <w:rsid w:val="50BF4786"/>
    <w:rsid w:val="51312469"/>
    <w:rsid w:val="51357890"/>
    <w:rsid w:val="51632D16"/>
    <w:rsid w:val="51B11EC7"/>
    <w:rsid w:val="51F9797E"/>
    <w:rsid w:val="52635C2E"/>
    <w:rsid w:val="527728CF"/>
    <w:rsid w:val="52781559"/>
    <w:rsid w:val="52D363EF"/>
    <w:rsid w:val="52FA65E8"/>
    <w:rsid w:val="53041F96"/>
    <w:rsid w:val="5311373E"/>
    <w:rsid w:val="53406740"/>
    <w:rsid w:val="5363025D"/>
    <w:rsid w:val="536D0B6C"/>
    <w:rsid w:val="5382528E"/>
    <w:rsid w:val="53887198"/>
    <w:rsid w:val="53A42FCD"/>
    <w:rsid w:val="53A56748"/>
    <w:rsid w:val="53BA0C6B"/>
    <w:rsid w:val="54242F87"/>
    <w:rsid w:val="542B6844"/>
    <w:rsid w:val="54587870"/>
    <w:rsid w:val="54625C01"/>
    <w:rsid w:val="5468401B"/>
    <w:rsid w:val="548003DC"/>
    <w:rsid w:val="549079CA"/>
    <w:rsid w:val="549642A7"/>
    <w:rsid w:val="54A772FA"/>
    <w:rsid w:val="54B20B2A"/>
    <w:rsid w:val="54D619D9"/>
    <w:rsid w:val="54F91E80"/>
    <w:rsid w:val="552E7D2B"/>
    <w:rsid w:val="553C6B75"/>
    <w:rsid w:val="55460903"/>
    <w:rsid w:val="55633225"/>
    <w:rsid w:val="55914FEE"/>
    <w:rsid w:val="55A44A61"/>
    <w:rsid w:val="565A31E5"/>
    <w:rsid w:val="568C0709"/>
    <w:rsid w:val="56A95ABB"/>
    <w:rsid w:val="56D82D87"/>
    <w:rsid w:val="5703744E"/>
    <w:rsid w:val="571322D5"/>
    <w:rsid w:val="57381EA7"/>
    <w:rsid w:val="576B1A4A"/>
    <w:rsid w:val="579E184B"/>
    <w:rsid w:val="57CB23CE"/>
    <w:rsid w:val="57E23864"/>
    <w:rsid w:val="57E96411"/>
    <w:rsid w:val="580B548D"/>
    <w:rsid w:val="58294CB2"/>
    <w:rsid w:val="584410E0"/>
    <w:rsid w:val="5878114F"/>
    <w:rsid w:val="58A52DBC"/>
    <w:rsid w:val="58A57E7F"/>
    <w:rsid w:val="58F5431A"/>
    <w:rsid w:val="592F675E"/>
    <w:rsid w:val="593045BC"/>
    <w:rsid w:val="5955311B"/>
    <w:rsid w:val="599B0B7E"/>
    <w:rsid w:val="59D217EB"/>
    <w:rsid w:val="59E43223"/>
    <w:rsid w:val="59F00D9B"/>
    <w:rsid w:val="59F16476"/>
    <w:rsid w:val="5A10260C"/>
    <w:rsid w:val="5AA03AF3"/>
    <w:rsid w:val="5AB95D12"/>
    <w:rsid w:val="5AC36B75"/>
    <w:rsid w:val="5B0B4D66"/>
    <w:rsid w:val="5B212792"/>
    <w:rsid w:val="5B32031A"/>
    <w:rsid w:val="5B375CF4"/>
    <w:rsid w:val="5B4B7DFA"/>
    <w:rsid w:val="5B5E4C14"/>
    <w:rsid w:val="5BBC6A68"/>
    <w:rsid w:val="5BE92F56"/>
    <w:rsid w:val="5BF062E2"/>
    <w:rsid w:val="5BFA74B2"/>
    <w:rsid w:val="5C0315E9"/>
    <w:rsid w:val="5C1473E0"/>
    <w:rsid w:val="5C372706"/>
    <w:rsid w:val="5C484BDD"/>
    <w:rsid w:val="5C510905"/>
    <w:rsid w:val="5C6132C7"/>
    <w:rsid w:val="5C69116A"/>
    <w:rsid w:val="5C8940E3"/>
    <w:rsid w:val="5C8E7880"/>
    <w:rsid w:val="5C9F2C03"/>
    <w:rsid w:val="5CA23D82"/>
    <w:rsid w:val="5CAE321D"/>
    <w:rsid w:val="5CAE40E2"/>
    <w:rsid w:val="5CC71F9C"/>
    <w:rsid w:val="5CD9489B"/>
    <w:rsid w:val="5D052E31"/>
    <w:rsid w:val="5D417976"/>
    <w:rsid w:val="5D5B414F"/>
    <w:rsid w:val="5D5C2DED"/>
    <w:rsid w:val="5D5F77BE"/>
    <w:rsid w:val="5DA34A2F"/>
    <w:rsid w:val="5DB5624B"/>
    <w:rsid w:val="5DC310BE"/>
    <w:rsid w:val="5DC80B3B"/>
    <w:rsid w:val="5DD87487"/>
    <w:rsid w:val="5DEB50A2"/>
    <w:rsid w:val="5DF20031"/>
    <w:rsid w:val="5DFB30B7"/>
    <w:rsid w:val="5E03770C"/>
    <w:rsid w:val="5E18503D"/>
    <w:rsid w:val="5E347E1D"/>
    <w:rsid w:val="5E471CBA"/>
    <w:rsid w:val="5EAE544A"/>
    <w:rsid w:val="5ED95163"/>
    <w:rsid w:val="5EE6110C"/>
    <w:rsid w:val="5F1D47FE"/>
    <w:rsid w:val="5F4F6C69"/>
    <w:rsid w:val="5F6908AB"/>
    <w:rsid w:val="5F6D308F"/>
    <w:rsid w:val="5FA877FC"/>
    <w:rsid w:val="5FCD3B2E"/>
    <w:rsid w:val="5FDF7861"/>
    <w:rsid w:val="60202BA7"/>
    <w:rsid w:val="60480506"/>
    <w:rsid w:val="60505826"/>
    <w:rsid w:val="606C347E"/>
    <w:rsid w:val="60923DFD"/>
    <w:rsid w:val="60A52614"/>
    <w:rsid w:val="60B05CE6"/>
    <w:rsid w:val="60B8623B"/>
    <w:rsid w:val="60D65783"/>
    <w:rsid w:val="60F02006"/>
    <w:rsid w:val="610B2CD0"/>
    <w:rsid w:val="61120393"/>
    <w:rsid w:val="61127BCE"/>
    <w:rsid w:val="611546DB"/>
    <w:rsid w:val="61351ABB"/>
    <w:rsid w:val="613F3382"/>
    <w:rsid w:val="61812738"/>
    <w:rsid w:val="618472BD"/>
    <w:rsid w:val="6199493F"/>
    <w:rsid w:val="61A91F1D"/>
    <w:rsid w:val="61AD242D"/>
    <w:rsid w:val="62140CC0"/>
    <w:rsid w:val="622613A1"/>
    <w:rsid w:val="623512BE"/>
    <w:rsid w:val="62570527"/>
    <w:rsid w:val="62605236"/>
    <w:rsid w:val="629457CC"/>
    <w:rsid w:val="62A00CD4"/>
    <w:rsid w:val="62AF08F4"/>
    <w:rsid w:val="62D4230F"/>
    <w:rsid w:val="63490AF3"/>
    <w:rsid w:val="636C5ADF"/>
    <w:rsid w:val="637F2E10"/>
    <w:rsid w:val="63A97E2A"/>
    <w:rsid w:val="63AC205A"/>
    <w:rsid w:val="63C11A36"/>
    <w:rsid w:val="63D506D7"/>
    <w:rsid w:val="63D77B42"/>
    <w:rsid w:val="63DB0061"/>
    <w:rsid w:val="63F35BBF"/>
    <w:rsid w:val="640C39C7"/>
    <w:rsid w:val="64122817"/>
    <w:rsid w:val="646D1EEA"/>
    <w:rsid w:val="6495661D"/>
    <w:rsid w:val="64AB3F28"/>
    <w:rsid w:val="64B145FA"/>
    <w:rsid w:val="64C634E2"/>
    <w:rsid w:val="64D427F8"/>
    <w:rsid w:val="64E7729A"/>
    <w:rsid w:val="64E82AF2"/>
    <w:rsid w:val="65177999"/>
    <w:rsid w:val="65230BB9"/>
    <w:rsid w:val="653809AA"/>
    <w:rsid w:val="65663F01"/>
    <w:rsid w:val="65670E6D"/>
    <w:rsid w:val="656C52F5"/>
    <w:rsid w:val="65A45331"/>
    <w:rsid w:val="65C93B7D"/>
    <w:rsid w:val="65F71656"/>
    <w:rsid w:val="66087371"/>
    <w:rsid w:val="6618760C"/>
    <w:rsid w:val="664F5567"/>
    <w:rsid w:val="66527BE1"/>
    <w:rsid w:val="66813111"/>
    <w:rsid w:val="66F0766F"/>
    <w:rsid w:val="66F428A0"/>
    <w:rsid w:val="67122D5A"/>
    <w:rsid w:val="672158EA"/>
    <w:rsid w:val="67246844"/>
    <w:rsid w:val="674055BF"/>
    <w:rsid w:val="674D7A09"/>
    <w:rsid w:val="67554ECD"/>
    <w:rsid w:val="677C0558"/>
    <w:rsid w:val="67966EFB"/>
    <w:rsid w:val="67A0618E"/>
    <w:rsid w:val="67B66D85"/>
    <w:rsid w:val="67C11F46"/>
    <w:rsid w:val="67C945D8"/>
    <w:rsid w:val="67DD3A75"/>
    <w:rsid w:val="67EF55C6"/>
    <w:rsid w:val="67F40DF9"/>
    <w:rsid w:val="683846E1"/>
    <w:rsid w:val="68801A39"/>
    <w:rsid w:val="688C2D3E"/>
    <w:rsid w:val="688E4077"/>
    <w:rsid w:val="68B4579C"/>
    <w:rsid w:val="68B66D60"/>
    <w:rsid w:val="68BA7285"/>
    <w:rsid w:val="69186BE6"/>
    <w:rsid w:val="691B43CA"/>
    <w:rsid w:val="6921668A"/>
    <w:rsid w:val="6938245F"/>
    <w:rsid w:val="699E714C"/>
    <w:rsid w:val="699F653B"/>
    <w:rsid w:val="69C1490A"/>
    <w:rsid w:val="69F44464"/>
    <w:rsid w:val="6A3937C1"/>
    <w:rsid w:val="6A6C4FD1"/>
    <w:rsid w:val="6A8B7007"/>
    <w:rsid w:val="6ACA155E"/>
    <w:rsid w:val="6AD12FF3"/>
    <w:rsid w:val="6ADB565B"/>
    <w:rsid w:val="6ADC30DD"/>
    <w:rsid w:val="6AE2401D"/>
    <w:rsid w:val="6AE57A7B"/>
    <w:rsid w:val="6AF31E4C"/>
    <w:rsid w:val="6B0F64B4"/>
    <w:rsid w:val="6B5E5C35"/>
    <w:rsid w:val="6B703951"/>
    <w:rsid w:val="6B7610DD"/>
    <w:rsid w:val="6B9151DB"/>
    <w:rsid w:val="6BCB3493"/>
    <w:rsid w:val="6BCF71ED"/>
    <w:rsid w:val="6BD510F7"/>
    <w:rsid w:val="6BE26EC6"/>
    <w:rsid w:val="6BEF1D92"/>
    <w:rsid w:val="6C026743"/>
    <w:rsid w:val="6C223454"/>
    <w:rsid w:val="6C5E60A3"/>
    <w:rsid w:val="6C853499"/>
    <w:rsid w:val="6C8C2C94"/>
    <w:rsid w:val="6C8F17D7"/>
    <w:rsid w:val="6CAB2CF6"/>
    <w:rsid w:val="6CB828AE"/>
    <w:rsid w:val="6CC258A9"/>
    <w:rsid w:val="6CE03C93"/>
    <w:rsid w:val="6D002848"/>
    <w:rsid w:val="6D1055FB"/>
    <w:rsid w:val="6D3A1595"/>
    <w:rsid w:val="6D512E0D"/>
    <w:rsid w:val="6D621825"/>
    <w:rsid w:val="6D6E5B27"/>
    <w:rsid w:val="6D975E52"/>
    <w:rsid w:val="6D9E2126"/>
    <w:rsid w:val="6D9F2A6D"/>
    <w:rsid w:val="6DB61F11"/>
    <w:rsid w:val="6DDB7D5E"/>
    <w:rsid w:val="6DFD1B4B"/>
    <w:rsid w:val="6DFE5138"/>
    <w:rsid w:val="6E2D5DD3"/>
    <w:rsid w:val="6E9E7CCC"/>
    <w:rsid w:val="6EAA587C"/>
    <w:rsid w:val="6ED63B18"/>
    <w:rsid w:val="6F2078A2"/>
    <w:rsid w:val="6F3C270D"/>
    <w:rsid w:val="6F40569A"/>
    <w:rsid w:val="6F4C29A7"/>
    <w:rsid w:val="6F6570E6"/>
    <w:rsid w:val="6F7076E4"/>
    <w:rsid w:val="6FA6433B"/>
    <w:rsid w:val="6FC74749"/>
    <w:rsid w:val="6FE2091C"/>
    <w:rsid w:val="70196878"/>
    <w:rsid w:val="705047D3"/>
    <w:rsid w:val="7064110E"/>
    <w:rsid w:val="70691651"/>
    <w:rsid w:val="70862203"/>
    <w:rsid w:val="7091303E"/>
    <w:rsid w:val="709E66AB"/>
    <w:rsid w:val="70AA6167"/>
    <w:rsid w:val="70E56302"/>
    <w:rsid w:val="70F523EF"/>
    <w:rsid w:val="70F71F0C"/>
    <w:rsid w:val="70FB1969"/>
    <w:rsid w:val="7105777A"/>
    <w:rsid w:val="710A2CF6"/>
    <w:rsid w:val="711A636F"/>
    <w:rsid w:val="71470238"/>
    <w:rsid w:val="71703E6B"/>
    <w:rsid w:val="717C3606"/>
    <w:rsid w:val="71B47865"/>
    <w:rsid w:val="71C5015B"/>
    <w:rsid w:val="71CC1178"/>
    <w:rsid w:val="71FA673B"/>
    <w:rsid w:val="720A540A"/>
    <w:rsid w:val="72323CC5"/>
    <w:rsid w:val="725C35AF"/>
    <w:rsid w:val="72E34131"/>
    <w:rsid w:val="72FE103F"/>
    <w:rsid w:val="73037DC7"/>
    <w:rsid w:val="73182850"/>
    <w:rsid w:val="73357F10"/>
    <w:rsid w:val="734B5436"/>
    <w:rsid w:val="736315FD"/>
    <w:rsid w:val="73B415E2"/>
    <w:rsid w:val="73D55D40"/>
    <w:rsid w:val="73DF6678"/>
    <w:rsid w:val="73E167FF"/>
    <w:rsid w:val="73EE04C2"/>
    <w:rsid w:val="740622E5"/>
    <w:rsid w:val="740857E9"/>
    <w:rsid w:val="743F6C3D"/>
    <w:rsid w:val="74412162"/>
    <w:rsid w:val="74683F13"/>
    <w:rsid w:val="74722C9A"/>
    <w:rsid w:val="74820E90"/>
    <w:rsid w:val="74846437"/>
    <w:rsid w:val="749120C8"/>
    <w:rsid w:val="749F50B0"/>
    <w:rsid w:val="74A83174"/>
    <w:rsid w:val="74BE3979"/>
    <w:rsid w:val="753617C2"/>
    <w:rsid w:val="758639DD"/>
    <w:rsid w:val="75A13783"/>
    <w:rsid w:val="75B2610C"/>
    <w:rsid w:val="75CB1FD1"/>
    <w:rsid w:val="75CB48FC"/>
    <w:rsid w:val="76101441"/>
    <w:rsid w:val="762333D9"/>
    <w:rsid w:val="763B7827"/>
    <w:rsid w:val="7659577F"/>
    <w:rsid w:val="76746824"/>
    <w:rsid w:val="76B03C52"/>
    <w:rsid w:val="76D36F81"/>
    <w:rsid w:val="770155C0"/>
    <w:rsid w:val="771D0ED8"/>
    <w:rsid w:val="77310BBD"/>
    <w:rsid w:val="7765198B"/>
    <w:rsid w:val="779C0950"/>
    <w:rsid w:val="77F96D63"/>
    <w:rsid w:val="780A11FC"/>
    <w:rsid w:val="78225628"/>
    <w:rsid w:val="78291AB0"/>
    <w:rsid w:val="784C207C"/>
    <w:rsid w:val="784E1319"/>
    <w:rsid w:val="785B6B37"/>
    <w:rsid w:val="787C591E"/>
    <w:rsid w:val="78830EC5"/>
    <w:rsid w:val="78CD47BD"/>
    <w:rsid w:val="78D6184E"/>
    <w:rsid w:val="78DD0E2E"/>
    <w:rsid w:val="78DE36A5"/>
    <w:rsid w:val="78FF6291"/>
    <w:rsid w:val="794A6718"/>
    <w:rsid w:val="79552A87"/>
    <w:rsid w:val="79A05E1A"/>
    <w:rsid w:val="79CD611C"/>
    <w:rsid w:val="7A0A3D2C"/>
    <w:rsid w:val="7A29480B"/>
    <w:rsid w:val="7A5336BF"/>
    <w:rsid w:val="7A7949F2"/>
    <w:rsid w:val="7AA75347"/>
    <w:rsid w:val="7AD75E97"/>
    <w:rsid w:val="7B052ED5"/>
    <w:rsid w:val="7B066147"/>
    <w:rsid w:val="7B582F6D"/>
    <w:rsid w:val="7B786C43"/>
    <w:rsid w:val="7B85422E"/>
    <w:rsid w:val="7BAF62EE"/>
    <w:rsid w:val="7C1A5229"/>
    <w:rsid w:val="7C2D09C7"/>
    <w:rsid w:val="7C2F1F3F"/>
    <w:rsid w:val="7C352CCD"/>
    <w:rsid w:val="7C5E32B7"/>
    <w:rsid w:val="7C6565A2"/>
    <w:rsid w:val="7CBB577A"/>
    <w:rsid w:val="7CE5079D"/>
    <w:rsid w:val="7D621902"/>
    <w:rsid w:val="7D734D87"/>
    <w:rsid w:val="7D960597"/>
    <w:rsid w:val="7D9D7924"/>
    <w:rsid w:val="7DD2457A"/>
    <w:rsid w:val="7DF6029C"/>
    <w:rsid w:val="7DFF08C2"/>
    <w:rsid w:val="7E1B01F2"/>
    <w:rsid w:val="7E4A6C09"/>
    <w:rsid w:val="7E7957BB"/>
    <w:rsid w:val="7E79600D"/>
    <w:rsid w:val="7EA12512"/>
    <w:rsid w:val="7EDC2354"/>
    <w:rsid w:val="7EE841EC"/>
    <w:rsid w:val="7F0A146A"/>
    <w:rsid w:val="7F2F29B5"/>
    <w:rsid w:val="7FD562CA"/>
    <w:rsid w:val="7FD877E6"/>
    <w:rsid w:val="7FDE3356"/>
    <w:rsid w:val="7FE4132B"/>
    <w:rsid w:val="7FE43061"/>
    <w:rsid w:val="7FF81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qFormat="1" w:unhideWhenUsed="0" w:uiPriority="0" w:name="table of authorities"/>
    <w:lsdException w:uiPriority="99" w:name="macro"/>
    <w:lsdException w:qFormat="1" w:uiPriority="99" w:name="toa heading"/>
    <w:lsdException w:uiPriority="99" w:name="List"/>
    <w:lsdException w:uiPriority="99" w:name="List Bullet"/>
    <w:lsdException w:qFormat="1"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76"/>
    <w:qFormat/>
    <w:uiPriority w:val="0"/>
    <w:pPr>
      <w:keepNext/>
      <w:keepLines/>
      <w:adjustRightInd w:val="0"/>
      <w:spacing w:before="240" w:beforeLines="50" w:after="240" w:line="360" w:lineRule="auto"/>
      <w:textAlignment w:val="baseline"/>
      <w:outlineLvl w:val="0"/>
    </w:pPr>
    <w:rPr>
      <w:rFonts w:ascii="宋体" w:hAnsi="Times New Roman" w:eastAsia="宋体" w:cs="Times New Roman"/>
      <w:b/>
      <w:kern w:val="44"/>
      <w:sz w:val="32"/>
      <w:szCs w:val="24"/>
    </w:rPr>
  </w:style>
  <w:style w:type="paragraph" w:styleId="4">
    <w:name w:val="heading 2"/>
    <w:basedOn w:val="1"/>
    <w:next w:val="1"/>
    <w:link w:val="77"/>
    <w:qFormat/>
    <w:uiPriority w:val="0"/>
    <w:pPr>
      <w:keepNext/>
      <w:keepLines/>
      <w:adjustRightInd w:val="0"/>
      <w:spacing w:before="120" w:beforeLines="50" w:line="360" w:lineRule="auto"/>
      <w:textAlignment w:val="baseline"/>
      <w:outlineLvl w:val="1"/>
    </w:pPr>
    <w:rPr>
      <w:rFonts w:ascii="宋体" w:hAnsi="Times New Roman" w:eastAsia="宋体" w:cs="Times New Roman"/>
      <w:kern w:val="44"/>
      <w:sz w:val="28"/>
      <w:szCs w:val="28"/>
    </w:rPr>
  </w:style>
  <w:style w:type="paragraph" w:styleId="5">
    <w:name w:val="heading 3"/>
    <w:basedOn w:val="1"/>
    <w:next w:val="6"/>
    <w:link w:val="78"/>
    <w:qFormat/>
    <w:uiPriority w:val="0"/>
    <w:pPr>
      <w:keepNext/>
      <w:keepLines/>
      <w:adjustRightInd w:val="0"/>
      <w:spacing w:before="240" w:beforeLines="50" w:after="120" w:line="360" w:lineRule="auto"/>
      <w:textAlignment w:val="baseline"/>
      <w:outlineLvl w:val="2"/>
    </w:pPr>
    <w:rPr>
      <w:rFonts w:ascii="Times New Roman" w:hAnsi="Times New Roman" w:eastAsia="宋体" w:cs="Times New Roman"/>
      <w:b/>
      <w:kern w:val="0"/>
      <w:sz w:val="28"/>
      <w:szCs w:val="24"/>
    </w:rPr>
  </w:style>
  <w:style w:type="paragraph" w:styleId="7">
    <w:name w:val="heading 4"/>
    <w:basedOn w:val="1"/>
    <w:next w:val="1"/>
    <w:link w:val="79"/>
    <w:qFormat/>
    <w:uiPriority w:val="0"/>
    <w:pPr>
      <w:keepNext/>
      <w:numPr>
        <w:ilvl w:val="0"/>
        <w:numId w:val="1"/>
      </w:numPr>
      <w:adjustRightInd w:val="0"/>
      <w:spacing w:before="50" w:beforeLines="50" w:line="360" w:lineRule="auto"/>
      <w:jc w:val="left"/>
      <w:textAlignment w:val="baseline"/>
      <w:outlineLvl w:val="3"/>
    </w:pPr>
    <w:rPr>
      <w:rFonts w:ascii="宋体" w:hAnsi="Times New Roman" w:eastAsia="宋体" w:cs="Times New Roman"/>
      <w:i/>
      <w:kern w:val="0"/>
      <w:sz w:val="24"/>
      <w:szCs w:val="24"/>
    </w:rPr>
  </w:style>
  <w:style w:type="paragraph" w:styleId="8">
    <w:name w:val="heading 5"/>
    <w:basedOn w:val="1"/>
    <w:next w:val="6"/>
    <w:link w:val="80"/>
    <w:qFormat/>
    <w:uiPriority w:val="0"/>
    <w:pPr>
      <w:keepNext/>
      <w:keepLines/>
      <w:spacing w:before="120" w:beforeLines="50" w:after="120"/>
      <w:outlineLvl w:val="4"/>
    </w:pPr>
    <w:rPr>
      <w:rFonts w:ascii="小标宋" w:hAnsi="Times New Roman" w:eastAsia="宋体" w:cs="Times New Roman"/>
      <w:sz w:val="24"/>
      <w:szCs w:val="24"/>
    </w:rPr>
  </w:style>
  <w:style w:type="paragraph" w:styleId="9">
    <w:name w:val="heading 6"/>
    <w:basedOn w:val="1"/>
    <w:next w:val="6"/>
    <w:link w:val="81"/>
    <w:qFormat/>
    <w:uiPriority w:val="0"/>
    <w:pPr>
      <w:keepNext/>
      <w:keepLines/>
      <w:adjustRightInd w:val="0"/>
      <w:spacing w:before="240" w:beforeLines="50" w:after="64" w:line="320" w:lineRule="atLeast"/>
      <w:jc w:val="left"/>
      <w:textAlignment w:val="baseline"/>
      <w:outlineLvl w:val="5"/>
    </w:pPr>
    <w:rPr>
      <w:rFonts w:ascii="Arial" w:hAnsi="Arial" w:eastAsia="黑体" w:cs="Times New Roman"/>
      <w:b/>
      <w:kern w:val="0"/>
      <w:sz w:val="24"/>
      <w:szCs w:val="24"/>
    </w:rPr>
  </w:style>
  <w:style w:type="paragraph" w:styleId="10">
    <w:name w:val="heading 7"/>
    <w:basedOn w:val="1"/>
    <w:next w:val="1"/>
    <w:link w:val="82"/>
    <w:qFormat/>
    <w:uiPriority w:val="0"/>
    <w:pPr>
      <w:numPr>
        <w:ilvl w:val="6"/>
        <w:numId w:val="2"/>
      </w:numPr>
      <w:tabs>
        <w:tab w:val="left" w:pos="0"/>
      </w:tabs>
      <w:adjustRightInd w:val="0"/>
      <w:spacing w:before="50" w:beforeLines="50" w:line="460" w:lineRule="exact"/>
      <w:jc w:val="left"/>
      <w:textAlignment w:val="baseline"/>
      <w:outlineLvl w:val="6"/>
    </w:pPr>
    <w:rPr>
      <w:rFonts w:ascii="Times New Roman" w:hAnsi="Times New Roman" w:eastAsia="宋体" w:cs="Times New Roman"/>
      <w:kern w:val="0"/>
      <w:sz w:val="24"/>
      <w:szCs w:val="24"/>
    </w:rPr>
  </w:style>
  <w:style w:type="paragraph" w:styleId="11">
    <w:name w:val="heading 8"/>
    <w:basedOn w:val="1"/>
    <w:next w:val="6"/>
    <w:link w:val="83"/>
    <w:qFormat/>
    <w:uiPriority w:val="0"/>
    <w:pPr>
      <w:keepNext/>
      <w:keepLines/>
      <w:spacing w:before="240" w:beforeLines="50" w:after="64" w:line="320" w:lineRule="auto"/>
      <w:outlineLvl w:val="7"/>
    </w:pPr>
    <w:rPr>
      <w:rFonts w:ascii="Arial" w:hAnsi="Arial" w:eastAsia="黑体" w:cs="Times New Roman"/>
      <w:b/>
      <w:sz w:val="24"/>
      <w:szCs w:val="24"/>
    </w:rPr>
  </w:style>
  <w:style w:type="paragraph" w:styleId="12">
    <w:name w:val="heading 9"/>
    <w:basedOn w:val="1"/>
    <w:next w:val="6"/>
    <w:link w:val="84"/>
    <w:qFormat/>
    <w:uiPriority w:val="0"/>
    <w:pPr>
      <w:keepNext/>
      <w:keepLines/>
      <w:spacing w:before="240" w:beforeLines="50" w:after="64" w:line="320" w:lineRule="auto"/>
      <w:outlineLvl w:val="8"/>
    </w:pPr>
    <w:rPr>
      <w:rFonts w:ascii="Arial" w:hAnsi="Arial" w:eastAsia="黑体" w:cs="Times New Roman"/>
      <w:b/>
      <w:sz w:val="24"/>
      <w:szCs w:val="24"/>
    </w:r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2">
    <w:name w:val="List Number"/>
    <w:basedOn w:val="1"/>
    <w:semiHidden/>
    <w:unhideWhenUsed/>
    <w:qFormat/>
    <w:uiPriority w:val="99"/>
    <w:pPr>
      <w:numPr>
        <w:ilvl w:val="0"/>
        <w:numId w:val="3"/>
      </w:numPr>
    </w:pPr>
  </w:style>
  <w:style w:type="paragraph" w:styleId="6">
    <w:name w:val="Normal Indent"/>
    <w:basedOn w:val="1"/>
    <w:link w:val="121"/>
    <w:qFormat/>
    <w:uiPriority w:val="0"/>
    <w:pPr>
      <w:spacing w:before="50" w:beforeLines="50"/>
      <w:ind w:firstLine="420" w:firstLineChars="200"/>
    </w:pPr>
    <w:rPr>
      <w:rFonts w:ascii="Times New Roman" w:hAnsi="Times New Roman" w:eastAsia="宋体" w:cs="Times New Roman"/>
      <w:sz w:val="24"/>
      <w:szCs w:val="24"/>
    </w:rPr>
  </w:style>
  <w:style w:type="paragraph" w:styleId="13">
    <w:name w:val="List 3"/>
    <w:basedOn w:val="1"/>
    <w:qFormat/>
    <w:uiPriority w:val="0"/>
    <w:pPr>
      <w:adjustRightInd w:val="0"/>
      <w:spacing w:line="312" w:lineRule="atLeast"/>
      <w:ind w:left="1260" w:hanging="420"/>
    </w:pPr>
    <w:rPr>
      <w:rFonts w:ascii="Times New Roman" w:hAnsi="Times New Roman" w:eastAsia="宋体" w:cs="Times New Roman"/>
      <w:kern w:val="0"/>
      <w:szCs w:val="20"/>
    </w:rPr>
  </w:style>
  <w:style w:type="paragraph" w:styleId="14">
    <w:name w:val="toc 7"/>
    <w:basedOn w:val="1"/>
    <w:next w:val="1"/>
    <w:qFormat/>
    <w:uiPriority w:val="0"/>
    <w:pPr>
      <w:ind w:left="2520" w:leftChars="1200"/>
    </w:pPr>
    <w:rPr>
      <w:rFonts w:ascii="Times New Roman" w:hAnsi="Times New Roman" w:eastAsia="宋体" w:cs="Times New Roman"/>
      <w:szCs w:val="24"/>
    </w:rPr>
  </w:style>
  <w:style w:type="paragraph" w:styleId="15">
    <w:name w:val="table of authorities"/>
    <w:basedOn w:val="1"/>
    <w:next w:val="1"/>
    <w:link w:val="439"/>
    <w:semiHidden/>
    <w:qFormat/>
    <w:uiPriority w:val="0"/>
    <w:pPr>
      <w:ind w:left="420" w:leftChars="200"/>
    </w:pPr>
    <w:rPr>
      <w:rFonts w:ascii="Times New Roman" w:hAnsi="Times New Roman" w:eastAsia="宋体" w:cs="Times New Roman"/>
      <w:szCs w:val="20"/>
    </w:rPr>
  </w:style>
  <w:style w:type="paragraph" w:styleId="16">
    <w:name w:val="index 8"/>
    <w:basedOn w:val="1"/>
    <w:next w:val="1"/>
    <w:qFormat/>
    <w:uiPriority w:val="0"/>
    <w:pPr>
      <w:adjustRightInd w:val="0"/>
      <w:spacing w:line="440" w:lineRule="exact"/>
      <w:ind w:left="2940"/>
      <w:jc w:val="left"/>
      <w:textAlignment w:val="baseline"/>
    </w:pPr>
    <w:rPr>
      <w:rFonts w:ascii="宋体" w:hAnsi="Times New Roman" w:eastAsia="宋体" w:cs="Times New Roman"/>
      <w:kern w:val="0"/>
      <w:sz w:val="24"/>
      <w:szCs w:val="20"/>
    </w:rPr>
  </w:style>
  <w:style w:type="paragraph" w:styleId="17">
    <w:name w:val="caption"/>
    <w:basedOn w:val="1"/>
    <w:next w:val="1"/>
    <w:qFormat/>
    <w:uiPriority w:val="0"/>
    <w:pPr>
      <w:widowControl/>
      <w:autoSpaceDE w:val="0"/>
      <w:autoSpaceDN w:val="0"/>
      <w:adjustRightInd w:val="0"/>
      <w:spacing w:line="312" w:lineRule="atLeast"/>
      <w:jc w:val="center"/>
      <w:textAlignment w:val="bottom"/>
    </w:pPr>
    <w:rPr>
      <w:rFonts w:ascii="TimesNewRomanPS" w:hAnsi="TimesNewRomanPS" w:eastAsia="宋体" w:cs="Times New Roman"/>
      <w:b/>
      <w:kern w:val="0"/>
      <w:sz w:val="20"/>
      <w:szCs w:val="20"/>
    </w:rPr>
  </w:style>
  <w:style w:type="paragraph" w:styleId="18">
    <w:name w:val="index 5"/>
    <w:basedOn w:val="1"/>
    <w:next w:val="1"/>
    <w:qFormat/>
    <w:uiPriority w:val="0"/>
    <w:pPr>
      <w:adjustRightInd w:val="0"/>
      <w:spacing w:line="440" w:lineRule="exact"/>
      <w:ind w:left="1680"/>
      <w:jc w:val="left"/>
      <w:textAlignment w:val="baseline"/>
    </w:pPr>
    <w:rPr>
      <w:rFonts w:ascii="宋体" w:hAnsi="Times New Roman" w:eastAsia="宋体" w:cs="Times New Roman"/>
      <w:kern w:val="0"/>
      <w:sz w:val="24"/>
      <w:szCs w:val="20"/>
    </w:rPr>
  </w:style>
  <w:style w:type="paragraph" w:styleId="19">
    <w:name w:val="Document Map"/>
    <w:basedOn w:val="1"/>
    <w:link w:val="107"/>
    <w:qFormat/>
    <w:uiPriority w:val="0"/>
    <w:pPr>
      <w:shd w:val="clear" w:color="auto" w:fill="000080"/>
      <w:spacing w:before="50" w:beforeLines="50"/>
    </w:pPr>
    <w:rPr>
      <w:rFonts w:ascii="Times New Roman" w:hAnsi="Times New Roman" w:eastAsia="宋体" w:cs="Times New Roman"/>
      <w:sz w:val="24"/>
      <w:szCs w:val="24"/>
    </w:rPr>
  </w:style>
  <w:style w:type="paragraph" w:styleId="20">
    <w:name w:val="toa heading"/>
    <w:basedOn w:val="1"/>
    <w:next w:val="1"/>
    <w:semiHidden/>
    <w:unhideWhenUsed/>
    <w:qFormat/>
    <w:uiPriority w:val="99"/>
    <w:pPr>
      <w:spacing w:before="120"/>
    </w:pPr>
    <w:rPr>
      <w:rFonts w:hint="default" w:asciiTheme="majorHAnsi" w:hAnsiTheme="majorHAnsi" w:eastAsiaTheme="majorEastAsia" w:cstheme="majorBidi"/>
      <w:sz w:val="24"/>
    </w:rPr>
  </w:style>
  <w:style w:type="paragraph" w:styleId="21">
    <w:name w:val="annotation text"/>
    <w:basedOn w:val="1"/>
    <w:link w:val="145"/>
    <w:qFormat/>
    <w:uiPriority w:val="0"/>
    <w:pPr>
      <w:jc w:val="left"/>
    </w:pPr>
    <w:rPr>
      <w:rFonts w:ascii="Times New Roman" w:hAnsi="Times New Roman" w:eastAsia="宋体" w:cs="Times New Roman"/>
      <w:szCs w:val="20"/>
    </w:rPr>
  </w:style>
  <w:style w:type="paragraph" w:styleId="22">
    <w:name w:val="index 6"/>
    <w:basedOn w:val="1"/>
    <w:next w:val="1"/>
    <w:qFormat/>
    <w:uiPriority w:val="0"/>
    <w:pPr>
      <w:adjustRightInd w:val="0"/>
      <w:spacing w:line="440" w:lineRule="exact"/>
      <w:ind w:left="2100"/>
      <w:jc w:val="left"/>
      <w:textAlignment w:val="baseline"/>
    </w:pPr>
    <w:rPr>
      <w:rFonts w:ascii="宋体" w:hAnsi="Times New Roman" w:eastAsia="宋体" w:cs="Times New Roman"/>
      <w:kern w:val="0"/>
      <w:sz w:val="24"/>
      <w:szCs w:val="20"/>
    </w:rPr>
  </w:style>
  <w:style w:type="paragraph" w:styleId="23">
    <w:name w:val="Salutation"/>
    <w:basedOn w:val="1"/>
    <w:next w:val="1"/>
    <w:link w:val="215"/>
    <w:qFormat/>
    <w:uiPriority w:val="0"/>
    <w:rPr>
      <w:rFonts w:ascii="Times New Roman" w:hAnsi="Times New Roman" w:eastAsia="宋体" w:cs="Times New Roman"/>
      <w:kern w:val="0"/>
      <w:sz w:val="20"/>
      <w:szCs w:val="24"/>
    </w:rPr>
  </w:style>
  <w:style w:type="paragraph" w:styleId="24">
    <w:name w:val="Body Text 3"/>
    <w:basedOn w:val="1"/>
    <w:link w:val="148"/>
    <w:qFormat/>
    <w:uiPriority w:val="0"/>
    <w:rPr>
      <w:rFonts w:ascii="宋体" w:hAnsi="宋体" w:eastAsia="宋体" w:cs="Times New Roman"/>
      <w:sz w:val="24"/>
      <w:szCs w:val="24"/>
    </w:rPr>
  </w:style>
  <w:style w:type="paragraph" w:styleId="25">
    <w:name w:val="Body Text"/>
    <w:basedOn w:val="1"/>
    <w:link w:val="89"/>
    <w:qFormat/>
    <w:uiPriority w:val="0"/>
    <w:pPr>
      <w:spacing w:before="50" w:beforeLines="50" w:after="120"/>
    </w:pPr>
    <w:rPr>
      <w:rFonts w:ascii="Times New Roman" w:hAnsi="Times New Roman" w:eastAsia="宋体" w:cs="Times New Roman"/>
      <w:sz w:val="24"/>
      <w:szCs w:val="24"/>
    </w:rPr>
  </w:style>
  <w:style w:type="paragraph" w:styleId="26">
    <w:name w:val="Body Text Indent"/>
    <w:basedOn w:val="1"/>
    <w:link w:val="92"/>
    <w:qFormat/>
    <w:uiPriority w:val="0"/>
    <w:pPr>
      <w:spacing w:before="50" w:beforeLines="50" w:line="360" w:lineRule="auto"/>
      <w:ind w:firstLine="403"/>
    </w:pPr>
    <w:rPr>
      <w:rFonts w:ascii="宋体" w:hAnsi="Times New Roman" w:eastAsia="宋体" w:cs="Times New Roman"/>
      <w:sz w:val="24"/>
      <w:szCs w:val="24"/>
    </w:rPr>
  </w:style>
  <w:style w:type="paragraph" w:styleId="27">
    <w:name w:val="List 2"/>
    <w:basedOn w:val="1"/>
    <w:qFormat/>
    <w:uiPriority w:val="0"/>
    <w:pPr>
      <w:ind w:left="840" w:hanging="420"/>
    </w:pPr>
    <w:rPr>
      <w:rFonts w:ascii="宋体" w:hAnsi="Times New Roman" w:eastAsia="宋体" w:cs="Times New Roman"/>
      <w:color w:val="000000"/>
      <w:sz w:val="22"/>
      <w:szCs w:val="20"/>
    </w:rPr>
  </w:style>
  <w:style w:type="paragraph" w:styleId="28">
    <w:name w:val="Block Text"/>
    <w:basedOn w:val="1"/>
    <w:qFormat/>
    <w:uiPriority w:val="0"/>
    <w:pPr>
      <w:spacing w:before="50" w:beforeLines="50" w:after="120"/>
      <w:ind w:left="1440" w:leftChars="700" w:right="1440" w:rightChars="700"/>
    </w:pPr>
    <w:rPr>
      <w:rFonts w:ascii="Times New Roman" w:hAnsi="Times New Roman" w:eastAsia="宋体" w:cs="Times New Roman"/>
      <w:sz w:val="24"/>
      <w:szCs w:val="24"/>
    </w:rPr>
  </w:style>
  <w:style w:type="paragraph" w:styleId="29">
    <w:name w:val="index 4"/>
    <w:basedOn w:val="1"/>
    <w:next w:val="1"/>
    <w:qFormat/>
    <w:uiPriority w:val="0"/>
    <w:pPr>
      <w:adjustRightInd w:val="0"/>
      <w:spacing w:line="440" w:lineRule="exact"/>
      <w:ind w:left="1260"/>
      <w:jc w:val="left"/>
      <w:textAlignment w:val="baseline"/>
    </w:pPr>
    <w:rPr>
      <w:rFonts w:ascii="宋体" w:hAnsi="Times New Roman" w:eastAsia="宋体" w:cs="Times New Roman"/>
      <w:kern w:val="0"/>
      <w:sz w:val="24"/>
      <w:szCs w:val="20"/>
    </w:rPr>
  </w:style>
  <w:style w:type="paragraph" w:styleId="30">
    <w:name w:val="toc 5"/>
    <w:basedOn w:val="1"/>
    <w:next w:val="1"/>
    <w:qFormat/>
    <w:uiPriority w:val="0"/>
    <w:pPr>
      <w:ind w:left="1680" w:leftChars="800"/>
    </w:pPr>
    <w:rPr>
      <w:rFonts w:ascii="Times New Roman" w:hAnsi="Times New Roman" w:eastAsia="宋体" w:cs="Times New Roman"/>
      <w:szCs w:val="24"/>
    </w:rPr>
  </w:style>
  <w:style w:type="paragraph" w:styleId="31">
    <w:name w:val="toc 3"/>
    <w:basedOn w:val="1"/>
    <w:next w:val="1"/>
    <w:qFormat/>
    <w:uiPriority w:val="39"/>
    <w:pPr>
      <w:ind w:left="840" w:leftChars="400"/>
    </w:pPr>
    <w:rPr>
      <w:rFonts w:ascii="Times New Roman" w:hAnsi="Times New Roman" w:eastAsia="宋体" w:cs="Times New Roman"/>
      <w:szCs w:val="24"/>
    </w:rPr>
  </w:style>
  <w:style w:type="paragraph" w:styleId="32">
    <w:name w:val="Plain Text"/>
    <w:basedOn w:val="1"/>
    <w:link w:val="85"/>
    <w:qFormat/>
    <w:uiPriority w:val="0"/>
    <w:pPr>
      <w:spacing w:before="50" w:beforeLines="50"/>
    </w:pPr>
    <w:rPr>
      <w:rFonts w:ascii="宋体" w:hAnsi="Courier New" w:eastAsia="宋体" w:cs="Courier New"/>
      <w:sz w:val="24"/>
      <w:szCs w:val="21"/>
    </w:rPr>
  </w:style>
  <w:style w:type="paragraph" w:styleId="33">
    <w:name w:val="List Bullet 5"/>
    <w:basedOn w:val="1"/>
    <w:qFormat/>
    <w:uiPriority w:val="0"/>
    <w:pPr>
      <w:numPr>
        <w:ilvl w:val="2"/>
        <w:numId w:val="4"/>
      </w:numPr>
      <w:tabs>
        <w:tab w:val="left" w:pos="425"/>
      </w:tabs>
      <w:adjustRightInd w:val="0"/>
      <w:spacing w:line="360" w:lineRule="exact"/>
      <w:ind w:left="900" w:hanging="540"/>
    </w:pPr>
    <w:rPr>
      <w:rFonts w:ascii="宋体" w:hAnsi="Times New Roman" w:eastAsia="宋体" w:cs="Times New Roman"/>
      <w:kern w:val="0"/>
      <w:sz w:val="24"/>
      <w:szCs w:val="20"/>
    </w:rPr>
  </w:style>
  <w:style w:type="paragraph" w:styleId="34">
    <w:name w:val="toc 8"/>
    <w:basedOn w:val="1"/>
    <w:next w:val="1"/>
    <w:qFormat/>
    <w:uiPriority w:val="0"/>
    <w:pPr>
      <w:ind w:left="2940" w:leftChars="1400"/>
    </w:pPr>
    <w:rPr>
      <w:rFonts w:ascii="Times New Roman" w:hAnsi="Times New Roman" w:eastAsia="宋体" w:cs="Times New Roman"/>
      <w:szCs w:val="24"/>
    </w:rPr>
  </w:style>
  <w:style w:type="paragraph" w:styleId="35">
    <w:name w:val="index 3"/>
    <w:basedOn w:val="1"/>
    <w:next w:val="1"/>
    <w:qFormat/>
    <w:uiPriority w:val="0"/>
    <w:pPr>
      <w:adjustRightInd w:val="0"/>
      <w:spacing w:line="440" w:lineRule="exact"/>
      <w:ind w:left="840"/>
      <w:jc w:val="left"/>
      <w:textAlignment w:val="baseline"/>
    </w:pPr>
    <w:rPr>
      <w:rFonts w:ascii="宋体" w:hAnsi="Times New Roman" w:eastAsia="宋体" w:cs="Times New Roman"/>
      <w:kern w:val="0"/>
      <w:sz w:val="24"/>
      <w:szCs w:val="20"/>
    </w:rPr>
  </w:style>
  <w:style w:type="paragraph" w:styleId="36">
    <w:name w:val="Date"/>
    <w:basedOn w:val="1"/>
    <w:next w:val="1"/>
    <w:link w:val="86"/>
    <w:qFormat/>
    <w:uiPriority w:val="0"/>
    <w:pPr>
      <w:adjustRightInd w:val="0"/>
      <w:spacing w:before="50" w:beforeLines="50" w:line="360" w:lineRule="atLeast"/>
      <w:textAlignment w:val="baseline"/>
    </w:pPr>
    <w:rPr>
      <w:rFonts w:ascii="宋体" w:hAnsi="Times New Roman" w:eastAsia="宋体" w:cs="Times New Roman"/>
      <w:kern w:val="0"/>
      <w:sz w:val="24"/>
      <w:szCs w:val="24"/>
    </w:rPr>
  </w:style>
  <w:style w:type="paragraph" w:styleId="37">
    <w:name w:val="Body Text Indent 2"/>
    <w:basedOn w:val="1"/>
    <w:link w:val="91"/>
    <w:qFormat/>
    <w:uiPriority w:val="0"/>
    <w:pPr>
      <w:snapToGrid w:val="0"/>
      <w:spacing w:before="50" w:beforeLines="50" w:line="300" w:lineRule="auto"/>
      <w:ind w:firstLine="540"/>
    </w:pPr>
    <w:rPr>
      <w:rFonts w:ascii="宋体" w:hAnsi="Arial" w:eastAsia="宋体" w:cs="Times New Roman"/>
      <w:sz w:val="24"/>
      <w:szCs w:val="24"/>
    </w:rPr>
  </w:style>
  <w:style w:type="paragraph" w:styleId="38">
    <w:name w:val="endnote text"/>
    <w:basedOn w:val="1"/>
    <w:link w:val="199"/>
    <w:semiHidden/>
    <w:qFormat/>
    <w:uiPriority w:val="0"/>
    <w:pPr>
      <w:widowControl/>
      <w:snapToGrid w:val="0"/>
      <w:jc w:val="left"/>
    </w:pPr>
    <w:rPr>
      <w:rFonts w:ascii="Times New Roman" w:hAnsi="Times New Roman" w:eastAsia="仿宋_GB2312" w:cs="Times New Roman"/>
      <w:kern w:val="0"/>
      <w:sz w:val="28"/>
      <w:szCs w:val="20"/>
    </w:rPr>
  </w:style>
  <w:style w:type="paragraph" w:styleId="39">
    <w:name w:val="Balloon Text"/>
    <w:basedOn w:val="1"/>
    <w:link w:val="135"/>
    <w:unhideWhenUsed/>
    <w:qFormat/>
    <w:uiPriority w:val="0"/>
    <w:rPr>
      <w:sz w:val="18"/>
      <w:szCs w:val="18"/>
    </w:rPr>
  </w:style>
  <w:style w:type="paragraph" w:styleId="40">
    <w:name w:val="footer"/>
    <w:basedOn w:val="1"/>
    <w:link w:val="75"/>
    <w:unhideWhenUsed/>
    <w:qFormat/>
    <w:uiPriority w:val="0"/>
    <w:pPr>
      <w:tabs>
        <w:tab w:val="center" w:pos="4153"/>
        <w:tab w:val="right" w:pos="8306"/>
      </w:tabs>
      <w:snapToGrid w:val="0"/>
      <w:jc w:val="left"/>
    </w:pPr>
    <w:rPr>
      <w:sz w:val="18"/>
      <w:szCs w:val="18"/>
    </w:rPr>
  </w:style>
  <w:style w:type="paragraph" w:styleId="41">
    <w:name w:val="envelope return"/>
    <w:basedOn w:val="1"/>
    <w:qFormat/>
    <w:uiPriority w:val="0"/>
    <w:pPr>
      <w:widowControl/>
    </w:pPr>
    <w:rPr>
      <w:rFonts w:ascii="Times New Roman" w:hAnsi="Times New Roman" w:eastAsia="宋体" w:cs="Times New Roman"/>
      <w:kern w:val="0"/>
      <w:sz w:val="22"/>
      <w:szCs w:val="20"/>
      <w:lang w:val="en-GB"/>
    </w:rPr>
  </w:style>
  <w:style w:type="paragraph" w:styleId="42">
    <w:name w:val="header"/>
    <w:basedOn w:val="1"/>
    <w:link w:val="74"/>
    <w:unhideWhenUsed/>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39"/>
    <w:pPr>
      <w:tabs>
        <w:tab w:val="right" w:leader="dot" w:pos="8400"/>
        <w:tab w:val="right" w:leader="dot" w:pos="9356"/>
      </w:tabs>
      <w:jc w:val="left"/>
    </w:pPr>
    <w:rPr>
      <w:rFonts w:ascii="Calibri" w:hAnsi="Calibri" w:eastAsia="仿宋_GB2312" w:cs="Calibri"/>
      <w:caps/>
      <w:sz w:val="28"/>
      <w:szCs w:val="28"/>
    </w:rPr>
  </w:style>
  <w:style w:type="paragraph" w:styleId="44">
    <w:name w:val="toc 4"/>
    <w:basedOn w:val="1"/>
    <w:next w:val="1"/>
    <w:qFormat/>
    <w:uiPriority w:val="0"/>
    <w:pPr>
      <w:ind w:left="1260" w:leftChars="600"/>
    </w:pPr>
    <w:rPr>
      <w:rFonts w:ascii="Times New Roman" w:hAnsi="Times New Roman" w:eastAsia="宋体" w:cs="Times New Roman"/>
      <w:szCs w:val="24"/>
    </w:rPr>
  </w:style>
  <w:style w:type="paragraph" w:styleId="45">
    <w:name w:val="index heading"/>
    <w:basedOn w:val="1"/>
    <w:next w:val="46"/>
    <w:qFormat/>
    <w:uiPriority w:val="0"/>
    <w:pPr>
      <w:adjustRightInd w:val="0"/>
      <w:spacing w:line="440" w:lineRule="exact"/>
      <w:jc w:val="left"/>
      <w:textAlignment w:val="baseline"/>
    </w:pPr>
    <w:rPr>
      <w:rFonts w:ascii="宋体" w:hAnsi="Times New Roman" w:eastAsia="宋体" w:cs="Times New Roman"/>
      <w:kern w:val="0"/>
      <w:sz w:val="24"/>
      <w:szCs w:val="20"/>
    </w:rPr>
  </w:style>
  <w:style w:type="paragraph" w:styleId="46">
    <w:name w:val="index 1"/>
    <w:basedOn w:val="1"/>
    <w:next w:val="1"/>
    <w:qFormat/>
    <w:uiPriority w:val="0"/>
    <w:pPr>
      <w:widowControl/>
      <w:jc w:val="left"/>
    </w:pPr>
    <w:rPr>
      <w:rFonts w:ascii="Times New Roman" w:hAnsi="Times New Roman" w:eastAsia="宋体" w:cs="Times New Roman"/>
      <w:color w:val="000000"/>
      <w:kern w:val="0"/>
      <w:sz w:val="24"/>
      <w:szCs w:val="20"/>
      <w:lang w:val="fr-FR"/>
    </w:rPr>
  </w:style>
  <w:style w:type="paragraph" w:styleId="47">
    <w:name w:val="footnote text"/>
    <w:basedOn w:val="1"/>
    <w:link w:val="209"/>
    <w:semiHidden/>
    <w:qFormat/>
    <w:uiPriority w:val="0"/>
    <w:pPr>
      <w:adjustRightInd w:val="0"/>
      <w:spacing w:line="312" w:lineRule="atLeast"/>
      <w:jc w:val="left"/>
    </w:pPr>
    <w:rPr>
      <w:rFonts w:ascii="Times New Roman" w:hAnsi="Times New Roman" w:eastAsia="仿宋_GB2312" w:cs="Times New Roman"/>
      <w:kern w:val="0"/>
      <w:sz w:val="18"/>
      <w:szCs w:val="20"/>
    </w:rPr>
  </w:style>
  <w:style w:type="paragraph" w:styleId="48">
    <w:name w:val="toc 6"/>
    <w:basedOn w:val="1"/>
    <w:next w:val="1"/>
    <w:qFormat/>
    <w:uiPriority w:val="0"/>
    <w:pPr>
      <w:ind w:left="2100" w:leftChars="1000"/>
    </w:pPr>
    <w:rPr>
      <w:rFonts w:ascii="Times New Roman" w:hAnsi="Times New Roman" w:eastAsia="宋体" w:cs="Times New Roman"/>
      <w:szCs w:val="24"/>
    </w:rPr>
  </w:style>
  <w:style w:type="paragraph" w:styleId="49">
    <w:name w:val="List 5"/>
    <w:basedOn w:val="1"/>
    <w:qFormat/>
    <w:uiPriority w:val="0"/>
    <w:pPr>
      <w:adjustRightInd w:val="0"/>
      <w:spacing w:line="312" w:lineRule="atLeast"/>
      <w:ind w:left="2100" w:hanging="420"/>
    </w:pPr>
    <w:rPr>
      <w:rFonts w:ascii="Times New Roman" w:hAnsi="Times New Roman" w:eastAsia="宋体" w:cs="Times New Roman"/>
      <w:kern w:val="0"/>
      <w:szCs w:val="20"/>
    </w:rPr>
  </w:style>
  <w:style w:type="paragraph" w:styleId="50">
    <w:name w:val="Body Text Indent 3"/>
    <w:basedOn w:val="1"/>
    <w:link w:val="90"/>
    <w:qFormat/>
    <w:uiPriority w:val="0"/>
    <w:pPr>
      <w:spacing w:before="50" w:beforeLines="50" w:line="460" w:lineRule="exact"/>
      <w:ind w:firstLine="480"/>
    </w:pPr>
    <w:rPr>
      <w:rFonts w:ascii="Times New Roman" w:hAnsi="Times New Roman" w:eastAsia="宋体" w:cs="Times New Roman"/>
      <w:color w:val="FF0000"/>
      <w:sz w:val="24"/>
      <w:szCs w:val="24"/>
    </w:rPr>
  </w:style>
  <w:style w:type="paragraph" w:styleId="51">
    <w:name w:val="index 7"/>
    <w:basedOn w:val="1"/>
    <w:next w:val="1"/>
    <w:qFormat/>
    <w:uiPriority w:val="0"/>
    <w:pPr>
      <w:adjustRightInd w:val="0"/>
      <w:spacing w:line="440" w:lineRule="exact"/>
      <w:ind w:left="2520"/>
      <w:jc w:val="left"/>
      <w:textAlignment w:val="baseline"/>
    </w:pPr>
    <w:rPr>
      <w:rFonts w:ascii="宋体" w:hAnsi="Times New Roman" w:eastAsia="宋体" w:cs="Times New Roman"/>
      <w:kern w:val="0"/>
      <w:sz w:val="24"/>
      <w:szCs w:val="20"/>
    </w:rPr>
  </w:style>
  <w:style w:type="paragraph" w:styleId="52">
    <w:name w:val="index 9"/>
    <w:basedOn w:val="1"/>
    <w:next w:val="1"/>
    <w:qFormat/>
    <w:uiPriority w:val="0"/>
    <w:pPr>
      <w:adjustRightInd w:val="0"/>
      <w:spacing w:line="440" w:lineRule="exact"/>
      <w:ind w:left="3360"/>
      <w:jc w:val="left"/>
      <w:textAlignment w:val="baseline"/>
    </w:pPr>
    <w:rPr>
      <w:rFonts w:ascii="宋体" w:hAnsi="Times New Roman" w:eastAsia="宋体" w:cs="Times New Roman"/>
      <w:kern w:val="0"/>
      <w:sz w:val="24"/>
      <w:szCs w:val="20"/>
    </w:rPr>
  </w:style>
  <w:style w:type="paragraph" w:styleId="53">
    <w:name w:val="toc 2"/>
    <w:basedOn w:val="1"/>
    <w:next w:val="1"/>
    <w:qFormat/>
    <w:uiPriority w:val="39"/>
    <w:pPr>
      <w:spacing w:before="50" w:beforeLines="50"/>
      <w:ind w:left="210"/>
      <w:jc w:val="left"/>
    </w:pPr>
    <w:rPr>
      <w:rFonts w:ascii="Times New Roman" w:hAnsi="Times New Roman" w:eastAsia="宋体" w:cs="Times New Roman"/>
      <w:smallCaps/>
      <w:sz w:val="20"/>
      <w:szCs w:val="24"/>
    </w:rPr>
  </w:style>
  <w:style w:type="paragraph" w:styleId="54">
    <w:name w:val="toc 9"/>
    <w:basedOn w:val="1"/>
    <w:next w:val="1"/>
    <w:qFormat/>
    <w:uiPriority w:val="0"/>
    <w:pPr>
      <w:ind w:left="3360" w:leftChars="1600"/>
    </w:pPr>
    <w:rPr>
      <w:rFonts w:ascii="Times New Roman" w:hAnsi="Times New Roman" w:eastAsia="宋体" w:cs="Times New Roman"/>
      <w:szCs w:val="24"/>
    </w:rPr>
  </w:style>
  <w:style w:type="paragraph" w:styleId="55">
    <w:name w:val="Body Text 2"/>
    <w:basedOn w:val="1"/>
    <w:link w:val="144"/>
    <w:qFormat/>
    <w:uiPriority w:val="0"/>
    <w:pPr>
      <w:ind w:left="720" w:hanging="720"/>
      <w:jc w:val="left"/>
    </w:pPr>
    <w:rPr>
      <w:rFonts w:ascii="Courier New" w:hAnsi="Courier New" w:eastAsia="宋体" w:cs="Times New Roman"/>
      <w:kern w:val="0"/>
      <w:sz w:val="24"/>
      <w:szCs w:val="20"/>
      <w:lang w:eastAsia="en-US"/>
    </w:rPr>
  </w:style>
  <w:style w:type="paragraph" w:styleId="56">
    <w:name w:val="HTML Preformatted"/>
    <w:basedOn w:val="1"/>
    <w:link w:val="13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57">
    <w:name w:val="Normal (Web)"/>
    <w:basedOn w:val="1"/>
    <w:qFormat/>
    <w:uiPriority w:val="0"/>
    <w:rPr>
      <w:rFonts w:ascii="Times New Roman" w:hAnsi="Times New Roman" w:eastAsia="宋体" w:cs="Times New Roman"/>
      <w:sz w:val="24"/>
      <w:szCs w:val="24"/>
    </w:rPr>
  </w:style>
  <w:style w:type="paragraph" w:styleId="58">
    <w:name w:val="index 2"/>
    <w:basedOn w:val="1"/>
    <w:next w:val="1"/>
    <w:qFormat/>
    <w:uiPriority w:val="0"/>
    <w:pPr>
      <w:adjustRightInd w:val="0"/>
      <w:spacing w:line="440" w:lineRule="exact"/>
      <w:ind w:left="420"/>
      <w:jc w:val="left"/>
      <w:textAlignment w:val="baseline"/>
    </w:pPr>
    <w:rPr>
      <w:rFonts w:ascii="宋体" w:hAnsi="Times New Roman" w:eastAsia="宋体" w:cs="Times New Roman"/>
      <w:kern w:val="0"/>
      <w:sz w:val="24"/>
      <w:szCs w:val="20"/>
    </w:rPr>
  </w:style>
  <w:style w:type="paragraph" w:styleId="59">
    <w:name w:val="Title"/>
    <w:basedOn w:val="1"/>
    <w:next w:val="1"/>
    <w:link w:val="191"/>
    <w:qFormat/>
    <w:uiPriority w:val="0"/>
    <w:pPr>
      <w:spacing w:before="240" w:after="60"/>
      <w:jc w:val="center"/>
      <w:outlineLvl w:val="0"/>
    </w:pPr>
    <w:rPr>
      <w:rFonts w:eastAsia="宋体" w:asciiTheme="majorHAnsi" w:hAnsiTheme="majorHAnsi" w:cstheme="majorBidi"/>
      <w:b/>
      <w:bCs/>
      <w:sz w:val="32"/>
      <w:szCs w:val="32"/>
    </w:rPr>
  </w:style>
  <w:style w:type="paragraph" w:styleId="60">
    <w:name w:val="annotation subject"/>
    <w:basedOn w:val="21"/>
    <w:next w:val="21"/>
    <w:link w:val="186"/>
    <w:qFormat/>
    <w:uiPriority w:val="0"/>
    <w:pPr>
      <w:adjustRightInd w:val="0"/>
      <w:spacing w:line="360" w:lineRule="atLeast"/>
      <w:textAlignment w:val="baseline"/>
    </w:pPr>
    <w:rPr>
      <w:b/>
      <w:bCs/>
      <w:szCs w:val="24"/>
    </w:rPr>
  </w:style>
  <w:style w:type="paragraph" w:styleId="61">
    <w:name w:val="Body Text First Indent"/>
    <w:basedOn w:val="25"/>
    <w:link w:val="176"/>
    <w:qFormat/>
    <w:uiPriority w:val="0"/>
    <w:pPr>
      <w:spacing w:before="0" w:beforeLines="0"/>
      <w:ind w:left="430"/>
      <w:jc w:val="left"/>
    </w:pPr>
    <w:rPr>
      <w:rFonts w:ascii="宋体"/>
      <w:kern w:val="10"/>
      <w:szCs w:val="20"/>
    </w:rPr>
  </w:style>
  <w:style w:type="paragraph" w:styleId="62">
    <w:name w:val="Body Text First Indent 2"/>
    <w:basedOn w:val="26"/>
    <w:qFormat/>
    <w:uiPriority w:val="99"/>
    <w:pPr>
      <w:tabs>
        <w:tab w:val="left" w:pos="-864"/>
        <w:tab w:val="left" w:pos="-144"/>
        <w:tab w:val="left" w:pos="936"/>
        <w:tab w:val="left" w:pos="1536"/>
        <w:tab w:val="left" w:pos="2136"/>
        <w:tab w:val="left" w:pos="2736"/>
        <w:tab w:val="left" w:pos="3336"/>
        <w:tab w:val="left" w:pos="3936"/>
        <w:tab w:val="left" w:pos="4536"/>
        <w:tab w:val="left" w:pos="5136"/>
        <w:tab w:val="left" w:pos="5736"/>
        <w:tab w:val="left" w:pos="6336"/>
        <w:tab w:val="left" w:pos="6936"/>
        <w:tab w:val="left" w:pos="7536"/>
        <w:tab w:val="left" w:pos="8136"/>
        <w:tab w:val="left" w:pos="8736"/>
        <w:tab w:val="left" w:pos="9336"/>
        <w:tab w:val="left" w:pos="9936"/>
        <w:tab w:val="left" w:pos="10536"/>
      </w:tabs>
      <w:spacing w:after="120" w:line="240" w:lineRule="auto"/>
      <w:ind w:left="420" w:firstLine="420" w:firstLineChars="0"/>
      <w:jc w:val="both"/>
    </w:pPr>
    <w:rPr>
      <w:sz w:val="21"/>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semiHidden/>
    <w:qFormat/>
    <w:uiPriority w:val="0"/>
    <w:rPr>
      <w:vertAlign w:val="superscript"/>
    </w:rPr>
  </w:style>
  <w:style w:type="character" w:styleId="68">
    <w:name w:val="page number"/>
    <w:basedOn w:val="65"/>
    <w:qFormat/>
    <w:uiPriority w:val="0"/>
  </w:style>
  <w:style w:type="character" w:styleId="69">
    <w:name w:val="FollowedHyperlink"/>
    <w:qFormat/>
    <w:uiPriority w:val="99"/>
    <w:rPr>
      <w:color w:val="800080"/>
      <w:u w:val="single"/>
    </w:rPr>
  </w:style>
  <w:style w:type="character" w:styleId="70">
    <w:name w:val="Emphasis"/>
    <w:basedOn w:val="65"/>
    <w:qFormat/>
    <w:uiPriority w:val="20"/>
    <w:rPr>
      <w:i/>
      <w:iCs/>
    </w:rPr>
  </w:style>
  <w:style w:type="character" w:styleId="71">
    <w:name w:val="Hyperlink"/>
    <w:qFormat/>
    <w:uiPriority w:val="99"/>
    <w:rPr>
      <w:color w:val="0000FF"/>
      <w:u w:val="single"/>
    </w:rPr>
  </w:style>
  <w:style w:type="character" w:styleId="72">
    <w:name w:val="annotation reference"/>
    <w:qFormat/>
    <w:uiPriority w:val="0"/>
    <w:rPr>
      <w:sz w:val="21"/>
      <w:szCs w:val="21"/>
    </w:rPr>
  </w:style>
  <w:style w:type="character" w:styleId="73">
    <w:name w:val="footnote reference"/>
    <w:semiHidden/>
    <w:qFormat/>
    <w:uiPriority w:val="0"/>
    <w:rPr>
      <w:vertAlign w:val="superscript"/>
    </w:rPr>
  </w:style>
  <w:style w:type="character" w:customStyle="1" w:styleId="74">
    <w:name w:val="页眉 字符"/>
    <w:basedOn w:val="65"/>
    <w:link w:val="42"/>
    <w:qFormat/>
    <w:uiPriority w:val="99"/>
    <w:rPr>
      <w:sz w:val="18"/>
      <w:szCs w:val="18"/>
    </w:rPr>
  </w:style>
  <w:style w:type="character" w:customStyle="1" w:styleId="75">
    <w:name w:val="页脚 字符"/>
    <w:basedOn w:val="65"/>
    <w:link w:val="40"/>
    <w:qFormat/>
    <w:uiPriority w:val="99"/>
    <w:rPr>
      <w:sz w:val="18"/>
      <w:szCs w:val="18"/>
    </w:rPr>
  </w:style>
  <w:style w:type="character" w:customStyle="1" w:styleId="76">
    <w:name w:val="标题 1 字符"/>
    <w:basedOn w:val="65"/>
    <w:link w:val="3"/>
    <w:qFormat/>
    <w:uiPriority w:val="0"/>
    <w:rPr>
      <w:rFonts w:ascii="宋体" w:hAnsi="Times New Roman" w:eastAsia="宋体" w:cs="Times New Roman"/>
      <w:b/>
      <w:kern w:val="44"/>
      <w:sz w:val="32"/>
      <w:szCs w:val="24"/>
    </w:rPr>
  </w:style>
  <w:style w:type="character" w:customStyle="1" w:styleId="77">
    <w:name w:val="标题 2 字符"/>
    <w:basedOn w:val="65"/>
    <w:link w:val="4"/>
    <w:qFormat/>
    <w:uiPriority w:val="0"/>
    <w:rPr>
      <w:rFonts w:ascii="宋体" w:hAnsi="Times New Roman" w:eastAsia="宋体" w:cs="Times New Roman"/>
      <w:b/>
      <w:kern w:val="44"/>
      <w:sz w:val="28"/>
      <w:szCs w:val="28"/>
    </w:rPr>
  </w:style>
  <w:style w:type="character" w:customStyle="1" w:styleId="78">
    <w:name w:val="标题 3 字符"/>
    <w:basedOn w:val="65"/>
    <w:link w:val="5"/>
    <w:qFormat/>
    <w:uiPriority w:val="0"/>
    <w:rPr>
      <w:rFonts w:ascii="Times New Roman" w:hAnsi="Times New Roman" w:eastAsia="宋体" w:cs="Times New Roman"/>
      <w:b/>
      <w:kern w:val="0"/>
      <w:sz w:val="28"/>
      <w:szCs w:val="24"/>
    </w:rPr>
  </w:style>
  <w:style w:type="character" w:customStyle="1" w:styleId="79">
    <w:name w:val="标题 4 字符"/>
    <w:basedOn w:val="65"/>
    <w:link w:val="7"/>
    <w:qFormat/>
    <w:uiPriority w:val="0"/>
    <w:rPr>
      <w:rFonts w:ascii="宋体"/>
      <w:i/>
      <w:sz w:val="24"/>
      <w:szCs w:val="24"/>
    </w:rPr>
  </w:style>
  <w:style w:type="character" w:customStyle="1" w:styleId="80">
    <w:name w:val="标题 5 字符"/>
    <w:basedOn w:val="65"/>
    <w:link w:val="8"/>
    <w:qFormat/>
    <w:uiPriority w:val="0"/>
    <w:rPr>
      <w:rFonts w:ascii="小标宋" w:hAnsi="Times New Roman" w:eastAsia="宋体" w:cs="Times New Roman"/>
      <w:sz w:val="24"/>
      <w:szCs w:val="24"/>
    </w:rPr>
  </w:style>
  <w:style w:type="character" w:customStyle="1" w:styleId="81">
    <w:name w:val="标题 6 字符"/>
    <w:basedOn w:val="65"/>
    <w:link w:val="9"/>
    <w:qFormat/>
    <w:uiPriority w:val="0"/>
    <w:rPr>
      <w:rFonts w:ascii="Arial" w:hAnsi="Arial" w:eastAsia="黑体" w:cs="Times New Roman"/>
      <w:b/>
      <w:kern w:val="0"/>
      <w:sz w:val="24"/>
      <w:szCs w:val="24"/>
    </w:rPr>
  </w:style>
  <w:style w:type="character" w:customStyle="1" w:styleId="82">
    <w:name w:val="标题 7 字符"/>
    <w:basedOn w:val="65"/>
    <w:link w:val="10"/>
    <w:qFormat/>
    <w:uiPriority w:val="0"/>
    <w:rPr>
      <w:sz w:val="24"/>
      <w:szCs w:val="24"/>
    </w:rPr>
  </w:style>
  <w:style w:type="character" w:customStyle="1" w:styleId="83">
    <w:name w:val="标题 8 字符"/>
    <w:basedOn w:val="65"/>
    <w:link w:val="11"/>
    <w:qFormat/>
    <w:uiPriority w:val="0"/>
    <w:rPr>
      <w:rFonts w:ascii="Arial" w:hAnsi="Arial" w:eastAsia="黑体" w:cs="Times New Roman"/>
      <w:b/>
      <w:sz w:val="24"/>
      <w:szCs w:val="24"/>
    </w:rPr>
  </w:style>
  <w:style w:type="character" w:customStyle="1" w:styleId="84">
    <w:name w:val="标题 9 字符"/>
    <w:basedOn w:val="65"/>
    <w:link w:val="12"/>
    <w:qFormat/>
    <w:uiPriority w:val="0"/>
    <w:rPr>
      <w:rFonts w:ascii="Arial" w:hAnsi="Arial" w:eastAsia="黑体" w:cs="Times New Roman"/>
      <w:b/>
      <w:sz w:val="24"/>
      <w:szCs w:val="24"/>
    </w:rPr>
  </w:style>
  <w:style w:type="character" w:customStyle="1" w:styleId="85">
    <w:name w:val="纯文本 字符"/>
    <w:basedOn w:val="65"/>
    <w:link w:val="32"/>
    <w:qFormat/>
    <w:uiPriority w:val="0"/>
    <w:rPr>
      <w:rFonts w:ascii="宋体" w:hAnsi="Courier New" w:eastAsia="宋体" w:cs="Courier New"/>
      <w:sz w:val="24"/>
      <w:szCs w:val="21"/>
    </w:rPr>
  </w:style>
  <w:style w:type="character" w:customStyle="1" w:styleId="86">
    <w:name w:val="日期 字符"/>
    <w:basedOn w:val="65"/>
    <w:link w:val="36"/>
    <w:qFormat/>
    <w:uiPriority w:val="0"/>
    <w:rPr>
      <w:rFonts w:ascii="宋体" w:hAnsi="Times New Roman" w:eastAsia="宋体" w:cs="Times New Roman"/>
      <w:kern w:val="0"/>
      <w:sz w:val="24"/>
      <w:szCs w:val="24"/>
    </w:rPr>
  </w:style>
  <w:style w:type="paragraph" w:customStyle="1" w:styleId="87">
    <w:name w:val="样式1"/>
    <w:basedOn w:val="3"/>
    <w:qFormat/>
    <w:uiPriority w:val="0"/>
    <w:pPr>
      <w:jc w:val="left"/>
    </w:pPr>
  </w:style>
  <w:style w:type="paragraph" w:customStyle="1" w:styleId="88">
    <w:name w:val="正文报告"/>
    <w:basedOn w:val="1"/>
    <w:qFormat/>
    <w:uiPriority w:val="0"/>
    <w:pPr>
      <w:tabs>
        <w:tab w:val="left" w:pos="510"/>
      </w:tabs>
      <w:adjustRightInd w:val="0"/>
      <w:spacing w:before="50" w:beforeLines="50" w:line="460" w:lineRule="exact"/>
      <w:ind w:firstLine="482"/>
      <w:textAlignment w:val="baseline"/>
    </w:pPr>
    <w:rPr>
      <w:rFonts w:ascii="Times New Roman" w:hAnsi="Times New Roman" w:eastAsia="宋体" w:cs="Times New Roman"/>
      <w:kern w:val="0"/>
      <w:sz w:val="24"/>
      <w:szCs w:val="24"/>
    </w:rPr>
  </w:style>
  <w:style w:type="character" w:customStyle="1" w:styleId="89">
    <w:name w:val="正文文本 字符"/>
    <w:basedOn w:val="65"/>
    <w:link w:val="25"/>
    <w:qFormat/>
    <w:uiPriority w:val="99"/>
    <w:rPr>
      <w:rFonts w:ascii="Times New Roman" w:hAnsi="Times New Roman" w:eastAsia="宋体" w:cs="Times New Roman"/>
      <w:sz w:val="24"/>
      <w:szCs w:val="24"/>
    </w:rPr>
  </w:style>
  <w:style w:type="character" w:customStyle="1" w:styleId="90">
    <w:name w:val="正文文本缩进 3 字符"/>
    <w:basedOn w:val="65"/>
    <w:link w:val="50"/>
    <w:qFormat/>
    <w:uiPriority w:val="0"/>
    <w:rPr>
      <w:rFonts w:ascii="Times New Roman" w:hAnsi="Times New Roman" w:eastAsia="宋体" w:cs="Times New Roman"/>
      <w:color w:val="FF0000"/>
      <w:sz w:val="24"/>
      <w:szCs w:val="24"/>
    </w:rPr>
  </w:style>
  <w:style w:type="character" w:customStyle="1" w:styleId="91">
    <w:name w:val="正文文本缩进 2 字符"/>
    <w:basedOn w:val="65"/>
    <w:link w:val="37"/>
    <w:qFormat/>
    <w:uiPriority w:val="0"/>
    <w:rPr>
      <w:rFonts w:ascii="宋体" w:hAnsi="Arial" w:eastAsia="宋体" w:cs="Times New Roman"/>
      <w:sz w:val="24"/>
      <w:szCs w:val="24"/>
    </w:rPr>
  </w:style>
  <w:style w:type="character" w:customStyle="1" w:styleId="92">
    <w:name w:val="正文文本缩进 字符"/>
    <w:basedOn w:val="65"/>
    <w:link w:val="26"/>
    <w:qFormat/>
    <w:uiPriority w:val="0"/>
    <w:rPr>
      <w:rFonts w:ascii="宋体" w:hAnsi="Times New Roman" w:eastAsia="宋体" w:cs="Times New Roman"/>
      <w:sz w:val="24"/>
      <w:szCs w:val="24"/>
    </w:rPr>
  </w:style>
  <w:style w:type="paragraph" w:customStyle="1" w:styleId="93">
    <w:name w:val="正文1"/>
    <w:basedOn w:val="1"/>
    <w:qFormat/>
    <w:uiPriority w:val="0"/>
    <w:pPr>
      <w:adjustRightInd w:val="0"/>
      <w:spacing w:before="50" w:beforeLines="50" w:line="360" w:lineRule="atLeast"/>
      <w:jc w:val="left"/>
      <w:textAlignment w:val="baseline"/>
    </w:pPr>
    <w:rPr>
      <w:rFonts w:ascii="宋体" w:hAnsi="Times New Roman" w:eastAsia="宋体" w:cs="Times New Roman"/>
      <w:kern w:val="0"/>
      <w:sz w:val="24"/>
      <w:szCs w:val="24"/>
    </w:rPr>
  </w:style>
  <w:style w:type="paragraph" w:customStyle="1" w:styleId="94">
    <w:name w:val="样式 标题 1b1章标题 1-*+h11st levelSection Headl1 + 小四"/>
    <w:basedOn w:val="3"/>
    <w:link w:val="95"/>
    <w:qFormat/>
    <w:uiPriority w:val="0"/>
    <w:pPr>
      <w:spacing w:after="0"/>
    </w:pPr>
    <w:rPr>
      <w:bCs/>
      <w:sz w:val="30"/>
      <w:szCs w:val="30"/>
    </w:rPr>
  </w:style>
  <w:style w:type="character" w:customStyle="1" w:styleId="95">
    <w:name w:val="样式 标题 1b1章标题 1-*+h11st levelSection Headl1 + 小四 Char"/>
    <w:link w:val="94"/>
    <w:qFormat/>
    <w:uiPriority w:val="0"/>
    <w:rPr>
      <w:rFonts w:ascii="宋体" w:hAnsi="Times New Roman" w:eastAsia="宋体" w:cs="Times New Roman"/>
      <w:b/>
      <w:bCs/>
      <w:kern w:val="44"/>
      <w:sz w:val="30"/>
      <w:szCs w:val="30"/>
    </w:rPr>
  </w:style>
  <w:style w:type="paragraph" w:customStyle="1" w:styleId="96">
    <w:name w:val="样式 段前: 0.5 行 行距: 固定值 23 磅"/>
    <w:basedOn w:val="1"/>
    <w:link w:val="97"/>
    <w:qFormat/>
    <w:uiPriority w:val="0"/>
    <w:pPr>
      <w:spacing w:before="50" w:beforeLines="50"/>
    </w:pPr>
    <w:rPr>
      <w:rFonts w:ascii="Times New Roman" w:hAnsi="Times New Roman" w:eastAsia="宋体" w:cs="宋体"/>
      <w:sz w:val="24"/>
      <w:szCs w:val="20"/>
    </w:rPr>
  </w:style>
  <w:style w:type="character" w:customStyle="1" w:styleId="97">
    <w:name w:val="样式 段前: 0.5 行 行距: 固定值 23 磅 Char"/>
    <w:link w:val="96"/>
    <w:qFormat/>
    <w:uiPriority w:val="0"/>
    <w:rPr>
      <w:rFonts w:ascii="Times New Roman" w:hAnsi="Times New Roman" w:eastAsia="宋体" w:cs="宋体"/>
      <w:sz w:val="24"/>
      <w:szCs w:val="20"/>
    </w:rPr>
  </w:style>
  <w:style w:type="paragraph" w:customStyle="1" w:styleId="98">
    <w:name w:val="样式 宋体 段前: 0.5 行 行距: 1.5 倍行距"/>
    <w:basedOn w:val="1"/>
    <w:qFormat/>
    <w:uiPriority w:val="0"/>
    <w:pPr>
      <w:spacing w:before="50" w:beforeLines="50"/>
    </w:pPr>
    <w:rPr>
      <w:rFonts w:ascii="宋体" w:hAnsi="宋体" w:eastAsia="宋体" w:cs="宋体"/>
      <w:sz w:val="24"/>
      <w:szCs w:val="20"/>
    </w:rPr>
  </w:style>
  <w:style w:type="paragraph" w:customStyle="1" w:styleId="99">
    <w:name w:val="样式 宋体 首行缩进:  0.85 厘米 右侧:  0.05 厘米 段前: 0.5 行 段后: 7.8 磅 行距: 固..."/>
    <w:basedOn w:val="1"/>
    <w:qFormat/>
    <w:uiPriority w:val="0"/>
    <w:pPr>
      <w:spacing w:before="50" w:beforeLines="50"/>
      <w:ind w:right="28" w:firstLine="482"/>
    </w:pPr>
    <w:rPr>
      <w:rFonts w:ascii="宋体" w:hAnsi="宋体" w:eastAsia="宋体" w:cs="宋体"/>
      <w:sz w:val="24"/>
      <w:szCs w:val="20"/>
    </w:rPr>
  </w:style>
  <w:style w:type="paragraph" w:customStyle="1" w:styleId="100">
    <w:name w:val="样式 宋体 右侧:  0.05 厘米 段前: 0.5 行 段后: 6 磅 行距: 固定值 20 磅"/>
    <w:basedOn w:val="1"/>
    <w:qFormat/>
    <w:uiPriority w:val="0"/>
    <w:pPr>
      <w:spacing w:before="50" w:beforeLines="50"/>
      <w:ind w:right="28"/>
    </w:pPr>
    <w:rPr>
      <w:rFonts w:ascii="宋体" w:hAnsi="宋体" w:eastAsia="宋体" w:cs="宋体"/>
      <w:sz w:val="24"/>
      <w:szCs w:val="20"/>
    </w:rPr>
  </w:style>
  <w:style w:type="paragraph" w:customStyle="1" w:styleId="101">
    <w:name w:val="样式 宋体 段前: 0.5 行 行距: 固定值 23 磅"/>
    <w:basedOn w:val="1"/>
    <w:qFormat/>
    <w:uiPriority w:val="0"/>
    <w:pPr>
      <w:spacing w:before="50" w:beforeLines="50"/>
    </w:pPr>
    <w:rPr>
      <w:rFonts w:ascii="宋体" w:hAnsi="宋体" w:eastAsia="宋体" w:cs="宋体"/>
      <w:sz w:val="24"/>
      <w:szCs w:val="20"/>
    </w:rPr>
  </w:style>
  <w:style w:type="paragraph" w:customStyle="1" w:styleId="102">
    <w:name w:val="样式 段前: 0.5 行 行距: 固定值 23 磅1"/>
    <w:basedOn w:val="1"/>
    <w:qFormat/>
    <w:uiPriority w:val="0"/>
    <w:pPr>
      <w:spacing w:before="50" w:beforeLines="50"/>
    </w:pPr>
    <w:rPr>
      <w:rFonts w:ascii="Times New Roman" w:hAnsi="Times New Roman" w:eastAsia="宋体" w:cs="宋体"/>
      <w:sz w:val="24"/>
      <w:szCs w:val="20"/>
    </w:rPr>
  </w:style>
  <w:style w:type="paragraph" w:customStyle="1" w:styleId="103">
    <w:name w:val="样式 右侧:  0.05 厘米 段前: 0.5 行 段后: 6 磅 行距: 固定值 20 磅"/>
    <w:basedOn w:val="1"/>
    <w:qFormat/>
    <w:uiPriority w:val="0"/>
    <w:pPr>
      <w:spacing w:before="50" w:beforeLines="50"/>
      <w:ind w:right="28" w:firstLine="200" w:firstLineChars="200"/>
    </w:pPr>
    <w:rPr>
      <w:rFonts w:ascii="Times New Roman" w:hAnsi="Times New Roman" w:eastAsia="宋体" w:cs="宋体"/>
      <w:szCs w:val="20"/>
    </w:rPr>
  </w:style>
  <w:style w:type="paragraph" w:customStyle="1" w:styleId="104">
    <w:name w:val="样式 段前: 0.5 行 行距: 1.5 倍行距"/>
    <w:basedOn w:val="1"/>
    <w:qFormat/>
    <w:uiPriority w:val="0"/>
    <w:pPr>
      <w:spacing w:before="50" w:beforeLines="50"/>
    </w:pPr>
    <w:rPr>
      <w:rFonts w:ascii="Times New Roman" w:hAnsi="Times New Roman" w:eastAsia="宋体" w:cs="宋体"/>
      <w:szCs w:val="20"/>
    </w:rPr>
  </w:style>
  <w:style w:type="paragraph" w:customStyle="1" w:styleId="105">
    <w:name w:val="样式 样式 正文报告 + 段前: 0.5 行 行距: 单倍行距 + 段前: 0.5 行"/>
    <w:basedOn w:val="1"/>
    <w:qFormat/>
    <w:uiPriority w:val="0"/>
    <w:pPr>
      <w:tabs>
        <w:tab w:val="left" w:pos="510"/>
      </w:tabs>
      <w:adjustRightInd w:val="0"/>
      <w:spacing w:before="50" w:beforeLines="50"/>
      <w:ind w:firstLine="482"/>
      <w:textAlignment w:val="baseline"/>
    </w:pPr>
    <w:rPr>
      <w:rFonts w:ascii="Times New Roman" w:hAnsi="Times New Roman" w:eastAsia="宋体" w:cs="宋体"/>
      <w:kern w:val="0"/>
      <w:szCs w:val="20"/>
    </w:rPr>
  </w:style>
  <w:style w:type="paragraph" w:customStyle="1" w:styleId="106">
    <w:name w:val="样式 段前: 0.5 行 行距: 1.5 倍行距1"/>
    <w:basedOn w:val="1"/>
    <w:qFormat/>
    <w:uiPriority w:val="0"/>
    <w:pPr>
      <w:spacing w:before="50" w:beforeLines="50"/>
    </w:pPr>
    <w:rPr>
      <w:rFonts w:ascii="Times New Roman" w:hAnsi="Times New Roman" w:eastAsia="宋体" w:cs="宋体"/>
      <w:szCs w:val="20"/>
    </w:rPr>
  </w:style>
  <w:style w:type="character" w:customStyle="1" w:styleId="107">
    <w:name w:val="文档结构图 字符"/>
    <w:basedOn w:val="65"/>
    <w:link w:val="19"/>
    <w:qFormat/>
    <w:uiPriority w:val="0"/>
    <w:rPr>
      <w:rFonts w:ascii="Times New Roman" w:hAnsi="Times New Roman" w:eastAsia="宋体" w:cs="Times New Roman"/>
      <w:sz w:val="24"/>
      <w:szCs w:val="24"/>
      <w:shd w:val="clear" w:color="auto" w:fill="000080"/>
    </w:rPr>
  </w:style>
  <w:style w:type="paragraph" w:customStyle="1" w:styleId="108">
    <w:name w:val="Char Char Char Char"/>
    <w:basedOn w:val="19"/>
    <w:qFormat/>
    <w:uiPriority w:val="0"/>
    <w:pPr>
      <w:adjustRightInd w:val="0"/>
      <w:spacing w:before="0" w:beforeLines="0" w:line="436" w:lineRule="exact"/>
      <w:ind w:left="357"/>
      <w:jc w:val="left"/>
      <w:outlineLvl w:val="3"/>
    </w:pPr>
    <w:rPr>
      <w:rFonts w:ascii="Tahoma" w:hAnsi="Tahoma"/>
      <w:b/>
    </w:rPr>
  </w:style>
  <w:style w:type="paragraph" w:styleId="109">
    <w:name w:val="List Paragraph"/>
    <w:basedOn w:val="1"/>
    <w:qFormat/>
    <w:uiPriority w:val="0"/>
    <w:pPr>
      <w:ind w:firstLine="420" w:firstLineChars="200"/>
    </w:pPr>
  </w:style>
  <w:style w:type="paragraph" w:customStyle="1" w:styleId="110">
    <w:name w:val="Char"/>
    <w:basedOn w:val="1"/>
    <w:qFormat/>
    <w:uiPriority w:val="0"/>
    <w:rPr>
      <w:rFonts w:ascii="Times New Roman" w:hAnsi="Times New Roman" w:eastAsia="宋体" w:cs="Times New Roman"/>
      <w:szCs w:val="24"/>
    </w:rPr>
  </w:style>
  <w:style w:type="paragraph" w:customStyle="1" w:styleId="111">
    <w:name w:val="章标题"/>
    <w:next w:val="7"/>
    <w:link w:val="139"/>
    <w:qFormat/>
    <w:uiPriority w:val="0"/>
    <w:pPr>
      <w:widowControl w:val="0"/>
      <w:numPr>
        <w:ilvl w:val="0"/>
        <w:numId w:val="5"/>
      </w:numPr>
      <w:spacing w:before="240" w:after="240" w:line="440" w:lineRule="exact"/>
      <w:outlineLvl w:val="0"/>
    </w:pPr>
    <w:rPr>
      <w:rFonts w:ascii="黑体" w:hAnsi="Times New Roman" w:eastAsia="黑体" w:cs="Times New Roman"/>
      <w:sz w:val="24"/>
      <w:lang w:val="en-US" w:eastAsia="zh-CN" w:bidi="ar-SA"/>
    </w:rPr>
  </w:style>
  <w:style w:type="paragraph" w:customStyle="1" w:styleId="112">
    <w:name w:val="一级条标题"/>
    <w:next w:val="113"/>
    <w:qFormat/>
    <w:uiPriority w:val="0"/>
    <w:pPr>
      <w:widowControl w:val="0"/>
      <w:numPr>
        <w:ilvl w:val="1"/>
        <w:numId w:val="5"/>
      </w:numPr>
      <w:spacing w:line="440" w:lineRule="exact"/>
      <w:outlineLvl w:val="1"/>
    </w:pPr>
    <w:rPr>
      <w:rFonts w:ascii="宋体" w:hAnsi="Times New Roman" w:eastAsia="宋体" w:cs="Times New Roman"/>
      <w:sz w:val="24"/>
      <w:lang w:val="en-US" w:eastAsia="zh-CN" w:bidi="ar-SA"/>
    </w:rPr>
  </w:style>
  <w:style w:type="paragraph" w:customStyle="1" w:styleId="113">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4">
    <w:name w:val="二级条"/>
    <w:next w:val="7"/>
    <w:qFormat/>
    <w:uiPriority w:val="0"/>
    <w:pPr>
      <w:widowControl w:val="0"/>
      <w:numPr>
        <w:ilvl w:val="2"/>
        <w:numId w:val="5"/>
      </w:numPr>
      <w:spacing w:line="440" w:lineRule="exact"/>
    </w:pPr>
    <w:rPr>
      <w:rFonts w:ascii="宋体" w:hAnsi="Times New Roman" w:eastAsia="宋体" w:cs="Times New Roman"/>
      <w:sz w:val="24"/>
      <w:lang w:val="en-US" w:eastAsia="zh-CN" w:bidi="ar-SA"/>
    </w:rPr>
  </w:style>
  <w:style w:type="paragraph" w:customStyle="1" w:styleId="115">
    <w:name w:val="三级条"/>
    <w:basedOn w:val="114"/>
    <w:qFormat/>
    <w:uiPriority w:val="0"/>
    <w:pPr>
      <w:numPr>
        <w:ilvl w:val="3"/>
      </w:numPr>
    </w:pPr>
  </w:style>
  <w:style w:type="paragraph" w:customStyle="1" w:styleId="116">
    <w:name w:val="四级条"/>
    <w:basedOn w:val="114"/>
    <w:next w:val="7"/>
    <w:qFormat/>
    <w:uiPriority w:val="0"/>
    <w:pPr>
      <w:numPr>
        <w:ilvl w:val="4"/>
      </w:numPr>
    </w:pPr>
  </w:style>
  <w:style w:type="paragraph" w:customStyle="1" w:styleId="117">
    <w:name w:val="五级条"/>
    <w:basedOn w:val="1"/>
    <w:qFormat/>
    <w:uiPriority w:val="0"/>
    <w:pPr>
      <w:numPr>
        <w:ilvl w:val="5"/>
        <w:numId w:val="5"/>
      </w:numPr>
      <w:spacing w:line="440" w:lineRule="exact"/>
      <w:outlineLvl w:val="5"/>
    </w:pPr>
    <w:rPr>
      <w:rFonts w:ascii="宋体" w:hAnsi="Times New Roman" w:eastAsia="宋体" w:cs="Times New Roman"/>
      <w:sz w:val="24"/>
      <w:szCs w:val="20"/>
    </w:rPr>
  </w:style>
  <w:style w:type="paragraph" w:customStyle="1" w:styleId="118">
    <w:name w:val="Char1"/>
    <w:basedOn w:val="1"/>
    <w:qFormat/>
    <w:uiPriority w:val="0"/>
    <w:rPr>
      <w:rFonts w:ascii="Times New Roman" w:hAnsi="Times New Roman" w:eastAsia="宋体" w:cs="Times New Roman"/>
      <w:szCs w:val="24"/>
    </w:rPr>
  </w:style>
  <w:style w:type="paragraph" w:customStyle="1" w:styleId="119">
    <w:name w:val="Char2"/>
    <w:basedOn w:val="1"/>
    <w:qFormat/>
    <w:uiPriority w:val="0"/>
    <w:rPr>
      <w:rFonts w:ascii="Times New Roman" w:hAnsi="Times New Roman" w:eastAsia="宋体" w:cs="Times New Roman"/>
      <w:szCs w:val="24"/>
    </w:rPr>
  </w:style>
  <w:style w:type="character" w:customStyle="1" w:styleId="120">
    <w:name w:val="cred1"/>
    <w:qFormat/>
    <w:uiPriority w:val="0"/>
    <w:rPr>
      <w:color w:val="BC2931"/>
    </w:rPr>
  </w:style>
  <w:style w:type="character" w:customStyle="1" w:styleId="121">
    <w:name w:val="正文缩进 字符"/>
    <w:basedOn w:val="65"/>
    <w:link w:val="6"/>
    <w:qFormat/>
    <w:uiPriority w:val="0"/>
    <w:rPr>
      <w:rFonts w:ascii="Times New Roman" w:hAnsi="Times New Roman" w:eastAsia="宋体" w:cs="Times New Roman"/>
      <w:sz w:val="24"/>
      <w:szCs w:val="24"/>
    </w:rPr>
  </w:style>
  <w:style w:type="paragraph" w:customStyle="1" w:styleId="122">
    <w:name w:val="标题1"/>
    <w:basedOn w:val="3"/>
    <w:qFormat/>
    <w:uiPriority w:val="0"/>
    <w:pPr>
      <w:keepLines w:val="0"/>
      <w:numPr>
        <w:ilvl w:val="0"/>
        <w:numId w:val="6"/>
      </w:numPr>
      <w:adjustRightInd/>
      <w:spacing w:before="0" w:beforeLines="0" w:after="0" w:line="400" w:lineRule="atLeast"/>
      <w:jc w:val="left"/>
      <w:textAlignment w:val="auto"/>
    </w:pPr>
    <w:rPr>
      <w:rFonts w:hAnsi="宋体"/>
      <w:kern w:val="24"/>
      <w:sz w:val="24"/>
      <w:szCs w:val="20"/>
      <w:u w:val="single"/>
    </w:rPr>
  </w:style>
  <w:style w:type="paragraph" w:customStyle="1" w:styleId="123">
    <w:name w:val="Char3"/>
    <w:basedOn w:val="1"/>
    <w:qFormat/>
    <w:uiPriority w:val="0"/>
    <w:rPr>
      <w:rFonts w:ascii="Times New Roman" w:hAnsi="Times New Roman" w:eastAsia="宋体" w:cs="Times New Roman"/>
      <w:szCs w:val="24"/>
    </w:rPr>
  </w:style>
  <w:style w:type="paragraph" w:customStyle="1" w:styleId="124">
    <w:name w:val="表格文字"/>
    <w:basedOn w:val="1"/>
    <w:qFormat/>
    <w:uiPriority w:val="0"/>
    <w:pPr>
      <w:ind w:left="210" w:leftChars="100" w:right="420" w:rightChars="200"/>
      <w:jc w:val="left"/>
    </w:pPr>
    <w:rPr>
      <w:rFonts w:ascii="宋体" w:hAnsi="Times New Roman" w:eastAsia="宋体" w:cs="Times New Roman"/>
      <w:color w:val="FF0000"/>
      <w:kern w:val="0"/>
      <w:sz w:val="24"/>
      <w:szCs w:val="20"/>
    </w:rPr>
  </w:style>
  <w:style w:type="paragraph" w:customStyle="1" w:styleId="125">
    <w:name w:val="样式 SINOPEC-0"/>
    <w:basedOn w:val="1"/>
    <w:link w:val="131"/>
    <w:qFormat/>
    <w:uiPriority w:val="0"/>
    <w:pPr>
      <w:spacing w:line="360" w:lineRule="auto"/>
      <w:ind w:firstLine="200" w:firstLineChars="200"/>
    </w:pPr>
    <w:rPr>
      <w:rFonts w:ascii="Arial" w:hAnsi="Arial" w:eastAsia="宋体" w:cs="宋体"/>
      <w:sz w:val="24"/>
      <w:szCs w:val="24"/>
    </w:rPr>
  </w:style>
  <w:style w:type="paragraph" w:customStyle="1" w:styleId="126">
    <w:name w:val="样式 SINOPEC-1"/>
    <w:basedOn w:val="1"/>
    <w:qFormat/>
    <w:uiPriority w:val="0"/>
    <w:pPr>
      <w:keepNext/>
      <w:numPr>
        <w:ilvl w:val="0"/>
        <w:numId w:val="7"/>
      </w:numPr>
      <w:spacing w:before="312" w:beforeLines="100" w:after="312" w:afterLines="100" w:line="360" w:lineRule="auto"/>
      <w:contextualSpacing/>
      <w:jc w:val="left"/>
      <w:outlineLvl w:val="0"/>
    </w:pPr>
    <w:rPr>
      <w:rFonts w:ascii="Arial" w:hAnsi="Arial" w:eastAsia="宋体" w:cs="宋体"/>
      <w:b/>
      <w:bCs/>
      <w:kern w:val="0"/>
      <w:sz w:val="24"/>
      <w:szCs w:val="24"/>
    </w:rPr>
  </w:style>
  <w:style w:type="paragraph" w:customStyle="1" w:styleId="127">
    <w:name w:val="样式 SINOPEC-2"/>
    <w:basedOn w:val="1"/>
    <w:qFormat/>
    <w:uiPriority w:val="0"/>
    <w:pPr>
      <w:keepNext/>
      <w:keepLines/>
      <w:numPr>
        <w:ilvl w:val="1"/>
        <w:numId w:val="7"/>
      </w:numPr>
      <w:snapToGrid w:val="0"/>
      <w:spacing w:before="156" w:beforeLines="50" w:after="156" w:afterLines="50" w:line="360" w:lineRule="auto"/>
      <w:jc w:val="left"/>
      <w:outlineLvl w:val="1"/>
    </w:pPr>
    <w:rPr>
      <w:rFonts w:ascii="Arial" w:hAnsi="Arial" w:eastAsia="宋体" w:cs="宋体"/>
      <w:b/>
      <w:color w:val="000000"/>
      <w:sz w:val="24"/>
      <w:szCs w:val="24"/>
    </w:rPr>
  </w:style>
  <w:style w:type="paragraph" w:customStyle="1" w:styleId="128">
    <w:name w:val="样式 SINOPEC-3"/>
    <w:basedOn w:val="1"/>
    <w:qFormat/>
    <w:uiPriority w:val="0"/>
    <w:pPr>
      <w:keepNext/>
      <w:numPr>
        <w:ilvl w:val="2"/>
        <w:numId w:val="7"/>
      </w:numPr>
      <w:spacing w:before="25" w:beforeLines="25" w:after="25" w:afterLines="25" w:line="360" w:lineRule="auto"/>
      <w:jc w:val="left"/>
      <w:outlineLvl w:val="2"/>
    </w:pPr>
    <w:rPr>
      <w:rFonts w:ascii="Arial" w:hAnsi="Arial" w:eastAsia="宋体" w:cs="宋体"/>
      <w:b/>
      <w:bCs/>
      <w:snapToGrid w:val="0"/>
      <w:kern w:val="0"/>
      <w:sz w:val="24"/>
      <w:szCs w:val="20"/>
      <w:lang w:val="en-GB" w:eastAsia="en-US"/>
    </w:rPr>
  </w:style>
  <w:style w:type="paragraph" w:customStyle="1" w:styleId="129">
    <w:name w:val="样式 SINOPEC-4"/>
    <w:basedOn w:val="1"/>
    <w:qFormat/>
    <w:uiPriority w:val="0"/>
    <w:pPr>
      <w:keepNext/>
      <w:numPr>
        <w:ilvl w:val="3"/>
        <w:numId w:val="7"/>
      </w:numPr>
      <w:adjustRightInd w:val="0"/>
      <w:spacing w:line="360" w:lineRule="auto"/>
      <w:outlineLvl w:val="3"/>
    </w:pPr>
    <w:rPr>
      <w:rFonts w:ascii="Arial" w:hAnsi="Arial" w:eastAsia="宋体" w:cs="宋体"/>
      <w:sz w:val="24"/>
      <w:szCs w:val="20"/>
    </w:rPr>
  </w:style>
  <w:style w:type="paragraph" w:customStyle="1" w:styleId="130">
    <w:name w:val="样式 样式 SINOPEC-4 + 左侧:  0 厘米 悬挂缩进: 3.5 字符1"/>
    <w:basedOn w:val="129"/>
    <w:qFormat/>
    <w:uiPriority w:val="0"/>
    <w:pPr>
      <w:numPr>
        <w:ilvl w:val="4"/>
      </w:numPr>
    </w:pPr>
  </w:style>
  <w:style w:type="character" w:customStyle="1" w:styleId="131">
    <w:name w:val="样式 SINOPEC-0 Char"/>
    <w:basedOn w:val="65"/>
    <w:link w:val="125"/>
    <w:qFormat/>
    <w:uiPriority w:val="0"/>
    <w:rPr>
      <w:rFonts w:ascii="Arial" w:hAnsi="Arial" w:eastAsia="宋体" w:cs="宋体"/>
      <w:sz w:val="24"/>
      <w:szCs w:val="24"/>
    </w:rPr>
  </w:style>
  <w:style w:type="table" w:customStyle="1" w:styleId="132">
    <w:name w:val="网格型1"/>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3">
    <w:name w:val="文档正文"/>
    <w:basedOn w:val="1"/>
    <w:qFormat/>
    <w:uiPriority w:val="0"/>
    <w:pPr>
      <w:adjustRightInd w:val="0"/>
      <w:spacing w:line="480" w:lineRule="atLeast"/>
      <w:ind w:firstLine="567"/>
      <w:textAlignment w:val="baseline"/>
    </w:pPr>
    <w:rPr>
      <w:rFonts w:ascii="长城仿宋" w:hAnsi="Times New Roman" w:eastAsia="宋体" w:cs="Times New Roman"/>
      <w:kern w:val="0"/>
      <w:sz w:val="24"/>
      <w:szCs w:val="20"/>
    </w:rPr>
  </w:style>
  <w:style w:type="paragraph" w:customStyle="1" w:styleId="134">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135">
    <w:name w:val="批注框文本 字符"/>
    <w:basedOn w:val="65"/>
    <w:link w:val="39"/>
    <w:qFormat/>
    <w:uiPriority w:val="0"/>
    <w:rPr>
      <w:sz w:val="18"/>
      <w:szCs w:val="18"/>
    </w:rPr>
  </w:style>
  <w:style w:type="paragraph" w:customStyle="1" w:styleId="136">
    <w:name w:val="Char4"/>
    <w:basedOn w:val="1"/>
    <w:qFormat/>
    <w:uiPriority w:val="0"/>
    <w:pPr>
      <w:adjustRightInd w:val="0"/>
      <w:spacing w:line="360" w:lineRule="atLeast"/>
      <w:jc w:val="left"/>
      <w:textAlignment w:val="baseline"/>
    </w:pPr>
    <w:rPr>
      <w:rFonts w:ascii="Times New Roman" w:hAnsi="Times New Roman" w:eastAsia="宋体" w:cs="Times New Roman"/>
      <w:szCs w:val="24"/>
    </w:rPr>
  </w:style>
  <w:style w:type="character" w:customStyle="1" w:styleId="137">
    <w:name w:val="HTML 预设格式 字符"/>
    <w:basedOn w:val="65"/>
    <w:link w:val="56"/>
    <w:semiHidden/>
    <w:qFormat/>
    <w:uiPriority w:val="99"/>
    <w:rPr>
      <w:rFonts w:ascii="宋体" w:hAnsi="宋体" w:eastAsia="宋体" w:cs="宋体"/>
      <w:kern w:val="0"/>
      <w:sz w:val="24"/>
      <w:szCs w:val="24"/>
    </w:rPr>
  </w:style>
  <w:style w:type="paragraph" w:customStyle="1" w:styleId="138">
    <w:name w:val="样式2"/>
    <w:basedOn w:val="111"/>
    <w:link w:val="140"/>
    <w:qFormat/>
    <w:uiPriority w:val="0"/>
    <w:pPr>
      <w:numPr>
        <w:ilvl w:val="0"/>
        <w:numId w:val="4"/>
      </w:numPr>
      <w:snapToGrid w:val="0"/>
      <w:spacing w:before="100" w:beforeLines="100" w:after="0" w:line="240" w:lineRule="auto"/>
    </w:pPr>
    <w:rPr>
      <w:rFonts w:ascii="Arial" w:hAnsi="Arial" w:eastAsia="微软雅黑" w:cs="Arial"/>
      <w:szCs w:val="21"/>
    </w:rPr>
  </w:style>
  <w:style w:type="character" w:customStyle="1" w:styleId="139">
    <w:name w:val="章标题 Char"/>
    <w:basedOn w:val="65"/>
    <w:link w:val="111"/>
    <w:qFormat/>
    <w:uiPriority w:val="0"/>
    <w:rPr>
      <w:rFonts w:ascii="黑体" w:eastAsia="黑体"/>
      <w:sz w:val="24"/>
    </w:rPr>
  </w:style>
  <w:style w:type="character" w:customStyle="1" w:styleId="140">
    <w:name w:val="样式2 Char"/>
    <w:basedOn w:val="139"/>
    <w:link w:val="138"/>
    <w:qFormat/>
    <w:uiPriority w:val="0"/>
    <w:rPr>
      <w:rFonts w:ascii="Arial" w:hAnsi="Arial" w:eastAsia="微软雅黑" w:cs="Arial"/>
      <w:sz w:val="24"/>
      <w:szCs w:val="21"/>
    </w:rPr>
  </w:style>
  <w:style w:type="paragraph" w:customStyle="1" w:styleId="141">
    <w:name w:val="blank"/>
    <w:qFormat/>
    <w:uiPriority w:val="0"/>
    <w:pPr>
      <w:tabs>
        <w:tab w:val="left" w:pos="-1440"/>
        <w:tab w:val="left" w:pos="-720"/>
        <w:tab w:val="left" w:pos="0"/>
        <w:tab w:val="left" w:pos="1661"/>
        <w:tab w:val="left" w:pos="2233"/>
        <w:tab w:val="left" w:pos="2834"/>
        <w:tab w:val="left" w:pos="3401"/>
        <w:tab w:val="left" w:pos="3967"/>
        <w:tab w:val="left" w:pos="4534"/>
        <w:tab w:val="left" w:pos="5100"/>
        <w:tab w:val="left" w:pos="5666"/>
        <w:tab w:val="left" w:pos="6233"/>
        <w:tab w:val="left" w:pos="6799"/>
        <w:tab w:val="left" w:pos="7366"/>
        <w:tab w:val="left" w:pos="7932"/>
        <w:tab w:val="left" w:pos="8498"/>
        <w:tab w:val="left" w:pos="9065"/>
      </w:tabs>
      <w:suppressAutoHyphens/>
    </w:pPr>
    <w:rPr>
      <w:rFonts w:ascii="Arial" w:hAnsi="Arial" w:eastAsia="宋体" w:cs="Times New Roman"/>
      <w:sz w:val="24"/>
      <w:lang w:val="en-US" w:eastAsia="en-US" w:bidi="ar-SA"/>
    </w:rPr>
  </w:style>
  <w:style w:type="paragraph" w:customStyle="1" w:styleId="142">
    <w:name w:val="TxBr_c4"/>
    <w:basedOn w:val="1"/>
    <w:qFormat/>
    <w:uiPriority w:val="0"/>
    <w:pPr>
      <w:spacing w:line="240" w:lineRule="atLeast"/>
      <w:jc w:val="center"/>
    </w:pPr>
    <w:rPr>
      <w:rFonts w:ascii="Times New Roman" w:hAnsi="Times New Roman" w:eastAsia="宋体" w:cs="Times New Roman"/>
      <w:snapToGrid w:val="0"/>
      <w:kern w:val="0"/>
      <w:sz w:val="24"/>
      <w:szCs w:val="20"/>
      <w:lang w:val="en-GB" w:eastAsia="en-US"/>
    </w:rPr>
  </w:style>
  <w:style w:type="character" w:customStyle="1" w:styleId="143">
    <w:name w:val="Document 6"/>
    <w:basedOn w:val="65"/>
    <w:qFormat/>
    <w:uiPriority w:val="0"/>
  </w:style>
  <w:style w:type="character" w:customStyle="1" w:styleId="144">
    <w:name w:val="正文文本 2 字符"/>
    <w:basedOn w:val="65"/>
    <w:link w:val="55"/>
    <w:qFormat/>
    <w:uiPriority w:val="0"/>
    <w:rPr>
      <w:rFonts w:ascii="Courier New" w:hAnsi="Courier New" w:eastAsia="宋体" w:cs="Times New Roman"/>
      <w:kern w:val="0"/>
      <w:sz w:val="24"/>
      <w:szCs w:val="20"/>
      <w:lang w:eastAsia="en-US"/>
    </w:rPr>
  </w:style>
  <w:style w:type="character" w:customStyle="1" w:styleId="145">
    <w:name w:val="批注文字 字符"/>
    <w:basedOn w:val="65"/>
    <w:link w:val="21"/>
    <w:qFormat/>
    <w:uiPriority w:val="0"/>
    <w:rPr>
      <w:rFonts w:ascii="Times New Roman" w:hAnsi="Times New Roman" w:eastAsia="宋体" w:cs="Times New Roman"/>
      <w:szCs w:val="20"/>
    </w:rPr>
  </w:style>
  <w:style w:type="paragraph" w:customStyle="1" w:styleId="146">
    <w:name w:val="TxBr_p12"/>
    <w:basedOn w:val="1"/>
    <w:qFormat/>
    <w:uiPriority w:val="0"/>
    <w:pPr>
      <w:tabs>
        <w:tab w:val="left" w:pos="204"/>
      </w:tabs>
      <w:spacing w:line="240" w:lineRule="atLeast"/>
    </w:pPr>
    <w:rPr>
      <w:rFonts w:ascii="Arial" w:hAnsi="Arial" w:eastAsia="宋体" w:cs="Times New Roman"/>
      <w:snapToGrid w:val="0"/>
      <w:kern w:val="0"/>
      <w:sz w:val="22"/>
      <w:szCs w:val="20"/>
      <w:lang w:val="en-GB" w:eastAsia="en-US"/>
    </w:rPr>
  </w:style>
  <w:style w:type="paragraph" w:customStyle="1" w:styleId="147">
    <w:name w:val="Bullet 1"/>
    <w:basedOn w:val="1"/>
    <w:qFormat/>
    <w:uiPriority w:val="0"/>
    <w:pPr>
      <w:widowControl/>
      <w:tabs>
        <w:tab w:val="left" w:pos="1440"/>
        <w:tab w:val="left" w:pos="1800"/>
      </w:tabs>
      <w:spacing w:before="40"/>
      <w:ind w:left="1800" w:hanging="360"/>
      <w:jc w:val="left"/>
    </w:pPr>
    <w:rPr>
      <w:rFonts w:ascii="Times New Roman" w:hAnsi="Times New Roman" w:eastAsia="宋体" w:cs="Times New Roman"/>
      <w:kern w:val="0"/>
      <w:sz w:val="24"/>
      <w:szCs w:val="20"/>
      <w:lang w:eastAsia="en-US"/>
    </w:rPr>
  </w:style>
  <w:style w:type="character" w:customStyle="1" w:styleId="148">
    <w:name w:val="正文文本 3 字符"/>
    <w:basedOn w:val="65"/>
    <w:link w:val="24"/>
    <w:qFormat/>
    <w:uiPriority w:val="0"/>
    <w:rPr>
      <w:rFonts w:ascii="宋体" w:hAnsi="宋体" w:eastAsia="宋体" w:cs="Times New Roman"/>
      <w:sz w:val="24"/>
      <w:szCs w:val="24"/>
    </w:rPr>
  </w:style>
  <w:style w:type="paragraph" w:customStyle="1" w:styleId="149">
    <w:name w:val="批注框文本1"/>
    <w:basedOn w:val="1"/>
    <w:semiHidden/>
    <w:qFormat/>
    <w:uiPriority w:val="0"/>
    <w:rPr>
      <w:rFonts w:ascii="Times New Roman" w:hAnsi="Times New Roman" w:eastAsia="宋体" w:cs="Times New Roman"/>
      <w:sz w:val="18"/>
      <w:szCs w:val="18"/>
    </w:rPr>
  </w:style>
  <w:style w:type="paragraph" w:customStyle="1" w:styleId="150">
    <w:name w:val="批注框文本2"/>
    <w:basedOn w:val="1"/>
    <w:semiHidden/>
    <w:qFormat/>
    <w:uiPriority w:val="0"/>
    <w:rPr>
      <w:rFonts w:ascii="Times New Roman" w:hAnsi="Times New Roman" w:eastAsia="宋体" w:cs="Times New Roman"/>
      <w:sz w:val="16"/>
      <w:szCs w:val="16"/>
    </w:rPr>
  </w:style>
  <w:style w:type="paragraph" w:customStyle="1" w:styleId="151">
    <w:name w:val="Char5"/>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52">
    <w:name w:val="!Texte courant"/>
    <w:qFormat/>
    <w:uiPriority w:val="0"/>
    <w:pPr>
      <w:spacing w:before="120" w:line="280" w:lineRule="atLeast"/>
      <w:jc w:val="both"/>
    </w:pPr>
    <w:rPr>
      <w:rFonts w:ascii="Times New Roman" w:hAnsi="Times New Roman" w:eastAsia="宋体" w:cs="Times New Roman"/>
      <w:sz w:val="24"/>
      <w:lang w:val="fr-FR" w:eastAsia="zh-CN" w:bidi="ar-SA"/>
    </w:rPr>
  </w:style>
  <w:style w:type="paragraph" w:customStyle="1" w:styleId="153">
    <w:name w:val="_puce (1er niveau)"/>
    <w:qFormat/>
    <w:uiPriority w:val="0"/>
    <w:pPr>
      <w:spacing w:before="120" w:line="280" w:lineRule="atLeast"/>
      <w:ind w:left="851" w:hanging="284"/>
      <w:jc w:val="both"/>
    </w:pPr>
    <w:rPr>
      <w:rFonts w:ascii="Times New Roman" w:hAnsi="Times New Roman" w:eastAsia="宋体" w:cs="Times New Roman"/>
      <w:sz w:val="24"/>
      <w:lang w:val="fr-FR" w:eastAsia="zh-CN" w:bidi="ar-SA"/>
    </w:rPr>
  </w:style>
  <w:style w:type="paragraph" w:customStyle="1" w:styleId="154">
    <w:name w:val="_tiret (2e niveau)"/>
    <w:qFormat/>
    <w:uiPriority w:val="0"/>
    <w:pPr>
      <w:spacing w:before="120"/>
      <w:ind w:left="1134" w:hanging="284"/>
      <w:jc w:val="both"/>
    </w:pPr>
    <w:rPr>
      <w:rFonts w:ascii="Times New Roman" w:hAnsi="Times New Roman" w:eastAsia="宋体" w:cs="Times New Roman"/>
      <w:sz w:val="24"/>
      <w:lang w:val="fr-FR" w:eastAsia="zh-CN" w:bidi="ar-SA"/>
    </w:rPr>
  </w:style>
  <w:style w:type="paragraph" w:customStyle="1" w:styleId="155">
    <w:name w:val="_point"/>
    <w:qFormat/>
    <w:uiPriority w:val="0"/>
    <w:pPr>
      <w:ind w:left="1418" w:hanging="284"/>
      <w:jc w:val="both"/>
    </w:pPr>
    <w:rPr>
      <w:rFonts w:ascii="Times New Roman" w:hAnsi="Times New Roman" w:eastAsia="宋体" w:cs="Times New Roman"/>
      <w:sz w:val="24"/>
      <w:lang w:val="fr-FR" w:eastAsia="zh-CN" w:bidi="ar-SA"/>
    </w:rPr>
  </w:style>
  <w:style w:type="paragraph" w:customStyle="1" w:styleId="156">
    <w:name w:val="*Insertion tableau"/>
    <w:qFormat/>
    <w:uiPriority w:val="0"/>
    <w:pPr>
      <w:spacing w:line="280" w:lineRule="atLeast"/>
    </w:pPr>
    <w:rPr>
      <w:rFonts w:ascii="Times New Roman" w:hAnsi="Times New Roman" w:eastAsia="宋体" w:cs="Times New Roman"/>
      <w:sz w:val="24"/>
      <w:lang w:val="fr-FR" w:eastAsia="zh-CN" w:bidi="ar-SA"/>
    </w:rPr>
  </w:style>
  <w:style w:type="paragraph" w:customStyle="1" w:styleId="157">
    <w:name w:val="_a) énum. (1er niveau)"/>
    <w:qFormat/>
    <w:uiPriority w:val="0"/>
    <w:pPr>
      <w:spacing w:after="120" w:line="280" w:lineRule="atLeast"/>
      <w:ind w:left="993" w:hanging="426"/>
      <w:jc w:val="both"/>
    </w:pPr>
    <w:rPr>
      <w:rFonts w:ascii="Times New Roman" w:hAnsi="Times New Roman" w:eastAsia="宋体" w:cs="Times New Roman"/>
      <w:b/>
      <w:sz w:val="24"/>
      <w:lang w:val="fr-FR" w:eastAsia="zh-CN" w:bidi="ar-SA"/>
    </w:rPr>
  </w:style>
  <w:style w:type="paragraph" w:customStyle="1" w:styleId="158">
    <w:name w:val="Main"/>
    <w:basedOn w:val="1"/>
    <w:qFormat/>
    <w:uiPriority w:val="0"/>
    <w:pPr>
      <w:tabs>
        <w:tab w:val="left" w:pos="2160"/>
        <w:tab w:val="left" w:pos="3840"/>
      </w:tabs>
      <w:spacing w:before="24" w:after="72" w:line="520" w:lineRule="exact"/>
      <w:ind w:firstLine="567"/>
    </w:pPr>
    <w:rPr>
      <w:rFonts w:ascii="Times New Roman" w:hAnsi="Times New Roman" w:eastAsia="宋体" w:cs="Times New Roman"/>
      <w:sz w:val="28"/>
      <w:szCs w:val="28"/>
    </w:rPr>
  </w:style>
  <w:style w:type="paragraph" w:customStyle="1" w:styleId="159">
    <w:name w:val="高表内"/>
    <w:basedOn w:val="32"/>
    <w:qFormat/>
    <w:uiPriority w:val="0"/>
    <w:pPr>
      <w:autoSpaceDE w:val="0"/>
      <w:adjustRightInd w:val="0"/>
      <w:snapToGrid w:val="0"/>
      <w:spacing w:before="0" w:beforeLines="0"/>
      <w:jc w:val="center"/>
      <w:textAlignment w:val="baseline"/>
    </w:pPr>
    <w:rPr>
      <w:rFonts w:ascii="Arial" w:hAnsi="Arial" w:eastAsia="楷体_GB2312" w:cs="Times New Roman"/>
      <w:szCs w:val="24"/>
    </w:rPr>
  </w:style>
  <w:style w:type="paragraph" w:customStyle="1" w:styleId="160">
    <w:name w:val="gb1"/>
    <w:basedOn w:val="1"/>
    <w:qFormat/>
    <w:uiPriority w:val="0"/>
    <w:pPr>
      <w:widowControl/>
      <w:tabs>
        <w:tab w:val="left" w:pos="227"/>
      </w:tabs>
      <w:overflowPunct w:val="0"/>
      <w:autoSpaceDE w:val="0"/>
      <w:autoSpaceDN w:val="0"/>
      <w:adjustRightInd w:val="0"/>
      <w:spacing w:before="120" w:after="120"/>
      <w:jc w:val="left"/>
      <w:textAlignment w:val="baseline"/>
    </w:pPr>
    <w:rPr>
      <w:rFonts w:ascii="Arial" w:hAnsi="Arial" w:eastAsia="仿宋体" w:cs="Times New Roman"/>
      <w:kern w:val="0"/>
      <w:sz w:val="24"/>
      <w:szCs w:val="20"/>
    </w:rPr>
  </w:style>
  <w:style w:type="paragraph" w:customStyle="1" w:styleId="161">
    <w:name w:val="样式 TxBr_p12 + 新宋体 小四 行距: 多倍行距 1.3 字行"/>
    <w:basedOn w:val="146"/>
    <w:qFormat/>
    <w:uiPriority w:val="0"/>
    <w:pPr>
      <w:spacing w:line="312" w:lineRule="auto"/>
      <w:ind w:left="200" w:leftChars="200"/>
    </w:pPr>
    <w:rPr>
      <w:rFonts w:ascii="新宋体" w:hAnsi="新宋体" w:eastAsia="新宋体" w:cs="宋体"/>
      <w:kern w:val="2"/>
      <w:sz w:val="24"/>
    </w:rPr>
  </w:style>
  <w:style w:type="paragraph" w:customStyle="1" w:styleId="162">
    <w:name w:val="样式 TxBr_p12 + 新宋体 小四 行距: 多倍行距 1.3 字行1"/>
    <w:basedOn w:val="146"/>
    <w:qFormat/>
    <w:uiPriority w:val="0"/>
    <w:pPr>
      <w:spacing w:line="312" w:lineRule="auto"/>
      <w:ind w:left="200" w:leftChars="200" w:firstLine="200" w:firstLineChars="200"/>
    </w:pPr>
    <w:rPr>
      <w:rFonts w:ascii="新宋体" w:hAnsi="新宋体" w:eastAsia="新宋体" w:cs="宋体"/>
      <w:kern w:val="2"/>
      <w:sz w:val="24"/>
    </w:rPr>
  </w:style>
  <w:style w:type="paragraph" w:customStyle="1" w:styleId="163">
    <w:name w:val="样式 正文文本缩进 + (符号) Univers 行距: 1.5 倍行距"/>
    <w:basedOn w:val="26"/>
    <w:qFormat/>
    <w:uiPriority w:val="0"/>
    <w:pPr>
      <w:adjustRightInd w:val="0"/>
      <w:spacing w:beforeLines="0" w:after="50"/>
      <w:ind w:firstLine="0"/>
      <w:jc w:val="center"/>
      <w:textAlignment w:val="baseline"/>
    </w:pPr>
    <w:rPr>
      <w:rFonts w:hAnsi="Univers" w:cs="宋体"/>
      <w:kern w:val="0"/>
      <w:szCs w:val="20"/>
    </w:rPr>
  </w:style>
  <w:style w:type="paragraph" w:customStyle="1" w:styleId="164">
    <w:name w:val="样式 正文文本缩进 + 新宋体"/>
    <w:basedOn w:val="26"/>
    <w:link w:val="165"/>
    <w:qFormat/>
    <w:uiPriority w:val="0"/>
    <w:pPr>
      <w:adjustRightInd w:val="0"/>
      <w:spacing w:before="163" w:beforeLines="0" w:after="50" w:line="460" w:lineRule="exact"/>
      <w:ind w:firstLine="0"/>
      <w:textAlignment w:val="baseline"/>
    </w:pPr>
    <w:rPr>
      <w:rFonts w:hAnsi="宋体"/>
    </w:rPr>
  </w:style>
  <w:style w:type="character" w:customStyle="1" w:styleId="165">
    <w:name w:val="样式 正文文本缩进 + 新宋体 Char"/>
    <w:link w:val="164"/>
    <w:qFormat/>
    <w:uiPriority w:val="0"/>
    <w:rPr>
      <w:rFonts w:ascii="宋体" w:hAnsi="宋体" w:eastAsia="宋体" w:cs="Times New Roman"/>
      <w:sz w:val="24"/>
      <w:szCs w:val="24"/>
    </w:rPr>
  </w:style>
  <w:style w:type="paragraph" w:customStyle="1" w:styleId="166">
    <w:name w:val="标题3"/>
    <w:basedOn w:val="1"/>
    <w:qFormat/>
    <w:uiPriority w:val="0"/>
    <w:rPr>
      <w:rFonts w:ascii="Times New Roman" w:hAnsi="Times New Roman" w:eastAsia="宋体" w:cs="Times New Roman"/>
      <w:sz w:val="24"/>
      <w:szCs w:val="24"/>
    </w:rPr>
  </w:style>
  <w:style w:type="paragraph" w:customStyle="1" w:styleId="167">
    <w:name w:val="样式 标题 1章 + 加粗"/>
    <w:basedOn w:val="3"/>
    <w:link w:val="168"/>
    <w:qFormat/>
    <w:uiPriority w:val="0"/>
    <w:pPr>
      <w:keepLines w:val="0"/>
      <w:adjustRightInd/>
      <w:spacing w:before="0" w:beforeLines="0" w:after="0" w:line="480" w:lineRule="auto"/>
      <w:jc w:val="center"/>
      <w:textAlignment w:val="auto"/>
    </w:pPr>
    <w:rPr>
      <w:rFonts w:hAnsi="宋体"/>
      <w:bCs/>
      <w:kern w:val="2"/>
      <w:sz w:val="28"/>
      <w:szCs w:val="20"/>
      <w:u w:val="single"/>
    </w:rPr>
  </w:style>
  <w:style w:type="character" w:customStyle="1" w:styleId="168">
    <w:name w:val="样式 标题 1章 + 加粗 Char"/>
    <w:link w:val="167"/>
    <w:qFormat/>
    <w:uiPriority w:val="0"/>
    <w:rPr>
      <w:rFonts w:ascii="宋体" w:hAnsi="宋体" w:eastAsia="宋体" w:cs="Times New Roman"/>
      <w:b/>
      <w:bCs/>
      <w:sz w:val="28"/>
      <w:szCs w:val="20"/>
      <w:u w:val="single"/>
    </w:rPr>
  </w:style>
  <w:style w:type="paragraph" w:customStyle="1" w:styleId="169">
    <w:name w:val="样式 标题 1章 + (西文) Arial 加粗"/>
    <w:basedOn w:val="3"/>
    <w:link w:val="170"/>
    <w:qFormat/>
    <w:uiPriority w:val="0"/>
    <w:pPr>
      <w:keepLines w:val="0"/>
      <w:adjustRightInd/>
      <w:spacing w:before="0" w:beforeLines="0" w:after="0" w:line="480" w:lineRule="auto"/>
      <w:jc w:val="center"/>
      <w:textAlignment w:val="auto"/>
    </w:pPr>
    <w:rPr>
      <w:rFonts w:ascii="Arial" w:hAnsi="Arial"/>
      <w:bCs/>
      <w:kern w:val="2"/>
      <w:sz w:val="28"/>
      <w:szCs w:val="20"/>
      <w:u w:val="single"/>
    </w:rPr>
  </w:style>
  <w:style w:type="character" w:customStyle="1" w:styleId="170">
    <w:name w:val="样式 标题 1章 + (西文) Arial 加粗 Char"/>
    <w:link w:val="169"/>
    <w:qFormat/>
    <w:uiPriority w:val="0"/>
    <w:rPr>
      <w:rFonts w:ascii="Arial" w:hAnsi="Arial" w:eastAsia="宋体" w:cs="Times New Roman"/>
      <w:b/>
      <w:bCs/>
      <w:sz w:val="28"/>
      <w:szCs w:val="20"/>
      <w:u w:val="single"/>
    </w:rPr>
  </w:style>
  <w:style w:type="paragraph" w:customStyle="1" w:styleId="171">
    <w:name w:val="Paragraph 5"/>
    <w:basedOn w:val="1"/>
    <w:qFormat/>
    <w:uiPriority w:val="0"/>
    <w:pPr>
      <w:widowControl/>
      <w:tabs>
        <w:tab w:val="left" w:pos="2736"/>
      </w:tabs>
      <w:adjustRightInd w:val="0"/>
      <w:spacing w:after="240"/>
      <w:ind w:left="2739"/>
      <w:textAlignment w:val="baseline"/>
    </w:pPr>
    <w:rPr>
      <w:rFonts w:ascii="Arial" w:hAnsi="Arial" w:eastAsia="宋体" w:cs="Times New Roman"/>
      <w:kern w:val="0"/>
      <w:sz w:val="22"/>
      <w:szCs w:val="20"/>
    </w:rPr>
  </w:style>
  <w:style w:type="paragraph" w:customStyle="1" w:styleId="172">
    <w:name w:val="样式 正文缩进 + 行距: 1.5 倍行距"/>
    <w:basedOn w:val="6"/>
    <w:qFormat/>
    <w:uiPriority w:val="0"/>
    <w:pPr>
      <w:spacing w:before="0" w:beforeLines="0" w:line="360" w:lineRule="auto"/>
      <w:ind w:firstLine="200"/>
    </w:pPr>
    <w:rPr>
      <w:rFonts w:cs="宋体"/>
      <w:szCs w:val="20"/>
    </w:rPr>
  </w:style>
  <w:style w:type="paragraph" w:customStyle="1" w:styleId="173">
    <w:name w:val="样式 标题 1章 + 左 左侧:  0 厘米 悬挂缩进: 4.32 字符 段前: 12 磅 段后: 12 磅 行距:..."/>
    <w:basedOn w:val="3"/>
    <w:qFormat/>
    <w:uiPriority w:val="0"/>
    <w:pPr>
      <w:keepLines w:val="0"/>
      <w:adjustRightInd/>
      <w:spacing w:beforeLines="0" w:line="440" w:lineRule="exact"/>
      <w:ind w:left="432" w:hanging="432"/>
      <w:jc w:val="left"/>
      <w:textAlignment w:val="auto"/>
    </w:pPr>
    <w:rPr>
      <w:rFonts w:hAnsi="宋体" w:cs="宋体"/>
      <w:b w:val="0"/>
      <w:kern w:val="2"/>
      <w:sz w:val="28"/>
      <w:szCs w:val="28"/>
    </w:rPr>
  </w:style>
  <w:style w:type="paragraph" w:customStyle="1" w:styleId="174">
    <w:name w:val="样式 标题 1章 + 左 左侧:  0 厘米 悬挂缩进: 4.32 字符 段前: 12 磅 段后: 12 磅 行距:...1"/>
    <w:basedOn w:val="3"/>
    <w:qFormat/>
    <w:uiPriority w:val="0"/>
    <w:pPr>
      <w:keepLines w:val="0"/>
      <w:adjustRightInd/>
      <w:spacing w:beforeLines="0" w:line="240" w:lineRule="exact"/>
      <w:ind w:left="432" w:hanging="432"/>
      <w:jc w:val="left"/>
      <w:textAlignment w:val="auto"/>
    </w:pPr>
    <w:rPr>
      <w:rFonts w:hAnsi="宋体" w:cs="宋体"/>
      <w:b w:val="0"/>
      <w:kern w:val="2"/>
      <w:sz w:val="28"/>
      <w:szCs w:val="28"/>
    </w:rPr>
  </w:style>
  <w:style w:type="paragraph" w:customStyle="1" w:styleId="175">
    <w:name w:val="样式3"/>
    <w:basedOn w:val="1"/>
    <w:qFormat/>
    <w:uiPriority w:val="0"/>
    <w:pPr>
      <w:numPr>
        <w:ilvl w:val="0"/>
        <w:numId w:val="8"/>
      </w:numPr>
    </w:pPr>
    <w:rPr>
      <w:rFonts w:ascii="宋体" w:hAnsi="Times New Roman" w:eastAsia="宋体" w:cs="Times New Roman"/>
      <w:kern w:val="10"/>
      <w:sz w:val="24"/>
      <w:szCs w:val="20"/>
    </w:rPr>
  </w:style>
  <w:style w:type="character" w:customStyle="1" w:styleId="176">
    <w:name w:val="正文首行缩进 字符"/>
    <w:basedOn w:val="89"/>
    <w:link w:val="61"/>
    <w:qFormat/>
    <w:uiPriority w:val="0"/>
    <w:rPr>
      <w:rFonts w:ascii="宋体" w:hAnsi="Times New Roman" w:eastAsia="宋体" w:cs="Times New Roman"/>
      <w:kern w:val="10"/>
      <w:sz w:val="24"/>
      <w:szCs w:val="20"/>
    </w:rPr>
  </w:style>
  <w:style w:type="paragraph" w:customStyle="1" w:styleId="177">
    <w:name w:val="样式 标题 2一级节名节标题节标题 1.1标题 2 Char Char Char Char Char + 左侧:  0 ...1"/>
    <w:basedOn w:val="4"/>
    <w:qFormat/>
    <w:uiPriority w:val="0"/>
    <w:pPr>
      <w:keepNext w:val="0"/>
      <w:keepLines w:val="0"/>
      <w:numPr>
        <w:ilvl w:val="0"/>
        <w:numId w:val="9"/>
      </w:numPr>
      <w:tabs>
        <w:tab w:val="clear" w:pos="425"/>
      </w:tabs>
      <w:adjustRightInd/>
      <w:spacing w:before="0" w:beforeLines="0" w:line="500" w:lineRule="atLeast"/>
      <w:ind w:left="0" w:firstLine="0"/>
      <w:textAlignment w:val="auto"/>
    </w:pPr>
    <w:rPr>
      <w:rFonts w:hAnsi="宋体"/>
      <w:bCs/>
      <w:kern w:val="2"/>
      <w:sz w:val="24"/>
      <w:szCs w:val="20"/>
    </w:rPr>
  </w:style>
  <w:style w:type="paragraph" w:customStyle="1" w:styleId="178">
    <w:name w:val="Char Char Char1 Char Char Char Char"/>
    <w:basedOn w:val="1"/>
    <w:qFormat/>
    <w:uiPriority w:val="0"/>
    <w:rPr>
      <w:rFonts w:ascii="Tahoma" w:hAnsi="Tahoma" w:eastAsia="宋体" w:cs="Times New Roman"/>
      <w:sz w:val="24"/>
      <w:szCs w:val="20"/>
    </w:rPr>
  </w:style>
  <w:style w:type="paragraph" w:customStyle="1" w:styleId="179">
    <w:name w:val="纯文本1"/>
    <w:basedOn w:val="1"/>
    <w:qFormat/>
    <w:uiPriority w:val="0"/>
    <w:pPr>
      <w:adjustRightInd w:val="0"/>
      <w:spacing w:line="360" w:lineRule="atLeast"/>
      <w:textAlignment w:val="baseline"/>
    </w:pPr>
    <w:rPr>
      <w:rFonts w:ascii="宋体" w:hAnsi="Courier New" w:eastAsia="宋体" w:cs="Times New Roman"/>
      <w:szCs w:val="20"/>
    </w:rPr>
  </w:style>
  <w:style w:type="paragraph" w:customStyle="1" w:styleId="180">
    <w:name w:val="Char Char Char Char Char Char Char Char Char Char"/>
    <w:basedOn w:val="1"/>
    <w:qFormat/>
    <w:uiPriority w:val="0"/>
    <w:rPr>
      <w:rFonts w:ascii="Times New Roman" w:hAnsi="Times New Roman" w:eastAsia="宋体" w:cs="Times New Roman"/>
      <w:szCs w:val="21"/>
    </w:rPr>
  </w:style>
  <w:style w:type="paragraph" w:customStyle="1" w:styleId="181">
    <w:name w:val="plain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2">
    <w:name w:val="ST20_2"/>
    <w:basedOn w:val="1"/>
    <w:qFormat/>
    <w:uiPriority w:val="0"/>
    <w:pPr>
      <w:autoSpaceDE w:val="0"/>
      <w:autoSpaceDN w:val="0"/>
      <w:adjustRightInd w:val="0"/>
      <w:spacing w:line="360" w:lineRule="atLeast"/>
      <w:ind w:left="840" w:hanging="420"/>
      <w:jc w:val="left"/>
      <w:textAlignment w:val="baseline"/>
    </w:pPr>
    <w:rPr>
      <w:rFonts w:ascii="宋体" w:hAnsi="Tms Rmn" w:eastAsia="宋体" w:cs="Times New Roman"/>
      <w:kern w:val="0"/>
      <w:sz w:val="24"/>
      <w:szCs w:val="20"/>
    </w:rPr>
  </w:style>
  <w:style w:type="paragraph" w:customStyle="1" w:styleId="183">
    <w:name w:val="Char Char Char1 Char Char Char Char Char Char Char Char Char Char Char Char Char Char Char Char"/>
    <w:basedOn w:val="1"/>
    <w:qFormat/>
    <w:uiPriority w:val="0"/>
    <w:rPr>
      <w:rFonts w:ascii="Tahoma" w:hAnsi="Tahoma" w:eastAsia="宋体" w:cs="Times New Roman"/>
      <w:sz w:val="24"/>
      <w:szCs w:val="20"/>
    </w:rPr>
  </w:style>
  <w:style w:type="paragraph" w:customStyle="1" w:styleId="184">
    <w:name w:val="Char Char Char Char1"/>
    <w:basedOn w:val="1"/>
    <w:qFormat/>
    <w:uiPriority w:val="0"/>
    <w:rPr>
      <w:rFonts w:ascii="Tahoma" w:hAnsi="Tahoma" w:eastAsia="宋体" w:cs="Times New Roman"/>
      <w:sz w:val="24"/>
      <w:szCs w:val="20"/>
    </w:rPr>
  </w:style>
  <w:style w:type="paragraph" w:customStyle="1" w:styleId="185">
    <w:name w:val="1 Char Char Char Char Char Char Char Char Char Char Char Char"/>
    <w:basedOn w:val="1"/>
    <w:qFormat/>
    <w:uiPriority w:val="0"/>
    <w:rPr>
      <w:rFonts w:ascii="Times New Roman" w:hAnsi="Times New Roman" w:eastAsia="宋体" w:cs="Times New Roman"/>
      <w:szCs w:val="21"/>
    </w:rPr>
  </w:style>
  <w:style w:type="character" w:customStyle="1" w:styleId="186">
    <w:name w:val="批注主题 字符"/>
    <w:basedOn w:val="145"/>
    <w:link w:val="60"/>
    <w:qFormat/>
    <w:uiPriority w:val="0"/>
    <w:rPr>
      <w:rFonts w:ascii="Times New Roman" w:hAnsi="Times New Roman" w:eastAsia="宋体" w:cs="Times New Roman"/>
      <w:b/>
      <w:bCs/>
      <w:szCs w:val="24"/>
    </w:rPr>
  </w:style>
  <w:style w:type="paragraph" w:customStyle="1" w:styleId="187">
    <w:name w:val="默认段落字体 Para Char Char Char Char Char Char Char"/>
    <w:basedOn w:val="1"/>
    <w:qFormat/>
    <w:uiPriority w:val="0"/>
    <w:pPr>
      <w:spacing w:line="360" w:lineRule="auto"/>
    </w:pPr>
    <w:rPr>
      <w:rFonts w:ascii="Tahoma" w:hAnsi="Tahoma" w:eastAsia="宋体" w:cs="Times New Roman"/>
      <w:sz w:val="24"/>
      <w:szCs w:val="20"/>
    </w:rPr>
  </w:style>
  <w:style w:type="paragraph" w:customStyle="1" w:styleId="188">
    <w:name w:val="Char Char Char Char Char Char Char Char Char Char Char Char Char Char Char Char"/>
    <w:basedOn w:val="1"/>
    <w:qFormat/>
    <w:uiPriority w:val="0"/>
    <w:pPr>
      <w:tabs>
        <w:tab w:val="left" w:pos="360"/>
      </w:tabs>
    </w:pPr>
    <w:rPr>
      <w:rFonts w:ascii="Times New Roman" w:hAnsi="Times New Roman" w:eastAsia="宋体" w:cs="Times New Roman"/>
      <w:b/>
      <w:sz w:val="24"/>
      <w:szCs w:val="24"/>
    </w:rPr>
  </w:style>
  <w:style w:type="paragraph" w:styleId="189">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90">
    <w:name w:val="列项1"/>
    <w:basedOn w:val="50"/>
    <w:qFormat/>
    <w:uiPriority w:val="0"/>
    <w:pPr>
      <w:tabs>
        <w:tab w:val="left" w:pos="840"/>
      </w:tabs>
      <w:spacing w:before="0" w:beforeLines="0" w:line="360" w:lineRule="auto"/>
      <w:ind w:firstLine="0"/>
    </w:pPr>
    <w:rPr>
      <w:rFonts w:eastAsia="仿宋_GB2312"/>
      <w:color w:val="auto"/>
      <w:szCs w:val="20"/>
    </w:rPr>
  </w:style>
  <w:style w:type="character" w:customStyle="1" w:styleId="191">
    <w:name w:val="标题 字符"/>
    <w:basedOn w:val="65"/>
    <w:link w:val="59"/>
    <w:qFormat/>
    <w:uiPriority w:val="0"/>
    <w:rPr>
      <w:rFonts w:eastAsia="宋体" w:asciiTheme="majorHAnsi" w:hAnsiTheme="majorHAnsi" w:cstheme="majorBidi"/>
      <w:b/>
      <w:bCs/>
      <w:sz w:val="32"/>
      <w:szCs w:val="32"/>
    </w:rPr>
  </w:style>
  <w:style w:type="paragraph" w:customStyle="1" w:styleId="192">
    <w:name w:val="1  样式"/>
    <w:basedOn w:val="3"/>
    <w:link w:val="194"/>
    <w:qFormat/>
    <w:uiPriority w:val="0"/>
    <w:pPr>
      <w:spacing w:before="156" w:after="120" w:line="240" w:lineRule="auto"/>
    </w:pPr>
    <w:rPr>
      <w:rFonts w:ascii="Arial" w:hAnsi="Arial" w:eastAsiaTheme="minorEastAsia"/>
      <w:sz w:val="24"/>
    </w:rPr>
  </w:style>
  <w:style w:type="paragraph" w:customStyle="1" w:styleId="193">
    <w:name w:val="1.1  样式"/>
    <w:basedOn w:val="166"/>
    <w:qFormat/>
    <w:uiPriority w:val="0"/>
    <w:pPr>
      <w:spacing w:line="360" w:lineRule="auto"/>
    </w:pPr>
    <w:rPr>
      <w:rFonts w:ascii="Arial" w:hAnsi="Arial" w:eastAsiaTheme="minorEastAsia"/>
      <w:sz w:val="21"/>
    </w:rPr>
  </w:style>
  <w:style w:type="character" w:customStyle="1" w:styleId="194">
    <w:name w:val="1  样式 Char"/>
    <w:basedOn w:val="76"/>
    <w:link w:val="192"/>
    <w:qFormat/>
    <w:uiPriority w:val="0"/>
    <w:rPr>
      <w:rFonts w:ascii="Arial" w:hAnsi="Arial" w:eastAsia="宋体" w:cs="Times New Roman"/>
      <w:kern w:val="44"/>
      <w:sz w:val="24"/>
      <w:szCs w:val="24"/>
    </w:rPr>
  </w:style>
  <w:style w:type="paragraph" w:customStyle="1" w:styleId="195">
    <w:name w:val="TOC 标题1"/>
    <w:basedOn w:val="3"/>
    <w:next w:val="1"/>
    <w:unhideWhenUsed/>
    <w:qFormat/>
    <w:uiPriority w:val="39"/>
    <w:pPr>
      <w:widowControl/>
      <w:adjustRightInd/>
      <w:spacing w:beforeLines="0" w:after="0" w:line="259" w:lineRule="auto"/>
      <w:jc w:val="left"/>
      <w:textAlignment w:val="auto"/>
      <w:outlineLvl w:val="9"/>
    </w:pPr>
    <w:rPr>
      <w:rFonts w:asciiTheme="majorHAnsi" w:hAnsiTheme="majorHAnsi" w:eastAsiaTheme="majorEastAsia" w:cstheme="majorBidi"/>
      <w:b w:val="0"/>
      <w:color w:val="376092" w:themeColor="accent1" w:themeShade="BF"/>
      <w:kern w:val="0"/>
      <w:szCs w:val="32"/>
    </w:rPr>
  </w:style>
  <w:style w:type="paragraph" w:customStyle="1" w:styleId="196">
    <w:name w:val="BPDI表格字体"/>
    <w:qFormat/>
    <w:uiPriority w:val="0"/>
    <w:pPr>
      <w:widowControl w:val="0"/>
      <w:adjustRightInd w:val="0"/>
      <w:snapToGrid w:val="0"/>
    </w:pPr>
    <w:rPr>
      <w:rFonts w:ascii="Arial" w:hAnsi="Arial" w:eastAsia="宋体" w:cs="Times New Roman"/>
      <w:kern w:val="2"/>
      <w:sz w:val="21"/>
      <w:szCs w:val="21"/>
      <w:lang w:val="en-US" w:eastAsia="zh-CN" w:bidi="ar-SA"/>
    </w:rPr>
  </w:style>
  <w:style w:type="character" w:customStyle="1" w:styleId="197">
    <w:name w:val="样式3 Char"/>
    <w:qFormat/>
    <w:uiPriority w:val="0"/>
    <w:rPr>
      <w:rFonts w:ascii="Arial" w:hAnsi="Arial" w:eastAsia="宋体" w:cs="Arial"/>
      <w:b/>
      <w:bCs/>
      <w:snapToGrid/>
      <w:sz w:val="24"/>
      <w:szCs w:val="26"/>
      <w:lang w:val="en-GB" w:eastAsia="en-US" w:bidi="ar-SA"/>
    </w:rPr>
  </w:style>
  <w:style w:type="character" w:customStyle="1" w:styleId="198">
    <w:name w:val="Para head"/>
    <w:qFormat/>
    <w:uiPriority w:val="0"/>
    <w:rPr>
      <w:rFonts w:hint="default" w:ascii="Arial" w:hAnsi="Arial" w:eastAsia="Times New Roman" w:cs="Arial"/>
      <w:sz w:val="20"/>
    </w:rPr>
  </w:style>
  <w:style w:type="character" w:customStyle="1" w:styleId="199">
    <w:name w:val="尾注文本 字符"/>
    <w:link w:val="38"/>
    <w:semiHidden/>
    <w:qFormat/>
    <w:uiPriority w:val="0"/>
    <w:rPr>
      <w:rFonts w:eastAsia="仿宋_GB2312"/>
      <w:sz w:val="28"/>
    </w:rPr>
  </w:style>
  <w:style w:type="character" w:customStyle="1" w:styleId="200">
    <w:name w:val="正文(编号) 正文 Char"/>
    <w:link w:val="201"/>
    <w:qFormat/>
    <w:uiPriority w:val="0"/>
  </w:style>
  <w:style w:type="paragraph" w:customStyle="1" w:styleId="201">
    <w:name w:val="正文(编号) 正文"/>
    <w:basedOn w:val="202"/>
    <w:link w:val="200"/>
    <w:qFormat/>
    <w:uiPriority w:val="0"/>
    <w:pPr>
      <w:tabs>
        <w:tab w:val="left" w:pos="0"/>
      </w:tabs>
      <w:ind w:left="350" w:leftChars="350" w:firstLine="0"/>
      <w:outlineLvl w:val="9"/>
    </w:pPr>
  </w:style>
  <w:style w:type="paragraph" w:customStyle="1" w:styleId="202">
    <w:name w:val="正文(编号)"/>
    <w:basedOn w:val="1"/>
    <w:link w:val="205"/>
    <w:qFormat/>
    <w:uiPriority w:val="0"/>
    <w:pPr>
      <w:widowControl/>
      <w:tabs>
        <w:tab w:val="left" w:pos="0"/>
      </w:tabs>
      <w:ind w:left="702" w:hanging="420"/>
      <w:jc w:val="left"/>
      <w:outlineLvl w:val="5"/>
    </w:pPr>
    <w:rPr>
      <w:rFonts w:ascii="Times New Roman" w:hAnsi="Times New Roman" w:eastAsia="宋体" w:cs="Times New Roman"/>
      <w:kern w:val="0"/>
      <w:sz w:val="20"/>
      <w:szCs w:val="20"/>
    </w:rPr>
  </w:style>
  <w:style w:type="character" w:customStyle="1" w:styleId="203">
    <w:name w:val="条 Char Char"/>
    <w:qFormat/>
    <w:uiPriority w:val="0"/>
    <w:rPr>
      <w:rFonts w:ascii="Arial" w:hAnsi="Arial" w:eastAsia="宋体" w:cs="Arial"/>
      <w:b/>
      <w:bCs/>
      <w:snapToGrid/>
      <w:sz w:val="26"/>
      <w:szCs w:val="26"/>
      <w:lang w:val="en-GB" w:eastAsia="en-US" w:bidi="ar-SA"/>
    </w:rPr>
  </w:style>
  <w:style w:type="character" w:customStyle="1" w:styleId="204">
    <w:name w:val="样式1 Char"/>
    <w:qFormat/>
    <w:uiPriority w:val="0"/>
    <w:rPr>
      <w:rFonts w:ascii="Arial" w:hAnsi="Arial" w:eastAsia="宋体" w:cs="Arial"/>
      <w:b/>
      <w:bCs/>
      <w:snapToGrid/>
      <w:sz w:val="26"/>
      <w:szCs w:val="26"/>
      <w:lang w:val="en-GB" w:eastAsia="en-US" w:bidi="ar-SA"/>
    </w:rPr>
  </w:style>
  <w:style w:type="character" w:customStyle="1" w:styleId="205">
    <w:name w:val="正文(编号) Char"/>
    <w:link w:val="202"/>
    <w:qFormat/>
    <w:uiPriority w:val="0"/>
  </w:style>
  <w:style w:type="character" w:customStyle="1" w:styleId="206">
    <w:name w:val="首行缩进 Char"/>
    <w:link w:val="207"/>
    <w:qFormat/>
    <w:uiPriority w:val="0"/>
    <w:rPr>
      <w:rFonts w:eastAsia="方正书宋简体" w:cs="宋体"/>
    </w:rPr>
  </w:style>
  <w:style w:type="paragraph" w:customStyle="1" w:styleId="207">
    <w:name w:val="首行缩进"/>
    <w:basedOn w:val="1"/>
    <w:link w:val="206"/>
    <w:qFormat/>
    <w:uiPriority w:val="0"/>
    <w:pPr>
      <w:spacing w:line="300" w:lineRule="auto"/>
      <w:ind w:firstLine="420" w:firstLineChars="200"/>
    </w:pPr>
    <w:rPr>
      <w:rFonts w:ascii="Times New Roman" w:hAnsi="Times New Roman" w:eastAsia="方正书宋简体" w:cs="宋体"/>
      <w:kern w:val="0"/>
      <w:sz w:val="20"/>
      <w:szCs w:val="20"/>
    </w:rPr>
  </w:style>
  <w:style w:type="character" w:customStyle="1" w:styleId="208">
    <w:name w:val="纯文本 Char1"/>
    <w:semiHidden/>
    <w:qFormat/>
    <w:uiPriority w:val="99"/>
    <w:rPr>
      <w:rFonts w:ascii="宋体" w:hAnsi="Courier New" w:eastAsia="宋体" w:cs="Courier New"/>
      <w:kern w:val="0"/>
      <w:szCs w:val="21"/>
    </w:rPr>
  </w:style>
  <w:style w:type="character" w:customStyle="1" w:styleId="209">
    <w:name w:val="脚注文本 字符"/>
    <w:link w:val="47"/>
    <w:semiHidden/>
    <w:qFormat/>
    <w:uiPriority w:val="0"/>
    <w:rPr>
      <w:rFonts w:eastAsia="仿宋_GB2312"/>
      <w:sz w:val="18"/>
    </w:rPr>
  </w:style>
  <w:style w:type="character" w:customStyle="1" w:styleId="210">
    <w:name w:val="正文文本 Char1"/>
    <w:qFormat/>
    <w:locked/>
    <w:uiPriority w:val="0"/>
    <w:rPr>
      <w:rFonts w:ascii="宋体" w:hAnsi="宋体" w:eastAsia="宋体"/>
    </w:rPr>
  </w:style>
  <w:style w:type="character" w:customStyle="1" w:styleId="211">
    <w:name w:val="批注主题 Char1"/>
    <w:semiHidden/>
    <w:qFormat/>
    <w:uiPriority w:val="99"/>
    <w:rPr>
      <w:rFonts w:ascii="Times New Roman" w:hAnsi="Times New Roman" w:eastAsia="宋体" w:cs="Times New Roman"/>
      <w:b/>
      <w:bCs/>
      <w:kern w:val="0"/>
      <w:szCs w:val="20"/>
    </w:rPr>
  </w:style>
  <w:style w:type="character" w:customStyle="1" w:styleId="212">
    <w:name w:val="正文(编号)小项 Char"/>
    <w:qFormat/>
    <w:uiPriority w:val="0"/>
    <w:rPr>
      <w:kern w:val="2"/>
      <w:sz w:val="21"/>
      <w:szCs w:val="22"/>
      <w:lang w:val="en-US" w:eastAsia="zh-CN" w:bidi="ar-SA"/>
    </w:rPr>
  </w:style>
  <w:style w:type="character" w:customStyle="1" w:styleId="213">
    <w:name w:val="正文(编号) Char Char"/>
    <w:qFormat/>
    <w:uiPriority w:val="0"/>
    <w:rPr>
      <w:kern w:val="2"/>
      <w:sz w:val="21"/>
      <w:szCs w:val="22"/>
      <w:lang w:val="en-US" w:eastAsia="zh-CN" w:bidi="ar-SA"/>
    </w:rPr>
  </w:style>
  <w:style w:type="character" w:customStyle="1" w:styleId="214">
    <w:name w:val="章 Char Char"/>
    <w:qFormat/>
    <w:uiPriority w:val="0"/>
    <w:rPr>
      <w:rFonts w:ascii="宋体" w:hAnsi="宋体" w:eastAsia="宋体"/>
      <w:kern w:val="2"/>
      <w:sz w:val="28"/>
      <w:u w:val="single"/>
      <w:lang w:val="en-US" w:eastAsia="zh-CN" w:bidi="ar-SA"/>
    </w:rPr>
  </w:style>
  <w:style w:type="character" w:customStyle="1" w:styleId="215">
    <w:name w:val="称呼 字符"/>
    <w:link w:val="23"/>
    <w:qFormat/>
    <w:uiPriority w:val="0"/>
    <w:rPr>
      <w:szCs w:val="24"/>
    </w:rPr>
  </w:style>
  <w:style w:type="character" w:customStyle="1" w:styleId="216">
    <w:name w:val="批注文字 Char1"/>
    <w:qFormat/>
    <w:uiPriority w:val="0"/>
    <w:rPr>
      <w:rFonts w:ascii="Times New Roman" w:hAnsi="Times New Roman" w:eastAsia="宋体" w:cs="Times New Roman"/>
      <w:kern w:val="0"/>
      <w:szCs w:val="20"/>
    </w:rPr>
  </w:style>
  <w:style w:type="character" w:customStyle="1" w:styleId="217">
    <w:name w:val="正文(编号)小项 Char Char"/>
    <w:link w:val="218"/>
    <w:qFormat/>
    <w:uiPriority w:val="0"/>
  </w:style>
  <w:style w:type="paragraph" w:customStyle="1" w:styleId="218">
    <w:name w:val="正文(编号)小项"/>
    <w:basedOn w:val="1"/>
    <w:link w:val="217"/>
    <w:qFormat/>
    <w:uiPriority w:val="0"/>
    <w:pPr>
      <w:widowControl/>
      <w:ind w:left="1155" w:hanging="420"/>
      <w:jc w:val="left"/>
      <w:outlineLvl w:val="6"/>
    </w:pPr>
    <w:rPr>
      <w:rFonts w:ascii="Times New Roman" w:hAnsi="Times New Roman" w:eastAsia="宋体" w:cs="Times New Roman"/>
      <w:kern w:val="0"/>
      <w:sz w:val="20"/>
      <w:szCs w:val="20"/>
    </w:rPr>
  </w:style>
  <w:style w:type="character" w:customStyle="1" w:styleId="219">
    <w:name w:val="正文(编号)小项 正文 Char"/>
    <w:link w:val="220"/>
    <w:qFormat/>
    <w:uiPriority w:val="0"/>
    <w:rPr>
      <w:kern w:val="2"/>
      <w:sz w:val="21"/>
      <w:szCs w:val="22"/>
    </w:rPr>
  </w:style>
  <w:style w:type="paragraph" w:customStyle="1" w:styleId="220">
    <w:name w:val="正文(编号)小项 正文"/>
    <w:basedOn w:val="218"/>
    <w:link w:val="219"/>
    <w:qFormat/>
    <w:uiPriority w:val="0"/>
    <w:pPr>
      <w:ind w:left="500" w:leftChars="500" w:firstLine="0"/>
      <w:outlineLvl w:val="9"/>
    </w:pPr>
    <w:rPr>
      <w:kern w:val="2"/>
      <w:sz w:val="21"/>
      <w:szCs w:val="22"/>
    </w:rPr>
  </w:style>
  <w:style w:type="paragraph" w:customStyle="1" w:styleId="221">
    <w:name w:val="表头文字"/>
    <w:basedOn w:val="1"/>
    <w:qFormat/>
    <w:uiPriority w:val="0"/>
    <w:pPr>
      <w:topLinePunct/>
      <w:spacing w:before="60" w:after="60"/>
      <w:jc w:val="center"/>
    </w:pPr>
    <w:rPr>
      <w:rFonts w:ascii="Times New Roman" w:hAnsi="Times New Roman" w:eastAsia="宋体" w:cs="Times New Roman"/>
      <w:szCs w:val="20"/>
    </w:rPr>
  </w:style>
  <w:style w:type="paragraph" w:customStyle="1" w:styleId="222">
    <w:name w:val="xl55"/>
    <w:basedOn w:val="1"/>
    <w:qFormat/>
    <w:uiPriority w:val="0"/>
    <w:pPr>
      <w:widowControl/>
      <w:pBdr>
        <w:top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23">
    <w:name w:val="AOAltHead3"/>
    <w:basedOn w:val="224"/>
    <w:next w:val="230"/>
    <w:qFormat/>
    <w:uiPriority w:val="0"/>
    <w:pPr>
      <w:tabs>
        <w:tab w:val="left" w:pos="1440"/>
      </w:tabs>
      <w:ind w:left="720"/>
    </w:pPr>
  </w:style>
  <w:style w:type="paragraph" w:customStyle="1" w:styleId="224">
    <w:name w:val="AOHead3"/>
    <w:basedOn w:val="225"/>
    <w:next w:val="229"/>
    <w:qFormat/>
    <w:uiPriority w:val="0"/>
    <w:pPr>
      <w:tabs>
        <w:tab w:val="left" w:pos="1440"/>
      </w:tabs>
      <w:ind w:left="1440" w:hanging="720"/>
      <w:outlineLvl w:val="2"/>
    </w:pPr>
    <w:rPr>
      <w:rFonts w:eastAsia="LF Song"/>
      <w:sz w:val="24"/>
      <w:lang w:val="en-US"/>
    </w:rPr>
  </w:style>
  <w:style w:type="paragraph" w:customStyle="1" w:styleId="225">
    <w:name w:val="AOHeadings"/>
    <w:basedOn w:val="226"/>
    <w:next w:val="228"/>
    <w:qFormat/>
    <w:uiPriority w:val="0"/>
  </w:style>
  <w:style w:type="paragraph" w:customStyle="1" w:styleId="226">
    <w:name w:val="AOBodyTxt"/>
    <w:basedOn w:val="227"/>
    <w:next w:val="228"/>
    <w:qFormat/>
    <w:uiPriority w:val="0"/>
    <w:pPr>
      <w:spacing w:before="240"/>
    </w:pPr>
  </w:style>
  <w:style w:type="paragraph" w:customStyle="1" w:styleId="227">
    <w:name w:val="AONormal"/>
    <w:qFormat/>
    <w:uiPriority w:val="0"/>
    <w:pPr>
      <w:spacing w:line="260" w:lineRule="atLeast"/>
      <w:jc w:val="both"/>
    </w:pPr>
    <w:rPr>
      <w:rFonts w:ascii="Times New Roman" w:hAnsi="Times New Roman" w:eastAsia="宋体" w:cs="Times New Roman"/>
      <w:sz w:val="22"/>
      <w:lang w:val="en-GB" w:eastAsia="zh-CN" w:bidi="ar-SA"/>
    </w:rPr>
  </w:style>
  <w:style w:type="paragraph" w:customStyle="1" w:styleId="228">
    <w:name w:val="AODocTxt"/>
    <w:basedOn w:val="1"/>
    <w:qFormat/>
    <w:uiPriority w:val="0"/>
    <w:rPr>
      <w:rFonts w:ascii="Times New Roman" w:hAnsi="Times New Roman" w:eastAsia="宋体" w:cs="Times New Roman"/>
      <w:szCs w:val="20"/>
    </w:rPr>
  </w:style>
  <w:style w:type="paragraph" w:customStyle="1" w:styleId="229">
    <w:name w:val="AODocTxtL2"/>
    <w:basedOn w:val="1"/>
    <w:qFormat/>
    <w:uiPriority w:val="0"/>
    <w:rPr>
      <w:rFonts w:ascii="Times New Roman" w:hAnsi="Times New Roman" w:eastAsia="宋体" w:cs="Times New Roman"/>
      <w:szCs w:val="20"/>
    </w:rPr>
  </w:style>
  <w:style w:type="paragraph" w:customStyle="1" w:styleId="230">
    <w:name w:val="AODocTxtL1"/>
    <w:basedOn w:val="1"/>
    <w:qFormat/>
    <w:uiPriority w:val="0"/>
    <w:rPr>
      <w:rFonts w:ascii="Times New Roman" w:hAnsi="Times New Roman" w:eastAsia="宋体" w:cs="Times New Roman"/>
      <w:szCs w:val="20"/>
    </w:rPr>
  </w:style>
  <w:style w:type="character" w:customStyle="1" w:styleId="231">
    <w:name w:val="脚注文本 Char1"/>
    <w:basedOn w:val="65"/>
    <w:semiHidden/>
    <w:qFormat/>
    <w:uiPriority w:val="99"/>
    <w:rPr>
      <w:rFonts w:asciiTheme="minorHAnsi" w:hAnsiTheme="minorHAnsi" w:eastAsiaTheme="minorEastAsia" w:cstheme="minorBidi"/>
      <w:kern w:val="2"/>
      <w:sz w:val="18"/>
      <w:szCs w:val="18"/>
    </w:rPr>
  </w:style>
  <w:style w:type="paragraph" w:customStyle="1" w:styleId="232">
    <w:name w:val="Date1"/>
    <w:basedOn w:val="1"/>
    <w:next w:val="1"/>
    <w:qFormat/>
    <w:uiPriority w:val="0"/>
    <w:pPr>
      <w:adjustRightInd w:val="0"/>
      <w:jc w:val="left"/>
    </w:pPr>
    <w:rPr>
      <w:rFonts w:ascii="Times New Roman" w:hAnsi="Times New Roman" w:eastAsia="宋体" w:cs="Times New Roman"/>
      <w:sz w:val="28"/>
      <w:szCs w:val="20"/>
    </w:rPr>
  </w:style>
  <w:style w:type="paragraph" w:customStyle="1" w:styleId="233">
    <w:name w:val="xl59"/>
    <w:basedOn w:val="1"/>
    <w:qFormat/>
    <w:uiPriority w:val="0"/>
    <w:pPr>
      <w:widowControl/>
      <w:pBdr>
        <w:bottom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3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35">
    <w:name w:val="xl80"/>
    <w:basedOn w:val="1"/>
    <w:qFormat/>
    <w:uiPriority w:val="0"/>
    <w:pPr>
      <w:widowControl/>
      <w:pBdr>
        <w:top w:val="single" w:color="auto" w:sz="4" w:space="0"/>
        <w:left w:val="single" w:color="auto" w:sz="4" w:space="0"/>
        <w:bottom w:val="single" w:color="auto" w:sz="4" w:space="0"/>
      </w:pBdr>
      <w:shd w:val="clear" w:color="000000" w:fill="FFFF99"/>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36">
    <w:name w:val="xl57"/>
    <w:basedOn w:val="1"/>
    <w:qFormat/>
    <w:uiPriority w:val="0"/>
    <w:pPr>
      <w:widowControl/>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37">
    <w:name w:val="font6"/>
    <w:basedOn w:val="1"/>
    <w:qFormat/>
    <w:uiPriority w:val="0"/>
    <w:pPr>
      <w:widowControl/>
      <w:spacing w:before="100" w:beforeAutospacing="1" w:after="100" w:afterAutospacing="1"/>
      <w:jc w:val="left"/>
    </w:pPr>
    <w:rPr>
      <w:rFonts w:ascii="Times New Roman" w:hAnsi="Times New Roman" w:eastAsia="Arial Unicode MS" w:cs="Times New Roman"/>
      <w:kern w:val="0"/>
      <w:sz w:val="32"/>
      <w:szCs w:val="32"/>
      <w:lang w:eastAsia="en-US"/>
    </w:rPr>
  </w:style>
  <w:style w:type="paragraph" w:customStyle="1" w:styleId="238">
    <w:name w:val="样式一"/>
    <w:basedOn w:val="1"/>
    <w:qFormat/>
    <w:uiPriority w:val="0"/>
    <w:pPr>
      <w:autoSpaceDE w:val="0"/>
      <w:autoSpaceDN w:val="0"/>
      <w:adjustRightInd w:val="0"/>
      <w:spacing w:line="360" w:lineRule="auto"/>
      <w:ind w:firstLine="480" w:firstLineChars="200"/>
    </w:pPr>
    <w:rPr>
      <w:rFonts w:ascii="宋体" w:hAnsi="宋体" w:eastAsia="宋体" w:cs="Times New Roman"/>
      <w:kern w:val="0"/>
      <w:sz w:val="24"/>
      <w:szCs w:val="20"/>
      <w:lang w:val="en-GB"/>
    </w:rPr>
  </w:style>
  <w:style w:type="paragraph" w:customStyle="1" w:styleId="239">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240">
    <w:name w:val="尾注文本 Char1"/>
    <w:basedOn w:val="65"/>
    <w:semiHidden/>
    <w:qFormat/>
    <w:uiPriority w:val="99"/>
    <w:rPr>
      <w:rFonts w:asciiTheme="minorHAnsi" w:hAnsiTheme="minorHAnsi" w:eastAsiaTheme="minorEastAsia" w:cstheme="minorBidi"/>
      <w:kern w:val="2"/>
      <w:sz w:val="21"/>
      <w:szCs w:val="22"/>
    </w:rPr>
  </w:style>
  <w:style w:type="character" w:customStyle="1" w:styleId="241">
    <w:name w:val="称呼 Char1"/>
    <w:basedOn w:val="65"/>
    <w:semiHidden/>
    <w:qFormat/>
    <w:uiPriority w:val="99"/>
    <w:rPr>
      <w:rFonts w:asciiTheme="minorHAnsi" w:hAnsiTheme="minorHAnsi" w:eastAsiaTheme="minorEastAsia" w:cstheme="minorBidi"/>
      <w:kern w:val="2"/>
      <w:sz w:val="21"/>
      <w:szCs w:val="22"/>
    </w:rPr>
  </w:style>
  <w:style w:type="paragraph" w:customStyle="1" w:styleId="242">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243">
    <w:name w:val="注×："/>
    <w:qFormat/>
    <w:uiPriority w:val="0"/>
    <w:pPr>
      <w:widowControl w:val="0"/>
      <w:tabs>
        <w:tab w:val="left" w:pos="630"/>
        <w:tab w:val="left" w:pos="900"/>
      </w:tabs>
      <w:autoSpaceDE w:val="0"/>
      <w:autoSpaceDN w:val="0"/>
      <w:ind w:left="900" w:hanging="500"/>
      <w:jc w:val="both"/>
    </w:pPr>
    <w:rPr>
      <w:rFonts w:ascii="宋体" w:hAnsi="Times New Roman" w:eastAsia="宋体" w:cs="Times New Roman"/>
      <w:sz w:val="18"/>
      <w:lang w:val="en-US" w:eastAsia="zh-CN" w:bidi="ar-SA"/>
    </w:rPr>
  </w:style>
  <w:style w:type="paragraph" w:customStyle="1" w:styleId="244">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45">
    <w:name w:val="xl7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46">
    <w:name w:val="标准书眉一"/>
    <w:qFormat/>
    <w:uiPriority w:val="0"/>
    <w:pPr>
      <w:jc w:val="both"/>
    </w:pPr>
    <w:rPr>
      <w:rFonts w:ascii="Times New Roman" w:hAnsi="Times New Roman" w:eastAsia="宋体" w:cs="Times New Roman"/>
      <w:lang w:val="en-US" w:eastAsia="zh-CN" w:bidi="ar-SA"/>
    </w:rPr>
  </w:style>
  <w:style w:type="paragraph" w:customStyle="1" w:styleId="247">
    <w:name w:val="Char Char Char Char Char Char Char Char Char Char Char Char Char"/>
    <w:basedOn w:val="7"/>
    <w:qFormat/>
    <w:uiPriority w:val="0"/>
    <w:pPr>
      <w:keepLines/>
      <w:widowControl/>
      <w:numPr>
        <w:numId w:val="0"/>
      </w:numPr>
      <w:adjustRightInd/>
      <w:spacing w:before="140" w:beforeLines="0" w:line="220" w:lineRule="atLeast"/>
      <w:ind w:left="720"/>
      <w:textAlignment w:val="auto"/>
    </w:pPr>
    <w:rPr>
      <w:rFonts w:ascii="Futura Bk BT" w:hAnsi="Futura Bk BT" w:eastAsia="Times New Roman"/>
      <w:i w:val="0"/>
      <w:spacing w:val="-4"/>
      <w:kern w:val="28"/>
      <w:sz w:val="21"/>
      <w:szCs w:val="20"/>
      <w:lang w:val="en-AU" w:eastAsia="en-US"/>
    </w:rPr>
  </w:style>
  <w:style w:type="paragraph" w:customStyle="1" w:styleId="248">
    <w:name w:val="Level(A)"/>
    <w:basedOn w:val="1"/>
    <w:next w:val="249"/>
    <w:qFormat/>
    <w:uiPriority w:val="0"/>
    <w:pPr>
      <w:widowControl/>
      <w:tabs>
        <w:tab w:val="left" w:pos="1080"/>
        <w:tab w:val="left" w:pos="2880"/>
      </w:tabs>
      <w:spacing w:before="240"/>
      <w:ind w:left="1080" w:hanging="1080"/>
      <w:jc w:val="left"/>
      <w:outlineLvl w:val="5"/>
    </w:pPr>
    <w:rPr>
      <w:rFonts w:ascii="Palatino" w:hAnsi="Palatino" w:eastAsia="宋体" w:cs="Times New Roman"/>
      <w:kern w:val="0"/>
      <w:sz w:val="22"/>
      <w:szCs w:val="20"/>
      <w:lang w:val="en-AU"/>
    </w:rPr>
  </w:style>
  <w:style w:type="paragraph" w:customStyle="1" w:styleId="249">
    <w:name w:val="Level (A)fo"/>
    <w:basedOn w:val="1"/>
    <w:qFormat/>
    <w:uiPriority w:val="0"/>
    <w:pPr>
      <w:widowControl/>
      <w:numPr>
        <w:ilvl w:val="0"/>
        <w:numId w:val="10"/>
      </w:numPr>
      <w:tabs>
        <w:tab w:val="left" w:pos="720"/>
        <w:tab w:val="clear" w:pos="0"/>
      </w:tabs>
      <w:spacing w:before="240"/>
      <w:ind w:left="0"/>
      <w:jc w:val="left"/>
    </w:pPr>
    <w:rPr>
      <w:rFonts w:ascii="Palatino" w:hAnsi="Palatino" w:eastAsia="宋体" w:cs="Times New Roman"/>
      <w:kern w:val="0"/>
      <w:sz w:val="22"/>
      <w:szCs w:val="20"/>
      <w:lang w:val="en-AU"/>
    </w:rPr>
  </w:style>
  <w:style w:type="paragraph" w:customStyle="1" w:styleId="250">
    <w:name w:val="AODocTxtL6"/>
    <w:basedOn w:val="228"/>
    <w:qFormat/>
    <w:uiPriority w:val="0"/>
    <w:pPr>
      <w:widowControl/>
      <w:tabs>
        <w:tab w:val="left" w:pos="360"/>
      </w:tabs>
      <w:spacing w:before="240" w:line="260" w:lineRule="atLeast"/>
      <w:ind w:left="465" w:hanging="465"/>
    </w:pPr>
    <w:rPr>
      <w:kern w:val="0"/>
      <w:sz w:val="22"/>
      <w:lang w:val="en-GB"/>
    </w:rPr>
  </w:style>
  <w:style w:type="paragraph" w:customStyle="1" w:styleId="251">
    <w:name w:val="ANNEX-heading2"/>
    <w:basedOn w:val="4"/>
    <w:next w:val="1"/>
    <w:qFormat/>
    <w:uiPriority w:val="0"/>
    <w:pPr>
      <w:keepLines w:val="0"/>
      <w:widowControl/>
      <w:tabs>
        <w:tab w:val="left" w:pos="907"/>
      </w:tabs>
      <w:suppressAutoHyphens/>
      <w:adjustRightInd/>
      <w:snapToGrid w:val="0"/>
      <w:spacing w:before="100" w:beforeLines="0" w:after="100" w:line="240" w:lineRule="auto"/>
      <w:ind w:left="907" w:hanging="907"/>
      <w:jc w:val="left"/>
      <w:textAlignment w:val="auto"/>
      <w:outlineLvl w:val="2"/>
    </w:pPr>
    <w:rPr>
      <w:rFonts w:ascii="Arial" w:hAnsi="Arial" w:cs="Arial"/>
      <w:bCs/>
      <w:spacing w:val="8"/>
      <w:kern w:val="0"/>
      <w:sz w:val="20"/>
      <w:szCs w:val="20"/>
      <w:lang w:val="en-GB"/>
    </w:rPr>
  </w:style>
  <w:style w:type="paragraph" w:customStyle="1" w:styleId="252">
    <w:name w:val="xl36"/>
    <w:basedOn w:val="1"/>
    <w:qFormat/>
    <w:uiPriority w:val="0"/>
    <w:pPr>
      <w:widowControl/>
      <w:pBdr>
        <w:top w:val="single" w:color="auto" w:sz="4" w:space="0"/>
        <w:lef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53">
    <w:name w:val="目录文字"/>
    <w:basedOn w:val="1"/>
    <w:qFormat/>
    <w:uiPriority w:val="0"/>
    <w:pPr>
      <w:widowControl/>
      <w:spacing w:line="480" w:lineRule="auto"/>
      <w:jc w:val="left"/>
    </w:pPr>
    <w:rPr>
      <w:rFonts w:ascii="宋体" w:hAnsi="宋体" w:eastAsia="仿宋_GB2312" w:cs="Times New Roman"/>
      <w:kern w:val="0"/>
      <w:sz w:val="24"/>
      <w:szCs w:val="20"/>
    </w:rPr>
  </w:style>
  <w:style w:type="paragraph" w:customStyle="1" w:styleId="254">
    <w:name w:val="xl32"/>
    <w:basedOn w:val="1"/>
    <w:qFormat/>
    <w:uiPriority w:val="0"/>
    <w:pPr>
      <w:widowControl/>
      <w:pBdr>
        <w:left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55">
    <w:name w:val="AOHead2"/>
    <w:basedOn w:val="225"/>
    <w:next w:val="230"/>
    <w:qFormat/>
    <w:uiPriority w:val="0"/>
    <w:pPr>
      <w:keepNext/>
      <w:tabs>
        <w:tab w:val="left" w:pos="720"/>
      </w:tabs>
      <w:ind w:left="720" w:hanging="720"/>
      <w:outlineLvl w:val="1"/>
    </w:pPr>
    <w:rPr>
      <w:rFonts w:eastAsia="LF_Hei"/>
      <w:b/>
      <w:kern w:val="28"/>
      <w:sz w:val="24"/>
    </w:rPr>
  </w:style>
  <w:style w:type="paragraph" w:customStyle="1" w:styleId="256">
    <w:name w:val="3"/>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57">
    <w:name w:val="xl6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58">
    <w:name w:val="文"/>
    <w:basedOn w:val="1"/>
    <w:semiHidden/>
    <w:qFormat/>
    <w:uiPriority w:val="0"/>
    <w:pPr>
      <w:adjustRightInd w:val="0"/>
      <w:spacing w:line="500" w:lineRule="atLeast"/>
      <w:ind w:firstLine="540"/>
      <w:textAlignment w:val="baseline"/>
    </w:pPr>
    <w:rPr>
      <w:rFonts w:ascii="Times New Roman" w:hAnsi="Times New Roman" w:eastAsia="宋体" w:cs="Times New Roman"/>
      <w:kern w:val="0"/>
      <w:sz w:val="28"/>
      <w:szCs w:val="20"/>
    </w:rPr>
  </w:style>
  <w:style w:type="paragraph" w:customStyle="1" w:styleId="259">
    <w:name w:val="xl61"/>
    <w:basedOn w:val="1"/>
    <w:qFormat/>
    <w:uiPriority w:val="0"/>
    <w:pPr>
      <w:widowControl/>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60">
    <w:name w:val="菲页2"/>
    <w:basedOn w:val="5"/>
    <w:qFormat/>
    <w:uiPriority w:val="0"/>
    <w:pPr>
      <w:widowControl/>
      <w:tabs>
        <w:tab w:val="left" w:pos="720"/>
      </w:tabs>
      <w:adjustRightInd/>
      <w:spacing w:before="120" w:beforeLines="0"/>
      <w:ind w:left="720" w:hanging="720"/>
      <w:jc w:val="center"/>
      <w:textAlignment w:val="auto"/>
    </w:pPr>
    <w:rPr>
      <w:rFonts w:ascii="黑体" w:hAnsi="宋体" w:eastAsia="黑体"/>
      <w:b w:val="0"/>
      <w:sz w:val="44"/>
      <w:szCs w:val="20"/>
    </w:rPr>
  </w:style>
  <w:style w:type="paragraph" w:customStyle="1" w:styleId="261">
    <w:name w:val="AOListNumber"/>
    <w:basedOn w:val="226"/>
    <w:qFormat/>
    <w:uiPriority w:val="0"/>
    <w:pPr>
      <w:tabs>
        <w:tab w:val="left" w:pos="2880"/>
      </w:tabs>
      <w:ind w:left="2880" w:hanging="720"/>
    </w:pPr>
  </w:style>
  <w:style w:type="paragraph" w:customStyle="1" w:styleId="262">
    <w:name w:val="xl25"/>
    <w:basedOn w:val="1"/>
    <w:qFormat/>
    <w:uiPriority w:val="0"/>
    <w:pPr>
      <w:widowControl/>
      <w:pBdr>
        <w:bottom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63">
    <w:name w:val="Blockquote"/>
    <w:basedOn w:val="1"/>
    <w:qFormat/>
    <w:uiPriority w:val="0"/>
    <w:pPr>
      <w:autoSpaceDE w:val="0"/>
      <w:autoSpaceDN w:val="0"/>
      <w:adjustRightInd w:val="0"/>
      <w:spacing w:before="100" w:after="100"/>
      <w:ind w:left="360" w:right="360"/>
      <w:jc w:val="left"/>
    </w:pPr>
    <w:rPr>
      <w:rFonts w:ascii="Times New Roman" w:hAnsi="Times New Roman" w:eastAsia="仿宋_GB2312" w:cs="Times New Roman"/>
      <w:kern w:val="0"/>
      <w:sz w:val="24"/>
      <w:szCs w:val="20"/>
    </w:rPr>
  </w:style>
  <w:style w:type="paragraph" w:customStyle="1" w:styleId="26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65">
    <w:name w:val="ANNEX-heading1"/>
    <w:basedOn w:val="3"/>
    <w:next w:val="1"/>
    <w:qFormat/>
    <w:uiPriority w:val="0"/>
    <w:pPr>
      <w:keepLines w:val="0"/>
      <w:widowControl/>
      <w:tabs>
        <w:tab w:val="left" w:pos="680"/>
      </w:tabs>
      <w:suppressAutoHyphens/>
      <w:adjustRightInd/>
      <w:snapToGrid w:val="0"/>
      <w:spacing w:before="200" w:beforeLines="0" w:after="200" w:line="240" w:lineRule="auto"/>
      <w:ind w:left="680" w:hanging="680"/>
      <w:jc w:val="left"/>
      <w:textAlignment w:val="auto"/>
      <w:outlineLvl w:val="1"/>
    </w:pPr>
    <w:rPr>
      <w:rFonts w:ascii="Arial" w:hAnsi="Arial" w:cs="Arial"/>
      <w:bCs/>
      <w:spacing w:val="8"/>
      <w:kern w:val="0"/>
      <w:sz w:val="22"/>
      <w:szCs w:val="22"/>
      <w:lang w:val="en-GB"/>
    </w:rPr>
  </w:style>
  <w:style w:type="paragraph" w:customStyle="1" w:styleId="26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267">
    <w:name w:val="标准书眉_偶数页"/>
    <w:basedOn w:val="268"/>
    <w:next w:val="1"/>
    <w:qFormat/>
    <w:uiPriority w:val="0"/>
    <w:pPr>
      <w:tabs>
        <w:tab w:val="center" w:pos="4154"/>
        <w:tab w:val="right" w:pos="8306"/>
      </w:tabs>
      <w:jc w:val="left"/>
    </w:pPr>
  </w:style>
  <w:style w:type="paragraph" w:customStyle="1" w:styleId="26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69">
    <w:name w:val="菲页(卷)"/>
    <w:basedOn w:val="3"/>
    <w:next w:val="270"/>
    <w:qFormat/>
    <w:uiPriority w:val="0"/>
    <w:pPr>
      <w:keepLines w:val="0"/>
      <w:widowControl/>
      <w:tabs>
        <w:tab w:val="left" w:pos="432"/>
      </w:tabs>
      <w:adjustRightInd/>
      <w:spacing w:before="0" w:beforeLines="0" w:after="0" w:line="240" w:lineRule="auto"/>
      <w:ind w:left="432" w:hanging="432"/>
      <w:jc w:val="center"/>
      <w:textAlignment w:val="auto"/>
      <w:outlineLvl w:val="1"/>
    </w:pPr>
    <w:rPr>
      <w:rFonts w:ascii="黑体" w:eastAsia="黑体"/>
      <w:b w:val="0"/>
      <w:kern w:val="0"/>
      <w:sz w:val="52"/>
      <w:szCs w:val="20"/>
    </w:rPr>
  </w:style>
  <w:style w:type="paragraph" w:customStyle="1" w:styleId="270">
    <w:name w:val="Normal1"/>
    <w:qFormat/>
    <w:uiPriority w:val="0"/>
    <w:pPr>
      <w:widowControl w:val="0"/>
      <w:adjustRightInd w:val="0"/>
      <w:spacing w:line="312" w:lineRule="atLeast"/>
      <w:jc w:val="both"/>
    </w:pPr>
    <w:rPr>
      <w:rFonts w:ascii="宋体" w:hAnsi="Times New Roman" w:eastAsia="宋体" w:cs="Times New Roman"/>
      <w:b/>
      <w:sz w:val="56"/>
      <w:lang w:val="en-US" w:eastAsia="zh-CN" w:bidi="ar-SA"/>
    </w:rPr>
  </w:style>
  <w:style w:type="paragraph" w:customStyle="1" w:styleId="271">
    <w:name w:val="xl75"/>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72">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273">
    <w:name w:val="AODocTxtL3"/>
    <w:basedOn w:val="1"/>
    <w:qFormat/>
    <w:uiPriority w:val="0"/>
    <w:rPr>
      <w:rFonts w:ascii="Times New Roman" w:hAnsi="Times New Roman" w:eastAsia="宋体" w:cs="Times New Roman"/>
      <w:szCs w:val="20"/>
    </w:rPr>
  </w:style>
  <w:style w:type="paragraph" w:customStyle="1" w:styleId="274">
    <w:name w:val="CM3"/>
    <w:basedOn w:val="134"/>
    <w:next w:val="134"/>
    <w:qFormat/>
    <w:uiPriority w:val="99"/>
    <w:pPr>
      <w:spacing w:line="580" w:lineRule="atLeast"/>
    </w:pPr>
    <w:rPr>
      <w:rFonts w:ascii="仿宋_GB2312" w:hAnsi="Calibri" w:eastAsia="仿宋_GB2312"/>
      <w:color w:val="auto"/>
    </w:rPr>
  </w:style>
  <w:style w:type="paragraph" w:customStyle="1" w:styleId="275">
    <w:name w:val="CM114"/>
    <w:basedOn w:val="134"/>
    <w:next w:val="134"/>
    <w:qFormat/>
    <w:uiPriority w:val="99"/>
    <w:rPr>
      <w:rFonts w:ascii="仿宋_GB2312" w:hAnsi="Calibri" w:eastAsia="仿宋_GB2312"/>
      <w:color w:val="auto"/>
    </w:rPr>
  </w:style>
  <w:style w:type="paragraph" w:customStyle="1" w:styleId="276">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277">
    <w:name w:val="文4"/>
    <w:basedOn w:val="1"/>
    <w:semiHidden/>
    <w:qFormat/>
    <w:uiPriority w:val="0"/>
    <w:pPr>
      <w:tabs>
        <w:tab w:val="left" w:pos="1155"/>
      </w:tabs>
      <w:adjustRightInd w:val="0"/>
      <w:spacing w:line="500" w:lineRule="atLeast"/>
      <w:textAlignment w:val="baseline"/>
    </w:pPr>
    <w:rPr>
      <w:rFonts w:ascii="Times New Roman" w:hAnsi="Times New Roman" w:eastAsia="宋体" w:cs="Times New Roman"/>
      <w:kern w:val="0"/>
      <w:sz w:val="28"/>
      <w:szCs w:val="20"/>
    </w:rPr>
  </w:style>
  <w:style w:type="paragraph" w:customStyle="1" w:styleId="278">
    <w:name w:val="xl4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79">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80">
    <w:name w:val="xl42"/>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81">
    <w:name w:val="CM117"/>
    <w:basedOn w:val="134"/>
    <w:next w:val="134"/>
    <w:qFormat/>
    <w:uiPriority w:val="99"/>
    <w:rPr>
      <w:rFonts w:ascii="仿宋_GB2312" w:hAnsi="Calibri" w:eastAsia="仿宋_GB2312"/>
      <w:color w:val="auto"/>
    </w:rPr>
  </w:style>
  <w:style w:type="paragraph" w:customStyle="1" w:styleId="282">
    <w:name w:val="四级条标题"/>
    <w:basedOn w:val="283"/>
    <w:next w:val="113"/>
    <w:qFormat/>
    <w:uiPriority w:val="0"/>
    <w:pPr>
      <w:numPr>
        <w:ilvl w:val="0"/>
      </w:numPr>
      <w:tabs>
        <w:tab w:val="left" w:pos="709"/>
      </w:tabs>
      <w:ind w:left="180"/>
      <w:outlineLvl w:val="5"/>
    </w:pPr>
  </w:style>
  <w:style w:type="paragraph" w:customStyle="1" w:styleId="283">
    <w:name w:val="三级条标题"/>
    <w:basedOn w:val="284"/>
    <w:next w:val="113"/>
    <w:qFormat/>
    <w:uiPriority w:val="0"/>
    <w:pPr>
      <w:numPr>
        <w:ilvl w:val="5"/>
        <w:numId w:val="0"/>
      </w:numPr>
      <w:tabs>
        <w:tab w:val="left" w:pos="709"/>
      </w:tabs>
      <w:spacing w:before="0" w:beforeLines="0" w:after="0" w:afterLines="0"/>
      <w:ind w:left="180"/>
      <w:outlineLvl w:val="4"/>
    </w:pPr>
    <w:rPr>
      <w:rFonts w:ascii="Times New Roman"/>
      <w:szCs w:val="20"/>
    </w:rPr>
  </w:style>
  <w:style w:type="paragraph" w:customStyle="1" w:styleId="284">
    <w:name w:val="二级条标题"/>
    <w:basedOn w:val="112"/>
    <w:next w:val="113"/>
    <w:qFormat/>
    <w:uiPriority w:val="0"/>
    <w:pPr>
      <w:widowControl/>
      <w:numPr>
        <w:ilvl w:val="2"/>
        <w:numId w:val="6"/>
      </w:numPr>
      <w:spacing w:before="50" w:beforeLines="50" w:after="50" w:afterLines="50" w:line="240" w:lineRule="auto"/>
      <w:outlineLvl w:val="3"/>
    </w:pPr>
    <w:rPr>
      <w:rFonts w:ascii="黑体" w:eastAsia="黑体"/>
      <w:sz w:val="21"/>
      <w:szCs w:val="21"/>
    </w:rPr>
  </w:style>
  <w:style w:type="paragraph" w:customStyle="1" w:styleId="28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286">
    <w:name w:val="xl43"/>
    <w:basedOn w:val="1"/>
    <w:qFormat/>
    <w:uiPriority w:val="0"/>
    <w:pPr>
      <w:widowControl/>
      <w:pBdr>
        <w:bottom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287">
    <w:name w:val="Body"/>
    <w:qFormat/>
    <w:uiPriority w:val="0"/>
    <w:pPr>
      <w:tabs>
        <w:tab w:val="left" w:pos="3686"/>
        <w:tab w:val="left" w:pos="4820"/>
        <w:tab w:val="left" w:pos="5954"/>
        <w:tab w:val="left" w:pos="7088"/>
        <w:tab w:val="left" w:pos="8222"/>
      </w:tabs>
      <w:spacing w:line="460" w:lineRule="exact"/>
      <w:ind w:firstLine="240" w:firstLineChars="100"/>
      <w:jc w:val="both"/>
    </w:pPr>
    <w:rPr>
      <w:rFonts w:ascii="Arial" w:hAnsi="Arial" w:eastAsia="宋体" w:cs="Arial"/>
      <w:bCs/>
      <w:color w:val="000000"/>
      <w:sz w:val="24"/>
      <w:szCs w:val="22"/>
      <w:lang w:val="en-US" w:eastAsia="zh-CN" w:bidi="ar-SA"/>
    </w:rPr>
  </w:style>
  <w:style w:type="paragraph" w:customStyle="1" w:styleId="28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89">
    <w:name w:val="AOAltHead1"/>
    <w:basedOn w:val="290"/>
    <w:next w:val="230"/>
    <w:qFormat/>
    <w:uiPriority w:val="0"/>
    <w:pPr>
      <w:keepNext w:val="0"/>
      <w:tabs>
        <w:tab w:val="left" w:pos="720"/>
      </w:tabs>
    </w:pPr>
    <w:rPr>
      <w:b w:val="0"/>
      <w:caps w:val="0"/>
    </w:rPr>
  </w:style>
  <w:style w:type="paragraph" w:customStyle="1" w:styleId="290">
    <w:name w:val="AOHead1"/>
    <w:basedOn w:val="225"/>
    <w:next w:val="230"/>
    <w:qFormat/>
    <w:uiPriority w:val="0"/>
    <w:pPr>
      <w:keepNext/>
      <w:tabs>
        <w:tab w:val="left" w:pos="720"/>
      </w:tabs>
      <w:ind w:left="1260" w:hanging="420"/>
      <w:outlineLvl w:val="0"/>
    </w:pPr>
    <w:rPr>
      <w:rFonts w:eastAsia="LF_Hei"/>
      <w:b/>
      <w:caps/>
      <w:sz w:val="24"/>
      <w:lang w:val="en-US"/>
    </w:rPr>
  </w:style>
  <w:style w:type="paragraph" w:customStyle="1" w:styleId="291">
    <w:name w:val="Level (a)fo"/>
    <w:basedOn w:val="1"/>
    <w:qFormat/>
    <w:uiPriority w:val="0"/>
    <w:pPr>
      <w:widowControl/>
      <w:tabs>
        <w:tab w:val="left" w:pos="360"/>
        <w:tab w:val="left" w:pos="720"/>
      </w:tabs>
      <w:spacing w:before="240"/>
      <w:ind w:left="1440"/>
      <w:jc w:val="left"/>
    </w:pPr>
    <w:rPr>
      <w:rFonts w:ascii="Palatino" w:hAnsi="Palatino" w:eastAsia="宋体" w:cs="Times New Roman"/>
      <w:kern w:val="0"/>
      <w:sz w:val="22"/>
      <w:szCs w:val="20"/>
      <w:lang w:val="en-AU"/>
    </w:rPr>
  </w:style>
  <w:style w:type="paragraph" w:customStyle="1" w:styleId="292">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93">
    <w:name w:val="CM111"/>
    <w:basedOn w:val="134"/>
    <w:next w:val="134"/>
    <w:qFormat/>
    <w:uiPriority w:val="99"/>
    <w:rPr>
      <w:rFonts w:ascii="仿宋_GB2312" w:hAnsi="Calibri" w:eastAsia="仿宋_GB2312"/>
      <w:color w:val="auto"/>
    </w:rPr>
  </w:style>
  <w:style w:type="paragraph" w:customStyle="1" w:styleId="294">
    <w:name w:val="AOHead6"/>
    <w:basedOn w:val="225"/>
    <w:next w:val="295"/>
    <w:qFormat/>
    <w:uiPriority w:val="0"/>
    <w:pPr>
      <w:ind w:left="570" w:hanging="570"/>
      <w:outlineLvl w:val="5"/>
    </w:pPr>
  </w:style>
  <w:style w:type="paragraph" w:customStyle="1" w:styleId="295">
    <w:name w:val="AODocTxtL5"/>
    <w:basedOn w:val="1"/>
    <w:qFormat/>
    <w:uiPriority w:val="0"/>
    <w:rPr>
      <w:rFonts w:ascii="Times New Roman" w:hAnsi="Times New Roman" w:eastAsia="宋体" w:cs="Times New Roman"/>
      <w:szCs w:val="20"/>
    </w:rPr>
  </w:style>
  <w:style w:type="paragraph" w:customStyle="1" w:styleId="296">
    <w:name w:val="xl81"/>
    <w:basedOn w:val="1"/>
    <w:qFormat/>
    <w:uiPriority w:val="0"/>
    <w:pPr>
      <w:widowControl/>
      <w:spacing w:before="100" w:beforeAutospacing="1" w:after="100" w:afterAutospacing="1"/>
      <w:jc w:val="left"/>
      <w:textAlignment w:val="center"/>
    </w:pPr>
    <w:rPr>
      <w:rFonts w:ascii="宋体" w:hAnsi="宋体" w:eastAsia="宋体" w:cs="宋体"/>
      <w:color w:val="FF0000"/>
      <w:kern w:val="0"/>
      <w:sz w:val="24"/>
      <w:szCs w:val="24"/>
    </w:rPr>
  </w:style>
  <w:style w:type="paragraph" w:customStyle="1" w:styleId="297">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alibri" w:hAnsi="Calibri" w:eastAsia="宋体" w:cs="宋体"/>
      <w:kern w:val="0"/>
      <w:szCs w:val="21"/>
    </w:rPr>
  </w:style>
  <w:style w:type="paragraph" w:customStyle="1" w:styleId="298">
    <w:name w:val="xl62"/>
    <w:basedOn w:val="1"/>
    <w:qFormat/>
    <w:uiPriority w:val="0"/>
    <w:pPr>
      <w:widowControl/>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299">
    <w:name w:val="表头"/>
    <w:basedOn w:val="1"/>
    <w:qFormat/>
    <w:uiPriority w:val="0"/>
    <w:pPr>
      <w:topLinePunct/>
      <w:spacing w:before="160" w:after="60"/>
      <w:jc w:val="center"/>
    </w:pPr>
    <w:rPr>
      <w:rFonts w:ascii="Times New Roman" w:hAnsi="Monotype Corsiva" w:eastAsia="黑体" w:cs="Times New Roman"/>
      <w:szCs w:val="24"/>
    </w:rPr>
  </w:style>
  <w:style w:type="paragraph" w:customStyle="1" w:styleId="30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01">
    <w:name w:val="Char1 Char Char Char Char Char Char"/>
    <w:basedOn w:val="1"/>
    <w:semiHidden/>
    <w:qFormat/>
    <w:uiPriority w:val="0"/>
    <w:rPr>
      <w:rFonts w:ascii="Times New Roman" w:hAnsi="Times New Roman" w:eastAsia="宋体" w:cs="Times New Roman"/>
      <w:szCs w:val="24"/>
    </w:rPr>
  </w:style>
  <w:style w:type="paragraph" w:customStyle="1" w:styleId="302">
    <w:name w:val="1"/>
    <w:basedOn w:val="1"/>
    <w:next w:val="55"/>
    <w:qFormat/>
    <w:uiPriority w:val="0"/>
    <w:pPr>
      <w:widowControl/>
      <w:spacing w:line="300" w:lineRule="auto"/>
      <w:ind w:right="54"/>
      <w:jc w:val="left"/>
    </w:pPr>
    <w:rPr>
      <w:rFonts w:ascii="宋体" w:hAnsi="宋体" w:eastAsia="宋体" w:cs="Times New Roman"/>
      <w:color w:val="000000"/>
      <w:kern w:val="0"/>
      <w:sz w:val="24"/>
      <w:szCs w:val="20"/>
      <w:u w:val="single"/>
    </w:rPr>
  </w:style>
  <w:style w:type="paragraph" w:customStyle="1" w:styleId="303">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04">
    <w:name w:val="xl28"/>
    <w:basedOn w:val="1"/>
    <w:qFormat/>
    <w:uiPriority w:val="0"/>
    <w:pPr>
      <w:widowControl/>
      <w:pBdr>
        <w:left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05">
    <w:name w:val="xl67"/>
    <w:basedOn w:val="1"/>
    <w:qFormat/>
    <w:uiPriority w:val="0"/>
    <w:pPr>
      <w:widowControl/>
      <w:pBdr>
        <w:lef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06">
    <w:name w:val="样式 三号 加粗 居中"/>
    <w:basedOn w:val="15"/>
    <w:qFormat/>
    <w:uiPriority w:val="0"/>
    <w:pPr>
      <w:widowControl/>
      <w:jc w:val="center"/>
    </w:pPr>
    <w:rPr>
      <w:rFonts w:cs="宋体"/>
      <w:b/>
      <w:bCs/>
      <w:kern w:val="0"/>
      <w:sz w:val="32"/>
    </w:rPr>
  </w:style>
  <w:style w:type="paragraph" w:customStyle="1" w:styleId="307">
    <w:name w:val="CM47"/>
    <w:basedOn w:val="134"/>
    <w:next w:val="134"/>
    <w:qFormat/>
    <w:uiPriority w:val="99"/>
    <w:pPr>
      <w:spacing w:line="691" w:lineRule="atLeast"/>
    </w:pPr>
    <w:rPr>
      <w:rFonts w:ascii="仿宋_GB2312" w:hAnsi="Calibri" w:eastAsia="仿宋_GB2312"/>
      <w:color w:val="auto"/>
    </w:rPr>
  </w:style>
  <w:style w:type="paragraph" w:customStyle="1" w:styleId="308">
    <w:name w:val="xl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09">
    <w:name w:val="Level (a)"/>
    <w:basedOn w:val="1"/>
    <w:next w:val="291"/>
    <w:qFormat/>
    <w:uiPriority w:val="0"/>
    <w:pPr>
      <w:widowControl/>
      <w:tabs>
        <w:tab w:val="left" w:pos="360"/>
        <w:tab w:val="left" w:pos="1440"/>
      </w:tabs>
      <w:spacing w:before="240"/>
      <w:ind w:left="1440" w:hanging="360"/>
      <w:jc w:val="left"/>
      <w:outlineLvl w:val="3"/>
    </w:pPr>
    <w:rPr>
      <w:rFonts w:ascii="Palatino" w:hAnsi="Palatino" w:eastAsia="宋体" w:cs="Times New Roman"/>
      <w:kern w:val="0"/>
      <w:sz w:val="22"/>
      <w:szCs w:val="20"/>
      <w:lang w:val="en-AU"/>
    </w:rPr>
  </w:style>
  <w:style w:type="paragraph" w:customStyle="1" w:styleId="310">
    <w:name w:val="修订1"/>
    <w:qFormat/>
    <w:uiPriority w:val="0"/>
    <w:rPr>
      <w:rFonts w:ascii="Times New Roman" w:hAnsi="Times New Roman" w:eastAsia="宋体" w:cs="Times New Roman"/>
      <w:sz w:val="21"/>
      <w:lang w:val="en-US" w:eastAsia="zh-CN" w:bidi="ar-SA"/>
    </w:rPr>
  </w:style>
  <w:style w:type="paragraph" w:customStyle="1" w:styleId="311">
    <w:name w:val="ANNEX_title"/>
    <w:basedOn w:val="1"/>
    <w:next w:val="265"/>
    <w:qFormat/>
    <w:uiPriority w:val="0"/>
    <w:pPr>
      <w:pageBreakBefore/>
      <w:widowControl/>
      <w:snapToGrid w:val="0"/>
      <w:spacing w:after="200"/>
      <w:jc w:val="center"/>
      <w:outlineLvl w:val="0"/>
    </w:pPr>
    <w:rPr>
      <w:rFonts w:ascii="Arial" w:hAnsi="Arial" w:eastAsia="宋体" w:cs="Arial"/>
      <w:b/>
      <w:bCs/>
      <w:spacing w:val="8"/>
      <w:kern w:val="0"/>
      <w:sz w:val="24"/>
      <w:szCs w:val="24"/>
      <w:lang w:val="en-GB"/>
    </w:rPr>
  </w:style>
  <w:style w:type="paragraph" w:customStyle="1" w:styleId="312">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313">
    <w:name w:val="xl40"/>
    <w:basedOn w:val="1"/>
    <w:qFormat/>
    <w:uiPriority w:val="0"/>
    <w:pPr>
      <w:widowControl/>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14">
    <w:name w:val="AODocTxtL7"/>
    <w:basedOn w:val="228"/>
    <w:qFormat/>
    <w:uiPriority w:val="0"/>
    <w:pPr>
      <w:widowControl/>
      <w:tabs>
        <w:tab w:val="left" w:pos="360"/>
      </w:tabs>
      <w:spacing w:before="240" w:line="260" w:lineRule="atLeast"/>
      <w:ind w:left="465" w:hanging="465"/>
    </w:pPr>
    <w:rPr>
      <w:kern w:val="0"/>
      <w:sz w:val="22"/>
      <w:lang w:val="en-GB"/>
    </w:rPr>
  </w:style>
  <w:style w:type="paragraph" w:customStyle="1" w:styleId="315">
    <w:name w:val="xl58"/>
    <w:basedOn w:val="1"/>
    <w:qFormat/>
    <w:uiPriority w:val="0"/>
    <w:pPr>
      <w:widowControl/>
      <w:pBdr>
        <w:left w:val="single" w:color="auto" w:sz="4" w:space="0"/>
        <w:bottom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316">
    <w:name w:val="x.x.x(1)"/>
    <w:basedOn w:val="1"/>
    <w:qFormat/>
    <w:uiPriority w:val="0"/>
    <w:pPr>
      <w:overflowPunct w:val="0"/>
      <w:autoSpaceDE w:val="0"/>
      <w:autoSpaceDN w:val="0"/>
      <w:adjustRightInd w:val="0"/>
      <w:spacing w:line="300" w:lineRule="auto"/>
      <w:ind w:left="1418" w:hanging="568"/>
    </w:pPr>
    <w:rPr>
      <w:rFonts w:ascii="Times New Roman" w:hAnsi="Times New Roman" w:eastAsia="宋体" w:cs="Times New Roman"/>
      <w:kern w:val="0"/>
      <w:sz w:val="22"/>
      <w:szCs w:val="20"/>
    </w:rPr>
  </w:style>
  <w:style w:type="paragraph" w:customStyle="1" w:styleId="317">
    <w:name w:val="Bullet body"/>
    <w:basedOn w:val="25"/>
    <w:qFormat/>
    <w:uiPriority w:val="0"/>
    <w:pPr>
      <w:widowControl/>
      <w:tabs>
        <w:tab w:val="left" w:pos="360"/>
      </w:tabs>
      <w:spacing w:before="60" w:beforeLines="0" w:after="60" w:line="260" w:lineRule="exact"/>
      <w:ind w:left="2721" w:hanging="340"/>
    </w:pPr>
    <w:rPr>
      <w:color w:val="000000"/>
      <w:kern w:val="0"/>
      <w:sz w:val="22"/>
      <w:szCs w:val="22"/>
      <w:lang w:val="en-GB"/>
    </w:rPr>
  </w:style>
  <w:style w:type="paragraph" w:customStyle="1" w:styleId="318">
    <w:name w:val="CM2"/>
    <w:basedOn w:val="134"/>
    <w:next w:val="134"/>
    <w:qFormat/>
    <w:uiPriority w:val="99"/>
    <w:pPr>
      <w:spacing w:line="580" w:lineRule="atLeast"/>
    </w:pPr>
    <w:rPr>
      <w:rFonts w:ascii="仿宋_GB2312" w:hAnsi="Calibri" w:eastAsia="仿宋_GB2312"/>
      <w:color w:val="auto"/>
    </w:rPr>
  </w:style>
  <w:style w:type="paragraph" w:customStyle="1" w:styleId="319">
    <w:name w:val="xl37"/>
    <w:basedOn w:val="1"/>
    <w:qFormat/>
    <w:uiPriority w:val="0"/>
    <w:pPr>
      <w:widowControl/>
      <w:pBdr>
        <w:top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20">
    <w:name w:val="实施日期"/>
    <w:basedOn w:val="321"/>
    <w:qFormat/>
    <w:uiPriority w:val="0"/>
    <w:pPr>
      <w:jc w:val="right"/>
    </w:pPr>
  </w:style>
  <w:style w:type="paragraph" w:customStyle="1" w:styleId="321">
    <w:name w:val="发布日期"/>
    <w:qFormat/>
    <w:uiPriority w:val="0"/>
    <w:rPr>
      <w:rFonts w:ascii="Times New Roman" w:hAnsi="Times New Roman" w:eastAsia="黑体" w:cs="Times New Roman"/>
      <w:sz w:val="28"/>
      <w:lang w:val="en-US" w:eastAsia="zh-CN" w:bidi="ar-SA"/>
    </w:rPr>
  </w:style>
  <w:style w:type="paragraph" w:customStyle="1" w:styleId="322">
    <w:name w:val="xl51"/>
    <w:basedOn w:val="1"/>
    <w:qFormat/>
    <w:uiPriority w:val="0"/>
    <w:pPr>
      <w:widowControl/>
      <w:pBdr>
        <w:right w:val="single" w:color="auto" w:sz="4" w:space="0"/>
      </w:pBdr>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323">
    <w:name w:val="xl70"/>
    <w:basedOn w:val="1"/>
    <w:qFormat/>
    <w:uiPriority w:val="0"/>
    <w:pPr>
      <w:widowControl/>
      <w:spacing w:before="100" w:beforeAutospacing="1" w:after="100" w:afterAutospacing="1"/>
      <w:jc w:val="right"/>
    </w:pPr>
    <w:rPr>
      <w:rFonts w:ascii="Arial Unicode MS" w:hAnsi="Arial Unicode MS" w:eastAsia="Arial Unicode MS" w:cs="Century"/>
      <w:kern w:val="0"/>
      <w:sz w:val="24"/>
      <w:szCs w:val="24"/>
      <w:lang w:eastAsia="en-US"/>
    </w:rPr>
  </w:style>
  <w:style w:type="paragraph" w:customStyle="1" w:styleId="324">
    <w:name w:val="标准"/>
    <w:basedOn w:val="1"/>
    <w:qFormat/>
    <w:uiPriority w:val="0"/>
    <w:pPr>
      <w:numPr>
        <w:ilvl w:val="3"/>
        <w:numId w:val="4"/>
      </w:numPr>
      <w:adjustRightInd w:val="0"/>
      <w:spacing w:line="312" w:lineRule="atLeast"/>
    </w:pPr>
    <w:rPr>
      <w:rFonts w:ascii="font42" w:hAnsi="Times New Roman" w:eastAsia="font42" w:cs="Times New Roman"/>
      <w:kern w:val="0"/>
      <w:sz w:val="24"/>
      <w:szCs w:val="20"/>
    </w:rPr>
  </w:style>
  <w:style w:type="paragraph" w:customStyle="1" w:styleId="325">
    <w:name w:val="xl71"/>
    <w:basedOn w:val="1"/>
    <w:qFormat/>
    <w:uiPriority w:val="0"/>
    <w:pPr>
      <w:widowControl/>
      <w:spacing w:before="100" w:beforeAutospacing="1" w:after="100" w:afterAutospacing="1"/>
      <w:jc w:val="left"/>
    </w:pPr>
    <w:rPr>
      <w:rFonts w:ascii="Arial Unicode MS" w:hAnsi="Arial Unicode MS" w:eastAsia="Arial Unicode MS" w:cs="Century"/>
      <w:kern w:val="0"/>
      <w:sz w:val="32"/>
      <w:szCs w:val="32"/>
      <w:lang w:eastAsia="en-US"/>
    </w:rPr>
  </w:style>
  <w:style w:type="paragraph" w:customStyle="1" w:styleId="326">
    <w:name w:val="2"/>
    <w:basedOn w:val="7"/>
    <w:qFormat/>
    <w:uiPriority w:val="0"/>
    <w:pPr>
      <w:keepLines/>
      <w:widowControl/>
      <w:numPr>
        <w:ilvl w:val="0"/>
        <w:numId w:val="0"/>
      </w:numPr>
      <w:adjustRightInd/>
      <w:spacing w:before="140" w:beforeLines="0" w:line="220" w:lineRule="atLeast"/>
      <w:ind w:left="720"/>
      <w:textAlignment w:val="auto"/>
    </w:pPr>
    <w:rPr>
      <w:rFonts w:ascii="Futura Bk BT" w:hAnsi="Futura Bk BT" w:eastAsia="Times New Roman"/>
      <w:i w:val="0"/>
      <w:spacing w:val="-4"/>
      <w:kern w:val="28"/>
      <w:sz w:val="21"/>
      <w:szCs w:val="20"/>
      <w:lang w:val="en-AU" w:eastAsia="en-US"/>
    </w:rPr>
  </w:style>
  <w:style w:type="paragraph" w:customStyle="1" w:styleId="327">
    <w:name w:val="Level 1.1"/>
    <w:basedOn w:val="1"/>
    <w:next w:val="328"/>
    <w:qFormat/>
    <w:uiPriority w:val="0"/>
    <w:pPr>
      <w:widowControl/>
      <w:tabs>
        <w:tab w:val="left" w:pos="720"/>
      </w:tabs>
      <w:spacing w:before="240"/>
      <w:ind w:left="720" w:hanging="706"/>
      <w:jc w:val="left"/>
      <w:outlineLvl w:val="2"/>
    </w:pPr>
    <w:rPr>
      <w:rFonts w:ascii="Palatino" w:hAnsi="Palatino" w:eastAsia="宋体" w:cs="Times New Roman"/>
      <w:kern w:val="0"/>
      <w:sz w:val="22"/>
      <w:szCs w:val="20"/>
      <w:lang w:val="en-AU"/>
    </w:rPr>
  </w:style>
  <w:style w:type="paragraph" w:customStyle="1" w:styleId="328">
    <w:name w:val="Level 1.1fo"/>
    <w:basedOn w:val="1"/>
    <w:qFormat/>
    <w:uiPriority w:val="0"/>
    <w:pPr>
      <w:widowControl/>
      <w:spacing w:before="240"/>
      <w:ind w:left="720"/>
      <w:jc w:val="left"/>
    </w:pPr>
    <w:rPr>
      <w:rFonts w:ascii="Palatino" w:hAnsi="Palatino" w:eastAsia="宋体" w:cs="Times New Roman"/>
      <w:kern w:val="0"/>
      <w:sz w:val="22"/>
      <w:szCs w:val="20"/>
      <w:lang w:val="en-AU"/>
    </w:rPr>
  </w:style>
  <w:style w:type="paragraph" w:customStyle="1" w:styleId="32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b/>
      <w:bCs/>
      <w:kern w:val="0"/>
      <w:sz w:val="24"/>
      <w:szCs w:val="24"/>
      <w:lang w:eastAsia="en-US"/>
    </w:rPr>
  </w:style>
  <w:style w:type="paragraph" w:customStyle="1" w:styleId="330">
    <w:name w:val="CM107"/>
    <w:basedOn w:val="134"/>
    <w:next w:val="134"/>
    <w:qFormat/>
    <w:uiPriority w:val="99"/>
    <w:rPr>
      <w:rFonts w:ascii="仿宋_GB2312" w:hAnsi="Calibri" w:eastAsia="仿宋_GB2312"/>
      <w:color w:val="auto"/>
    </w:rPr>
  </w:style>
  <w:style w:type="paragraph" w:customStyle="1" w:styleId="331">
    <w:name w:val="CM113"/>
    <w:basedOn w:val="134"/>
    <w:next w:val="134"/>
    <w:qFormat/>
    <w:uiPriority w:val="99"/>
    <w:rPr>
      <w:rFonts w:ascii="仿宋_GB2312" w:hAnsi="Calibri" w:eastAsia="仿宋_GB2312"/>
      <w:color w:val="auto"/>
    </w:rPr>
  </w:style>
  <w:style w:type="paragraph" w:customStyle="1" w:styleId="332">
    <w:name w:val="样式 SINOPEC-5"/>
    <w:basedOn w:val="1"/>
    <w:qFormat/>
    <w:uiPriority w:val="0"/>
    <w:pPr>
      <w:keepNext/>
      <w:spacing w:line="360" w:lineRule="auto"/>
      <w:ind w:left="960" w:hanging="960" w:hangingChars="400"/>
      <w:outlineLvl w:val="4"/>
    </w:pPr>
    <w:rPr>
      <w:rFonts w:ascii="Arial" w:hAnsi="Arial" w:eastAsia="宋体" w:cs="宋体"/>
      <w:sz w:val="24"/>
      <w:szCs w:val="20"/>
    </w:rPr>
  </w:style>
  <w:style w:type="paragraph" w:customStyle="1" w:styleId="333">
    <w:name w:val="默认段落字体 Para Char Char Char Char"/>
    <w:basedOn w:val="1"/>
    <w:qFormat/>
    <w:uiPriority w:val="0"/>
    <w:pPr>
      <w:spacing w:line="360" w:lineRule="auto"/>
    </w:pPr>
    <w:rPr>
      <w:rFonts w:ascii="Tahoma" w:hAnsi="Tahoma" w:eastAsia="宋体" w:cs="Times New Roman"/>
      <w:sz w:val="24"/>
      <w:szCs w:val="20"/>
    </w:rPr>
  </w:style>
  <w:style w:type="paragraph" w:customStyle="1" w:styleId="334">
    <w:name w:val="Level (i)"/>
    <w:basedOn w:val="1"/>
    <w:next w:val="335"/>
    <w:qFormat/>
    <w:uiPriority w:val="0"/>
    <w:pPr>
      <w:widowControl/>
      <w:tabs>
        <w:tab w:val="left" w:pos="720"/>
        <w:tab w:val="left" w:pos="2160"/>
      </w:tabs>
      <w:spacing w:before="240"/>
      <w:ind w:left="2160" w:hanging="720"/>
      <w:jc w:val="left"/>
      <w:outlineLvl w:val="4"/>
    </w:pPr>
    <w:rPr>
      <w:rFonts w:ascii="Palatino" w:hAnsi="Palatino" w:eastAsia="宋体" w:cs="Times New Roman"/>
      <w:kern w:val="0"/>
      <w:sz w:val="22"/>
      <w:szCs w:val="20"/>
      <w:lang w:val="en-AU"/>
    </w:rPr>
  </w:style>
  <w:style w:type="paragraph" w:customStyle="1" w:styleId="335">
    <w:name w:val="Level (i)fo"/>
    <w:basedOn w:val="1"/>
    <w:qFormat/>
    <w:uiPriority w:val="0"/>
    <w:pPr>
      <w:widowControl/>
      <w:tabs>
        <w:tab w:val="left" w:pos="2160"/>
      </w:tabs>
      <w:spacing w:before="240"/>
      <w:ind w:left="1080"/>
      <w:jc w:val="left"/>
    </w:pPr>
    <w:rPr>
      <w:rFonts w:ascii="Palatino" w:hAnsi="Palatino" w:eastAsia="宋体" w:cs="Times New Roman"/>
      <w:kern w:val="0"/>
      <w:sz w:val="22"/>
      <w:szCs w:val="20"/>
      <w:lang w:val="en-AU"/>
    </w:rPr>
  </w:style>
  <w:style w:type="paragraph" w:customStyle="1" w:styleId="336">
    <w:name w:val="封面正文"/>
    <w:qFormat/>
    <w:uiPriority w:val="0"/>
    <w:pPr>
      <w:jc w:val="both"/>
    </w:pPr>
    <w:rPr>
      <w:rFonts w:ascii="Times New Roman" w:hAnsi="Times New Roman" w:eastAsia="宋体" w:cs="Times New Roman"/>
      <w:lang w:val="en-US" w:eastAsia="zh-CN" w:bidi="ar-SA"/>
    </w:rPr>
  </w:style>
  <w:style w:type="paragraph" w:customStyle="1" w:styleId="33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38">
    <w:name w:val="xl8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33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4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341">
    <w:name w:val="Char Char Char1 Char"/>
    <w:basedOn w:val="1"/>
    <w:qFormat/>
    <w:uiPriority w:val="0"/>
    <w:pPr>
      <w:widowControl/>
      <w:spacing w:before="100" w:beforeAutospacing="1" w:after="100" w:afterAutospacing="1" w:line="360" w:lineRule="auto"/>
      <w:ind w:left="360" w:firstLine="624"/>
      <w:jc w:val="left"/>
    </w:pPr>
    <w:rPr>
      <w:rFonts w:ascii="ˎ̥" w:hAnsi="ˎ̥" w:eastAsia="仿宋_GB2312" w:cs="宋体"/>
      <w:color w:val="51585D"/>
      <w:kern w:val="0"/>
      <w:sz w:val="32"/>
      <w:szCs w:val="18"/>
    </w:rPr>
  </w:style>
  <w:style w:type="paragraph" w:customStyle="1" w:styleId="342">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43">
    <w:name w:val="toc3"/>
    <w:basedOn w:val="1"/>
    <w:qFormat/>
    <w:uiPriority w:val="0"/>
    <w:pPr>
      <w:widowControl/>
      <w:tabs>
        <w:tab w:val="left" w:pos="720"/>
        <w:tab w:val="right" w:pos="9029"/>
      </w:tabs>
    </w:pPr>
    <w:rPr>
      <w:rFonts w:ascii="Times New Roman" w:hAnsi="Times New Roman" w:eastAsia="LF Song" w:cs="Times New Roman"/>
      <w:kern w:val="0"/>
      <w:sz w:val="24"/>
      <w:szCs w:val="20"/>
    </w:rPr>
  </w:style>
  <w:style w:type="paragraph" w:customStyle="1" w:styleId="344">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345">
    <w:name w:val="xl39"/>
    <w:basedOn w:val="1"/>
    <w:qFormat/>
    <w:uiPriority w:val="0"/>
    <w:pPr>
      <w:widowControl/>
      <w:pBdr>
        <w:lef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4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347">
    <w:name w:val="AOAltHead5"/>
    <w:basedOn w:val="348"/>
    <w:next w:val="273"/>
    <w:qFormat/>
    <w:uiPriority w:val="0"/>
    <w:pPr>
      <w:numPr>
        <w:ilvl w:val="3"/>
        <w:numId w:val="11"/>
      </w:numPr>
      <w:tabs>
        <w:tab w:val="left" w:pos="720"/>
        <w:tab w:val="left" w:pos="2160"/>
      </w:tabs>
      <w:ind w:left="1680"/>
    </w:pPr>
    <w:rPr>
      <w:rFonts w:eastAsia="LF Song"/>
      <w:sz w:val="24"/>
    </w:rPr>
  </w:style>
  <w:style w:type="paragraph" w:customStyle="1" w:styleId="348">
    <w:name w:val="AOHead5"/>
    <w:basedOn w:val="225"/>
    <w:next w:val="349"/>
    <w:qFormat/>
    <w:uiPriority w:val="0"/>
    <w:pPr>
      <w:outlineLvl w:val="4"/>
    </w:pPr>
  </w:style>
  <w:style w:type="paragraph" w:customStyle="1" w:styleId="349">
    <w:name w:val="AODocTxtL4"/>
    <w:basedOn w:val="1"/>
    <w:qFormat/>
    <w:uiPriority w:val="0"/>
    <w:rPr>
      <w:rFonts w:ascii="Times New Roman" w:hAnsi="Times New Roman" w:eastAsia="宋体" w:cs="Times New Roman"/>
      <w:szCs w:val="20"/>
    </w:rPr>
  </w:style>
  <w:style w:type="paragraph" w:customStyle="1" w:styleId="350">
    <w:name w:val="CM1"/>
    <w:basedOn w:val="134"/>
    <w:next w:val="134"/>
    <w:qFormat/>
    <w:uiPriority w:val="99"/>
    <w:rPr>
      <w:rFonts w:ascii="仿宋_GB2312" w:hAnsi="Calibri" w:eastAsia="仿宋_GB2312"/>
      <w:color w:val="auto"/>
    </w:rPr>
  </w:style>
  <w:style w:type="paragraph" w:customStyle="1" w:styleId="351">
    <w:name w:val="样式 样式 样式 标题 2一级条 + 黑色 + 段前: 0.5 行 段后: 0.5 行 + 段前: 0.5 行 段后: 0.5..."/>
    <w:basedOn w:val="1"/>
    <w:qFormat/>
    <w:uiPriority w:val="0"/>
    <w:pPr>
      <w:keepNext/>
      <w:keepLines/>
      <w:snapToGrid w:val="0"/>
      <w:spacing w:beforeLines="50" w:afterLines="50" w:line="360" w:lineRule="auto"/>
      <w:jc w:val="left"/>
      <w:outlineLvl w:val="1"/>
    </w:pPr>
    <w:rPr>
      <w:rFonts w:ascii="Arial" w:hAnsi="Arial" w:eastAsia="宋体" w:cs="宋体"/>
      <w:b/>
      <w:color w:val="000000"/>
      <w:sz w:val="24"/>
      <w:szCs w:val="20"/>
    </w:rPr>
  </w:style>
  <w:style w:type="paragraph" w:customStyle="1" w:styleId="352">
    <w:name w:val="font8"/>
    <w:basedOn w:val="1"/>
    <w:qFormat/>
    <w:uiPriority w:val="0"/>
    <w:pPr>
      <w:widowControl/>
      <w:spacing w:before="100" w:beforeAutospacing="1" w:after="100" w:afterAutospacing="1"/>
      <w:jc w:val="left"/>
    </w:pPr>
    <w:rPr>
      <w:rFonts w:ascii="Calibri" w:hAnsi="Calibri" w:eastAsia="宋体" w:cs="宋体"/>
      <w:color w:val="FF0000"/>
      <w:kern w:val="0"/>
      <w:szCs w:val="21"/>
    </w:rPr>
  </w:style>
  <w:style w:type="paragraph" w:customStyle="1" w:styleId="353">
    <w:name w:val="font9"/>
    <w:basedOn w:val="1"/>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354">
    <w:name w:val="xl41"/>
    <w:basedOn w:val="1"/>
    <w:qFormat/>
    <w:uiPriority w:val="0"/>
    <w:pPr>
      <w:widowControl/>
      <w:pBdr>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55">
    <w:name w:val="xl64"/>
    <w:basedOn w:val="1"/>
    <w:qFormat/>
    <w:uiPriority w:val="0"/>
    <w:pPr>
      <w:widowControl/>
      <w:pBdr>
        <w:top w:val="single" w:color="auto" w:sz="4" w:space="0"/>
        <w:lef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56">
    <w:name w:val="xl48"/>
    <w:basedOn w:val="1"/>
    <w:qFormat/>
    <w:uiPriority w:val="0"/>
    <w:pPr>
      <w:widowControl/>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357">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58">
    <w:name w:val="Char Char Char"/>
    <w:basedOn w:val="1"/>
    <w:qFormat/>
    <w:uiPriority w:val="0"/>
    <w:pPr>
      <w:spacing w:line="360" w:lineRule="auto"/>
    </w:pPr>
    <w:rPr>
      <w:rFonts w:ascii="Tahoma" w:hAnsi="Tahoma" w:eastAsia="仿宋_GB2312" w:cs="Times New Roman"/>
      <w:sz w:val="24"/>
      <w:szCs w:val="20"/>
    </w:rPr>
  </w:style>
  <w:style w:type="paragraph" w:customStyle="1" w:styleId="359">
    <w:name w:val="xl68"/>
    <w:basedOn w:val="1"/>
    <w:qFormat/>
    <w:uiPriority w:val="0"/>
    <w:pPr>
      <w:widowControl/>
      <w:pBdr>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60">
    <w:name w:val="AODocTxtL8"/>
    <w:basedOn w:val="228"/>
    <w:qFormat/>
    <w:uiPriority w:val="0"/>
    <w:pPr>
      <w:widowControl/>
      <w:tabs>
        <w:tab w:val="left" w:pos="360"/>
      </w:tabs>
      <w:spacing w:before="240" w:line="260" w:lineRule="atLeast"/>
      <w:ind w:left="465" w:hanging="465"/>
    </w:pPr>
    <w:rPr>
      <w:kern w:val="0"/>
      <w:sz w:val="22"/>
      <w:lang w:val="en-GB"/>
    </w:rPr>
  </w:style>
  <w:style w:type="paragraph" w:customStyle="1" w:styleId="361">
    <w:name w:val="CM30"/>
    <w:basedOn w:val="134"/>
    <w:next w:val="134"/>
    <w:qFormat/>
    <w:uiPriority w:val="99"/>
    <w:pPr>
      <w:spacing w:line="580" w:lineRule="atLeast"/>
    </w:pPr>
    <w:rPr>
      <w:rFonts w:ascii="仿宋_GB2312" w:hAnsi="Calibri" w:eastAsia="仿宋_GB2312"/>
      <w:color w:val="auto"/>
    </w:rPr>
  </w:style>
  <w:style w:type="paragraph" w:customStyle="1" w:styleId="362">
    <w:name w:val="CM110"/>
    <w:basedOn w:val="134"/>
    <w:next w:val="134"/>
    <w:qFormat/>
    <w:uiPriority w:val="99"/>
    <w:rPr>
      <w:rFonts w:ascii="仿宋_GB2312" w:hAnsi="Calibri" w:eastAsia="仿宋_GB2312"/>
      <w:color w:val="auto"/>
    </w:rPr>
  </w:style>
  <w:style w:type="paragraph" w:customStyle="1" w:styleId="363">
    <w:name w:val="proposal"/>
    <w:basedOn w:val="1"/>
    <w:qFormat/>
    <w:uiPriority w:val="0"/>
    <w:pPr>
      <w:widowControl/>
      <w:autoSpaceDE w:val="0"/>
      <w:autoSpaceDN w:val="0"/>
      <w:spacing w:line="300" w:lineRule="auto"/>
      <w:ind w:left="1440" w:hanging="1440"/>
    </w:pPr>
    <w:rPr>
      <w:rFonts w:ascii="Times New Roman" w:hAnsi="Times New Roman" w:eastAsia="宋体" w:cs="Times New Roman"/>
      <w:kern w:val="0"/>
      <w:sz w:val="24"/>
      <w:szCs w:val="24"/>
      <w:lang w:val="en-GB" w:eastAsia="en-GB"/>
    </w:rPr>
  </w:style>
  <w:style w:type="paragraph" w:customStyle="1" w:styleId="364">
    <w:name w:val="xl23"/>
    <w:basedOn w:val="1"/>
    <w:qFormat/>
    <w:uiPriority w:val="0"/>
    <w:pPr>
      <w:widowControl/>
      <w:spacing w:before="100" w:beforeAutospacing="1" w:after="100" w:afterAutospacing="1"/>
      <w:jc w:val="center"/>
    </w:pPr>
    <w:rPr>
      <w:rFonts w:ascii="宋体" w:hAnsi="宋体" w:eastAsia="宋体" w:cs="Times New Roman"/>
      <w:kern w:val="0"/>
      <w:sz w:val="24"/>
      <w:szCs w:val="24"/>
    </w:rPr>
  </w:style>
  <w:style w:type="paragraph" w:customStyle="1" w:styleId="365">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66">
    <w:name w:val="AOHead4"/>
    <w:basedOn w:val="225"/>
    <w:next w:val="273"/>
    <w:qFormat/>
    <w:uiPriority w:val="0"/>
    <w:pPr>
      <w:outlineLvl w:val="3"/>
    </w:pPr>
  </w:style>
  <w:style w:type="paragraph" w:customStyle="1" w:styleId="367">
    <w:name w:val="ANNEX-heading3"/>
    <w:basedOn w:val="5"/>
    <w:next w:val="1"/>
    <w:qFormat/>
    <w:uiPriority w:val="0"/>
    <w:pPr>
      <w:keepLines w:val="0"/>
      <w:widowControl/>
      <w:tabs>
        <w:tab w:val="left" w:pos="1134"/>
      </w:tabs>
      <w:suppressAutoHyphens/>
      <w:adjustRightInd/>
      <w:snapToGrid w:val="0"/>
      <w:spacing w:before="100" w:beforeLines="0" w:after="100" w:line="240" w:lineRule="auto"/>
      <w:ind w:left="1134" w:hanging="1134"/>
      <w:jc w:val="left"/>
      <w:textAlignment w:val="auto"/>
      <w:outlineLvl w:val="3"/>
    </w:pPr>
    <w:rPr>
      <w:rFonts w:ascii="Arial" w:hAnsi="Arial" w:cs="Arial"/>
      <w:bCs/>
      <w:spacing w:val="8"/>
      <w:sz w:val="20"/>
      <w:szCs w:val="20"/>
      <w:lang w:val="en-GB"/>
    </w:rPr>
  </w:style>
  <w:style w:type="paragraph" w:customStyle="1" w:styleId="368">
    <w:name w:val="AOBullet"/>
    <w:basedOn w:val="226"/>
    <w:qFormat/>
    <w:uiPriority w:val="0"/>
    <w:pPr>
      <w:tabs>
        <w:tab w:val="left" w:pos="720"/>
      </w:tabs>
      <w:ind w:left="720" w:hanging="720"/>
    </w:pPr>
  </w:style>
  <w:style w:type="paragraph" w:customStyle="1" w:styleId="369">
    <w:name w:val="Char Char Char Char Char Char Char Char Char2 Char Char Char Char Char Char Char"/>
    <w:basedOn w:val="1"/>
    <w:qFormat/>
    <w:uiPriority w:val="0"/>
    <w:pPr>
      <w:widowControl/>
      <w:adjustRightInd w:val="0"/>
      <w:spacing w:after="160" w:line="240" w:lineRule="exact"/>
      <w:jc w:val="left"/>
      <w:textAlignment w:val="baseline"/>
    </w:pPr>
    <w:rPr>
      <w:rFonts w:ascii="Verdana" w:hAnsi="Verdana" w:eastAsia="仿宋_GB2312" w:cs="Times New Roman"/>
      <w:kern w:val="0"/>
      <w:sz w:val="24"/>
      <w:szCs w:val="20"/>
      <w:lang w:eastAsia="en-US"/>
    </w:rPr>
  </w:style>
  <w:style w:type="paragraph" w:customStyle="1" w:styleId="370">
    <w:name w:val="xl69"/>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71">
    <w:name w:val="font7"/>
    <w:basedOn w:val="1"/>
    <w:qFormat/>
    <w:uiPriority w:val="0"/>
    <w:pPr>
      <w:widowControl/>
      <w:spacing w:before="100" w:beforeAutospacing="1" w:after="100" w:afterAutospacing="1"/>
      <w:jc w:val="left"/>
    </w:pPr>
    <w:rPr>
      <w:rFonts w:ascii="宋体" w:hAnsi="宋体" w:eastAsia="宋体" w:cs="Century"/>
      <w:kern w:val="0"/>
      <w:sz w:val="32"/>
      <w:szCs w:val="32"/>
      <w:lang w:eastAsia="en-US"/>
    </w:rPr>
  </w:style>
  <w:style w:type="paragraph" w:customStyle="1" w:styleId="37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仿宋_GB2312" w:cs="Times New Roman"/>
      <w:kern w:val="0"/>
      <w:sz w:val="28"/>
      <w:szCs w:val="20"/>
    </w:rPr>
  </w:style>
  <w:style w:type="paragraph" w:customStyle="1" w:styleId="373">
    <w:name w:val="菲页1"/>
    <w:basedOn w:val="4"/>
    <w:qFormat/>
    <w:uiPriority w:val="0"/>
    <w:pPr>
      <w:widowControl/>
      <w:adjustRightInd/>
      <w:spacing w:before="260" w:beforeLines="0" w:after="260" w:line="415" w:lineRule="auto"/>
      <w:jc w:val="center"/>
      <w:textAlignment w:val="auto"/>
    </w:pPr>
    <w:rPr>
      <w:rFonts w:ascii="黑体" w:hAnsi="宋体" w:eastAsia="黑体"/>
      <w:kern w:val="0"/>
      <w:sz w:val="52"/>
      <w:szCs w:val="20"/>
    </w:rPr>
  </w:style>
  <w:style w:type="paragraph" w:customStyle="1" w:styleId="374">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75">
    <w:name w:val="CM43"/>
    <w:basedOn w:val="134"/>
    <w:next w:val="134"/>
    <w:qFormat/>
    <w:uiPriority w:val="99"/>
    <w:pPr>
      <w:spacing w:line="580" w:lineRule="atLeast"/>
    </w:pPr>
    <w:rPr>
      <w:rFonts w:ascii="仿宋_GB2312" w:hAnsi="Calibri" w:eastAsia="仿宋_GB2312"/>
      <w:color w:val="auto"/>
    </w:rPr>
  </w:style>
  <w:style w:type="paragraph" w:customStyle="1" w:styleId="37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77">
    <w:name w:val="CM46"/>
    <w:basedOn w:val="134"/>
    <w:next w:val="134"/>
    <w:qFormat/>
    <w:uiPriority w:val="99"/>
    <w:pPr>
      <w:spacing w:line="691" w:lineRule="atLeast"/>
    </w:pPr>
    <w:rPr>
      <w:rFonts w:ascii="仿宋_GB2312" w:hAnsi="Calibri" w:eastAsia="仿宋_GB2312"/>
      <w:color w:val="auto"/>
    </w:rPr>
  </w:style>
  <w:style w:type="paragraph" w:customStyle="1" w:styleId="378">
    <w:name w:val="CM104"/>
    <w:basedOn w:val="134"/>
    <w:next w:val="134"/>
    <w:qFormat/>
    <w:uiPriority w:val="99"/>
    <w:rPr>
      <w:rFonts w:ascii="仿宋_GB2312" w:hAnsi="Calibri" w:eastAsia="仿宋_GB2312"/>
      <w:color w:val="auto"/>
    </w:rPr>
  </w:style>
  <w:style w:type="paragraph" w:customStyle="1" w:styleId="379">
    <w:name w:val="其他发布部门"/>
    <w:basedOn w:val="1"/>
    <w:qFormat/>
    <w:uiPriority w:val="0"/>
    <w:pPr>
      <w:widowControl/>
      <w:spacing w:line="0" w:lineRule="atLeast"/>
      <w:jc w:val="center"/>
    </w:pPr>
    <w:rPr>
      <w:rFonts w:ascii="黑体" w:hAnsi="Times New Roman" w:eastAsia="黑体" w:cs="Times New Roman"/>
      <w:spacing w:val="20"/>
      <w:w w:val="135"/>
      <w:kern w:val="0"/>
      <w:sz w:val="36"/>
      <w:szCs w:val="20"/>
    </w:rPr>
  </w:style>
  <w:style w:type="paragraph" w:customStyle="1" w:styleId="380">
    <w:name w:val="CM120"/>
    <w:basedOn w:val="134"/>
    <w:next w:val="134"/>
    <w:qFormat/>
    <w:uiPriority w:val="99"/>
    <w:rPr>
      <w:rFonts w:ascii="仿宋_GB2312" w:hAnsi="Calibri" w:eastAsia="仿宋_GB2312"/>
      <w:color w:val="auto"/>
    </w:rPr>
  </w:style>
  <w:style w:type="paragraph" w:customStyle="1" w:styleId="38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82">
    <w:name w:val="xl38"/>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83">
    <w:name w:val="Level 1.fo"/>
    <w:basedOn w:val="1"/>
    <w:qFormat/>
    <w:uiPriority w:val="0"/>
    <w:pPr>
      <w:widowControl/>
      <w:spacing w:before="240"/>
      <w:ind w:left="720"/>
      <w:jc w:val="left"/>
    </w:pPr>
    <w:rPr>
      <w:rFonts w:ascii="Palatino" w:hAnsi="Palatino" w:eastAsia="宋体" w:cs="Times New Roman"/>
      <w:kern w:val="0"/>
      <w:sz w:val="22"/>
      <w:szCs w:val="20"/>
      <w:lang w:val="en-AU"/>
    </w:rPr>
  </w:style>
  <w:style w:type="paragraph" w:customStyle="1" w:styleId="38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alibri" w:hAnsi="Calibri" w:eastAsia="宋体" w:cs="宋体"/>
      <w:color w:val="FF0000"/>
      <w:kern w:val="0"/>
      <w:szCs w:val="21"/>
    </w:rPr>
  </w:style>
  <w:style w:type="paragraph" w:customStyle="1" w:styleId="385">
    <w:name w:val="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386">
    <w:name w:val="TOC 标题2"/>
    <w:basedOn w:val="3"/>
    <w:next w:val="1"/>
    <w:qFormat/>
    <w:uiPriority w:val="39"/>
    <w:pPr>
      <w:widowControl/>
      <w:adjustRightInd/>
      <w:spacing w:before="480" w:beforeLines="0" w:after="0" w:line="276" w:lineRule="auto"/>
      <w:jc w:val="left"/>
      <w:textAlignment w:val="auto"/>
      <w:outlineLvl w:val="9"/>
    </w:pPr>
    <w:rPr>
      <w:rFonts w:ascii="Cambria" w:hAnsi="Cambria"/>
      <w:bCs/>
      <w:color w:val="365F91"/>
      <w:kern w:val="0"/>
      <w:sz w:val="28"/>
      <w:szCs w:val="28"/>
    </w:rPr>
  </w:style>
  <w:style w:type="paragraph" w:customStyle="1" w:styleId="387">
    <w:name w:val="CM105"/>
    <w:basedOn w:val="134"/>
    <w:next w:val="134"/>
    <w:qFormat/>
    <w:uiPriority w:val="99"/>
    <w:rPr>
      <w:rFonts w:ascii="仿宋_GB2312" w:hAnsi="Calibri" w:eastAsia="仿宋_GB2312"/>
      <w:color w:val="auto"/>
    </w:rPr>
  </w:style>
  <w:style w:type="paragraph" w:customStyle="1" w:styleId="388">
    <w:name w:val="样式6"/>
    <w:basedOn w:val="1"/>
    <w:qFormat/>
    <w:uiPriority w:val="0"/>
    <w:pPr>
      <w:topLinePunct/>
      <w:spacing w:before="160" w:after="60"/>
      <w:jc w:val="center"/>
    </w:pPr>
    <w:rPr>
      <w:rFonts w:ascii="Times New Roman" w:hAnsi="Times New Roman" w:eastAsia="黑体" w:cs="Times New Roman"/>
      <w:szCs w:val="21"/>
    </w:rPr>
  </w:style>
  <w:style w:type="paragraph" w:customStyle="1" w:styleId="389">
    <w:name w:val="xl65"/>
    <w:basedOn w:val="1"/>
    <w:qFormat/>
    <w:uiPriority w:val="0"/>
    <w:pPr>
      <w:widowControl/>
      <w:pBdr>
        <w:top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90">
    <w:name w:val="AOAltHead6"/>
    <w:basedOn w:val="294"/>
    <w:next w:val="349"/>
    <w:qFormat/>
    <w:uiPriority w:val="0"/>
    <w:pPr>
      <w:tabs>
        <w:tab w:val="left" w:pos="2160"/>
      </w:tabs>
      <w:ind w:left="2160" w:hanging="720"/>
    </w:pPr>
  </w:style>
  <w:style w:type="paragraph" w:customStyle="1" w:styleId="391">
    <w:name w:val="xl66"/>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92">
    <w:name w:val="xl4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393">
    <w:name w:val="CM109"/>
    <w:basedOn w:val="134"/>
    <w:next w:val="134"/>
    <w:qFormat/>
    <w:uiPriority w:val="99"/>
    <w:rPr>
      <w:rFonts w:ascii="仿宋_GB2312" w:hAnsi="Calibri" w:eastAsia="仿宋_GB2312"/>
      <w:color w:val="auto"/>
    </w:rPr>
  </w:style>
  <w:style w:type="paragraph" w:customStyle="1" w:styleId="39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95">
    <w:name w:val="font5"/>
    <w:basedOn w:val="1"/>
    <w:qFormat/>
    <w:uiPriority w:val="0"/>
    <w:pPr>
      <w:widowControl/>
      <w:spacing w:before="100" w:beforeAutospacing="1" w:after="100" w:afterAutospacing="1"/>
      <w:jc w:val="left"/>
    </w:pPr>
    <w:rPr>
      <w:rFonts w:ascii="宋体" w:hAnsi="宋体" w:eastAsia="宋体" w:cs="Century"/>
      <w:kern w:val="0"/>
      <w:sz w:val="18"/>
      <w:szCs w:val="18"/>
      <w:lang w:eastAsia="en-US"/>
    </w:rPr>
  </w:style>
  <w:style w:type="paragraph" w:customStyle="1" w:styleId="396">
    <w:name w:val="xl73"/>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397">
    <w:name w:val="CM5"/>
    <w:basedOn w:val="134"/>
    <w:next w:val="134"/>
    <w:qFormat/>
    <w:uiPriority w:val="99"/>
    <w:pPr>
      <w:spacing w:line="580" w:lineRule="atLeast"/>
    </w:pPr>
    <w:rPr>
      <w:rFonts w:ascii="仿宋_GB2312" w:hAnsi="Calibri" w:eastAsia="仿宋_GB2312"/>
      <w:color w:val="auto"/>
    </w:rPr>
  </w:style>
  <w:style w:type="paragraph" w:customStyle="1" w:styleId="398">
    <w:name w:val="正文缩"/>
    <w:basedOn w:val="1"/>
    <w:qFormat/>
    <w:uiPriority w:val="0"/>
    <w:pPr>
      <w:adjustRightInd w:val="0"/>
      <w:snapToGrid w:val="0"/>
      <w:spacing w:line="480" w:lineRule="atLeast"/>
      <w:ind w:firstLine="200" w:firstLineChars="200"/>
      <w:textAlignment w:val="top"/>
    </w:pPr>
    <w:rPr>
      <w:rFonts w:ascii="宋体" w:hAnsi="Times New Roman" w:eastAsia="宋体" w:cs="Times New Roman"/>
      <w:spacing w:val="6"/>
      <w:kern w:val="0"/>
      <w:sz w:val="28"/>
      <w:szCs w:val="20"/>
    </w:rPr>
  </w:style>
  <w:style w:type="paragraph" w:customStyle="1" w:styleId="399">
    <w:name w:val="目录"/>
    <w:basedOn w:val="1"/>
    <w:qFormat/>
    <w:uiPriority w:val="0"/>
    <w:pPr>
      <w:widowControl/>
      <w:jc w:val="center"/>
    </w:pPr>
    <w:rPr>
      <w:rFonts w:ascii="宋体" w:hAnsi="Times New Roman" w:eastAsia="仿宋_GB2312" w:cs="Times New Roman"/>
      <w:b/>
      <w:kern w:val="0"/>
      <w:sz w:val="36"/>
      <w:szCs w:val="20"/>
    </w:rPr>
  </w:style>
  <w:style w:type="paragraph" w:customStyle="1" w:styleId="40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eastAsia="宋体" w:cs="宋体"/>
      <w:kern w:val="0"/>
      <w:szCs w:val="21"/>
    </w:rPr>
  </w:style>
  <w:style w:type="paragraph" w:customStyle="1" w:styleId="401">
    <w:name w:val="CM108"/>
    <w:basedOn w:val="134"/>
    <w:next w:val="134"/>
    <w:qFormat/>
    <w:uiPriority w:val="99"/>
    <w:rPr>
      <w:rFonts w:ascii="仿宋_GB2312" w:hAnsi="Calibri" w:eastAsia="仿宋_GB2312"/>
      <w:color w:val="auto"/>
    </w:rPr>
  </w:style>
  <w:style w:type="paragraph" w:customStyle="1" w:styleId="402">
    <w:name w:val="xl7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403">
    <w:name w:val="Body Text 21"/>
    <w:basedOn w:val="1"/>
    <w:qFormat/>
    <w:uiPriority w:val="0"/>
    <w:pPr>
      <w:adjustRightInd w:val="0"/>
      <w:ind w:firstLine="570"/>
      <w:jc w:val="left"/>
    </w:pPr>
    <w:rPr>
      <w:rFonts w:ascii="Times New Roman" w:hAnsi="Times New Roman" w:eastAsia="宋体" w:cs="Times New Roman"/>
      <w:sz w:val="28"/>
      <w:szCs w:val="20"/>
    </w:rPr>
  </w:style>
  <w:style w:type="paragraph" w:customStyle="1" w:styleId="404">
    <w:name w:val="CM60"/>
    <w:basedOn w:val="134"/>
    <w:next w:val="134"/>
    <w:qFormat/>
    <w:uiPriority w:val="99"/>
    <w:pPr>
      <w:spacing w:line="546" w:lineRule="atLeast"/>
    </w:pPr>
    <w:rPr>
      <w:rFonts w:ascii="仿宋_GB2312" w:hAnsi="Calibri" w:eastAsia="仿宋_GB2312"/>
      <w:color w:val="auto"/>
    </w:rPr>
  </w:style>
  <w:style w:type="paragraph" w:customStyle="1" w:styleId="40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406">
    <w:name w:val="xl47"/>
    <w:basedOn w:val="1"/>
    <w:qFormat/>
    <w:uiPriority w:val="0"/>
    <w:pPr>
      <w:widowControl/>
      <w:pBdr>
        <w:left w:val="single" w:color="auto" w:sz="4" w:space="0"/>
      </w:pBdr>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407">
    <w:name w:val="xl50"/>
    <w:basedOn w:val="1"/>
    <w:qFormat/>
    <w:uiPriority w:val="0"/>
    <w:pPr>
      <w:widowControl/>
      <w:pBdr>
        <w:bottom w:val="single" w:color="auto" w:sz="4" w:space="0"/>
      </w:pBdr>
      <w:spacing w:before="100" w:beforeAutospacing="1" w:after="100" w:afterAutospacing="1"/>
      <w:jc w:val="center"/>
    </w:pPr>
    <w:rPr>
      <w:rFonts w:ascii="Times New Roman" w:hAnsi="Times New Roman" w:eastAsia="Arial Unicode MS" w:cs="Times New Roman"/>
      <w:kern w:val="0"/>
      <w:sz w:val="24"/>
      <w:szCs w:val="24"/>
      <w:lang w:eastAsia="en-US"/>
    </w:rPr>
  </w:style>
  <w:style w:type="paragraph" w:customStyle="1" w:styleId="40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0"/>
      <w:szCs w:val="20"/>
    </w:rPr>
  </w:style>
  <w:style w:type="paragraph" w:customStyle="1" w:styleId="409">
    <w:name w:val="Level 1."/>
    <w:basedOn w:val="1"/>
    <w:next w:val="383"/>
    <w:qFormat/>
    <w:uiPriority w:val="0"/>
    <w:pPr>
      <w:widowControl/>
      <w:tabs>
        <w:tab w:val="left" w:pos="720"/>
      </w:tabs>
      <w:spacing w:before="240"/>
      <w:ind w:left="720" w:hanging="720"/>
      <w:jc w:val="left"/>
      <w:outlineLvl w:val="1"/>
    </w:pPr>
    <w:rPr>
      <w:rFonts w:ascii="Palatino" w:hAnsi="Palatino" w:eastAsia="宋体" w:cs="Times New Roman"/>
      <w:kern w:val="0"/>
      <w:sz w:val="22"/>
      <w:szCs w:val="20"/>
      <w:lang w:val="en-AU"/>
    </w:rPr>
  </w:style>
  <w:style w:type="paragraph" w:customStyle="1" w:styleId="41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411">
    <w:name w:val="普通 (Web)"/>
    <w:basedOn w:val="1"/>
    <w:qFormat/>
    <w:uiPriority w:val="0"/>
    <w:pPr>
      <w:widowControl/>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412">
    <w:name w:val="CM116"/>
    <w:basedOn w:val="134"/>
    <w:next w:val="134"/>
    <w:qFormat/>
    <w:uiPriority w:val="99"/>
    <w:rPr>
      <w:rFonts w:ascii="仿宋_GB2312" w:hAnsi="Calibri" w:eastAsia="仿宋_GB2312"/>
      <w:color w:val="auto"/>
    </w:rPr>
  </w:style>
  <w:style w:type="paragraph" w:customStyle="1" w:styleId="413">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Century"/>
      <w:kern w:val="0"/>
      <w:sz w:val="24"/>
      <w:szCs w:val="24"/>
      <w:lang w:eastAsia="en-US"/>
    </w:rPr>
  </w:style>
  <w:style w:type="paragraph" w:customStyle="1" w:styleId="414">
    <w:name w:val="x.x(1)(a)"/>
    <w:basedOn w:val="1"/>
    <w:qFormat/>
    <w:uiPriority w:val="0"/>
    <w:pPr>
      <w:overflowPunct w:val="0"/>
      <w:autoSpaceDE w:val="0"/>
      <w:autoSpaceDN w:val="0"/>
      <w:adjustRightInd w:val="0"/>
      <w:spacing w:line="300" w:lineRule="auto"/>
      <w:ind w:left="1701" w:hanging="567"/>
    </w:pPr>
    <w:rPr>
      <w:rFonts w:ascii="Times New Roman" w:hAnsi="Times New Roman" w:eastAsia="宋体" w:cs="Times New Roman"/>
      <w:kern w:val="0"/>
      <w:sz w:val="22"/>
      <w:szCs w:val="20"/>
    </w:rPr>
  </w:style>
  <w:style w:type="paragraph" w:customStyle="1" w:styleId="415">
    <w:name w:val="CM45"/>
    <w:basedOn w:val="134"/>
    <w:next w:val="134"/>
    <w:qFormat/>
    <w:uiPriority w:val="99"/>
    <w:pPr>
      <w:spacing w:line="548" w:lineRule="atLeast"/>
    </w:pPr>
    <w:rPr>
      <w:rFonts w:ascii="仿宋_GB2312" w:hAnsi="Calibri" w:eastAsia="仿宋_GB2312"/>
      <w:color w:val="auto"/>
    </w:rPr>
  </w:style>
  <w:style w:type="paragraph" w:customStyle="1" w:styleId="416">
    <w:name w:val="xl54"/>
    <w:basedOn w:val="1"/>
    <w:qFormat/>
    <w:uiPriority w:val="0"/>
    <w:pPr>
      <w:widowControl/>
      <w:pBdr>
        <w:top w:val="single" w:color="auto" w:sz="4" w:space="0"/>
        <w:left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417">
    <w:name w:val="设计正文2"/>
    <w:basedOn w:val="1"/>
    <w:qFormat/>
    <w:uiPriority w:val="0"/>
    <w:pPr>
      <w:snapToGrid w:val="0"/>
      <w:spacing w:before="160" w:line="320" w:lineRule="atLeast"/>
    </w:pPr>
    <w:rPr>
      <w:rFonts w:ascii="Times New Roman" w:hAnsi="Times New Roman" w:eastAsia="宋体" w:cs="Times New Roman"/>
      <w:sz w:val="24"/>
      <w:szCs w:val="20"/>
    </w:rPr>
  </w:style>
  <w:style w:type="paragraph" w:customStyle="1" w:styleId="41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419">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420">
    <w:name w:val="xl56"/>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eastAsia="Arial Unicode MS" w:cs="Century"/>
      <w:kern w:val="0"/>
      <w:sz w:val="24"/>
      <w:szCs w:val="24"/>
      <w:lang w:eastAsia="en-US"/>
    </w:rPr>
  </w:style>
  <w:style w:type="paragraph" w:customStyle="1" w:styleId="42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2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eastAsia="宋体" w:cs="宋体"/>
      <w:color w:val="FF0000"/>
      <w:kern w:val="0"/>
      <w:szCs w:val="21"/>
    </w:rPr>
  </w:style>
  <w:style w:type="paragraph" w:customStyle="1" w:styleId="423">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424">
    <w:name w:val="Char Char Char1 Char Char Char Char Char Char Char Char Char Char Char Char Char Char"/>
    <w:basedOn w:val="1"/>
    <w:qFormat/>
    <w:uiPriority w:val="0"/>
    <w:pPr>
      <w:widowControl/>
      <w:spacing w:after="160" w:line="240" w:lineRule="exact"/>
      <w:jc w:val="left"/>
    </w:pPr>
    <w:rPr>
      <w:rFonts w:ascii="Verdana" w:hAnsi="Verdana" w:eastAsia="font42" w:cs="Times New Roman"/>
      <w:b/>
      <w:i/>
      <w:iCs/>
      <w:color w:val="000000"/>
      <w:kern w:val="0"/>
      <w:sz w:val="20"/>
      <w:szCs w:val="20"/>
      <w:lang w:eastAsia="en-US"/>
    </w:rPr>
  </w:style>
  <w:style w:type="paragraph" w:customStyle="1" w:styleId="425">
    <w:name w:val="CM4"/>
    <w:basedOn w:val="134"/>
    <w:next w:val="134"/>
    <w:qFormat/>
    <w:uiPriority w:val="99"/>
    <w:pPr>
      <w:spacing w:line="580" w:lineRule="atLeast"/>
    </w:pPr>
    <w:rPr>
      <w:rFonts w:ascii="仿宋_GB2312" w:hAnsi="Calibri" w:eastAsia="仿宋_GB2312"/>
      <w:color w:val="auto"/>
    </w:rPr>
  </w:style>
  <w:style w:type="paragraph" w:customStyle="1" w:styleId="426">
    <w:name w:val="blockquote"/>
    <w:basedOn w:val="1"/>
    <w:semiHidden/>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427">
    <w:name w:val="WPSOffice手动目录 1"/>
    <w:qFormat/>
    <w:uiPriority w:val="0"/>
    <w:pPr>
      <w:ind w:leftChars="0"/>
    </w:pPr>
    <w:rPr>
      <w:rFonts w:ascii="Times New Roman" w:hAnsi="Times New Roman" w:eastAsia="宋体" w:cs="Times New Roman"/>
      <w:sz w:val="20"/>
      <w:szCs w:val="20"/>
    </w:rPr>
  </w:style>
  <w:style w:type="paragraph" w:customStyle="1" w:styleId="428">
    <w:name w:val="WPSOffice手动目录 2"/>
    <w:qFormat/>
    <w:uiPriority w:val="0"/>
    <w:pPr>
      <w:ind w:leftChars="200"/>
    </w:pPr>
    <w:rPr>
      <w:rFonts w:ascii="Times New Roman" w:hAnsi="Times New Roman" w:eastAsia="宋体" w:cs="Times New Roman"/>
      <w:sz w:val="20"/>
      <w:szCs w:val="20"/>
    </w:rPr>
  </w:style>
  <w:style w:type="character" w:customStyle="1" w:styleId="429">
    <w:name w:val="font21"/>
    <w:basedOn w:val="65"/>
    <w:qFormat/>
    <w:uiPriority w:val="0"/>
    <w:rPr>
      <w:rFonts w:hint="eastAsia" w:ascii="宋体" w:hAnsi="宋体" w:eastAsia="宋体" w:cs="宋体"/>
      <w:b/>
      <w:bCs/>
      <w:color w:val="000000"/>
      <w:sz w:val="28"/>
      <w:szCs w:val="28"/>
      <w:u w:val="none"/>
    </w:rPr>
  </w:style>
  <w:style w:type="character" w:customStyle="1" w:styleId="430">
    <w:name w:val="font31"/>
    <w:basedOn w:val="65"/>
    <w:qFormat/>
    <w:uiPriority w:val="0"/>
    <w:rPr>
      <w:rFonts w:hint="default" w:ascii="Times New Roman" w:hAnsi="Times New Roman" w:cs="Times New Roman"/>
      <w:b/>
      <w:bCs/>
      <w:color w:val="000000"/>
      <w:sz w:val="28"/>
      <w:szCs w:val="28"/>
      <w:u w:val="none"/>
    </w:rPr>
  </w:style>
  <w:style w:type="character" w:customStyle="1" w:styleId="431">
    <w:name w:val="font81"/>
    <w:basedOn w:val="65"/>
    <w:qFormat/>
    <w:uiPriority w:val="0"/>
    <w:rPr>
      <w:rFonts w:hint="eastAsia" w:ascii="宋体" w:hAnsi="宋体" w:eastAsia="宋体" w:cs="宋体"/>
      <w:b/>
      <w:bCs/>
      <w:color w:val="000000"/>
      <w:sz w:val="20"/>
      <w:szCs w:val="20"/>
      <w:u w:val="none"/>
    </w:rPr>
  </w:style>
  <w:style w:type="character" w:customStyle="1" w:styleId="432">
    <w:name w:val="font91"/>
    <w:basedOn w:val="65"/>
    <w:qFormat/>
    <w:uiPriority w:val="0"/>
    <w:rPr>
      <w:rFonts w:hint="eastAsia" w:ascii="宋体" w:hAnsi="宋体" w:eastAsia="宋体" w:cs="宋体"/>
      <w:color w:val="000000"/>
      <w:sz w:val="20"/>
      <w:szCs w:val="20"/>
      <w:u w:val="none"/>
    </w:rPr>
  </w:style>
  <w:style w:type="character" w:customStyle="1" w:styleId="433">
    <w:name w:val="font51"/>
    <w:basedOn w:val="65"/>
    <w:qFormat/>
    <w:uiPriority w:val="0"/>
    <w:rPr>
      <w:rFonts w:hint="default" w:ascii="Times New Roman" w:hAnsi="Times New Roman" w:cs="Times New Roman"/>
      <w:color w:val="000000"/>
      <w:sz w:val="20"/>
      <w:szCs w:val="20"/>
      <w:u w:val="none"/>
    </w:rPr>
  </w:style>
  <w:style w:type="character" w:customStyle="1" w:styleId="434">
    <w:name w:val="font112"/>
    <w:basedOn w:val="65"/>
    <w:qFormat/>
    <w:uiPriority w:val="0"/>
    <w:rPr>
      <w:rFonts w:hint="eastAsia" w:ascii="宋体" w:hAnsi="宋体" w:eastAsia="宋体" w:cs="宋体"/>
      <w:color w:val="000000"/>
      <w:sz w:val="20"/>
      <w:szCs w:val="20"/>
      <w:u w:val="none"/>
    </w:rPr>
  </w:style>
  <w:style w:type="character" w:customStyle="1" w:styleId="435">
    <w:name w:val="font71"/>
    <w:basedOn w:val="65"/>
    <w:qFormat/>
    <w:uiPriority w:val="0"/>
    <w:rPr>
      <w:rFonts w:hint="default" w:ascii="Times New Roman" w:hAnsi="Times New Roman" w:cs="Times New Roman"/>
      <w:color w:val="000000"/>
      <w:sz w:val="20"/>
      <w:szCs w:val="20"/>
      <w:u w:val="none"/>
    </w:rPr>
  </w:style>
  <w:style w:type="character" w:customStyle="1" w:styleId="436">
    <w:name w:val="font41"/>
    <w:basedOn w:val="65"/>
    <w:qFormat/>
    <w:uiPriority w:val="0"/>
    <w:rPr>
      <w:rFonts w:hint="eastAsia" w:ascii="宋体" w:hAnsi="宋体" w:eastAsia="宋体" w:cs="宋体"/>
      <w:b/>
      <w:bCs/>
      <w:color w:val="000000"/>
      <w:sz w:val="20"/>
      <w:szCs w:val="20"/>
      <w:u w:val="none"/>
    </w:rPr>
  </w:style>
  <w:style w:type="character" w:customStyle="1" w:styleId="437">
    <w:name w:val="font61"/>
    <w:basedOn w:val="65"/>
    <w:qFormat/>
    <w:uiPriority w:val="0"/>
    <w:rPr>
      <w:rFonts w:hint="eastAsia" w:ascii="宋体" w:hAnsi="宋体" w:eastAsia="宋体" w:cs="宋体"/>
      <w:color w:val="000000"/>
      <w:sz w:val="20"/>
      <w:szCs w:val="20"/>
      <w:u w:val="none"/>
    </w:rPr>
  </w:style>
  <w:style w:type="character" w:customStyle="1" w:styleId="438">
    <w:name w:val="font11"/>
    <w:basedOn w:val="65"/>
    <w:qFormat/>
    <w:uiPriority w:val="0"/>
    <w:rPr>
      <w:rFonts w:hint="default" w:ascii="Times New Roman" w:hAnsi="Times New Roman" w:cs="Times New Roman"/>
      <w:color w:val="000000"/>
      <w:sz w:val="20"/>
      <w:szCs w:val="20"/>
      <w:u w:val="none"/>
    </w:rPr>
  </w:style>
  <w:style w:type="character" w:customStyle="1" w:styleId="439">
    <w:name w:val="引文目录 Char"/>
    <w:link w:val="15"/>
    <w:qFormat/>
    <w:uiPriority w:val="0"/>
    <w:rPr>
      <w:rFonts w:ascii="Times New Roman" w:hAnsi="Times New Roman" w:eastAsia="宋体" w:cs="Times New Roman"/>
      <w:szCs w:val="20"/>
    </w:rPr>
  </w:style>
  <w:style w:type="paragraph" w:customStyle="1" w:styleId="440">
    <w:name w:val="Table Paragraph"/>
    <w:basedOn w:val="1"/>
    <w:qFormat/>
    <w:uiPriority w:val="1"/>
    <w:pPr>
      <w:jc w:val="left"/>
    </w:pPr>
    <w:rPr>
      <w:rFonts w:ascii="Calibri" w:hAnsi="Calibri" w:cs="Times New Roman"/>
      <w:sz w:val="22"/>
      <w:szCs w:val="22"/>
      <w:lang w:eastAsia="en-US"/>
    </w:rPr>
  </w:style>
  <w:style w:type="character" w:customStyle="1" w:styleId="441">
    <w:name w:val="font01"/>
    <w:basedOn w:val="65"/>
    <w:qFormat/>
    <w:uiPriority w:val="0"/>
    <w:rPr>
      <w:rFonts w:hint="eastAsia" w:ascii="宋体" w:hAnsi="宋体" w:eastAsia="宋体" w:cs="宋体"/>
      <w:b/>
      <w:bCs/>
      <w:color w:val="000000"/>
      <w:sz w:val="20"/>
      <w:szCs w:val="20"/>
      <w:u w:val="none"/>
    </w:rPr>
  </w:style>
  <w:style w:type="table" w:customStyle="1" w:styleId="442">
    <w:name w:val="Table Normal"/>
    <w:unhideWhenUsed/>
    <w:qFormat/>
    <w:uiPriority w:val="0"/>
    <w:tblPr>
      <w:tblCellMar>
        <w:top w:w="0" w:type="dxa"/>
        <w:left w:w="0" w:type="dxa"/>
        <w:bottom w:w="0" w:type="dxa"/>
        <w:right w:w="0" w:type="dxa"/>
      </w:tblCellMar>
    </w:tblPr>
  </w:style>
  <w:style w:type="paragraph" w:customStyle="1" w:styleId="443">
    <w:name w:val="Table Text"/>
    <w:basedOn w:val="1"/>
    <w:semiHidden/>
    <w:qFormat/>
    <w:uiPriority w:val="0"/>
    <w:rPr>
      <w:rFonts w:ascii="微软雅黑" w:hAnsi="微软雅黑" w:eastAsia="微软雅黑" w:cs="微软雅黑"/>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https://timgsa.baidu.com/timg?image%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6quality=80%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6size=b9999_10000%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6sec=1511503266%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6di=f51c32b96c68c7a50c7995c727567438%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6imgtype=jpg%2525252525252525252525252525252525252525252525252525252525252525252525252525" TargetMode="Externa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36</Pages>
  <Words>4422</Words>
  <Characters>5435</Characters>
  <Lines>241</Lines>
  <Paragraphs>68</Paragraphs>
  <TotalTime>1</TotalTime>
  <ScaleCrop>false</ScaleCrop>
  <LinksUpToDate>false</LinksUpToDate>
  <CharactersWithSpaces>5830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2020-09-09T07:52:00Z</dcterms:created>
  <dc:creator>Husp2013</dc:creator>
  <cp:lastModifiedBy>熊爱民</cp:lastModifiedBy>
  <cp:lastPrinted>2025-10-20T02:28:00Z</cp:lastPrinted>
  <dcterms:modified xsi:type="dcterms:W3CDTF">2025-10-29T05:49:23Z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41FC664B9BAF461797B2B259F5EAC778</vt:lpwstr>
  </property>
</Properties>
</file>