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宋体" w:asciiTheme="minorEastAsia" w:hAnsiTheme="minorEastAsia"/>
          <w:color w:val="auto"/>
          <w:sz w:val="72"/>
          <w:szCs w:val="72"/>
          <w:highlight w:val="none"/>
        </w:rPr>
      </w:pPr>
      <w:r>
        <w:rPr>
          <w:rFonts w:hint="eastAsia" w:cs="宋体" w:asciiTheme="minorEastAsia" w:hAnsiTheme="minorEastAsia"/>
          <w:color w:val="auto"/>
          <w:sz w:val="44"/>
          <w:szCs w:val="44"/>
          <w:highlight w:val="none"/>
          <w:lang w:val="en-US" w:eastAsia="zh-CN"/>
        </w:rPr>
        <w:t>公开询比文件</w:t>
      </w:r>
    </w:p>
    <w:p>
      <w:pPr>
        <w:pStyle w:val="4"/>
        <w:numPr>
          <w:ilvl w:val="0"/>
          <w:numId w:val="0"/>
        </w:numPr>
        <w:ind w:leftChars="0"/>
        <w:rPr>
          <w:rFonts w:hint="default"/>
          <w:color w:val="C0000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1840"/>
        <w:textAlignment w:val="auto"/>
        <w:outlineLvl w:val="9"/>
        <w:rPr>
          <w:rFonts w:cs="宋体" w:asciiTheme="minorEastAsia" w:hAnsiTheme="minorEastAsia"/>
          <w:color w:val="auto"/>
          <w:sz w:val="4"/>
          <w:szCs w:val="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auto"/>
          <w:sz w:val="7"/>
          <w:szCs w:val="7"/>
          <w:highlight w:val="none"/>
        </w:rPr>
      </w:pP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auto"/>
          <w:highlight w:val="none"/>
        </w:rPr>
      </w:pPr>
      <w:r>
        <w:rPr>
          <w:rFonts w:asciiTheme="minorEastAsia" w:hAnsiTheme="minorEastAsia" w:eastAsiaTheme="minorEastAsia"/>
          <w:color w:val="auto"/>
          <w:spacing w:val="-3"/>
          <w:highlight w:val="none"/>
        </w:rPr>
        <w:t>（</w:t>
      </w:r>
      <w:r>
        <w:rPr>
          <w:rFonts w:hint="eastAsia" w:asciiTheme="minorEastAsia" w:hAnsiTheme="minorEastAsia"/>
          <w:color w:val="auto"/>
          <w:spacing w:val="-3"/>
          <w:highlight w:val="none"/>
          <w:lang w:val="en-US" w:eastAsia="zh-CN"/>
        </w:rPr>
        <w:t>项目名称</w:t>
      </w:r>
      <w:r>
        <w:rPr>
          <w:rFonts w:asciiTheme="minorEastAsia" w:hAnsiTheme="minorEastAsia" w:eastAsiaTheme="minorEastAsia"/>
          <w:color w:val="auto"/>
          <w:spacing w:val="-3"/>
          <w:highlight w:val="none"/>
        </w:rPr>
        <w:t>：</w:t>
      </w:r>
      <w:r>
        <w:rPr>
          <w:rFonts w:hint="eastAsia" w:asciiTheme="minorEastAsia" w:hAnsiTheme="minorEastAsia" w:eastAsiaTheme="minorEastAsia"/>
          <w:color w:val="auto"/>
          <w:spacing w:val="-3"/>
          <w:highlight w:val="none"/>
          <w:u w:val="single"/>
        </w:rPr>
        <w:t>低温精馏回流泵采购</w:t>
      </w:r>
      <w:r>
        <w:rPr>
          <w:rFonts w:asciiTheme="minorEastAsia" w:hAnsiTheme="minorEastAsia" w:eastAsiaTheme="minorEastAsia"/>
          <w:color w:val="auto"/>
          <w:highlight w:val="none"/>
        </w:rPr>
        <w:t>）</w:t>
      </w: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spacing w:val="-3"/>
          <w:highlight w:val="none"/>
          <w14:textFill>
            <w14:solidFill>
              <w14:schemeClr w14:val="tx1"/>
            </w14:solidFill>
          </w14:textFill>
        </w:rPr>
        <w:t>（采购编号：</w:t>
      </w:r>
      <w:r>
        <w:rPr>
          <w:rFonts w:hint="eastAsia" w:asciiTheme="minorEastAsia" w:hAnsiTheme="minorEastAsia" w:eastAsiaTheme="minorEastAsia"/>
          <w:color w:val="000000" w:themeColor="text1"/>
          <w:spacing w:val="-3"/>
          <w:highlight w:val="none"/>
          <w:u w:val="single"/>
          <w14:textFill>
            <w14:solidFill>
              <w14:schemeClr w14:val="tx1"/>
            </w14:solidFill>
          </w14:textFill>
        </w:rPr>
        <w:t>GKXJ-2026-TY-0794</w:t>
      </w:r>
      <w:r>
        <w:rPr>
          <w:rFonts w:asciiTheme="minorEastAsia" w:hAnsiTheme="minorEastAsia" w:eastAsiaTheme="minorEastAsia"/>
          <w:color w:val="000000" w:themeColor="text1"/>
          <w:highlight w:val="none"/>
          <w14:textFill>
            <w14:solidFill>
              <w14:schemeClr w14:val="tx1"/>
            </w14:solidFill>
          </w14:textFill>
        </w:rPr>
        <w:t>）</w:t>
      </w:r>
    </w:p>
    <w:p>
      <w:pPr>
        <w:pStyle w:val="10"/>
      </w:pPr>
    </w:p>
    <w:p>
      <w:pPr>
        <w:keepNext w:val="0"/>
        <w:keepLines w:val="0"/>
        <w:pageBreakBefore w:val="0"/>
        <w:widowControl w:val="0"/>
        <w:kinsoku/>
        <w:wordWrap/>
        <w:overflowPunct/>
        <w:topLinePunct w:val="0"/>
        <w:autoSpaceDE/>
        <w:autoSpaceDN/>
        <w:bidi w:val="0"/>
        <w:adjustRightInd/>
        <w:snapToGrid/>
        <w:spacing w:line="360" w:lineRule="auto"/>
        <w:ind w:left="4772"/>
        <w:textAlignment w:val="auto"/>
        <w:outlineLvl w:val="9"/>
        <w:rPr>
          <w:rFonts w:cs="宋体" w:asciiTheme="minorEastAsia" w:hAnsiTheme="minorEastAsia"/>
          <w:color w:val="000000" w:themeColor="text1"/>
          <w:sz w:val="2"/>
          <w:szCs w:val="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tabs>
          <w:tab w:val="left" w:pos="6618"/>
        </w:tabs>
        <w:kinsoku/>
        <w:wordWrap/>
        <w:overflowPunct/>
        <w:topLinePunct w:val="0"/>
        <w:autoSpaceDE/>
        <w:autoSpaceDN/>
        <w:bidi w:val="0"/>
        <w:adjustRightInd/>
        <w:snapToGrid/>
        <w:spacing w:line="360" w:lineRule="auto"/>
        <w:ind w:right="134" w:firstLine="2250" w:firstLineChars="900"/>
        <w:textAlignment w:val="auto"/>
        <w:outlineLvl w:val="9"/>
        <w:rPr>
          <w:rFonts w:cs="宋体" w:asciiTheme="minorEastAsia" w:hAnsiTheme="minorEastAsia"/>
          <w:color w:val="000000" w:themeColor="text1"/>
          <w:sz w:val="28"/>
          <w:szCs w:val="28"/>
          <w:highlight w:val="none"/>
          <w:u w:val="single"/>
          <w14:textFill>
            <w14:solidFill>
              <w14:schemeClr w14:val="tx1"/>
            </w14:solidFill>
          </w14:textFill>
        </w:rPr>
      </w:pPr>
      <w:r>
        <w:rPr>
          <w:rFonts w:cs="宋体" w:asciiTheme="minorEastAsia" w:hAnsiTheme="minorEastAsia"/>
          <w:color w:val="000000" w:themeColor="text1"/>
          <w:spacing w:val="-15"/>
          <w:sz w:val="28"/>
          <w:szCs w:val="28"/>
          <w:highlight w:val="none"/>
          <w14:textFill>
            <w14:solidFill>
              <w14:schemeClr w14:val="tx1"/>
            </w14:solidFill>
          </w14:textFill>
        </w:rPr>
        <w:t>采购人：</w:t>
      </w:r>
      <w:r>
        <w:rPr>
          <w:rFonts w:hint="eastAsia" w:cs="宋体" w:asciiTheme="minorEastAsia" w:hAnsiTheme="minorEastAsia"/>
          <w:color w:val="000000" w:themeColor="text1"/>
          <w:spacing w:val="-15"/>
          <w:sz w:val="28"/>
          <w:szCs w:val="28"/>
          <w:highlight w:val="none"/>
          <w:u w:val="single"/>
          <w14:textFill>
            <w14:solidFill>
              <w14:schemeClr w14:val="tx1"/>
            </w14:solidFill>
          </w14:textFill>
        </w:rPr>
        <w:t xml:space="preserve"> </w:t>
      </w:r>
      <w:r>
        <w:rPr>
          <w:rFonts w:cs="宋体" w:asciiTheme="minorEastAsia" w:hAnsiTheme="minorEastAsia"/>
          <w:color w:val="000000" w:themeColor="text1"/>
          <w:spacing w:val="-15"/>
          <w:sz w:val="28"/>
          <w:szCs w:val="28"/>
          <w:highlight w:val="none"/>
          <w:u w:val="single"/>
          <w14:textFill>
            <w14:solidFill>
              <w14:schemeClr w14:val="tx1"/>
            </w14:solidFill>
          </w14:textFill>
        </w:rPr>
        <w:t xml:space="preserve"> </w:t>
      </w:r>
      <w:r>
        <w:rPr>
          <w:rFonts w:hint="eastAsia" w:cs="宋体" w:asciiTheme="minorEastAsia" w:hAnsiTheme="minorEastAsia"/>
          <w:color w:val="000000" w:themeColor="text1"/>
          <w:spacing w:val="-15"/>
          <w:sz w:val="28"/>
          <w:szCs w:val="28"/>
          <w:highlight w:val="none"/>
          <w:u w:val="single"/>
          <w14:textFill>
            <w14:solidFill>
              <w14:schemeClr w14:val="tx1"/>
            </w14:solidFill>
          </w14:textFill>
        </w:rPr>
        <w:t>中海油能源发展股份有限公司采办共享中心</w:t>
      </w:r>
      <w:r>
        <w:rPr>
          <w:rFonts w:cs="宋体" w:asciiTheme="minorEastAsia" w:hAnsiTheme="minorEastAsia"/>
          <w:color w:val="000000" w:themeColor="text1"/>
          <w:spacing w:val="-15"/>
          <w:sz w:val="28"/>
          <w:szCs w:val="28"/>
          <w:highlight w:val="none"/>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19"/>
          <w:szCs w:val="19"/>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3920" w:firstLineChars="1400"/>
        <w:textAlignment w:val="auto"/>
        <w:outlineLvl w:val="9"/>
        <w:rPr>
          <w:rFonts w:cs="宋体" w:asciiTheme="minorEastAsia" w:hAnsiTheme="minorEastAsia"/>
          <w:color w:val="000000" w:themeColor="text1"/>
          <w:sz w:val="28"/>
          <w:szCs w:val="28"/>
          <w:highlight w:val="none"/>
          <w14:textFill>
            <w14:solidFill>
              <w14:schemeClr w14:val="tx1"/>
            </w14:solidFill>
          </w14:textFill>
        </w:rPr>
      </w:pPr>
      <w:r>
        <w:rPr>
          <w:rFonts w:cs="Times New Roman" w:asciiTheme="minorEastAsia" w:hAnsiTheme="minorEastAsia"/>
          <w:color w:val="000000" w:themeColor="text1"/>
          <w:sz w:val="28"/>
          <w:szCs w:val="28"/>
          <w:highlight w:val="none"/>
          <w:u w:val="single" w:color="000000"/>
          <w14:textFill>
            <w14:solidFill>
              <w14:schemeClr w14:val="tx1"/>
            </w14:solidFill>
          </w14:textFill>
        </w:rPr>
        <w:t xml:space="preserve">  </w:t>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2026</w:t>
      </w:r>
      <w:r>
        <w:rPr>
          <w:rFonts w:cs="Times New Roman" w:asciiTheme="minorEastAsia" w:hAnsiTheme="minorEastAsia"/>
          <w:color w:val="000000" w:themeColor="text1"/>
          <w:sz w:val="28"/>
          <w:szCs w:val="28"/>
          <w:highlight w:val="none"/>
          <w:u w:val="single" w:color="000000"/>
          <w14:textFill>
            <w14:solidFill>
              <w14:schemeClr w14:val="tx1"/>
            </w14:solidFill>
          </w14:textFill>
        </w:rPr>
        <w:tab/>
      </w:r>
      <w:r>
        <w:rPr>
          <w:rFonts w:cs="宋体" w:asciiTheme="minorEastAsia" w:hAnsiTheme="minorEastAsia"/>
          <w:color w:val="000000" w:themeColor="text1"/>
          <w:sz w:val="28"/>
          <w:szCs w:val="28"/>
          <w:highlight w:val="none"/>
          <w14:textFill>
            <w14:solidFill>
              <w14:schemeClr w14:val="tx1"/>
            </w14:solidFill>
          </w14:textFill>
        </w:rPr>
        <w:t>年</w:t>
      </w:r>
      <w:r>
        <w:rPr>
          <w:rFonts w:cs="Times New Roman" w:asciiTheme="minorEastAsia" w:hAnsiTheme="minorEastAsia"/>
          <w:color w:val="000000" w:themeColor="text1"/>
          <w:sz w:val="28"/>
          <w:szCs w:val="28"/>
          <w:highlight w:val="none"/>
          <w:u w:val="single" w:color="000000"/>
          <w14:textFill>
            <w14:solidFill>
              <w14:schemeClr w14:val="tx1"/>
            </w14:solidFill>
          </w14:textFill>
        </w:rPr>
        <w:tab/>
      </w:r>
      <w:r>
        <w:rPr>
          <w:rFonts w:cs="Times New Roman" w:asciiTheme="minorEastAsia" w:hAnsiTheme="minorEastAsia"/>
          <w:color w:val="000000" w:themeColor="text1"/>
          <w:sz w:val="28"/>
          <w:szCs w:val="28"/>
          <w:highlight w:val="none"/>
          <w:u w:val="single" w:color="000000"/>
          <w14:textFill>
            <w14:solidFill>
              <w14:schemeClr w14:val="tx1"/>
            </w14:solidFill>
          </w14:textFill>
        </w:rPr>
        <w:t xml:space="preserve"> </w:t>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3</w:t>
      </w:r>
      <w:r>
        <w:rPr>
          <w:rFonts w:cs="Times New Roman" w:asciiTheme="minorEastAsia" w:hAnsiTheme="minorEastAsia"/>
          <w:color w:val="000000" w:themeColor="text1"/>
          <w:sz w:val="28"/>
          <w:szCs w:val="28"/>
          <w:highlight w:val="none"/>
          <w:u w:val="single" w:color="000000"/>
          <w14:textFill>
            <w14:solidFill>
              <w14:schemeClr w14:val="tx1"/>
            </w14:solidFill>
          </w14:textFill>
        </w:rPr>
        <w:t xml:space="preserve"> </w:t>
      </w:r>
      <w:r>
        <w:rPr>
          <w:rFonts w:cs="宋体" w:asciiTheme="minorEastAsia" w:hAnsiTheme="minorEastAsia"/>
          <w:color w:val="000000" w:themeColor="text1"/>
          <w:sz w:val="28"/>
          <w:szCs w:val="28"/>
          <w:highlight w:val="none"/>
          <w14:textFill>
            <w14:solidFill>
              <w14:schemeClr w14:val="tx1"/>
            </w14:solidFill>
          </w14:textFill>
        </w:rPr>
        <w:t>月</w:t>
      </w:r>
      <w:r>
        <w:rPr>
          <w:rFonts w:cs="Times New Roman" w:asciiTheme="minorEastAsia" w:hAnsiTheme="minorEastAsia"/>
          <w:color w:val="000000" w:themeColor="text1"/>
          <w:sz w:val="28"/>
          <w:szCs w:val="28"/>
          <w:highlight w:val="none"/>
          <w:u w:val="single" w:color="000000"/>
          <w14:textFill>
            <w14:solidFill>
              <w14:schemeClr w14:val="tx1"/>
            </w14:solidFill>
          </w14:textFill>
        </w:rPr>
        <w:tab/>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30</w:t>
      </w:r>
      <w:r>
        <w:rPr>
          <w:rFonts w:cs="Times New Roman" w:asciiTheme="minorEastAsia" w:hAnsiTheme="minorEastAsia"/>
          <w:color w:val="000000" w:themeColor="text1"/>
          <w:sz w:val="28"/>
          <w:szCs w:val="28"/>
          <w:highlight w:val="none"/>
          <w:u w:val="single" w:color="000000"/>
          <w14:textFill>
            <w14:solidFill>
              <w14:schemeClr w14:val="tx1"/>
            </w14:solidFill>
          </w14:textFill>
        </w:rPr>
        <w:t xml:space="preserve"> </w:t>
      </w:r>
      <w:r>
        <w:rPr>
          <w:rFonts w:cs="宋体" w:asciiTheme="minorEastAsia" w:hAnsiTheme="minorEastAsia"/>
          <w:color w:val="000000" w:themeColor="text1"/>
          <w:sz w:val="28"/>
          <w:szCs w:val="28"/>
          <w:highlight w:val="none"/>
          <w14:textFill>
            <w14:solidFill>
              <w14:schemeClr w14:val="tx1"/>
            </w14:solidFill>
          </w14:textFill>
        </w:rPr>
        <w:t>日</w:t>
      </w:r>
    </w:p>
    <w:p>
      <w:pPr>
        <w:spacing w:line="360" w:lineRule="auto"/>
        <w:jc w:val="left"/>
        <w:rPr>
          <w:rFonts w:asciiTheme="minorEastAsia" w:hAnsiTheme="minorEastAsia"/>
          <w:color w:val="000000" w:themeColor="text1"/>
          <w:sz w:val="24"/>
          <w:szCs w:val="24"/>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pStyle w:val="4"/>
        <w:numPr>
          <w:ilvl w:val="0"/>
          <w:numId w:val="0"/>
        </w:numPr>
        <w:ind w:leftChars="0"/>
      </w:pPr>
    </w:p>
    <w:p>
      <w:pPr>
        <w:rPr>
          <w:rFonts w:asciiTheme="minorEastAsia" w:hAnsiTheme="minorEastAsia" w:cstheme="minorEastAsia"/>
          <w:b/>
          <w:bCs/>
          <w:color w:val="000000" w:themeColor="text1"/>
          <w:sz w:val="40"/>
          <w:szCs w:val="40"/>
          <w:highlight w:val="none"/>
          <w14:textFill>
            <w14:solidFill>
              <w14:schemeClr w14:val="tx1"/>
            </w14:solidFill>
          </w14:textFill>
        </w:rPr>
      </w:pPr>
    </w:p>
    <w:p>
      <w:pPr>
        <w:pStyle w:val="4"/>
        <w:numPr>
          <w:ilvl w:val="0"/>
          <w:numId w:val="0"/>
        </w:numPr>
        <w:ind w:leftChars="0"/>
      </w:pPr>
    </w:p>
    <w:p>
      <w:pPr>
        <w:rPr>
          <w:rFonts w:hint="eastAsia" w:asciiTheme="minorEastAsia" w:hAnsiTheme="minorEastAsia" w:eastAsiaTheme="minorEastAsia" w:cstheme="minorEastAsia"/>
          <w:b/>
          <w:bCs/>
          <w:color w:val="000000" w:themeColor="text1"/>
          <w:sz w:val="40"/>
          <w:szCs w:val="40"/>
          <w:highlight w:val="none"/>
          <w:lang w:val="en-US" w:eastAsia="zh-CN"/>
          <w14:textFill>
            <w14:solidFill>
              <w14:schemeClr w14:val="tx1"/>
            </w14:solidFill>
          </w14:textFill>
        </w:rPr>
      </w:pPr>
    </w:p>
    <w:p>
      <w:pPr>
        <w:spacing w:line="360" w:lineRule="auto"/>
        <w:jc w:val="center"/>
        <w:outlineLvl w:val="0"/>
        <w:rPr>
          <w:rFonts w:ascii="黑体" w:hAnsi="黑体" w:eastAsia="黑体"/>
          <w:b/>
          <w:color w:val="000000" w:themeColor="text1"/>
          <w:sz w:val="30"/>
          <w:szCs w:val="30"/>
          <w:highlight w:val="none"/>
          <w14:textFill>
            <w14:solidFill>
              <w14:schemeClr w14:val="tx1"/>
            </w14:solidFill>
          </w14:textFill>
        </w:rPr>
      </w:pPr>
      <w:r>
        <w:rPr>
          <w:rFonts w:hint="eastAsia" w:ascii="黑体" w:hAnsi="黑体" w:eastAsia="黑体"/>
          <w:b/>
          <w:color w:val="000000" w:themeColor="text1"/>
          <w:sz w:val="30"/>
          <w:szCs w:val="30"/>
          <w:highlight w:val="none"/>
          <w:lang w:eastAsia="zh-CN"/>
          <w14:textFill>
            <w14:solidFill>
              <w14:schemeClr w14:val="tx1"/>
            </w14:solidFill>
          </w14:textFill>
        </w:rPr>
        <w:t>询比</w:t>
      </w:r>
      <w:r>
        <w:rPr>
          <w:rFonts w:hint="eastAsia" w:ascii="黑体" w:hAnsi="黑体" w:eastAsia="黑体"/>
          <w:b/>
          <w:color w:val="000000" w:themeColor="text1"/>
          <w:sz w:val="30"/>
          <w:szCs w:val="30"/>
          <w:highlight w:val="none"/>
          <w14:textFill>
            <w14:solidFill>
              <w14:schemeClr w14:val="tx1"/>
            </w14:solidFill>
          </w14:textFill>
        </w:rPr>
        <w:t>文件</w:t>
      </w:r>
    </w:p>
    <w:p>
      <w:pPr>
        <w:spacing w:line="360" w:lineRule="auto"/>
        <w:jc w:val="center"/>
        <w:rPr>
          <w:rFonts w:asciiTheme="minorEastAsia" w:hAnsiTheme="minorEastAsia"/>
          <w:color w:val="000000" w:themeColor="text1"/>
          <w:sz w:val="24"/>
          <w:szCs w:val="24"/>
          <w:highlight w:val="none"/>
          <w14:textFill>
            <w14:solidFill>
              <w14:schemeClr w14:val="tx1"/>
            </w14:solidFill>
          </w14:textFill>
        </w:rPr>
      </w:pPr>
    </w:p>
    <w:p>
      <w:pPr>
        <w:spacing w:line="360" w:lineRule="auto"/>
        <w:ind w:firstLine="420" w:firstLineChars="20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海油发展采办共享中心对</w:t>
      </w:r>
      <w:r>
        <w:rPr>
          <w:rFonts w:hint="eastAsia" w:asciiTheme="minorEastAsia" w:hAnsiTheme="minorEastAsia"/>
          <w:color w:val="000000" w:themeColor="text1"/>
          <w:sz w:val="21"/>
          <w:szCs w:val="21"/>
          <w:highlight w:val="none"/>
          <w:u w:val="single"/>
          <w14:textFill>
            <w14:solidFill>
              <w14:schemeClr w14:val="tx1"/>
            </w14:solidFill>
          </w14:textFill>
        </w:rPr>
        <w:t xml:space="preserve"> 低温精馏回流泵采购</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项目进行公开</w:t>
      </w:r>
      <w:r>
        <w:rPr>
          <w:rFonts w:hint="eastAsia" w:asciiTheme="minorEastAsia" w:hAnsiTheme="minorEastAsia"/>
          <w:color w:val="000000" w:themeColor="text1"/>
          <w:sz w:val="21"/>
          <w:szCs w:val="21"/>
          <w:highlight w:val="none"/>
          <w:lang w:eastAsia="zh-CN"/>
          <w14:textFill>
            <w14:solidFill>
              <w14:schemeClr w14:val="tx1"/>
            </w14:solidFill>
          </w14:textFill>
        </w:rPr>
        <w:t>询比</w:t>
      </w:r>
      <w:r>
        <w:rPr>
          <w:rFonts w:hint="eastAsia" w:asciiTheme="minorEastAsia" w:hAnsiTheme="minorEastAsia"/>
          <w:color w:val="000000" w:themeColor="text1"/>
          <w:sz w:val="21"/>
          <w:szCs w:val="21"/>
          <w:highlight w:val="none"/>
          <w14:textFill>
            <w14:solidFill>
              <w14:schemeClr w14:val="tx1"/>
            </w14:solidFill>
          </w14:textFill>
        </w:rPr>
        <w:t>采购，欢迎供应商参加。现将有关事项明确如下：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outlineLvl w:val="1"/>
        <w:rPr>
          <w:rFonts w:asciiTheme="minorEastAsia" w:hAnsiTheme="minorEastAsia"/>
          <w:b/>
          <w:color w:val="000000" w:themeColor="text1"/>
          <w:sz w:val="21"/>
          <w:szCs w:val="21"/>
          <w:highlight w:val="none"/>
          <w14:textFill>
            <w14:solidFill>
              <w14:schemeClr w14:val="tx1"/>
            </w14:solidFill>
          </w14:textFill>
        </w:rPr>
      </w:pPr>
      <w:r>
        <w:rPr>
          <w:rFonts w:hint="eastAsia" w:asciiTheme="minorEastAsia" w:hAnsiTheme="minorEastAsia"/>
          <w:b/>
          <w:color w:val="000000" w:themeColor="text1"/>
          <w:sz w:val="21"/>
          <w:szCs w:val="21"/>
          <w:highlight w:val="none"/>
          <w14:textFill>
            <w14:solidFill>
              <w14:schemeClr w14:val="tx1"/>
            </w14:solidFill>
          </w14:textFill>
        </w:rPr>
        <w:t>总则</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1</w:t>
      </w:r>
      <w:r>
        <w:rPr>
          <w:rFonts w:hint="eastAsia" w:asciiTheme="minorEastAsia" w:hAnsiTheme="minorEastAsia"/>
          <w:color w:val="000000" w:themeColor="text1"/>
          <w:sz w:val="21"/>
          <w:szCs w:val="21"/>
          <w:highlight w:val="none"/>
          <w14:textFill>
            <w14:solidFill>
              <w14:schemeClr w14:val="tx1"/>
            </w14:solidFill>
          </w14:textFill>
        </w:rPr>
        <w:t>.合格的</w:t>
      </w:r>
      <w:r>
        <w:rPr>
          <w:rFonts w:hint="eastAsia" w:asciiTheme="minorEastAsia" w:hAnsiTheme="minorEastAsia"/>
          <w:color w:val="000000" w:themeColor="text1"/>
          <w:sz w:val="21"/>
          <w:szCs w:val="21"/>
          <w:highlight w:val="none"/>
          <w:lang w:eastAsia="zh-CN"/>
          <w14:textFill>
            <w14:solidFill>
              <w14:schemeClr w14:val="tx1"/>
            </w14:solidFill>
          </w14:textFill>
        </w:rPr>
        <w:t>应答人</w:t>
      </w:r>
      <w:r>
        <w:rPr>
          <w:rFonts w:hint="eastAsia" w:asciiTheme="minorEastAsia" w:hAnsiTheme="minorEastAsia"/>
          <w:color w:val="000000" w:themeColor="text1"/>
          <w:sz w:val="21"/>
          <w:szCs w:val="21"/>
          <w:highlight w:val="none"/>
          <w14:textFill>
            <w14:solidFill>
              <w14:schemeClr w14:val="tx1"/>
            </w14:solidFill>
          </w14:textFill>
        </w:rPr>
        <w:t>：符合</w:t>
      </w:r>
      <w:r>
        <w:rPr>
          <w:rFonts w:hint="eastAsia" w:asciiTheme="minorEastAsia" w:hAnsiTheme="minorEastAsia"/>
          <w:color w:val="000000" w:themeColor="text1"/>
          <w:sz w:val="21"/>
          <w:szCs w:val="21"/>
          <w:highlight w:val="none"/>
          <w:lang w:eastAsia="zh-CN"/>
          <w14:textFill>
            <w14:solidFill>
              <w14:schemeClr w14:val="tx1"/>
            </w14:solidFill>
          </w14:textFill>
        </w:rPr>
        <w:t>询比</w:t>
      </w:r>
      <w:r>
        <w:rPr>
          <w:rFonts w:hint="eastAsia" w:asciiTheme="minorEastAsia" w:hAnsiTheme="minorEastAsia"/>
          <w:color w:val="000000" w:themeColor="text1"/>
          <w:sz w:val="21"/>
          <w:szCs w:val="21"/>
          <w:highlight w:val="none"/>
          <w14:textFill>
            <w14:solidFill>
              <w14:schemeClr w14:val="tx1"/>
            </w14:solidFill>
          </w14:textFill>
        </w:rPr>
        <w:t>公告的供应商资格条件。</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2.采购内容、技术参数及要求：见本</w:t>
      </w:r>
      <w:r>
        <w:rPr>
          <w:rFonts w:hint="eastAsia" w:asciiTheme="minorEastAsia" w:hAnsiTheme="minorEastAsia"/>
          <w:color w:val="000000" w:themeColor="text1"/>
          <w:sz w:val="21"/>
          <w:szCs w:val="21"/>
          <w:highlight w:val="none"/>
          <w:lang w:eastAsia="zh-CN"/>
          <w14:textFill>
            <w14:solidFill>
              <w14:schemeClr w14:val="tx1"/>
            </w14:solidFill>
          </w14:textFill>
        </w:rPr>
        <w:t>询比</w:t>
      </w:r>
      <w:r>
        <w:rPr>
          <w:rFonts w:hint="eastAsia" w:asciiTheme="minorEastAsia" w:hAnsiTheme="minorEastAsia"/>
          <w:color w:val="000000" w:themeColor="text1"/>
          <w:sz w:val="21"/>
          <w:szCs w:val="21"/>
          <w:highlight w:val="none"/>
          <w14:textFill>
            <w14:solidFill>
              <w14:schemeClr w14:val="tx1"/>
            </w14:solidFill>
          </w14:textFill>
        </w:rPr>
        <w:t>文件附件</w:t>
      </w:r>
      <w:r>
        <w:rPr>
          <w:rFonts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14:textFill>
            <w14:solidFill>
              <w14:schemeClr w14:val="tx1"/>
            </w14:solidFill>
          </w14:textFill>
        </w:rPr>
        <w:t>。</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3</w:t>
      </w:r>
      <w:r>
        <w:rPr>
          <w:rFonts w:hint="eastAsia" w:asciiTheme="minorEastAsia" w:hAnsiTheme="minorEastAsia"/>
          <w:color w:val="000000" w:themeColor="text1"/>
          <w:sz w:val="21"/>
          <w:szCs w:val="21"/>
          <w:highlight w:val="none"/>
          <w14:textFill>
            <w14:solidFill>
              <w14:schemeClr w14:val="tx1"/>
            </w14:solidFill>
          </w14:textFill>
        </w:rPr>
        <w:t>.公告时间：自</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2026</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3</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30</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日起至</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2026</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4</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3</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日止。</w:t>
      </w:r>
    </w:p>
    <w:p>
      <w:pPr>
        <w:spacing w:line="360" w:lineRule="auto"/>
        <w:ind w:firstLine="630" w:firstLineChars="300"/>
        <w:jc w:val="left"/>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eastAsia="zh-CN"/>
          <w14:textFill>
            <w14:solidFill>
              <w14:schemeClr w14:val="tx1"/>
            </w14:solidFill>
          </w14:textFill>
        </w:rPr>
        <w:t>采购人</w:t>
      </w:r>
      <w:r>
        <w:rPr>
          <w:rFonts w:asciiTheme="minorEastAsia" w:hAnsiTheme="minorEastAsia"/>
          <w:color w:val="000000" w:themeColor="text1"/>
          <w:sz w:val="21"/>
          <w:szCs w:val="21"/>
          <w:highlight w:val="none"/>
          <w14:textFill>
            <w14:solidFill>
              <w14:schemeClr w14:val="tx1"/>
            </w14:solidFill>
          </w14:textFill>
        </w:rPr>
        <w:t>于</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2026</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3</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30</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日（北京时间</w:t>
      </w:r>
      <w:r>
        <w:rPr>
          <w:rFonts w:hint="eastAsia" w:asciiTheme="minorEastAsia" w:hAnsiTheme="minorEastAsia"/>
          <w:color w:val="000000" w:themeColor="text1"/>
          <w:sz w:val="21"/>
          <w:szCs w:val="21"/>
          <w:highlight w:val="none"/>
          <w14:textFill>
            <w14:solidFill>
              <w14:schemeClr w14:val="tx1"/>
            </w14:solidFill>
          </w14:textFill>
        </w:rPr>
        <w:t>）将</w:t>
      </w:r>
      <w:r>
        <w:rPr>
          <w:rFonts w:hint="eastAsia" w:asciiTheme="minorEastAsia" w:hAnsiTheme="minorEastAsia"/>
          <w:color w:val="000000" w:themeColor="text1"/>
          <w:sz w:val="21"/>
          <w:szCs w:val="21"/>
          <w:highlight w:val="none"/>
          <w:lang w:eastAsia="zh-CN"/>
          <w14:textFill>
            <w14:solidFill>
              <w14:schemeClr w14:val="tx1"/>
            </w14:solidFill>
          </w14:textFill>
        </w:rPr>
        <w:t>询比</w:t>
      </w:r>
      <w:r>
        <w:rPr>
          <w:rFonts w:hint="eastAsia" w:asciiTheme="minorEastAsia" w:hAnsiTheme="minorEastAsia"/>
          <w:color w:val="000000" w:themeColor="text1"/>
          <w:sz w:val="21"/>
          <w:szCs w:val="21"/>
          <w:highlight w:val="none"/>
          <w14:textFill>
            <w14:solidFill>
              <w14:schemeClr w14:val="tx1"/>
            </w14:solidFill>
          </w14:textFill>
        </w:rPr>
        <w:t>文件发布至中国海洋石油集团有限公司《中国海油供应链数字化平台》（以下简称“系统”）https://bid.cnooc.com.cn/，请登陆并下载。</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4.递交响应文件的截止时间及地点：递交</w:t>
      </w:r>
      <w:r>
        <w:rPr>
          <w:rFonts w:hint="eastAsia" w:asciiTheme="minorEastAsia" w:hAnsiTheme="minorEastAsia"/>
          <w:color w:val="000000" w:themeColor="text1"/>
          <w:sz w:val="21"/>
          <w:szCs w:val="21"/>
          <w:highlight w:val="none"/>
          <w14:textFill>
            <w14:solidFill>
              <w14:schemeClr w14:val="tx1"/>
            </w14:solidFill>
          </w14:textFill>
        </w:rPr>
        <w:t>报价</w:t>
      </w:r>
      <w:r>
        <w:rPr>
          <w:rFonts w:asciiTheme="minorEastAsia" w:hAnsiTheme="minorEastAsia"/>
          <w:color w:val="000000" w:themeColor="text1"/>
          <w:sz w:val="21"/>
          <w:szCs w:val="21"/>
          <w:highlight w:val="none"/>
          <w14:textFill>
            <w14:solidFill>
              <w14:schemeClr w14:val="tx1"/>
            </w14:solidFill>
          </w14:textFill>
        </w:rPr>
        <w:t>文件的截止时间为</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2026</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4</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3</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日</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14</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时，</w:t>
      </w:r>
      <w:r>
        <w:rPr>
          <w:rFonts w:hint="eastAsia" w:asciiTheme="minorEastAsia" w:hAnsiTheme="minorEastAsia"/>
          <w:color w:val="000000" w:themeColor="text1"/>
          <w:sz w:val="21"/>
          <w:szCs w:val="21"/>
          <w:highlight w:val="none"/>
          <w14:textFill>
            <w14:solidFill>
              <w14:schemeClr w14:val="tx1"/>
            </w14:solidFill>
          </w14:textFill>
        </w:rPr>
        <w:t>请在规定报价截止时间前通过系统报价及挂接</w:t>
      </w:r>
      <w:r>
        <w:rPr>
          <w:rFonts w:hint="eastAsia" w:asciiTheme="minorEastAsia" w:hAnsiTheme="minorEastAsia"/>
          <w:color w:val="000000" w:themeColor="text1"/>
          <w:sz w:val="21"/>
          <w:szCs w:val="21"/>
          <w:highlight w:val="none"/>
          <w:lang w:val="en-US" w:eastAsia="zh-CN"/>
          <w14:textFill>
            <w14:solidFill>
              <w14:schemeClr w14:val="tx1"/>
            </w14:solidFill>
          </w14:textFill>
        </w:rPr>
        <w:t>价格明细文件</w:t>
      </w:r>
      <w:r>
        <w:rPr>
          <w:rFonts w:hint="eastAsia" w:asciiTheme="minorEastAsia" w:hAnsiTheme="minorEastAsia"/>
          <w:color w:val="000000" w:themeColor="text1"/>
          <w:sz w:val="21"/>
          <w:szCs w:val="21"/>
          <w:highlight w:val="none"/>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应答人须知</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pStyle w:val="15"/>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pPr>
      <w:r>
        <w:rPr>
          <w:rFonts w:hint="eastAsia" w:ascii="宋体" w:hAnsi="宋体" w:eastAsia="宋体" w:cs="宋体"/>
          <w:color w:val="000000"/>
          <w:kern w:val="0"/>
          <w:sz w:val="21"/>
          <w:szCs w:val="21"/>
          <w:highlight w:val="none"/>
          <w:lang w:val="en-US" w:eastAsia="zh-CN" w:bidi="ar"/>
        </w:rPr>
        <w:t>采购人有权进行合规审查，经审查发现包括但不限于法律政策变化、政府行为、贸易限制等原因，导致与应答人签署合同将使海油发展在商业上面临重大不确定性，且经海油发展合理评估认为可能对其经营稳定造成实质性影响，或面临显著增加的履行成本或较大损失（包括但不限于财产损失和预期利益的损失），从而可能导致国有资产流失，则采购人有权否决其应答。</w:t>
      </w:r>
    </w:p>
    <w:p>
      <w:pPr>
        <w:widowControl/>
        <w:snapToGrid w:val="0"/>
        <w:spacing w:line="460" w:lineRule="exact"/>
        <w:ind w:firstLine="420" w:firstLineChars="200"/>
        <w:jc w:val="left"/>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）凡参加的</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均视作认同本次</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询比</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的各项约定事宜(包括供应商资格、技术参数、相关日期</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供应商注册、准入</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等)</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不得以各类约定事宜提出质疑。</w:t>
      </w:r>
    </w:p>
    <w:p>
      <w:pPr>
        <w:pStyle w:val="8"/>
        <w:spacing w:line="360" w:lineRule="auto"/>
        <w:rPr>
          <w:rFonts w:hint="eastAsi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应答人在《中国海油供应链数字化平台》填报供应商注册信息，并在注册审核通过后，方可具备参与采购业务的基本资格，未通过注册审核的应答人应答均视为无效。</w:t>
      </w:r>
    </w:p>
    <w:p>
      <w:pPr>
        <w:pStyle w:val="45"/>
        <w:numPr>
          <w:ilvl w:val="-1"/>
          <w:numId w:val="0"/>
        </w:numPr>
        <w:spacing w:line="360" w:lineRule="auto"/>
        <w:ind w:firstLine="420" w:firstLineChars="2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（3）应答人（非海油发展供应商资源库供应商）应于收到中标通知书后 2 日内按照纳入海油发展供应商资源库的资料提报要求完成资料准备和上传工作。如应答人超时效未完成上传工作，有可能影响其中标资格，因此造成的损失，由应答人自行承担。</w:t>
      </w:r>
    </w:p>
    <w:p>
      <w:pPr>
        <w:pStyle w:val="8"/>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应答人成交后申请供应商资源库准入阶段，采购人有权对供应商进行考察工作，具体考察工作以项目经办人通知为准。如考察结果与应答文件要求不符，采购人有权取消其成交资格，涉及虚假承诺或者响应资料造假的按照《中海油能源发展股份有限公司供应链供应商管理办法》给与禁用处理。</w:t>
      </w:r>
    </w:p>
    <w:p>
      <w:pPr>
        <w:pStyle w:val="8"/>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（5）供应商履约异常处理标准，详见附件4。</w:t>
      </w:r>
    </w:p>
    <w:p>
      <w:pPr>
        <w:pStyle w:val="8"/>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6）应答人如发现询比文件及其评审办法中存在含糊不清、相互矛盾、多种含义以及歧视性不公正条款或违法违规内容时，请在报价截止日到期前一天书面形式反映，未对询比文件提出异议或要求澄清的，将视为完全理解并默认询比文件所有条款，并同意放弃对询比文件有不明或误解而询问、质疑、投诉的权利。</w:t>
      </w:r>
    </w:p>
    <w:p>
      <w:pPr>
        <w:pStyle w:val="8"/>
        <w:spacing w:line="360" w:lineRule="auto"/>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其他：</w:t>
      </w:r>
    </w:p>
    <w:p>
      <w:pPr>
        <w:pStyle w:val="8"/>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《招标</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投标</w:t>
      </w:r>
      <w:r>
        <w:rPr>
          <w:rFonts w:hint="eastAsia" w:ascii="宋体" w:hAnsi="宋体" w:eastAsia="宋体" w:cs="宋体"/>
          <w:bCs w:val="0"/>
          <w:color w:val="000000" w:themeColor="text1"/>
          <w:kern w:val="0"/>
          <w:sz w:val="21"/>
          <w:szCs w:val="21"/>
          <w:highlight w:val="none"/>
          <w14:textFill>
            <w14:solidFill>
              <w14:schemeClr w14:val="tx1"/>
            </w14:solidFill>
          </w14:textFill>
        </w:rPr>
        <w:t>法实施条例》第四十条　串通</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投标</w:t>
      </w:r>
      <w:r>
        <w:rPr>
          <w:rFonts w:hint="eastAsia" w:ascii="宋体" w:hAnsi="宋体" w:eastAsia="宋体" w:cs="宋体"/>
          <w:bCs w:val="0"/>
          <w:color w:val="000000" w:themeColor="text1"/>
          <w:kern w:val="0"/>
          <w:sz w:val="21"/>
          <w:szCs w:val="21"/>
          <w:highlight w:val="none"/>
          <w14:textFill>
            <w14:solidFill>
              <w14:schemeClr w14:val="tx1"/>
            </w14:solidFill>
          </w14:textFill>
        </w:rPr>
        <w:t>的认定</w:t>
      </w:r>
    </w:p>
    <w:p>
      <w:pPr>
        <w:pStyle w:val="8"/>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,1)</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有下列情形之一的，视为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w:t>
      </w:r>
      <w:r>
        <w:rPr>
          <w:rFonts w:hint="eastAsia" w:ascii="宋体" w:hAnsi="宋体" w:eastAsia="宋体" w:cs="宋体"/>
          <w:bCs w:val="0"/>
          <w:color w:val="000000" w:themeColor="text1"/>
          <w:kern w:val="0"/>
          <w:sz w:val="21"/>
          <w:szCs w:val="21"/>
          <w:highlight w:val="none"/>
          <w14:textFill>
            <w14:solidFill>
              <w14:schemeClr w14:val="tx1"/>
            </w14:solidFill>
          </w14:textFill>
        </w:rPr>
        <w:t>：</w:t>
      </w:r>
    </w:p>
    <w:p>
      <w:pPr>
        <w:pStyle w:val="8"/>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a</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应答文件</w:t>
      </w:r>
      <w:r>
        <w:rPr>
          <w:rFonts w:hint="eastAsia" w:ascii="宋体" w:hAnsi="宋体" w:eastAsia="宋体" w:cs="宋体"/>
          <w:bCs w:val="0"/>
          <w:color w:val="000000" w:themeColor="text1"/>
          <w:kern w:val="0"/>
          <w:sz w:val="21"/>
          <w:szCs w:val="21"/>
          <w:highlight w:val="none"/>
          <w14:textFill>
            <w14:solidFill>
              <w14:schemeClr w14:val="tx1"/>
            </w14:solidFill>
          </w14:textFill>
        </w:rPr>
        <w:t>由同一单位或者个人编制；</w:t>
      </w:r>
    </w:p>
    <w:p>
      <w:pPr>
        <w:pStyle w:val="8"/>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b</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委托同一单位或者个人办理</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w:t>
      </w:r>
      <w:r>
        <w:rPr>
          <w:rFonts w:hint="eastAsia" w:ascii="宋体" w:hAnsi="宋体" w:eastAsia="宋体" w:cs="宋体"/>
          <w:bCs w:val="0"/>
          <w:color w:val="000000" w:themeColor="text1"/>
          <w:kern w:val="0"/>
          <w:sz w:val="21"/>
          <w:szCs w:val="21"/>
          <w:highlight w:val="none"/>
          <w14:textFill>
            <w14:solidFill>
              <w14:schemeClr w14:val="tx1"/>
            </w14:solidFill>
          </w14:textFill>
        </w:rPr>
        <w:t>事宜；</w:t>
      </w:r>
    </w:p>
    <w:p>
      <w:pPr>
        <w:pStyle w:val="8"/>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c</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应答文件</w:t>
      </w:r>
      <w:r>
        <w:rPr>
          <w:rFonts w:hint="eastAsia" w:ascii="宋体" w:hAnsi="宋体" w:eastAsia="宋体" w:cs="宋体"/>
          <w:bCs w:val="0"/>
          <w:color w:val="000000" w:themeColor="text1"/>
          <w:kern w:val="0"/>
          <w:sz w:val="21"/>
          <w:szCs w:val="21"/>
          <w:highlight w:val="none"/>
          <w14:textFill>
            <w14:solidFill>
              <w14:schemeClr w14:val="tx1"/>
            </w14:solidFill>
          </w14:textFill>
        </w:rPr>
        <w:t>载明的项目管理成员为同一人；</w:t>
      </w:r>
    </w:p>
    <w:p>
      <w:pPr>
        <w:pStyle w:val="8"/>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d</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应答文件</w:t>
      </w:r>
      <w:r>
        <w:rPr>
          <w:rFonts w:hint="eastAsia" w:ascii="宋体" w:hAnsi="宋体" w:eastAsia="宋体" w:cs="宋体"/>
          <w:bCs w:val="0"/>
          <w:color w:val="000000" w:themeColor="text1"/>
          <w:kern w:val="0"/>
          <w:sz w:val="21"/>
          <w:szCs w:val="21"/>
          <w:highlight w:val="none"/>
          <w14:textFill>
            <w14:solidFill>
              <w14:schemeClr w14:val="tx1"/>
            </w14:solidFill>
          </w14:textFill>
        </w:rPr>
        <w:t>异常一致或者</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w:t>
      </w:r>
      <w:r>
        <w:rPr>
          <w:rFonts w:hint="eastAsia" w:ascii="宋体" w:hAnsi="宋体" w:eastAsia="宋体" w:cs="宋体"/>
          <w:bCs w:val="0"/>
          <w:color w:val="000000" w:themeColor="text1"/>
          <w:kern w:val="0"/>
          <w:sz w:val="21"/>
          <w:szCs w:val="21"/>
          <w:highlight w:val="none"/>
          <w14:textFill>
            <w14:solidFill>
              <w14:schemeClr w14:val="tx1"/>
            </w14:solidFill>
          </w14:textFill>
        </w:rPr>
        <w:t>报价呈规律性差异；</w:t>
      </w:r>
    </w:p>
    <w:p>
      <w:pPr>
        <w:pStyle w:val="8"/>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e</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应答文件</w:t>
      </w:r>
      <w:r>
        <w:rPr>
          <w:rFonts w:hint="eastAsia" w:ascii="宋体" w:hAnsi="宋体" w:eastAsia="宋体" w:cs="宋体"/>
          <w:bCs w:val="0"/>
          <w:color w:val="000000" w:themeColor="text1"/>
          <w:kern w:val="0"/>
          <w:sz w:val="21"/>
          <w:szCs w:val="21"/>
          <w:highlight w:val="none"/>
          <w14:textFill>
            <w14:solidFill>
              <w14:schemeClr w14:val="tx1"/>
            </w14:solidFill>
          </w14:textFill>
        </w:rPr>
        <w:t>相互混装；</w:t>
      </w:r>
    </w:p>
    <w:p>
      <w:pPr>
        <w:pStyle w:val="8"/>
        <w:spacing w:line="360" w:lineRule="auto"/>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,2)</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报价文件特征码：若发现不同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在采办信息系统上“报价文件特征码”环节里“文件制作机器码、文件创建标识码和MAC地址”中的任何一类内容一致时，视为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w:t>
      </w:r>
      <w:r>
        <w:rPr>
          <w:rFonts w:hint="eastAsia" w:ascii="宋体" w:hAnsi="宋体" w:eastAsia="宋体" w:cs="宋体"/>
          <w:bCs w:val="0"/>
          <w:color w:val="000000" w:themeColor="text1"/>
          <w:kern w:val="0"/>
          <w:sz w:val="21"/>
          <w:szCs w:val="21"/>
          <w:highlight w:val="none"/>
          <w14:textFill>
            <w14:solidFill>
              <w14:schemeClr w14:val="tx1"/>
            </w14:solidFill>
          </w14:textFill>
        </w:rPr>
        <w:t>，否决所有涉及</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并</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按照《中海油能源发展股份有限公司供应链供应商管理办法》给与禁用处理</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Cs w:val="0"/>
          <w:color w:val="auto"/>
          <w:kern w:val="0"/>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val="en-US" w:eastAsia="zh-CN" w:bidi="ar-SA"/>
        </w:rPr>
        <w:t xml:space="preserve"> （8）应答人提供代理证书的，采购人有权向制造商就代理证书的真实性进行核实，采购人存在无法验证应答人代理证书真实性的情况，将</w:t>
      </w:r>
      <w:r>
        <w:rPr>
          <w:rFonts w:hint="eastAsia"/>
          <w:strike w:val="0"/>
          <w:lang w:val="en-US" w:eastAsia="zh-CN"/>
        </w:rPr>
        <w:t>否决应答</w:t>
      </w:r>
      <w:r>
        <w:rPr>
          <w:rFonts w:hint="eastAsia" w:ascii="宋体" w:hAnsi="宋体" w:eastAsia="宋体" w:cs="宋体"/>
          <w:color w:val="auto"/>
          <w:kern w:val="0"/>
          <w:sz w:val="21"/>
          <w:szCs w:val="21"/>
          <w:highlight w:val="none"/>
          <w:lang w:val="en-US" w:eastAsia="zh-CN" w:bidi="ar-SA"/>
        </w:rPr>
        <w:t>;如需制造商确认，评审人员规定时间内制造商未予确认，视为无效代理，否决应答。</w:t>
      </w:r>
    </w:p>
    <w:p>
      <w:pPr>
        <w:widowControl/>
        <w:snapToGrid w:val="0"/>
        <w:spacing w:line="460" w:lineRule="exact"/>
        <w:ind w:firstLine="210" w:firstLineChars="100"/>
        <w:jc w:val="left"/>
        <w:rPr>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6.联系方式：</w:t>
      </w:r>
    </w:p>
    <w:p>
      <w:pPr>
        <w:pStyle w:val="10"/>
        <w:ind w:left="415" w:leftChars="135" w:right="10" w:hanging="132" w:hangingChars="63"/>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商务代表联系人与联系方式如下：</w:t>
      </w:r>
    </w:p>
    <w:p>
      <w:pPr>
        <w:pStyle w:val="10"/>
        <w:ind w:left="415" w:leftChars="135" w:right="10" w:hanging="132" w:hangingChars="63"/>
        <w:rPr>
          <w:rFonts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联系单位：海油发展采办共享中心/上海区域分中心</w:t>
      </w:r>
    </w:p>
    <w:p>
      <w:pPr>
        <w:pStyle w:val="10"/>
        <w:ind w:left="415" w:leftChars="135" w:right="10" w:hanging="132" w:hangingChars="63"/>
        <w:rPr>
          <w:rFonts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联系人：汪家佳</w:t>
      </w:r>
    </w:p>
    <w:p>
      <w:pPr>
        <w:pStyle w:val="10"/>
        <w:ind w:left="415" w:leftChars="135" w:right="10" w:hanging="132" w:hangingChars="63"/>
        <w:rPr>
          <w:rFonts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联系电话：0580-8011319/13587094507</w:t>
      </w:r>
    </w:p>
    <w:p>
      <w:pPr>
        <w:pStyle w:val="10"/>
        <w:ind w:left="415" w:leftChars="135" w:right="10" w:hanging="132" w:hangingChars="63"/>
        <w:rPr>
          <w:rFonts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邮  箱：wangjj58@cnooc.com.cn</w:t>
      </w:r>
    </w:p>
    <w:p>
      <w:pPr>
        <w:rPr>
          <w:rFonts w:hint="eastAsia"/>
          <w:lang w:val="en-US" w:eastAsia="zh-CN"/>
        </w:rPr>
      </w:pPr>
    </w:p>
    <w:p>
      <w:pPr>
        <w:widowControl/>
        <w:snapToGrid w:val="0"/>
        <w:spacing w:line="240" w:lineRule="auto"/>
        <w:ind w:firstLine="210" w:firstLineChars="1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附件</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pStyle w:val="8"/>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附件1：询比评议内容</w:t>
      </w:r>
    </w:p>
    <w:p>
      <w:pPr>
        <w:pStyle w:val="8"/>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附件2：采购内容及技术要求</w:t>
      </w:r>
    </w:p>
    <w:p>
      <w:pPr>
        <w:pStyle w:val="8"/>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附件3：合同文本</w:t>
      </w:r>
    </w:p>
    <w:p>
      <w:pPr>
        <w:pStyle w:val="8"/>
        <w:keepNext w:val="0"/>
        <w:keepLines w:val="0"/>
        <w:pageBreakBefore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附件</w:t>
      </w:r>
      <w:r>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t>4</w:t>
      </w: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：供应商履约异常处罚方式</w:t>
      </w:r>
    </w:p>
    <w:p>
      <w:pPr>
        <w:pStyle w:val="8"/>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附件5：商务文件</w:t>
      </w:r>
    </w:p>
    <w:p>
      <w:pPr>
        <w:pStyle w:val="8"/>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附件6: 技术文件</w:t>
      </w:r>
    </w:p>
    <w:p>
      <w:pPr>
        <w:spacing w:line="240" w:lineRule="auto"/>
        <w:ind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附件7: 报价文件</w:t>
      </w:r>
    </w:p>
    <w:p>
      <w:pP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br w:type="page"/>
      </w:r>
    </w:p>
    <w:p>
      <w:pPr>
        <w:shd w:val="clear" w:color="000000" w:fill="auto"/>
        <w:adjustRightInd w:val="0"/>
        <w:snapToGrid w:val="0"/>
        <w:spacing w:line="360" w:lineRule="auto"/>
        <w:outlineLvl w:val="2"/>
        <w:rPr>
          <w:rFonts w:hint="eastAsia" w:ascii="黑体" w:hAnsi="黑体" w:eastAsia="黑体"/>
          <w:sz w:val="28"/>
          <w:szCs w:val="21"/>
          <w:lang w:eastAsia="zh-CN"/>
        </w:rPr>
      </w:pPr>
      <w:bookmarkStart w:id="0" w:name="_Toc256000003"/>
      <w:r>
        <w:rPr>
          <w:rFonts w:hint="eastAsia" w:ascii="黑体" w:hAnsi="黑体" w:eastAsia="黑体"/>
          <w:sz w:val="28"/>
          <w:szCs w:val="21"/>
          <w:lang w:eastAsia="zh-CN"/>
        </w:rPr>
        <w:t>投标须知前附件</w:t>
      </w:r>
      <w:bookmarkEnd w:id="0"/>
    </w:p>
    <w:p>
      <w:pPr>
        <w:numPr>
          <w:ilvl w:val="0"/>
          <w:numId w:val="2"/>
        </w:numPr>
        <w:spacing w:line="360" w:lineRule="auto"/>
        <w:outlineLvl w:val="0"/>
        <w:rPr>
          <w:rFonts w:hint="eastAsia"/>
          <w:kern w:val="2"/>
          <w:sz w:val="21"/>
          <w:szCs w:val="24"/>
          <w:lang w:eastAsia="zh-CN"/>
        </w:rPr>
      </w:pPr>
      <w:r>
        <w:rPr>
          <w:rFonts w:hint="eastAsia"/>
          <w:kern w:val="2"/>
          <w:sz w:val="21"/>
          <w:szCs w:val="24"/>
          <w:lang w:eastAsia="zh-CN"/>
        </w:rPr>
        <w:t>本询比文件关于期间的计算按照《民法典》第十章的规定执行，本招标文件所称的“以上”、“以下”、“以内”、“届满”，包括本数；所称的“不满”、“超过”、“以外”，不包括本数。</w:t>
      </w:r>
    </w:p>
    <w:p>
      <w:pPr>
        <w:pStyle w:val="15"/>
        <w:numPr>
          <w:ilvl w:val="0"/>
          <w:numId w:val="2"/>
        </w:numPr>
        <w:spacing w:line="360" w:lineRule="auto"/>
        <w:rPr>
          <w:rFonts w:hint="eastAsia"/>
        </w:rPr>
      </w:pPr>
      <w:r>
        <w:rPr>
          <w:rFonts w:ascii="宋体" w:hAnsi="宋体" w:eastAsia="宋体" w:cs="微软雅黑"/>
          <w:kern w:val="2"/>
          <w:sz w:val="21"/>
          <w:szCs w:val="21"/>
          <w:u w:val="none"/>
          <w:lang w:eastAsia="zh-CN"/>
        </w:rPr>
        <w:t>★</w:t>
      </w:r>
      <w:r>
        <w:rPr>
          <w:rFonts w:hint="eastAsia" w:ascii="宋体" w:hAnsi="宋体" w:eastAsia="宋体" w:cs="微软雅黑"/>
          <w:kern w:val="2"/>
          <w:sz w:val="21"/>
          <w:szCs w:val="21"/>
          <w:u w:val="none"/>
          <w:lang w:eastAsia="zh-CN"/>
        </w:rPr>
        <w:t>询比</w:t>
      </w:r>
      <w:r>
        <w:rPr>
          <w:rFonts w:ascii="宋体" w:hAnsi="宋体" w:eastAsia="宋体" w:cs="微软雅黑"/>
          <w:kern w:val="2"/>
          <w:sz w:val="21"/>
          <w:szCs w:val="21"/>
          <w:u w:val="none"/>
          <w:lang w:eastAsia="zh-CN"/>
        </w:rPr>
        <w:t>文件（包括所有附件）中所有标注“★”的均为关键性条款，任何对关键性条款的偏离都将导致投标被拒绝。</w:t>
      </w:r>
      <w:r>
        <w:rPr>
          <w:rFonts w:hint="eastAsia" w:ascii="宋体" w:hAnsi="宋体" w:eastAsia="宋体" w:cs="微软雅黑"/>
          <w:kern w:val="2"/>
          <w:sz w:val="21"/>
          <w:szCs w:val="21"/>
          <w:u w:val="none"/>
          <w:lang w:eastAsia="zh-CN"/>
        </w:rPr>
        <w:t>如实质性条款响应内容缺漏，视为不响应，评审为不合格。对于实质性条款，商务、技术偏离表明确无偏离，但应答文件存在偏离，以应答文件中偏离内容为准，不予澄清。</w:t>
      </w:r>
    </w:p>
    <w:p>
      <w:pPr>
        <w:pStyle w:val="15"/>
        <w:numPr>
          <w:ilvl w:val="0"/>
          <w:numId w:val="2"/>
        </w:numPr>
        <w:spacing w:line="360" w:lineRule="auto"/>
        <w:rPr>
          <w:rFonts w:hint="eastAsia"/>
          <w:sz w:val="21"/>
          <w:szCs w:val="24"/>
        </w:rPr>
      </w:pPr>
      <w:r>
        <w:rPr>
          <w:rFonts w:hint="eastAsia"/>
          <w:sz w:val="21"/>
          <w:szCs w:val="24"/>
        </w:rPr>
        <w:t>对于一般条款，商务、技术偏离表明确无偏离，但应答文件存在偏离，以应答文件中偏离内容为准，不予澄清；商务、技术偏离表明确无偏离，应答文件中未包含相应内容，按</w:t>
      </w:r>
      <w:r>
        <w:rPr>
          <w:rFonts w:hint="eastAsia"/>
          <w:sz w:val="21"/>
          <w:szCs w:val="24"/>
          <w:lang w:eastAsia="zh-CN"/>
        </w:rPr>
        <w:t>询比</w:t>
      </w:r>
      <w:r>
        <w:rPr>
          <w:rFonts w:hint="eastAsia"/>
          <w:sz w:val="21"/>
          <w:szCs w:val="24"/>
        </w:rPr>
        <w:t>文件要求应提交证明材料或详细方案的，视为不响应</w:t>
      </w:r>
      <w:r>
        <w:rPr>
          <w:rFonts w:hint="eastAsia"/>
          <w:sz w:val="21"/>
          <w:szCs w:val="24"/>
          <w:lang w:eastAsia="zh-CN"/>
        </w:rPr>
        <w:t>询比</w:t>
      </w:r>
      <w:r>
        <w:rPr>
          <w:rFonts w:hint="eastAsia"/>
          <w:sz w:val="21"/>
          <w:szCs w:val="24"/>
        </w:rPr>
        <w:t>文件，不予澄清；</w:t>
      </w:r>
      <w:r>
        <w:rPr>
          <w:rFonts w:hint="eastAsia"/>
          <w:sz w:val="21"/>
          <w:szCs w:val="24"/>
          <w:lang w:eastAsia="zh-CN"/>
        </w:rPr>
        <w:t>询比</w:t>
      </w:r>
      <w:r>
        <w:rPr>
          <w:rFonts w:hint="eastAsia"/>
          <w:sz w:val="21"/>
          <w:szCs w:val="24"/>
        </w:rPr>
        <w:t>文件未要求提交证明材料或详细方案的，视为响应</w:t>
      </w:r>
      <w:r>
        <w:rPr>
          <w:rFonts w:hint="eastAsia"/>
          <w:sz w:val="21"/>
          <w:szCs w:val="24"/>
          <w:lang w:eastAsia="zh-CN"/>
        </w:rPr>
        <w:t>询比</w:t>
      </w:r>
      <w:r>
        <w:rPr>
          <w:rFonts w:hint="eastAsia"/>
          <w:sz w:val="21"/>
          <w:szCs w:val="24"/>
        </w:rPr>
        <w:t>文件。商务、技术偏离表中没有写明偏离，但是又没有响应的，视为不响应，不予澄清。</w:t>
      </w:r>
    </w:p>
    <w:p>
      <w:pPr>
        <w:numPr>
          <w:ilvl w:val="0"/>
          <w:numId w:val="2"/>
        </w:numPr>
        <w:ind w:left="0" w:leftChars="0" w:firstLine="0" w:firstLineChars="0"/>
        <w:outlineLvl w:val="0"/>
        <w:rPr>
          <w:rFonts w:hint="default"/>
          <w:highlight w:val="yellow"/>
          <w:lang w:val="en-US"/>
        </w:rPr>
      </w:pPr>
      <w:r>
        <w:rPr>
          <w:rFonts w:hint="eastAsia"/>
          <w:b w:val="0"/>
          <w:bCs w:val="0"/>
          <w:sz w:val="21"/>
          <w:szCs w:val="24"/>
          <w:highlight w:val="yellow"/>
          <w:lang w:val="en-US" w:eastAsia="zh-CN"/>
        </w:rPr>
        <w:t>本询比文件中如出现前后条款不一致，以附件1：询比评议内容中的“1、形式评审”和“2、详细评审”中的要求为准。</w:t>
      </w: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黑体" w:hAnsi="黑体" w:eastAsia="黑体"/>
          <w:b/>
          <w:bCs/>
          <w:color w:val="auto"/>
          <w:sz w:val="24"/>
          <w:szCs w:val="24"/>
          <w:highlight w:val="none"/>
        </w:rPr>
      </w:pPr>
    </w:p>
    <w:p>
      <w:pPr>
        <w:outlineLvl w:val="0"/>
        <w:rPr>
          <w:rFonts w:hint="eastAsia" w:asciiTheme="minorEastAsia" w:hAnsiTheme="minorEastAsia" w:cstheme="minorEastAsia"/>
          <w:b/>
          <w:bCs/>
          <w:color w:val="auto"/>
          <w:sz w:val="24"/>
          <w:szCs w:val="24"/>
          <w:highlight w:val="none"/>
          <w:lang w:val="en-US" w:eastAsia="zh-CN"/>
        </w:rPr>
      </w:pPr>
      <w:r>
        <w:rPr>
          <w:rFonts w:hint="eastAsia" w:ascii="黑体" w:hAnsi="黑体" w:eastAsia="黑体"/>
          <w:b/>
          <w:bCs/>
          <w:color w:val="auto"/>
          <w:sz w:val="24"/>
          <w:szCs w:val="24"/>
          <w:highlight w:val="none"/>
        </w:rPr>
        <w:t>附件1</w:t>
      </w:r>
      <w:r>
        <w:rPr>
          <w:rFonts w:hint="eastAsia" w:ascii="黑体" w:hAnsi="黑体" w:eastAsia="黑体"/>
          <w:b/>
          <w:bCs/>
          <w:color w:val="auto"/>
          <w:sz w:val="24"/>
          <w:szCs w:val="24"/>
          <w:highlight w:val="none"/>
          <w:lang w:eastAsia="zh-CN"/>
        </w:rPr>
        <w:t>：</w:t>
      </w:r>
      <w:r>
        <w:rPr>
          <w:rFonts w:hint="eastAsia" w:asciiTheme="minorEastAsia" w:hAnsiTheme="minorEastAsia" w:cstheme="minorEastAsia"/>
          <w:b/>
          <w:bCs/>
          <w:color w:val="auto"/>
          <w:sz w:val="24"/>
          <w:szCs w:val="24"/>
          <w:highlight w:val="none"/>
          <w:lang w:eastAsia="zh-CN"/>
        </w:rPr>
        <w:t>询比</w:t>
      </w:r>
      <w:r>
        <w:rPr>
          <w:rFonts w:hint="eastAsia" w:asciiTheme="minorEastAsia" w:hAnsiTheme="minorEastAsia" w:cstheme="minorEastAsia"/>
          <w:b/>
          <w:bCs/>
          <w:color w:val="auto"/>
          <w:sz w:val="24"/>
          <w:szCs w:val="24"/>
          <w:highlight w:val="none"/>
          <w:lang w:val="en-US" w:eastAsia="zh-CN"/>
        </w:rPr>
        <w:t>评议内容</w:t>
      </w:r>
    </w:p>
    <w:p>
      <w:pPr>
        <w:outlineLvl w:val="0"/>
        <w:rPr>
          <w:rFonts w:ascii="黑体" w:hAnsi="黑体" w:eastAsia="黑体"/>
          <w:color w:val="auto"/>
          <w:sz w:val="24"/>
          <w:szCs w:val="24"/>
          <w:highlight w:val="none"/>
        </w:rPr>
      </w:pPr>
      <w:r>
        <w:rPr>
          <w:rFonts w:hint="eastAsia" w:ascii="黑体" w:hAnsi="黑体" w:eastAsia="黑体"/>
          <w:b/>
          <w:bCs/>
          <w:color w:val="auto"/>
          <w:sz w:val="24"/>
          <w:szCs w:val="24"/>
          <w:highlight w:val="none"/>
        </w:rPr>
        <w:t xml:space="preserve"> </w:t>
      </w:r>
      <w:r>
        <w:rPr>
          <w:rFonts w:ascii="黑体" w:hAnsi="黑体" w:eastAsia="黑体"/>
          <w:b/>
          <w:bCs/>
          <w:color w:val="auto"/>
          <w:sz w:val="24"/>
          <w:szCs w:val="24"/>
          <w:highlight w:val="none"/>
        </w:rPr>
        <w:t xml:space="preserve"> </w:t>
      </w:r>
      <w:r>
        <w:rPr>
          <w:rFonts w:ascii="黑体" w:hAnsi="黑体" w:eastAsia="黑体"/>
          <w:color w:val="auto"/>
          <w:sz w:val="24"/>
          <w:szCs w:val="24"/>
          <w:highlight w:val="none"/>
        </w:rPr>
        <w:t xml:space="preserve">                    </w:t>
      </w:r>
    </w:p>
    <w:p>
      <w:pPr>
        <w:ind w:firstLine="281" w:firstLineChars="100"/>
        <w:jc w:val="center"/>
        <w:rPr>
          <w:rFonts w:hint="eastAsia" w:ascii="仿宋" w:hAnsi="仿宋" w:eastAsia="仿宋" w:cs="Calibri"/>
          <w:b/>
          <w:bCs/>
          <w:color w:val="auto"/>
          <w:sz w:val="28"/>
          <w:szCs w:val="28"/>
          <w:highlight w:val="none"/>
          <w:lang w:val="en-US" w:eastAsia="zh-CN"/>
        </w:rPr>
      </w:pPr>
      <w:r>
        <w:rPr>
          <w:rFonts w:hint="eastAsia" w:ascii="仿宋" w:hAnsi="仿宋" w:eastAsia="仿宋" w:cs="Calibri"/>
          <w:b/>
          <w:bCs/>
          <w:color w:val="auto"/>
          <w:sz w:val="28"/>
          <w:szCs w:val="28"/>
          <w:highlight w:val="none"/>
          <w:lang w:val="en-US" w:eastAsia="zh-CN"/>
        </w:rPr>
        <w:t>评审办法</w:t>
      </w:r>
    </w:p>
    <w:p>
      <w:pPr>
        <w:pStyle w:val="4"/>
        <w:numPr>
          <w:ilvl w:val="0"/>
          <w:numId w:val="0"/>
        </w:numPr>
        <w:ind w:leftChars="0"/>
        <w:rPr>
          <w:rFonts w:hint="eastAsia" w:ascii="仿宋" w:hAnsi="仿宋" w:eastAsia="仿宋" w:cs="Calibri"/>
          <w:b/>
          <w:bCs/>
          <w:color w:val="auto"/>
          <w:sz w:val="28"/>
          <w:szCs w:val="28"/>
          <w:highlight w:val="none"/>
          <w:lang w:val="en-US" w:eastAsia="zh-CN"/>
        </w:rPr>
      </w:pPr>
      <w:r>
        <w:rPr>
          <w:rFonts w:hint="eastAsia" w:ascii="仿宋" w:hAnsi="仿宋" w:eastAsia="仿宋" w:cs="Calibri"/>
          <w:b/>
          <w:bCs/>
          <w:color w:val="auto"/>
          <w:sz w:val="28"/>
          <w:szCs w:val="28"/>
          <w:highlight w:val="none"/>
          <w:lang w:val="en-US" w:eastAsia="zh-CN"/>
        </w:rPr>
        <w:t>评审办法前附表</w:t>
      </w:r>
    </w:p>
    <w:p>
      <w:pPr>
        <w:pStyle w:val="15"/>
        <w:numPr>
          <w:ilvl w:val="0"/>
          <w:numId w:val="0"/>
        </w:numPr>
        <w:rPr>
          <w:rFonts w:hint="eastAsia" w:ascii="宋体" w:hAnsi="宋体" w:eastAsia="宋体"/>
          <w:kern w:val="2"/>
          <w:sz w:val="21"/>
          <w:szCs w:val="21"/>
          <w:lang w:val="en-US" w:eastAsia="zh-CN"/>
        </w:rPr>
      </w:pPr>
      <w:r>
        <w:rPr>
          <w:rFonts w:hint="eastAsia" w:ascii="宋体" w:hAnsi="宋体" w:eastAsia="宋体"/>
          <w:kern w:val="2"/>
          <w:sz w:val="21"/>
          <w:szCs w:val="21"/>
          <w:lang w:val="en-US" w:eastAsia="zh-CN"/>
        </w:rPr>
        <w:t>1、形式评审</w:t>
      </w:r>
    </w:p>
    <w:p>
      <w:pPr>
        <w:pStyle w:val="15"/>
        <w:rPr>
          <w:rFonts w:hint="eastAsia" w:ascii="宋体" w:hAnsi="宋体" w:eastAsia="宋体"/>
          <w:kern w:val="2"/>
          <w:sz w:val="21"/>
          <w:szCs w:val="21"/>
          <w:lang w:eastAsia="zh-CN"/>
        </w:rPr>
      </w:pPr>
    </w:p>
    <w:tbl>
      <w:tblPr>
        <w:tblStyle w:val="61"/>
        <w:tblW w:w="8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85"/>
        <w:gridCol w:w="6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dxa"/>
            <w:shd w:val="clear" w:color="auto" w:fill="auto"/>
            <w:vAlign w:val="center"/>
          </w:tcPr>
          <w:p>
            <w:pPr>
              <w:adjustRightInd w:val="0"/>
              <w:snapToGrid w:val="0"/>
              <w:jc w:val="center"/>
              <w:rPr>
                <w:rFonts w:hint="eastAsia" w:ascii="仿宋" w:hAnsi="仿宋" w:eastAsia="仿宋" w:cs="仿宋"/>
                <w:b/>
                <w:bCs w:val="0"/>
                <w:color w:val="auto"/>
                <w:kern w:val="0"/>
                <w:sz w:val="21"/>
                <w:szCs w:val="21"/>
                <w:highlight w:val="none"/>
                <w:lang w:val="en-US" w:eastAsia="zh-CN" w:bidi="ar-SA"/>
              </w:rPr>
            </w:pPr>
            <w:bookmarkStart w:id="1" w:name="psFlowItem_20230326215101601_0"/>
            <w:r>
              <w:rPr>
                <w:rFonts w:hint="eastAsia" w:ascii="仿宋" w:hAnsi="仿宋" w:eastAsia="仿宋" w:cs="仿宋"/>
                <w:b/>
                <w:bCs w:val="0"/>
                <w:color w:val="auto"/>
                <w:kern w:val="0"/>
                <w:sz w:val="21"/>
                <w:szCs w:val="21"/>
                <w:highlight w:val="none"/>
                <w:lang w:val="en-US" w:eastAsia="zh-CN" w:bidi="ar-SA"/>
              </w:rPr>
              <w:t>序号</w:t>
            </w:r>
          </w:p>
        </w:tc>
        <w:tc>
          <w:tcPr>
            <w:tcW w:w="1785" w:type="dxa"/>
            <w:shd w:val="clear" w:color="auto" w:fill="auto"/>
            <w:vAlign w:val="center"/>
          </w:tcPr>
          <w:p>
            <w:pPr>
              <w:adjustRightInd w:val="0"/>
              <w:snapToGrid w:val="0"/>
              <w:jc w:val="center"/>
              <w:rPr>
                <w:rFonts w:hint="eastAsia" w:ascii="仿宋" w:hAnsi="仿宋" w:eastAsia="仿宋" w:cs="仿宋"/>
                <w:b/>
                <w:bCs w:val="0"/>
                <w:color w:val="auto"/>
                <w:kern w:val="0"/>
                <w:sz w:val="21"/>
                <w:szCs w:val="21"/>
                <w:highlight w:val="none"/>
                <w:lang w:val="en-US" w:eastAsia="zh-CN" w:bidi="ar-SA"/>
              </w:rPr>
            </w:pPr>
            <w:r>
              <w:rPr>
                <w:rFonts w:hint="eastAsia" w:ascii="仿宋" w:hAnsi="仿宋" w:eastAsia="仿宋" w:cs="仿宋"/>
                <w:b/>
                <w:bCs w:val="0"/>
                <w:color w:val="auto"/>
                <w:kern w:val="0"/>
                <w:sz w:val="21"/>
                <w:szCs w:val="21"/>
                <w:highlight w:val="none"/>
                <w:lang w:val="en-US" w:eastAsia="zh-CN" w:bidi="ar-SA"/>
              </w:rPr>
              <w:t>评审因素</w:t>
            </w:r>
          </w:p>
        </w:tc>
        <w:tc>
          <w:tcPr>
            <w:tcW w:w="6427" w:type="dxa"/>
            <w:shd w:val="clear" w:color="auto" w:fill="auto"/>
            <w:vAlign w:val="center"/>
          </w:tcPr>
          <w:p>
            <w:pPr>
              <w:tabs>
                <w:tab w:val="left" w:pos="142"/>
              </w:tabs>
              <w:adjustRightInd w:val="0"/>
              <w:snapToGrid w:val="0"/>
              <w:jc w:val="center"/>
              <w:rPr>
                <w:rFonts w:hint="eastAsia" w:ascii="仿宋" w:hAnsi="仿宋" w:eastAsia="仿宋" w:cs="仿宋"/>
                <w:b/>
                <w:bCs w:val="0"/>
                <w:color w:val="auto"/>
                <w:kern w:val="0"/>
                <w:sz w:val="21"/>
                <w:szCs w:val="21"/>
                <w:highlight w:val="none"/>
                <w:lang w:val="en-US" w:eastAsia="zh-CN" w:bidi="ar-SA"/>
              </w:rPr>
            </w:pPr>
            <w:r>
              <w:rPr>
                <w:rFonts w:hint="eastAsia" w:ascii="仿宋" w:hAnsi="仿宋" w:eastAsia="仿宋" w:cs="仿宋"/>
                <w:b/>
                <w:bCs w:val="0"/>
                <w:color w:val="auto"/>
                <w:kern w:val="0"/>
                <w:sz w:val="21"/>
                <w:szCs w:val="21"/>
                <w:highlight w:val="none"/>
                <w:lang w:val="en-US" w:eastAsia="zh-CN" w:bidi="ar-SA"/>
              </w:rPr>
              <w:t>评审标准</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1</w:t>
            </w:r>
          </w:p>
        </w:tc>
        <w:tc>
          <w:tcPr>
            <w:tcW w:w="1785"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★应答人名称</w:t>
            </w:r>
          </w:p>
        </w:tc>
        <w:tc>
          <w:tcPr>
            <w:tcW w:w="6427" w:type="dxa"/>
            <w:vAlign w:val="bottom"/>
          </w:tcPr>
          <w:p>
            <w:pPr>
              <w:jc w:val="both"/>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2</w:t>
            </w:r>
          </w:p>
        </w:tc>
        <w:tc>
          <w:tcPr>
            <w:tcW w:w="1785" w:type="dxa"/>
            <w:vAlign w:val="center"/>
          </w:tcPr>
          <w:p>
            <w:pPr>
              <w:pStyle w:val="45"/>
              <w:spacing w:line="300" w:lineRule="exact"/>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★报价有效期</w:t>
            </w:r>
          </w:p>
        </w:tc>
        <w:tc>
          <w:tcPr>
            <w:tcW w:w="6427" w:type="dxa"/>
            <w:vAlign w:val="center"/>
          </w:tcPr>
          <w:p>
            <w:pPr>
              <w:pStyle w:val="45"/>
              <w:spacing w:line="300" w:lineRule="exact"/>
              <w:jc w:val="both"/>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报价截止之日起【120】日历日内保持有效；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3</w:t>
            </w:r>
          </w:p>
        </w:tc>
        <w:tc>
          <w:tcPr>
            <w:tcW w:w="1785"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★选择性报价</w:t>
            </w:r>
          </w:p>
        </w:tc>
        <w:tc>
          <w:tcPr>
            <w:tcW w:w="6427" w:type="dxa"/>
            <w:vAlign w:val="bottom"/>
          </w:tcPr>
          <w:p>
            <w:pPr>
              <w:jc w:val="both"/>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本次采购不接受选择性报价或附加条件的报价。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4</w:t>
            </w:r>
          </w:p>
        </w:tc>
        <w:tc>
          <w:tcPr>
            <w:tcW w:w="1785"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★报价唯一</w:t>
            </w:r>
          </w:p>
        </w:tc>
        <w:tc>
          <w:tcPr>
            <w:tcW w:w="6427" w:type="dxa"/>
            <w:vAlign w:val="bottom"/>
          </w:tcPr>
          <w:p>
            <w:pPr>
              <w:jc w:val="both"/>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只能有一个有效报价，本次采购不接受选择性报价或附加条件的报价，不接受备选方案。除非国家税法修改，报价表中标明的价格和增值税税率在合同执行过程中是固定不变的，不得以任何理由予以变更。以可调整的价格提交的将作为非响应性应答而予以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5</w:t>
            </w:r>
          </w:p>
        </w:tc>
        <w:tc>
          <w:tcPr>
            <w:tcW w:w="1785" w:type="dxa"/>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★围标串标</w:t>
            </w:r>
          </w:p>
        </w:tc>
        <w:tc>
          <w:tcPr>
            <w:tcW w:w="6427" w:type="dxa"/>
            <w:vAlign w:val="bottom"/>
          </w:tcPr>
          <w:p>
            <w:pPr>
              <w:jc w:val="both"/>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有以下情形之一的，视为应答人相互串通应答，并否决所有涉及的应答： a) 不同应答人的应答文件由同一单位或者个人编制，且应答人不能合理说明的，例如：不同应答人在集团公司数字化供应链平台上记录的文件制作机器码、文件创建标识码和应答电脑的MAC地址内容任何一项一致的；不同应答人的应答文件作者名称（除Admin、经确认为系统自动生成的作者名称）异常一致，且应答人不能合理说明的； b) 不同应答人委托同一单位或者个人办理应答事宜：例如：不同应答人在数字化供应链平台上的电子应答文件记录的应答文件上传IP地址异常一致且不属于中国海油网络IP范围，且应答人不能合理说明的。 c) 不同应答人的应答文件载明的项目管理成员为同一人，且应答人不能合理说明的。 d) 不同应答人的应答文件异常一致或者存在2处以上一致性错误；或者投标报价呈规律性差异的项数达到报价清单的50%以上，且应答人不能合理说明的。 e) 不同应答人的应答文件相互混装，且应答人不能合理说明的。</w:t>
            </w:r>
            <w:r>
              <w:rPr>
                <w:rFonts w:hint="eastAsia" w:ascii="仿宋" w:hAnsi="仿宋" w:eastAsia="仿宋" w:cs="仿宋"/>
                <w:bCs/>
                <w:color w:val="auto"/>
                <w:kern w:val="0"/>
                <w:sz w:val="21"/>
                <w:szCs w:val="21"/>
                <w:highlight w:val="yellow"/>
                <w:lang w:val="en-US" w:eastAsia="zh-CN" w:bidi="ar-SA"/>
              </w:rPr>
              <w:t>f</w:t>
            </w:r>
            <w:r>
              <w:rPr>
                <w:rFonts w:hint="eastAsia" w:ascii="仿宋" w:hAnsi="仿宋" w:eastAsia="仿宋" w:cs="仿宋"/>
                <w:bCs/>
                <w:color w:val="C00000"/>
                <w:kern w:val="0"/>
                <w:sz w:val="21"/>
                <w:szCs w:val="21"/>
                <w:highlight w:val="yellow"/>
                <w:lang w:val="en-US" w:eastAsia="zh-CN" w:bidi="ar-SA"/>
              </w:rPr>
              <w:t>）</w:t>
            </w:r>
            <w:r>
              <w:rPr>
                <w:rFonts w:hint="eastAsia" w:ascii="仿宋" w:hAnsi="仿宋" w:eastAsia="仿宋" w:cs="仿宋"/>
                <w:bCs/>
                <w:color w:val="auto"/>
                <w:kern w:val="0"/>
                <w:sz w:val="21"/>
                <w:szCs w:val="21"/>
                <w:highlight w:val="yellow"/>
                <w:lang w:val="en-US" w:eastAsia="zh-CN" w:bidi="ar-SA"/>
              </w:rPr>
              <w:t>不同应答人在数字化供应链平台上的上传应答文件联系人或联系电话一致，且应答人不能合理说明的。</w:t>
            </w:r>
          </w:p>
        </w:tc>
      </w:tr>
    </w:tbl>
    <w:p>
      <w:pPr>
        <w:pStyle w:val="8"/>
        <w:ind w:left="0" w:leftChars="0" w:firstLine="0" w:firstLineChars="0"/>
        <w:rPr>
          <w:rFonts w:hint="eastAsia"/>
          <w:lang w:eastAsia="zh-CN"/>
        </w:rPr>
      </w:pPr>
    </w:p>
    <w:p>
      <w:pPr>
        <w:pStyle w:val="8"/>
        <w:ind w:left="0" w:leftChars="0" w:firstLine="0" w:firstLineChars="0"/>
        <w:rPr>
          <w:rFonts w:hint="default"/>
          <w:lang w:val="en-US" w:eastAsia="zh-CN"/>
        </w:rPr>
      </w:pPr>
      <w:r>
        <w:rPr>
          <w:rFonts w:hint="eastAsia" w:ascii="宋体" w:hAnsi="宋体" w:eastAsia="宋体"/>
          <w:kern w:val="2"/>
          <w:sz w:val="21"/>
          <w:szCs w:val="21"/>
          <w:lang w:val="en-US" w:eastAsia="zh-CN"/>
        </w:rPr>
        <w:t>2、详细评审</w:t>
      </w:r>
    </w:p>
    <w:tbl>
      <w:tblPr>
        <w:tblStyle w:val="22"/>
        <w:tblpPr w:leftFromText="180" w:rightFromText="180" w:vertAnchor="text" w:horzAnchor="page" w:tblpX="1590" w:tblpY="220"/>
        <w:tblOverlap w:val="never"/>
        <w:tblW w:w="5489" w:type="pct"/>
        <w:tblInd w:w="0" w:type="dxa"/>
        <w:tblLayout w:type="autofit"/>
        <w:tblCellMar>
          <w:top w:w="0" w:type="dxa"/>
          <w:left w:w="0" w:type="dxa"/>
          <w:bottom w:w="0" w:type="dxa"/>
          <w:right w:w="0" w:type="dxa"/>
        </w:tblCellMar>
      </w:tblPr>
      <w:tblGrid>
        <w:gridCol w:w="601"/>
        <w:gridCol w:w="561"/>
        <w:gridCol w:w="2371"/>
        <w:gridCol w:w="5603"/>
      </w:tblGrid>
      <w:tr>
        <w:tblPrEx>
          <w:tblCellMar>
            <w:top w:w="0" w:type="dxa"/>
            <w:left w:w="0" w:type="dxa"/>
            <w:bottom w:w="0" w:type="dxa"/>
            <w:right w:w="0" w:type="dxa"/>
          </w:tblCellMar>
        </w:tblPrEx>
        <w:trPr>
          <w:trHeight w:val="454" w:hRule="atLeast"/>
        </w:trPr>
        <w:tc>
          <w:tcPr>
            <w:tcW w:w="636" w:type="pct"/>
            <w:gridSpan w:val="2"/>
            <w:tcBorders>
              <w:top w:val="single" w:color="000000" w:sz="4" w:space="0"/>
              <w:left w:val="single" w:color="000000" w:sz="4" w:space="0"/>
              <w:bottom w:val="single" w:color="000000" w:sz="6" w:space="0"/>
              <w:right w:val="single" w:color="000000" w:sz="4" w:space="0"/>
            </w:tcBorders>
            <w:vAlign w:val="center"/>
          </w:tcPr>
          <w:p>
            <w:pPr>
              <w:pStyle w:val="45"/>
              <w:spacing w:line="300" w:lineRule="exact"/>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序号</w:t>
            </w:r>
          </w:p>
        </w:tc>
        <w:tc>
          <w:tcPr>
            <w:tcW w:w="1297" w:type="pct"/>
            <w:tcBorders>
              <w:top w:val="single" w:color="000000" w:sz="4" w:space="0"/>
              <w:left w:val="nil"/>
              <w:bottom w:val="single" w:color="000000" w:sz="4" w:space="0"/>
              <w:right w:val="single" w:color="000000" w:sz="4" w:space="0"/>
            </w:tcBorders>
            <w:vAlign w:val="center"/>
          </w:tcPr>
          <w:p>
            <w:pPr>
              <w:pStyle w:val="45"/>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内容</w:t>
            </w:r>
          </w:p>
        </w:tc>
        <w:tc>
          <w:tcPr>
            <w:tcW w:w="3065" w:type="pct"/>
            <w:tcBorders>
              <w:top w:val="single" w:color="000000" w:sz="4" w:space="0"/>
              <w:left w:val="nil"/>
              <w:bottom w:val="single" w:color="000000" w:sz="4" w:space="0"/>
              <w:right w:val="single" w:color="000000" w:sz="4" w:space="0"/>
            </w:tcBorders>
            <w:vAlign w:val="center"/>
          </w:tcPr>
          <w:p>
            <w:pPr>
              <w:pStyle w:val="45"/>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标准</w:t>
            </w:r>
          </w:p>
        </w:tc>
      </w:tr>
      <w:tr>
        <w:tblPrEx>
          <w:tblCellMar>
            <w:top w:w="0" w:type="dxa"/>
            <w:left w:w="0" w:type="dxa"/>
            <w:bottom w:w="0" w:type="dxa"/>
            <w:right w:w="0" w:type="dxa"/>
          </w:tblCellMar>
        </w:tblPrEx>
        <w:trPr>
          <w:trHeight w:val="454" w:hRule="atLeast"/>
        </w:trPr>
        <w:tc>
          <w:tcPr>
            <w:tcW w:w="329" w:type="pct"/>
            <w:vMerge w:val="restar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p>
        </w:tc>
        <w:tc>
          <w:tcPr>
            <w:tcW w:w="306" w:type="pct"/>
            <w:vMerge w:val="restart"/>
            <w:tcBorders>
              <w:top w:val="single" w:color="000000" w:sz="6" w:space="0"/>
              <w:left w:val="nil"/>
              <w:bottom w:val="single" w:color="000000" w:sz="6" w:space="0"/>
              <w:right w:val="single" w:color="000000" w:sz="6" w:space="0"/>
            </w:tcBorders>
            <w:textDirection w:val="tbRlV"/>
            <w:vAlign w:val="center"/>
          </w:tcPr>
          <w:p>
            <w:pPr>
              <w:pStyle w:val="45"/>
              <w:spacing w:line="300" w:lineRule="exact"/>
              <w:ind w:left="113" w:right="113"/>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商务标准</w:t>
            </w:r>
          </w:p>
        </w:tc>
        <w:tc>
          <w:tcPr>
            <w:tcW w:w="1297" w:type="pct"/>
            <w:tcBorders>
              <w:top w:val="single" w:color="000000" w:sz="4" w:space="0"/>
              <w:left w:val="nil"/>
              <w:bottom w:val="nil"/>
              <w:right w:val="single" w:color="000000" w:sz="4" w:space="0"/>
            </w:tcBorders>
            <w:vAlign w:val="center"/>
          </w:tcPr>
          <w:p>
            <w:pPr>
              <w:pStyle w:val="45"/>
              <w:spacing w:line="300" w:lineRule="exact"/>
              <w:jc w:val="left"/>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报价文件签字盖章</w:t>
            </w:r>
          </w:p>
        </w:tc>
        <w:tc>
          <w:tcPr>
            <w:tcW w:w="3065" w:type="pct"/>
            <w:tcBorders>
              <w:top w:val="single" w:color="000000" w:sz="4" w:space="0"/>
              <w:left w:val="nil"/>
              <w:bottom w:val="nil"/>
              <w:right w:val="single" w:color="000000" w:sz="4" w:space="0"/>
            </w:tcBorders>
            <w:vAlign w:val="center"/>
          </w:tcPr>
          <w:p>
            <w:pPr>
              <w:pStyle w:val="45"/>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由</w:t>
            </w:r>
            <w:r>
              <w:rPr>
                <w:rFonts w:hint="eastAsia" w:ascii="仿宋" w:hAnsi="仿宋" w:eastAsia="仿宋" w:cs="仿宋"/>
                <w:bCs/>
                <w:color w:val="auto"/>
                <w:sz w:val="21"/>
                <w:szCs w:val="21"/>
                <w:highlight w:val="none"/>
                <w:lang w:eastAsia="zh-CN"/>
              </w:rPr>
              <w:t>法定代表人（单位负责人）或其委托代理人签字并加盖单位章。由法定代表人（单位负责人）签字的，应附法定代表人（单位负责人）身份证明，由代理人签字的，应</w:t>
            </w:r>
            <w:r>
              <w:rPr>
                <w:rFonts w:hint="eastAsia" w:ascii="仿宋" w:hAnsi="仿宋" w:eastAsia="仿宋" w:cs="仿宋"/>
                <w:bCs/>
                <w:color w:val="auto"/>
                <w:sz w:val="21"/>
                <w:szCs w:val="21"/>
                <w:highlight w:val="none"/>
                <w:lang w:val="en-US" w:eastAsia="zh-CN"/>
              </w:rPr>
              <w:t>在提供</w:t>
            </w:r>
            <w:r>
              <w:rPr>
                <w:rFonts w:hint="eastAsia" w:ascii="仿宋" w:hAnsi="仿宋" w:eastAsia="仿宋" w:cs="仿宋"/>
                <w:bCs/>
                <w:color w:val="auto"/>
                <w:sz w:val="21"/>
                <w:szCs w:val="21"/>
                <w:highlight w:val="none"/>
                <w:lang w:eastAsia="zh-CN"/>
              </w:rPr>
              <w:t>法定代表人（单位负责人）身份证明</w:t>
            </w:r>
            <w:r>
              <w:rPr>
                <w:rFonts w:hint="eastAsia" w:ascii="仿宋" w:hAnsi="仿宋" w:eastAsia="仿宋" w:cs="仿宋"/>
                <w:bCs/>
                <w:color w:val="auto"/>
                <w:sz w:val="21"/>
                <w:szCs w:val="21"/>
                <w:highlight w:val="none"/>
                <w:lang w:val="en-US" w:eastAsia="zh-CN"/>
              </w:rPr>
              <w:t>基础上，补充提供</w:t>
            </w:r>
            <w:r>
              <w:rPr>
                <w:rFonts w:hint="eastAsia" w:ascii="仿宋" w:hAnsi="仿宋" w:eastAsia="仿宋" w:cs="仿宋"/>
                <w:bCs/>
                <w:color w:val="auto"/>
                <w:sz w:val="21"/>
                <w:szCs w:val="21"/>
                <w:highlight w:val="none"/>
                <w:lang w:eastAsia="zh-CN"/>
              </w:rPr>
              <w:t>授权委托书。</w:t>
            </w:r>
          </w:p>
        </w:tc>
      </w:tr>
      <w:tr>
        <w:tblPrEx>
          <w:tblCellMar>
            <w:top w:w="0" w:type="dxa"/>
            <w:left w:w="0" w:type="dxa"/>
            <w:bottom w:w="0" w:type="dxa"/>
            <w:right w:w="0" w:type="dxa"/>
          </w:tblCellMar>
        </w:tblPrEx>
        <w:trPr>
          <w:trHeight w:val="454"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306" w:type="pct"/>
            <w:vMerge w:val="continue"/>
            <w:tcBorders>
              <w:top w:val="single" w:color="000000" w:sz="6" w:space="0"/>
              <w:left w:val="nil"/>
              <w:bottom w:val="single" w:color="000000" w:sz="6" w:space="0"/>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297" w:type="pct"/>
            <w:tcBorders>
              <w:top w:val="single" w:color="000000" w:sz="4" w:space="0"/>
              <w:left w:val="nil"/>
              <w:bottom w:val="single" w:color="000000" w:sz="4" w:space="0"/>
              <w:right w:val="single" w:color="000000" w:sz="4" w:space="0"/>
            </w:tcBorders>
            <w:vAlign w:val="center"/>
          </w:tcPr>
          <w:p>
            <w:pPr>
              <w:pStyle w:val="45"/>
              <w:spacing w:line="300" w:lineRule="exact"/>
              <w:jc w:val="left"/>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报价文件格式</w:t>
            </w:r>
          </w:p>
        </w:tc>
        <w:tc>
          <w:tcPr>
            <w:tcW w:w="3065" w:type="pct"/>
            <w:tcBorders>
              <w:top w:val="single" w:color="000000" w:sz="4" w:space="0"/>
              <w:left w:val="nil"/>
              <w:bottom w:val="single" w:color="000000" w:sz="4" w:space="0"/>
              <w:right w:val="single" w:color="000000" w:sz="4" w:space="0"/>
            </w:tcBorders>
            <w:vAlign w:val="center"/>
          </w:tcPr>
          <w:p>
            <w:pP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rPr>
              <w:t>符合附件3：报价单格式的规定；</w:t>
            </w:r>
          </w:p>
        </w:tc>
      </w:tr>
      <w:tr>
        <w:tblPrEx>
          <w:tblCellMar>
            <w:top w:w="0" w:type="dxa"/>
            <w:left w:w="0" w:type="dxa"/>
            <w:bottom w:w="0" w:type="dxa"/>
            <w:right w:w="0" w:type="dxa"/>
          </w:tblCellMar>
        </w:tblPrEx>
        <w:trPr>
          <w:trHeight w:val="454"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306" w:type="pct"/>
            <w:vMerge w:val="continue"/>
            <w:tcBorders>
              <w:top w:val="single" w:color="000000" w:sz="6" w:space="0"/>
              <w:left w:val="nil"/>
              <w:bottom w:val="single" w:color="000000" w:sz="6" w:space="0"/>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297" w:type="pct"/>
            <w:tcBorders>
              <w:top w:val="single" w:color="000000" w:sz="4" w:space="0"/>
              <w:left w:val="single" w:color="000000" w:sz="6" w:space="0"/>
              <w:bottom w:val="single" w:color="auto" w:sz="4" w:space="0"/>
              <w:right w:val="single" w:color="000000" w:sz="4" w:space="0"/>
            </w:tcBorders>
            <w:vAlign w:val="center"/>
          </w:tcPr>
          <w:p>
            <w:pPr>
              <w:pStyle w:val="45"/>
              <w:spacing w:line="300" w:lineRule="exact"/>
              <w:jc w:val="left"/>
              <w:rPr>
                <w:rFonts w:hint="eastAsia" w:ascii="仿宋" w:hAnsi="仿宋" w:eastAsia="仿宋" w:cs="仿宋"/>
                <w:bCs/>
                <w:color w:val="auto"/>
                <w:sz w:val="21"/>
                <w:szCs w:val="21"/>
                <w:highlight w:val="none"/>
                <w:lang w:eastAsia="zh-CN"/>
              </w:rPr>
            </w:pPr>
            <w:r>
              <w:rPr>
                <w:rFonts w:hint="eastAsia" w:ascii="仿宋" w:hAnsi="仿宋" w:eastAsia="仿宋" w:cs="仿宋"/>
                <w:color w:val="auto"/>
                <w:kern w:val="2"/>
                <w:sz w:val="21"/>
                <w:szCs w:val="21"/>
                <w:highlight w:val="none"/>
                <w:lang w:val="en-US" w:eastAsia="zh-CN" w:bidi="ar-SA"/>
              </w:rPr>
              <w:t>★商务资格</w:t>
            </w:r>
          </w:p>
        </w:tc>
        <w:tc>
          <w:tcPr>
            <w:tcW w:w="3065"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1.营业执照：应答人具有合法有效的企业法人营业执照、税务登记证及组织机构代码证 或证照合一的营业执照，应答时需提供原件扫描件（原件备查）。 应答人为事业单位的，应具有合法有效的事业单位法人证书，应答时需提供原件扫描件（原件备查）。应答人为分公司的，应具有合法有效的营业执照和上级法人单位授权书，分 公司与上级法人单位只可一家参与应答，同时参与应答的，应答均无效。</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2.法定代表人（单位负责人）身份证明</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3.法定代表人授权委托书（如涉及）</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lang w:val="en-US"/>
              </w:rPr>
            </w:pPr>
            <w:r>
              <w:rPr>
                <w:rFonts w:hint="eastAsia" w:ascii="仿宋" w:hAnsi="仿宋" w:eastAsia="仿宋" w:cs="仿宋"/>
                <w:color w:val="auto"/>
                <w:kern w:val="2"/>
                <w:sz w:val="21"/>
                <w:szCs w:val="21"/>
                <w:highlight w:val="yellow"/>
                <w:lang w:val="en-US" w:eastAsia="zh-CN" w:bidi="ar-SA"/>
              </w:rPr>
              <w:t>4.投标人应具有并提供有效的API Q1质量体系认证</w:t>
            </w:r>
          </w:p>
        </w:tc>
      </w:tr>
      <w:tr>
        <w:tblPrEx>
          <w:tblCellMar>
            <w:top w:w="0" w:type="dxa"/>
            <w:left w:w="0" w:type="dxa"/>
            <w:bottom w:w="0" w:type="dxa"/>
            <w:right w:w="0" w:type="dxa"/>
          </w:tblCellMar>
        </w:tblPrEx>
        <w:trPr>
          <w:trHeight w:val="454"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306" w:type="pct"/>
            <w:vMerge w:val="continue"/>
            <w:tcBorders>
              <w:top w:val="single" w:color="000000" w:sz="6" w:space="0"/>
              <w:left w:val="nil"/>
              <w:bottom w:val="single" w:color="000000" w:sz="6" w:space="0"/>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297" w:type="pct"/>
            <w:tcBorders>
              <w:top w:val="single" w:color="000000" w:sz="4" w:space="0"/>
              <w:left w:val="single" w:color="000000" w:sz="6" w:space="0"/>
              <w:bottom w:val="single" w:color="auto" w:sz="4" w:space="0"/>
              <w:right w:val="single" w:color="000000" w:sz="4" w:space="0"/>
            </w:tcBorders>
            <w:vAlign w:val="center"/>
          </w:tcPr>
          <w:p>
            <w:pPr>
              <w:keepNext w:val="0"/>
              <w:keepLines w:val="0"/>
              <w:pageBreakBefore w:val="0"/>
              <w:numPr>
                <w:ilvl w:val="0"/>
                <w:numId w:val="0"/>
              </w:numPr>
              <w:kinsoku/>
              <w:wordWrap/>
              <w:overflowPunct/>
              <w:topLinePunct w:val="0"/>
              <w:autoSpaceDE/>
              <w:autoSpaceDN/>
              <w:bidi w:val="0"/>
              <w:adjustRightInd/>
              <w:spacing w:line="240" w:lineRule="auto"/>
              <w:jc w:val="both"/>
              <w:textAlignment w:val="auto"/>
              <w:rPr>
                <w:rFonts w:hint="eastAsia" w:ascii="仿宋" w:hAnsi="仿宋" w:eastAsia="仿宋" w:cs="仿宋"/>
                <w:bCs/>
                <w:color w:val="auto"/>
                <w:sz w:val="21"/>
                <w:szCs w:val="21"/>
                <w:highlight w:val="none"/>
                <w:lang w:eastAsia="zh-CN"/>
              </w:rPr>
            </w:pPr>
            <w:r>
              <w:rPr>
                <w:rFonts w:hint="eastAsia" w:ascii="仿宋" w:hAnsi="仿宋" w:eastAsia="仿宋" w:cs="仿宋"/>
                <w:color w:val="auto"/>
                <w:kern w:val="2"/>
                <w:sz w:val="21"/>
                <w:szCs w:val="21"/>
                <w:highlight w:val="none"/>
                <w:lang w:val="en-US" w:eastAsia="zh-CN" w:bidi="ar-SA"/>
              </w:rPr>
              <w:t>★股权证明文件</w:t>
            </w:r>
          </w:p>
        </w:tc>
        <w:tc>
          <w:tcPr>
            <w:tcW w:w="3065"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股权证明文件：应答人应在应答文件中提供其公司章程或其他能够体现出资人、股东信息的法定文件、第三方网站查询记录截图，此证明文件将作为评标/评审参与应答供应商是否存在关联关系时的依据。</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bCs/>
                <w:color w:val="auto"/>
                <w:sz w:val="21"/>
                <w:szCs w:val="21"/>
                <w:highlight w:val="none"/>
                <w:lang w:eastAsia="zh-CN"/>
              </w:rPr>
            </w:pPr>
            <w:r>
              <w:rPr>
                <w:rFonts w:hint="eastAsia" w:ascii="仿宋" w:hAnsi="仿宋" w:eastAsia="仿宋" w:cs="仿宋"/>
                <w:b/>
                <w:bCs/>
                <w:color w:val="auto"/>
                <w:kern w:val="2"/>
                <w:sz w:val="21"/>
                <w:szCs w:val="21"/>
                <w:highlight w:val="none"/>
                <w:lang w:val="en-US" w:eastAsia="zh-CN" w:bidi="ar-SA"/>
              </w:rPr>
              <w:t>备注：如应答人未提供或提供文件无法体现出资人、股东信息的以及与其他应答人存在关联关系的，都将影响评审结果。</w:t>
            </w:r>
          </w:p>
        </w:tc>
      </w:tr>
      <w:tr>
        <w:tblPrEx>
          <w:tblCellMar>
            <w:top w:w="0" w:type="dxa"/>
            <w:left w:w="0" w:type="dxa"/>
            <w:bottom w:w="0" w:type="dxa"/>
            <w:right w:w="0" w:type="dxa"/>
          </w:tblCellMar>
        </w:tblPrEx>
        <w:trPr>
          <w:trHeight w:val="1869" w:hRule="atLeast"/>
        </w:trPr>
        <w:tc>
          <w:tcPr>
            <w:tcW w:w="329" w:type="pct"/>
            <w:vMerge w:val="continue"/>
            <w:tcBorders>
              <w:left w:val="single" w:color="000000" w:sz="6"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pacing w:line="240" w:lineRule="auto"/>
              <w:textAlignment w:val="auto"/>
            </w:pPr>
          </w:p>
        </w:tc>
        <w:tc>
          <w:tcPr>
            <w:tcW w:w="306" w:type="pct"/>
            <w:vMerge w:val="continue"/>
            <w:tcBorders>
              <w:left w:val="single" w:color="000000" w:sz="6"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pacing w:line="240" w:lineRule="auto"/>
              <w:textAlignment w:val="auto"/>
            </w:pPr>
          </w:p>
        </w:tc>
        <w:tc>
          <w:tcPr>
            <w:tcW w:w="1297" w:type="pct"/>
            <w:tcBorders>
              <w:top w:val="single" w:color="000000" w:sz="4" w:space="0"/>
              <w:left w:val="single" w:color="000000" w:sz="6" w:space="0"/>
              <w:bottom w:val="single" w:color="auto" w:sz="4" w:space="0"/>
              <w:right w:val="single" w:color="000000" w:sz="4" w:space="0"/>
            </w:tcBorders>
            <w:vAlign w:val="center"/>
          </w:tcPr>
          <w:p>
            <w:pPr>
              <w:pStyle w:val="45"/>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bookmarkStart w:id="132" w:name="_GoBack"/>
            <w:bookmarkEnd w:id="132"/>
            <w:r>
              <w:rPr>
                <w:rFonts w:hint="eastAsia" w:ascii="仿宋" w:hAnsi="仿宋" w:eastAsia="仿宋" w:cs="仿宋"/>
                <w:color w:val="auto"/>
                <w:kern w:val="2"/>
                <w:sz w:val="21"/>
                <w:szCs w:val="21"/>
                <w:highlight w:val="none"/>
                <w:lang w:val="en-US" w:eastAsia="zh-CN" w:bidi="ar-SA"/>
              </w:rPr>
              <w:t>体系认证</w:t>
            </w:r>
          </w:p>
        </w:tc>
        <w:tc>
          <w:tcPr>
            <w:tcW w:w="3065" w:type="pct"/>
            <w:tcBorders>
              <w:top w:val="single" w:color="000000" w:sz="4" w:space="0"/>
              <w:left w:val="nil"/>
              <w:bottom w:val="single" w:color="auto" w:sz="4" w:space="0"/>
              <w:right w:val="single" w:color="000000" w:sz="4" w:space="0"/>
            </w:tcBorders>
            <w:vAlign w:val="center"/>
          </w:tcPr>
          <w:p>
            <w:pPr>
              <w:pStyle w:val="45"/>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人应具有并提供有效的GB/T19001（ISO9001）质量体系认证证书、GB/T24001（ISO14001）环境管理体系认证证书、OHSAS18001或GB/T45001(ISO45001)职业健康管理体系认证证书，国内认证机构签发的证书应可在中国国家认证认可监督管理委员会网站(http://www.cnca.gov.cn/)核实。如果有国家相关部门发布的最新体系标准，以最新体系标准为准。投标时需提供原件扫描件（原件备查））。</w:t>
            </w:r>
          </w:p>
        </w:tc>
      </w:tr>
      <w:tr>
        <w:tblPrEx>
          <w:tblCellMar>
            <w:top w:w="0" w:type="dxa"/>
            <w:left w:w="0" w:type="dxa"/>
            <w:bottom w:w="0" w:type="dxa"/>
            <w:right w:w="0" w:type="dxa"/>
          </w:tblCellMar>
        </w:tblPrEx>
        <w:trPr>
          <w:trHeight w:val="696"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auto"/>
                <w:sz w:val="21"/>
                <w:szCs w:val="21"/>
                <w:highlight w:val="none"/>
                <w:lang w:eastAsia="zh-CN"/>
              </w:rPr>
            </w:pPr>
          </w:p>
        </w:tc>
        <w:tc>
          <w:tcPr>
            <w:tcW w:w="1297" w:type="pct"/>
            <w:tcBorders>
              <w:top w:val="single" w:color="auto" w:sz="4" w:space="0"/>
              <w:left w:val="single" w:color="000000" w:sz="6" w:space="0"/>
              <w:bottom w:val="single" w:color="000000" w:sz="4" w:space="0"/>
              <w:right w:val="single" w:color="000000" w:sz="4" w:space="0"/>
            </w:tcBorders>
            <w:vAlign w:val="center"/>
          </w:tcPr>
          <w:p>
            <w:pPr>
              <w:pStyle w:val="45"/>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lang w:eastAsia="zh-CN"/>
                <w14:textFill>
                  <w14:solidFill>
                    <w14:schemeClr w14:val="tx1"/>
                  </w14:solidFill>
                </w14:textFill>
              </w:rPr>
              <w:t>信誉要求</w:t>
            </w:r>
          </w:p>
        </w:tc>
        <w:tc>
          <w:tcPr>
            <w:tcW w:w="3065" w:type="pct"/>
            <w:tcBorders>
              <w:top w:val="single" w:color="auto" w:sz="4" w:space="0"/>
              <w:left w:val="nil"/>
              <w:bottom w:val="single" w:color="000000" w:sz="4" w:space="0"/>
              <w:right w:val="single" w:color="000000" w:sz="4" w:space="0"/>
            </w:tcBorders>
            <w:vAlign w:val="center"/>
          </w:tcPr>
          <w:p>
            <w:pPr>
              <w:pStyle w:val="45"/>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应答人应提供《5.7：供应商承诺书》，应答人应按照模版格式，对涉及信誉情形进行承诺，并加盖</w:t>
            </w:r>
            <w:r>
              <w:rPr>
                <w:rFonts w:hint="eastAsia" w:ascii="仿宋" w:hAnsi="仿宋" w:eastAsia="仿宋" w:cs="仿宋"/>
                <w:color w:val="000000" w:themeColor="text1"/>
                <w:sz w:val="21"/>
                <w:szCs w:val="21"/>
                <w:highlight w:val="none"/>
                <w:lang w:eastAsia="zh-CN"/>
                <w14:textFill>
                  <w14:solidFill>
                    <w14:schemeClr w14:val="tx1"/>
                  </w14:solidFill>
                </w14:textFill>
              </w:rPr>
              <w:t>单位章</w:t>
            </w:r>
            <w:r>
              <w:rPr>
                <w:rFonts w:hint="eastAsia" w:ascii="仿宋" w:hAnsi="仿宋" w:eastAsia="仿宋" w:cs="仿宋"/>
                <w:color w:val="000000" w:themeColor="text1"/>
                <w:sz w:val="21"/>
                <w:szCs w:val="21"/>
                <w:highlight w:val="none"/>
                <w:lang w:val="en-US" w:eastAsia="zh-CN"/>
                <w14:textFill>
                  <w14:solidFill>
                    <w14:schemeClr w14:val="tx1"/>
                  </w14:solidFill>
                </w14:textFill>
              </w:rPr>
              <w:t>。如应答人未提供或不符合填报要求以及无法满足承诺项的，都将影响评审结果。</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（备注：评审时评委通过网上查询结果进行评审，如查询不合格则废标处理。）</w:t>
            </w:r>
          </w:p>
        </w:tc>
      </w:tr>
      <w:tr>
        <w:tblPrEx>
          <w:tblCellMar>
            <w:top w:w="0" w:type="dxa"/>
            <w:left w:w="0" w:type="dxa"/>
            <w:bottom w:w="0" w:type="dxa"/>
            <w:right w:w="0" w:type="dxa"/>
          </w:tblCellMar>
        </w:tblPrEx>
        <w:trPr>
          <w:trHeight w:val="2008"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auto"/>
                <w:sz w:val="21"/>
                <w:szCs w:val="21"/>
                <w:highlight w:val="none"/>
                <w:lang w:eastAsia="zh-CN"/>
              </w:rPr>
            </w:pPr>
          </w:p>
        </w:tc>
        <w:tc>
          <w:tcPr>
            <w:tcW w:w="1297" w:type="pct"/>
            <w:tcBorders>
              <w:top w:val="single" w:color="000000" w:sz="4" w:space="0"/>
              <w:left w:val="single" w:color="000000" w:sz="6" w:space="0"/>
              <w:bottom w:val="single" w:color="000000" w:sz="4" w:space="0"/>
              <w:right w:val="single" w:color="000000" w:sz="4" w:space="0"/>
            </w:tcBorders>
            <w:vAlign w:val="center"/>
          </w:tcPr>
          <w:p>
            <w:pPr>
              <w:pStyle w:val="45"/>
              <w:numPr>
                <w:ilvl w:val="-1"/>
                <w:numId w:val="0"/>
              </w:numPr>
              <w:jc w:val="both"/>
              <w:rPr>
                <w:rFonts w:hint="eastAsia" w:ascii="仿宋" w:hAnsi="仿宋" w:eastAsia="仿宋" w:cs="仿宋"/>
                <w:color w:val="C00000"/>
                <w:kern w:val="2"/>
                <w:sz w:val="21"/>
                <w:szCs w:val="21"/>
                <w:highlight w:val="none"/>
                <w:lang w:eastAsia="zh-CN"/>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应答人或应答人所提供的第三方不得存在的其他情形</w:t>
            </w:r>
          </w:p>
          <w:p>
            <w:pPr>
              <w:pStyle w:val="45"/>
              <w:jc w:val="center"/>
              <w:rPr>
                <w:rFonts w:hint="default" w:ascii="仿宋" w:hAnsi="仿宋" w:eastAsia="仿宋" w:cs="仿宋"/>
                <w:color w:val="auto"/>
                <w:kern w:val="2"/>
                <w:sz w:val="21"/>
                <w:szCs w:val="21"/>
                <w:highlight w:val="none"/>
                <w:lang w:val="en-US" w:eastAsia="zh-CN" w:bidi="ar-SA"/>
              </w:rPr>
            </w:pPr>
          </w:p>
        </w:tc>
        <w:tc>
          <w:tcPr>
            <w:tcW w:w="3065" w:type="pct"/>
            <w:tcBorders>
              <w:top w:val="single" w:color="000000" w:sz="4" w:space="0"/>
              <w:left w:val="nil"/>
              <w:bottom w:val="single" w:color="000000" w:sz="4" w:space="0"/>
              <w:right w:val="single" w:color="000000" w:sz="4" w:space="0"/>
            </w:tcBorders>
            <w:vAlign w:val="center"/>
          </w:tcPr>
          <w:p>
            <w:pPr>
              <w:pStyle w:val="45"/>
              <w:jc w:val="left"/>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被中国海洋石油集团有限公司在集团范围内进行风险提示，且在中国海洋石油集团有限公司《中国海油供应链数字化平台》中被采购冻结，进入调查程序的；</w:t>
            </w:r>
          </w:p>
          <w:p>
            <w:pPr>
              <w:pStyle w:val="45"/>
              <w:jc w:val="left"/>
              <w:rPr>
                <w:rFonts w:hint="eastAsia"/>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w:t>
            </w:r>
            <w:r>
              <w:rPr>
                <w:rFonts w:hint="eastAsia" w:ascii="仿宋" w:hAnsi="仿宋" w:eastAsia="仿宋" w:cs="仿宋"/>
                <w:color w:val="000000" w:themeColor="text1"/>
                <w:sz w:val="21"/>
                <w:szCs w:val="21"/>
                <w:highlight w:val="none"/>
                <w:lang w:val="en-US" w:eastAsia="zh-CN"/>
                <w14:textFill>
                  <w14:solidFill>
                    <w14:schemeClr w14:val="tx1"/>
                  </w14:solidFill>
                </w14:textFill>
              </w:rPr>
              <w:t>及</w:t>
            </w:r>
            <w:r>
              <w:rPr>
                <w:rFonts w:hint="eastAsia" w:ascii="仿宋" w:hAnsi="仿宋" w:eastAsia="仿宋" w:cs="仿宋"/>
                <w:color w:val="000000" w:themeColor="text1"/>
                <w:sz w:val="21"/>
                <w:szCs w:val="21"/>
                <w:highlight w:val="none"/>
                <w:lang w:eastAsia="zh-CN"/>
                <w14:textFill>
                  <w14:solidFill>
                    <w14:schemeClr w14:val="tx1"/>
                  </w14:solidFill>
                </w14:textFill>
              </w:rPr>
              <w:t>所属单位处以“</w:t>
            </w:r>
            <w:r>
              <w:rPr>
                <w:rFonts w:hint="eastAsia" w:ascii="仿宋" w:hAnsi="仿宋" w:eastAsia="仿宋" w:cs="仿宋"/>
                <w:color w:val="000000" w:themeColor="text1"/>
                <w:sz w:val="21"/>
                <w:szCs w:val="21"/>
                <w:highlight w:val="none"/>
                <w:lang w:val="en-US" w:eastAsia="zh-CN"/>
                <w14:textFill>
                  <w14:solidFill>
                    <w14:schemeClr w14:val="tx1"/>
                  </w14:solidFill>
                </w14:textFill>
              </w:rPr>
              <w:t>禁用</w:t>
            </w:r>
            <w:r>
              <w:rPr>
                <w:rFonts w:hint="eastAsia" w:ascii="仿宋" w:hAnsi="仿宋" w:eastAsia="仿宋" w:cs="仿宋"/>
                <w:color w:val="000000" w:themeColor="text1"/>
                <w:sz w:val="21"/>
                <w:szCs w:val="21"/>
                <w:highlight w:val="none"/>
                <w:lang w:eastAsia="zh-CN"/>
                <w14:textFill>
                  <w14:solidFill>
                    <w14:schemeClr w14:val="tx1"/>
                  </w14:solidFill>
                </w14:textFill>
              </w:rPr>
              <w:t>”处罚，且仍在处罚期内或处罚期满但在系统中的供应商档案中的“档案状态”为“</w:t>
            </w:r>
            <w:r>
              <w:rPr>
                <w:rFonts w:hint="eastAsia" w:ascii="仿宋" w:hAnsi="仿宋" w:eastAsia="仿宋" w:cs="仿宋"/>
                <w:color w:val="000000" w:themeColor="text1"/>
                <w:sz w:val="21"/>
                <w:szCs w:val="21"/>
                <w:highlight w:val="none"/>
                <w:lang w:val="en-US" w:eastAsia="zh-CN"/>
                <w14:textFill>
                  <w14:solidFill>
                    <w14:schemeClr w14:val="tx1"/>
                  </w14:solidFill>
                </w14:textFill>
              </w:rPr>
              <w:t>受控</w:t>
            </w:r>
            <w:r>
              <w:rPr>
                <w:rFonts w:hint="eastAsia" w:ascii="仿宋" w:hAnsi="仿宋" w:eastAsia="仿宋" w:cs="仿宋"/>
                <w:color w:val="000000" w:themeColor="text1"/>
                <w:sz w:val="21"/>
                <w:szCs w:val="21"/>
                <w:highlight w:val="none"/>
                <w:lang w:eastAsia="zh-CN"/>
                <w14:textFill>
                  <w14:solidFill>
                    <w14:schemeClr w14:val="tx1"/>
                  </w14:solidFill>
                </w14:textFill>
              </w:rPr>
              <w:t>”、“业务状态”为“采购冻结”的。</w:t>
            </w:r>
          </w:p>
        </w:tc>
      </w:tr>
      <w:tr>
        <w:tblPrEx>
          <w:tblCellMar>
            <w:top w:w="0" w:type="dxa"/>
            <w:left w:w="0" w:type="dxa"/>
            <w:bottom w:w="0" w:type="dxa"/>
            <w:right w:w="0" w:type="dxa"/>
          </w:tblCellMar>
        </w:tblPrEx>
        <w:trPr>
          <w:trHeight w:val="1427"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000000" w:sz="4" w:space="0"/>
              <w:left w:val="single" w:color="000000" w:sz="6" w:space="0"/>
              <w:right w:val="single" w:color="000000" w:sz="4" w:space="0"/>
            </w:tcBorders>
            <w:vAlign w:val="center"/>
          </w:tcPr>
          <w:p>
            <w:pPr>
              <w:pStyle w:val="10"/>
              <w:tabs>
                <w:tab w:val="left" w:pos="770"/>
              </w:tabs>
              <w:ind w:left="0" w:right="134"/>
              <w:jc w:val="left"/>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制造商要求</w:t>
            </w:r>
          </w:p>
        </w:tc>
        <w:tc>
          <w:tcPr>
            <w:tcW w:w="3065" w:type="pct"/>
            <w:tcBorders>
              <w:top w:val="single" w:color="000000" w:sz="4" w:space="0"/>
              <w:left w:val="nil"/>
              <w:bottom w:val="single" w:color="000000" w:sz="4" w:space="0"/>
              <w:right w:val="single" w:color="000000" w:sz="4" w:space="0"/>
            </w:tcBorders>
            <w:vAlign w:val="center"/>
          </w:tcPr>
          <w:p>
            <w:pPr>
              <w:widowControl/>
              <w:numPr>
                <w:ilvl w:val="0"/>
                <w:numId w:val="0"/>
              </w:numPr>
              <w:ind w:firstLine="0" w:firstLineChars="0"/>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本次采购仅允许制造商参与。应答人应严格按照本次采购内容界定供应商属性，如为制造商，须按照本《询比文件》提供的格式填写《5.7：供应商承诺书》，并根据《5.8：制造商属性证明书》中的要求提供相关证明材料。</w:t>
            </w:r>
          </w:p>
        </w:tc>
      </w:tr>
      <w:tr>
        <w:tblPrEx>
          <w:tblCellMar>
            <w:top w:w="0" w:type="dxa"/>
            <w:left w:w="0" w:type="dxa"/>
            <w:bottom w:w="0" w:type="dxa"/>
            <w:right w:w="0" w:type="dxa"/>
          </w:tblCellMar>
        </w:tblPrEx>
        <w:trPr>
          <w:trHeight w:val="479"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000000" w:sz="4" w:space="0"/>
              <w:left w:val="single" w:color="000000" w:sz="6" w:space="0"/>
              <w:bottom w:val="single" w:color="000000" w:sz="4" w:space="0"/>
              <w:right w:val="single" w:color="000000" w:sz="4" w:space="0"/>
            </w:tcBorders>
            <w:vAlign w:val="center"/>
          </w:tcPr>
          <w:p>
            <w:pPr>
              <w:pStyle w:val="45"/>
              <w:spacing w:line="300" w:lineRule="exact"/>
              <w:jc w:val="left"/>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w:t>
            </w:r>
            <w:r>
              <w:rPr>
                <w:rFonts w:hint="eastAsia" w:ascii="仿宋" w:hAnsi="仿宋" w:eastAsia="仿宋" w:cs="仿宋"/>
                <w:b w:val="0"/>
                <w:bCs/>
                <w:color w:val="000000" w:themeColor="text1"/>
                <w:sz w:val="21"/>
                <w:szCs w:val="21"/>
                <w:highlight w:val="none"/>
                <w:lang w:eastAsia="zh-CN"/>
                <w14:textFill>
                  <w14:solidFill>
                    <w14:schemeClr w14:val="tx1"/>
                  </w14:solidFill>
                </w14:textFill>
              </w:rPr>
              <w:t>业绩要求</w:t>
            </w:r>
          </w:p>
          <w:p>
            <w:pPr>
              <w:pStyle w:val="45"/>
              <w:spacing w:line="300" w:lineRule="exact"/>
              <w:jc w:val="both"/>
              <w:rPr>
                <w:rFonts w:hint="eastAsia" w:asciiTheme="minorHAnsi" w:hAnsiTheme="minorHAnsi" w:eastAsiaTheme="minorEastAsia" w:cstheme="minorBidi"/>
                <w:kern w:val="2"/>
                <w:sz w:val="21"/>
                <w:szCs w:val="22"/>
                <w:lang w:val="en-US" w:eastAsia="zh-CN" w:bidi="ar-SA"/>
              </w:rPr>
            </w:pPr>
          </w:p>
        </w:tc>
        <w:tc>
          <w:tcPr>
            <w:tcW w:w="3065"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1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1.</w:t>
            </w:r>
            <w:r>
              <w:rPr>
                <w:rFonts w:hint="eastAsia" w:ascii="仿宋" w:hAnsi="仿宋" w:eastAsia="仿宋" w:cs="仿宋"/>
                <w:b/>
                <w:bCs/>
                <w:color w:val="000000" w:themeColor="text1"/>
                <w:sz w:val="21"/>
                <w:szCs w:val="21"/>
                <w:highlight w:val="none"/>
                <w14:textFill>
                  <w14:solidFill>
                    <w14:schemeClr w14:val="tx1"/>
                  </w14:solidFill>
                </w14:textFill>
              </w:rPr>
              <w:t>货物类</w:t>
            </w:r>
            <w:r>
              <w:rPr>
                <w:rFonts w:hint="eastAsia" w:ascii="仿宋" w:hAnsi="仿宋" w:eastAsia="仿宋" w:cs="仿宋"/>
                <w:color w:val="000000" w:themeColor="text1"/>
                <w:sz w:val="21"/>
                <w:szCs w:val="21"/>
                <w:highlight w:val="none"/>
                <w14:textFill>
                  <w14:solidFill>
                    <w14:schemeClr w14:val="tx1"/>
                  </w14:solidFill>
                </w14:textFill>
              </w:rPr>
              <w:t>：1、自 2022年1月1日至投标截止日（以合同签署时间为准），投标人应具有至少1个合同的输送-33℃及以下低温物料、额定流量不低于20m³/h、扬程不低于30m泵的供货业绩。</w:t>
            </w:r>
          </w:p>
          <w:p>
            <w:pPr>
              <w:keepNext w:val="0"/>
              <w:keepLines w:val="0"/>
              <w:pageBreakBefore w:val="0"/>
              <w:widowControl w:val="0"/>
              <w:kinsoku/>
              <w:wordWrap/>
              <w:overflowPunct/>
              <w:topLinePunct w:val="0"/>
              <w:autoSpaceDE/>
              <w:autoSpaceDN/>
              <w:bidi w:val="0"/>
              <w:adjustRightInd/>
              <w:snapToGrid/>
              <w:spacing w:line="240" w:lineRule="auto"/>
              <w:ind w:right="1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投标人须按规定格式提交业绩表，并提交相关业绩证明文件。业绩证明文件包括：1）销售合同和2）用户签字或盖章的到货验收材料（到货验收单或调试验收报告或其他可以证明合同项下货物已经到货验收的有效证明材料）。投标人所提交的业绩证明文件必须至少体现以下内容：合同签署时间、合同签署页（国内贸易合同应有双方盖章，国际贸易合同应有双方签字或盖章）、制造商名称、货物名称、用户签字或盖章的到货验收材料，合同对应的</w:t>
            </w:r>
            <w:r>
              <w:rPr>
                <w:rFonts w:hint="eastAsia" w:ascii="仿宋" w:hAnsi="仿宋" w:eastAsia="仿宋" w:cs="仿宋"/>
                <w:color w:val="000000" w:themeColor="text1"/>
                <w:sz w:val="21"/>
                <w:szCs w:val="21"/>
                <w:highlight w:val="yellow"/>
                <w14:textFill>
                  <w14:solidFill>
                    <w14:schemeClr w14:val="tx1"/>
                  </w14:solidFill>
                </w14:textFill>
              </w:rPr>
              <w:t>全额</w:t>
            </w:r>
            <w:r>
              <w:rPr>
                <w:rFonts w:hint="eastAsia" w:ascii="仿宋" w:hAnsi="仿宋" w:eastAsia="仿宋" w:cs="仿宋"/>
                <w:color w:val="000000" w:themeColor="text1"/>
                <w:sz w:val="21"/>
                <w:szCs w:val="21"/>
                <w:highlight w:val="none"/>
                <w14:textFill>
                  <w14:solidFill>
                    <w14:schemeClr w14:val="tx1"/>
                  </w14:solidFill>
                </w14:textFill>
              </w:rPr>
              <w:t>发票。</w:t>
            </w:r>
          </w:p>
          <w:p>
            <w:pPr>
              <w:keepNext w:val="0"/>
              <w:keepLines w:val="0"/>
              <w:pageBreakBefore w:val="0"/>
              <w:widowControl w:val="0"/>
              <w:kinsoku/>
              <w:wordWrap/>
              <w:overflowPunct/>
              <w:topLinePunct w:val="0"/>
              <w:autoSpaceDE/>
              <w:autoSpaceDN/>
              <w:bidi w:val="0"/>
              <w:adjustRightInd/>
              <w:snapToGrid/>
              <w:spacing w:line="240" w:lineRule="auto"/>
              <w:ind w:right="1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3、若业绩合同为年度协议，除提供年度协议外，还应至少提供1项已完成的订单，订单内容或编号应与年度协议相关联。同一个年度协议下提供1个或以上的订单及与订单对应的到货验收材料均算为1个有效业绩。</w:t>
            </w:r>
          </w:p>
          <w:p>
            <w:pPr>
              <w:numPr>
                <w:ilvl w:val="0"/>
                <w:numId w:val="0"/>
              </w:numPr>
              <w:spacing w:line="240" w:lineRule="auto"/>
              <w:rPr>
                <w:rFonts w:hint="eastAsia" w:ascii="仿宋" w:hAnsi="仿宋" w:eastAsia="仿宋" w:cs="仿宋"/>
                <w:b/>
                <w:bCs/>
                <w:strike w:val="0"/>
                <w:dstrike w:val="0"/>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未提交业绩证明文件，或通过所提供的业绩证明文件无法认定满足上述业绩要求的，均视为无效业绩，业绩资料原件备查。</w:t>
            </w:r>
          </w:p>
          <w:p>
            <w:pPr>
              <w:pStyle w:val="39"/>
              <w:rPr>
                <w:rFonts w:hint="default"/>
                <w:lang w:val="en-US" w:eastAsia="zh-CN"/>
              </w:rPr>
            </w:pPr>
            <w:r>
              <w:rPr>
                <w:rFonts w:hint="eastAsia" w:ascii="仿宋" w:hAnsi="仿宋" w:eastAsia="仿宋" w:cs="仿宋"/>
                <w:b/>
                <w:bCs/>
                <w:color w:val="auto"/>
                <w:kern w:val="2"/>
                <w:sz w:val="21"/>
                <w:szCs w:val="21"/>
                <w:highlight w:val="none"/>
                <w:lang w:val="en-US" w:eastAsia="zh-CN" w:bidi="ar-SA"/>
              </w:rPr>
              <w:t>4、</w:t>
            </w:r>
            <w:r>
              <w:rPr>
                <w:rFonts w:hint="eastAsia" w:ascii="仿宋" w:hAnsi="仿宋" w:eastAsia="仿宋" w:cs="仿宋"/>
                <w:b/>
                <w:bCs/>
                <w:color w:val="000000" w:themeColor="text1"/>
                <w:kern w:val="2"/>
                <w:sz w:val="21"/>
                <w:szCs w:val="21"/>
                <w:highlight w:val="none"/>
                <w:lang w:val="en-US" w:eastAsia="zh-CN" w:bidi="ar-SA"/>
                <w14:textFill>
                  <w14:solidFill>
                    <w14:schemeClr w14:val="tx1"/>
                  </w14:solidFill>
                </w14:textFill>
              </w:rPr>
              <w:t>没有提供业绩证明文件或部分业绩证明文件，均视为未响应。</w:t>
            </w:r>
            <w:r>
              <w:rPr>
                <w:rFonts w:hint="eastAsia" w:ascii="仿宋" w:hAnsi="仿宋" w:eastAsia="仿宋" w:cs="仿宋"/>
                <w:b/>
                <w:bCs/>
                <w:color w:val="auto"/>
                <w:kern w:val="2"/>
                <w:sz w:val="21"/>
                <w:szCs w:val="21"/>
                <w:highlight w:val="none"/>
                <w:lang w:val="en-US" w:eastAsia="zh-CN" w:bidi="ar-SA"/>
              </w:rPr>
              <w:t>应答人所提供的业绩须为合格且有效的业绩，全部发票不得出现因质量等问题导致的退票、作废、红冲等情况。</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评审时评委通过网上查询发票真伪，</w:t>
            </w:r>
            <w:r>
              <w:rPr>
                <w:rFonts w:hint="eastAsia" w:ascii="仿宋" w:hAnsi="仿宋" w:eastAsia="仿宋" w:cs="仿宋"/>
                <w:b/>
                <w:bCs/>
                <w:strike w:val="0"/>
                <w:dstrike w:val="0"/>
                <w:color w:val="000000" w:themeColor="text1"/>
                <w:highlight w:val="none"/>
                <w:lang w:val="en-US" w:eastAsia="zh-CN"/>
                <w14:textFill>
                  <w14:solidFill>
                    <w14:schemeClr w14:val="tx1"/>
                  </w14:solidFill>
                </w14:textFill>
              </w:rPr>
              <w:t>如查询发票</w:t>
            </w:r>
            <w:r>
              <w:rPr>
                <w:rFonts w:hint="eastAsia" w:ascii="仿宋" w:hAnsi="仿宋" w:eastAsia="仿宋" w:cs="仿宋"/>
                <w:b/>
                <w:bCs/>
                <w:color w:val="auto"/>
                <w:kern w:val="2"/>
                <w:sz w:val="21"/>
                <w:szCs w:val="21"/>
                <w:highlight w:val="none"/>
                <w:lang w:val="en-US" w:eastAsia="zh-CN" w:bidi="ar-SA"/>
              </w:rPr>
              <w:t>出现退票、作废、红冲等情况，</w:t>
            </w:r>
            <w:r>
              <w:rPr>
                <w:rFonts w:hint="eastAsia" w:ascii="仿宋" w:hAnsi="仿宋" w:eastAsia="仿宋" w:cs="仿宋"/>
                <w:b/>
                <w:bCs/>
                <w:color w:val="auto"/>
                <w:kern w:val="2"/>
                <w:sz w:val="21"/>
                <w:szCs w:val="21"/>
                <w:highlight w:val="yellow"/>
                <w:lang w:val="en-US" w:eastAsia="zh-CN" w:bidi="ar-SA"/>
              </w:rPr>
              <w:t>本项业绩将直接评审为不合格</w:t>
            </w:r>
            <w:r>
              <w:rPr>
                <w:rFonts w:hint="eastAsia" w:ascii="仿宋" w:hAnsi="仿宋" w:eastAsia="仿宋" w:cs="仿宋"/>
                <w:b/>
                <w:bCs/>
                <w:color w:val="000000" w:themeColor="text1"/>
                <w:sz w:val="21"/>
                <w:szCs w:val="21"/>
                <w:highlight w:val="yellow"/>
                <w:lang w:val="en-US" w:eastAsia="zh-CN"/>
                <w14:textFill>
                  <w14:solidFill>
                    <w14:schemeClr w14:val="tx1"/>
                  </w14:solidFill>
                </w14:textFill>
              </w:rPr>
              <w:t>。如包含多项业绩，每项业绩均按照以上要求评审，如所有业绩评审均不合格，则此项将直接评审为不合格。（也可要求：如提供多项业绩，其中一项业绩评审不合格，则此项直接评审为不合格）</w:t>
            </w:r>
          </w:p>
          <w:p>
            <w:pPr>
              <w:pStyle w:val="39"/>
              <w:rPr>
                <w:rFonts w:hint="eastAsia" w:asciiTheme="minorHAnsi" w:hAnsiTheme="minorHAnsi" w:eastAsiaTheme="minorEastAsia" w:cstheme="minorBidi"/>
                <w:kern w:val="2"/>
                <w:sz w:val="21"/>
                <w:szCs w:val="22"/>
                <w:lang w:val="en-US" w:eastAsia="zh-CN" w:bidi="ar-SA"/>
              </w:rPr>
            </w:pPr>
          </w:p>
        </w:tc>
      </w:tr>
      <w:tr>
        <w:tblPrEx>
          <w:tblCellMar>
            <w:top w:w="0" w:type="dxa"/>
            <w:left w:w="0" w:type="dxa"/>
            <w:bottom w:w="0" w:type="dxa"/>
            <w:right w:w="0" w:type="dxa"/>
          </w:tblCellMar>
        </w:tblPrEx>
        <w:trPr>
          <w:trHeight w:val="479"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auto" w:sz="4" w:space="0"/>
              <w:left w:val="single" w:color="000000" w:sz="6" w:space="0"/>
              <w:bottom w:val="nil"/>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lang w:val="en-US" w:eastAsia="zh-CN"/>
              </w:rPr>
              <w:t>★</w:t>
            </w:r>
            <w:r>
              <w:rPr>
                <w:rFonts w:hint="eastAsia" w:ascii="宋体" w:hAnsi="宋体" w:eastAsia="宋体" w:cs="宋体"/>
                <w:i w:val="0"/>
                <w:iCs w:val="0"/>
                <w:color w:val="000000"/>
                <w:kern w:val="0"/>
                <w:sz w:val="18"/>
                <w:szCs w:val="18"/>
                <w:u w:val="none"/>
                <w:lang w:val="en-US" w:eastAsia="zh-CN" w:bidi="ar"/>
              </w:rPr>
              <w:t>财务要求</w:t>
            </w:r>
          </w:p>
        </w:tc>
        <w:tc>
          <w:tcPr>
            <w:tcW w:w="3065" w:type="pct"/>
            <w:tcBorders>
              <w:top w:val="single" w:color="auto" w:sz="4" w:space="0"/>
              <w:left w:val="nil"/>
              <w:bottom w:val="nil"/>
              <w:right w:val="single" w:color="000000" w:sz="4" w:space="0"/>
            </w:tcBorders>
            <w:vAlign w:val="center"/>
          </w:tcPr>
          <w:p>
            <w:pPr>
              <w:pStyle w:val="15"/>
              <w:numPr>
                <w:ilvl w:val="0"/>
                <w:numId w:val="0"/>
              </w:numPr>
              <w:ind w:left="0" w:leftChars="0" w:firstLine="0" w:firstLineChars="0"/>
              <w:rPr>
                <w:rFonts w:hint="eastAsia" w:ascii="仿宋" w:hAnsi="仿宋" w:eastAsia="仿宋" w:cs="仿宋"/>
                <w:strike w:val="0"/>
                <w:color w:val="auto"/>
                <w:sz w:val="21"/>
                <w:szCs w:val="21"/>
                <w:highlight w:val="none"/>
                <w:lang w:val="en-US" w:eastAsia="zh-CN"/>
              </w:rPr>
            </w:pPr>
            <w:r>
              <w:rPr>
                <w:rFonts w:hint="default"/>
                <w:lang w:val="en-US" w:eastAsia="zh-CN"/>
              </w:rPr>
              <w:t>投标人提供2022-2024年经会计事务所或审计机构审计的财务报表，包含资产负债表、现金流量表、利润表。投标人的成立时间少于规定年份的，应提供成立以来的财务会计报表。投标人为分公司的，应提供上级法人单位的经会计师事务所或审计机构审计的上述年度财务会计报表</w:t>
            </w:r>
          </w:p>
        </w:tc>
      </w:tr>
      <w:tr>
        <w:tblPrEx>
          <w:tblCellMar>
            <w:top w:w="0" w:type="dxa"/>
            <w:left w:w="0" w:type="dxa"/>
            <w:bottom w:w="0" w:type="dxa"/>
            <w:right w:w="0" w:type="dxa"/>
          </w:tblCellMar>
        </w:tblPrEx>
        <w:trPr>
          <w:trHeight w:val="479"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auto" w:sz="4" w:space="0"/>
              <w:left w:val="single" w:color="000000" w:sz="6" w:space="0"/>
              <w:bottom w:val="nil"/>
              <w:right w:val="single" w:color="000000" w:sz="4" w:space="0"/>
            </w:tcBorders>
            <w:vAlign w:val="center"/>
          </w:tcPr>
          <w:p>
            <w:pPr>
              <w:pStyle w:val="45"/>
              <w:spacing w:line="30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bCs/>
                <w:color w:val="000000" w:themeColor="text1"/>
                <w:sz w:val="21"/>
                <w:szCs w:val="21"/>
                <w:highlight w:val="none"/>
                <w:lang w:eastAsia="zh-CN"/>
                <w14:textFill>
                  <w14:solidFill>
                    <w14:schemeClr w14:val="tx1"/>
                  </w14:solidFill>
                </w14:textFill>
              </w:rPr>
              <w:t>付款条款</w:t>
            </w:r>
          </w:p>
        </w:tc>
        <w:tc>
          <w:tcPr>
            <w:tcW w:w="3065" w:type="pct"/>
            <w:tcBorders>
              <w:top w:val="single" w:color="auto" w:sz="4" w:space="0"/>
              <w:left w:val="nil"/>
              <w:bottom w:val="nil"/>
              <w:right w:val="single" w:color="000000" w:sz="4" w:space="0"/>
            </w:tcBorders>
            <w:vAlign w:val="center"/>
          </w:tcPr>
          <w:p>
            <w:pPr>
              <w:pStyle w:val="9"/>
              <w:ind w:right="11"/>
              <w:rPr>
                <w:rFonts w:hint="eastAsia" w:ascii="仿宋" w:hAnsi="仿宋" w:eastAsia="仿宋" w:cs="仿宋"/>
                <w:strike w:val="0"/>
                <w:color w:val="auto"/>
                <w:sz w:val="21"/>
                <w:szCs w:val="21"/>
                <w:highlight w:val="none"/>
                <w:lang w:val="en-US" w:eastAsia="zh-CN"/>
              </w:rPr>
            </w:pPr>
            <w:r>
              <w:rPr>
                <w:rFonts w:hint="eastAsia" w:ascii="仿宋" w:hAnsi="仿宋" w:eastAsia="仿宋" w:cs="仿宋"/>
                <w:strike w:val="0"/>
                <w:color w:val="auto"/>
                <w:sz w:val="21"/>
                <w:szCs w:val="21"/>
                <w:highlight w:val="none"/>
                <w:lang w:val="en-US" w:eastAsia="zh-CN"/>
              </w:rPr>
              <w:t>1、卖方在合同规定的期限内将货物运至交货地点，经安装、调试、运行性能验收合格后，双方签署验收报告，卖方提供合同总额100%的有效增值税专用发票和满足EDIS要求的完工文件，买方收到发票及相关支持文件后45日内支付合同总额的97%；</w:t>
            </w:r>
          </w:p>
          <w:p>
            <w:pPr>
              <w:pStyle w:val="9"/>
              <w:ind w:right="11"/>
              <w:rPr>
                <w:rFonts w:hint="eastAsia" w:ascii="仿宋" w:hAnsi="仿宋" w:eastAsia="仿宋" w:cs="仿宋"/>
                <w:strike w:val="0"/>
                <w:color w:val="auto"/>
                <w:sz w:val="21"/>
                <w:szCs w:val="21"/>
                <w:highlight w:val="yellow"/>
                <w:lang w:val="en-US" w:eastAsia="zh-CN"/>
              </w:rPr>
            </w:pPr>
            <w:r>
              <w:rPr>
                <w:rFonts w:hint="eastAsia" w:ascii="仿宋" w:hAnsi="仿宋" w:eastAsia="仿宋" w:cs="仿宋"/>
                <w:strike w:val="0"/>
                <w:color w:val="auto"/>
                <w:sz w:val="21"/>
                <w:szCs w:val="21"/>
                <w:highlight w:val="none"/>
                <w:lang w:val="en-US" w:eastAsia="zh-CN"/>
              </w:rPr>
              <w:t>2、合同总额的3%作为质保金，质保期结束且无任何质量问题，买方凭卖方开具的正式的合同金额3%的有效票据后45日内支付质保金。</w:t>
            </w:r>
          </w:p>
        </w:tc>
      </w:tr>
      <w:tr>
        <w:tblPrEx>
          <w:tblCellMar>
            <w:top w:w="0" w:type="dxa"/>
            <w:left w:w="0" w:type="dxa"/>
            <w:bottom w:w="0" w:type="dxa"/>
            <w:right w:w="0" w:type="dxa"/>
          </w:tblCellMar>
        </w:tblPrEx>
        <w:trPr>
          <w:trHeight w:val="742"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000000" w:sz="4" w:space="0"/>
              <w:left w:val="single" w:color="000000" w:sz="6" w:space="0"/>
              <w:bottom w:val="single" w:color="000000" w:sz="4" w:space="0"/>
              <w:right w:val="single" w:color="000000" w:sz="4" w:space="0"/>
            </w:tcBorders>
            <w:vAlign w:val="center"/>
          </w:tcPr>
          <w:p>
            <w:pPr>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合同条款</w:t>
            </w:r>
          </w:p>
        </w:tc>
        <w:tc>
          <w:tcPr>
            <w:tcW w:w="3065" w:type="pct"/>
            <w:tcBorders>
              <w:top w:val="single" w:color="000000" w:sz="4" w:space="0"/>
              <w:left w:val="nil"/>
              <w:bottom w:val="single" w:color="000000" w:sz="4" w:space="0"/>
              <w:right w:val="single" w:color="000000" w:sz="4" w:space="0"/>
            </w:tcBorders>
            <w:vAlign w:val="center"/>
          </w:tcPr>
          <w:p>
            <w:pPr>
              <w:rPr>
                <w:rFonts w:hint="eastAsia"/>
              </w:rPr>
            </w:pPr>
            <w:r>
              <w:rPr>
                <w:rFonts w:hint="eastAsia"/>
              </w:rPr>
              <w:t>详见附件3： 合同文本</w:t>
            </w:r>
          </w:p>
        </w:tc>
      </w:tr>
      <w:tr>
        <w:tblPrEx>
          <w:tblCellMar>
            <w:top w:w="0" w:type="dxa"/>
            <w:left w:w="0" w:type="dxa"/>
            <w:bottom w:w="0" w:type="dxa"/>
            <w:right w:w="0" w:type="dxa"/>
          </w:tblCellMar>
        </w:tblPrEx>
        <w:trPr>
          <w:trHeight w:val="479"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000000" w:sz="4" w:space="0"/>
              <w:left w:val="single" w:color="000000" w:sz="6" w:space="0"/>
              <w:bottom w:val="single" w:color="000000" w:sz="4" w:space="0"/>
              <w:right w:val="single" w:color="000000" w:sz="4" w:space="0"/>
            </w:tcBorders>
            <w:vAlign w:val="center"/>
          </w:tcPr>
          <w:p>
            <w:pPr>
              <w:pStyle w:val="45"/>
              <w:spacing w:line="300" w:lineRule="exact"/>
              <w:jc w:val="center"/>
              <w:rPr>
                <w:rFonts w:hint="eastAsia" w:ascii="仿宋" w:hAnsi="仿宋" w:eastAsia="仿宋" w:cs="仿宋"/>
                <w:color w:val="auto"/>
                <w:kern w:val="2"/>
                <w:sz w:val="21"/>
                <w:szCs w:val="21"/>
                <w:highlight w:val="yellow"/>
                <w:lang w:val="en-US" w:eastAsia="zh-CN" w:bidi="ar-SA"/>
              </w:rPr>
            </w:pPr>
            <w:r>
              <w:rPr>
                <w:rFonts w:hint="eastAsia" w:ascii="仿宋" w:hAnsi="仿宋" w:eastAsia="仿宋" w:cs="仿宋"/>
                <w:color w:val="auto"/>
                <w:kern w:val="2"/>
                <w:sz w:val="21"/>
                <w:szCs w:val="21"/>
                <w:highlight w:val="yellow"/>
                <w:lang w:val="en-US" w:eastAsia="zh-CN" w:bidi="ar-SA"/>
              </w:rPr>
              <w:t>★其他</w:t>
            </w:r>
          </w:p>
        </w:tc>
        <w:tc>
          <w:tcPr>
            <w:tcW w:w="3065"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kern w:val="2"/>
                <w:sz w:val="21"/>
                <w:szCs w:val="21"/>
                <w:highlight w:val="yellow"/>
                <w:lang w:val="en-US" w:eastAsia="zh-CN" w:bidi="ar-SA"/>
              </w:rPr>
            </w:pPr>
            <w:r>
              <w:rPr>
                <w:rFonts w:hint="eastAsia" w:ascii="仿宋" w:hAnsi="仿宋" w:eastAsia="仿宋" w:cs="仿宋"/>
                <w:color w:val="auto"/>
                <w:kern w:val="2"/>
                <w:sz w:val="21"/>
                <w:szCs w:val="21"/>
                <w:highlight w:val="yellow"/>
                <w:lang w:val="en-US" w:eastAsia="zh-CN" w:bidi="ar-SA"/>
              </w:rPr>
              <w:t>不得存在国家法规和询比文件明确否决响应的其它条款和要求</w:t>
            </w:r>
          </w:p>
        </w:tc>
      </w:tr>
      <w:tr>
        <w:tblPrEx>
          <w:tblCellMar>
            <w:top w:w="0" w:type="dxa"/>
            <w:left w:w="0" w:type="dxa"/>
            <w:bottom w:w="0" w:type="dxa"/>
            <w:right w:w="0" w:type="dxa"/>
          </w:tblCellMar>
        </w:tblPrEx>
        <w:trPr>
          <w:trHeight w:val="454" w:hRule="atLeast"/>
        </w:trPr>
        <w:tc>
          <w:tcPr>
            <w:tcW w:w="329" w:type="pct"/>
            <w:vMerge w:val="continue"/>
            <w:tcBorders>
              <w:top w:val="single" w:color="000000" w:sz="6" w:space="0"/>
              <w:left w:val="single" w:color="000000" w:sz="6" w:space="0"/>
              <w:bottom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top w:val="single" w:color="000000" w:sz="6" w:space="0"/>
              <w:left w:val="single" w:color="000000" w:sz="6" w:space="0"/>
              <w:bottom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297" w:type="pct"/>
            <w:tcBorders>
              <w:top w:val="single" w:color="000000" w:sz="4" w:space="0"/>
              <w:left w:val="single" w:color="000000" w:sz="6" w:space="0"/>
              <w:bottom w:val="single" w:color="000000" w:sz="4" w:space="0"/>
              <w:right w:val="single" w:color="000000" w:sz="4" w:space="0"/>
            </w:tcBorders>
            <w:vAlign w:val="center"/>
          </w:tcPr>
          <w:p>
            <w:pPr>
              <w:pStyle w:val="45"/>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★商务偏离要求</w:t>
            </w:r>
          </w:p>
        </w:tc>
        <w:tc>
          <w:tcPr>
            <w:tcW w:w="3065" w:type="pct"/>
            <w:tcBorders>
              <w:top w:val="single" w:color="000000" w:sz="4" w:space="0"/>
              <w:left w:val="nil"/>
              <w:bottom w:val="single" w:color="000000" w:sz="4" w:space="0"/>
              <w:right w:val="single" w:color="000000" w:sz="4" w:space="0"/>
            </w:tcBorders>
            <w:vAlign w:val="center"/>
          </w:tcPr>
          <w:p>
            <w:pPr>
              <w:pStyle w:val="45"/>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1.一般商务指标偏离超过1项，则评议不合格。</w:t>
            </w:r>
          </w:p>
          <w:p>
            <w:pPr>
              <w:pStyle w:val="45"/>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45"/>
              <w:jc w:val="both"/>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3.对于一般条款，提供了商务偏离表且明确无偏离，如无要求提供支持材料，则视为合格。</w:t>
            </w:r>
          </w:p>
        </w:tc>
      </w:tr>
      <w:tr>
        <w:tblPrEx>
          <w:tblCellMar>
            <w:top w:w="0" w:type="dxa"/>
            <w:left w:w="0" w:type="dxa"/>
            <w:bottom w:w="0" w:type="dxa"/>
            <w:right w:w="0" w:type="dxa"/>
          </w:tblCellMar>
        </w:tblPrEx>
        <w:trPr>
          <w:trHeight w:val="454" w:hRule="atLeast"/>
        </w:trPr>
        <w:tc>
          <w:tcPr>
            <w:tcW w:w="329" w:type="pct"/>
            <w:vMerge w:val="restart"/>
            <w:tcBorders>
              <w:top w:val="single" w:color="000000" w:sz="6" w:space="0"/>
              <w:left w:val="single" w:color="auto" w:sz="4" w:space="0"/>
              <w:right w:val="single" w:color="auto" w:sz="4"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2</w:t>
            </w:r>
          </w:p>
        </w:tc>
        <w:tc>
          <w:tcPr>
            <w:tcW w:w="306" w:type="pct"/>
            <w:vMerge w:val="restart"/>
            <w:tcBorders>
              <w:top w:val="single" w:color="000000" w:sz="6" w:space="0"/>
              <w:left w:val="single" w:color="auto" w:sz="4" w:space="0"/>
              <w:right w:val="single" w:color="auto" w:sz="4" w:space="0"/>
            </w:tcBorders>
            <w:textDirection w:val="tbRlV"/>
            <w:vAlign w:val="center"/>
          </w:tcPr>
          <w:p>
            <w:pPr>
              <w:pStyle w:val="45"/>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技术</w:t>
            </w:r>
            <w:r>
              <w:rPr>
                <w:rFonts w:hint="eastAsia" w:ascii="仿宋" w:hAnsi="仿宋" w:eastAsia="仿宋" w:cs="仿宋"/>
                <w:color w:val="000000"/>
                <w:sz w:val="21"/>
                <w:szCs w:val="21"/>
              </w:rPr>
              <w:t>标准</w:t>
            </w:r>
          </w:p>
        </w:tc>
        <w:tc>
          <w:tcPr>
            <w:tcW w:w="1297" w:type="pct"/>
            <w:tcBorders>
              <w:top w:val="single" w:color="auto" w:sz="4" w:space="0"/>
              <w:left w:val="single" w:color="auto" w:sz="4" w:space="0"/>
              <w:bottom w:val="single" w:color="auto" w:sz="4" w:space="0"/>
              <w:right w:val="single" w:color="auto" w:sz="4" w:space="0"/>
            </w:tcBorders>
            <w:vAlign w:val="center"/>
          </w:tcPr>
          <w:p>
            <w:pPr>
              <w:widowControl/>
              <w:ind w:right="11" w:rightChars="0"/>
              <w:jc w:val="cente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lang w:eastAsia="zh-CN"/>
                <w14:textFill>
                  <w14:solidFill>
                    <w14:schemeClr w14:val="tx1"/>
                  </w14:solidFill>
                </w14:textFill>
              </w:rPr>
              <w:t>关键技术参数</w:t>
            </w:r>
          </w:p>
        </w:tc>
        <w:tc>
          <w:tcPr>
            <w:tcW w:w="3065" w:type="pct"/>
            <w:tcBorders>
              <w:top w:val="single" w:color="000000" w:sz="4" w:space="0"/>
              <w:left w:val="single" w:color="auto" w:sz="4" w:space="0"/>
              <w:bottom w:val="single" w:color="000000" w:sz="4" w:space="0"/>
              <w:right w:val="single" w:color="000000" w:sz="4" w:space="0"/>
            </w:tcBorders>
            <w:vAlign w:val="center"/>
          </w:tcPr>
          <w:p>
            <w:pPr>
              <w:pStyle w:val="8"/>
              <w:ind w:left="0" w:leftChars="0" w:firstLine="0" w:firstLineChars="0"/>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C00000"/>
                <w:kern w:val="0"/>
                <w:sz w:val="21"/>
                <w:szCs w:val="21"/>
                <w:highlight w:val="none"/>
                <w:lang w:val="en-US" w:eastAsia="zh-CN" w:bidi="ar-SA"/>
              </w:rPr>
              <w:t>卖方承诺：卖方按照附件2 ：采购内容及技术要求的技术参数提供低温精馏回流泵采购（承诺函格式详见询比文件6.2 技术要求承诺书（格式））</w:t>
            </w:r>
          </w:p>
        </w:tc>
      </w:tr>
      <w:tr>
        <w:tblPrEx>
          <w:tblCellMar>
            <w:top w:w="0" w:type="dxa"/>
            <w:left w:w="0" w:type="dxa"/>
            <w:bottom w:w="0" w:type="dxa"/>
            <w:right w:w="0" w:type="dxa"/>
          </w:tblCellMar>
        </w:tblPrEx>
        <w:trPr>
          <w:trHeight w:val="454" w:hRule="atLeast"/>
        </w:trPr>
        <w:tc>
          <w:tcPr>
            <w:tcW w:w="329" w:type="pct"/>
            <w:vMerge w:val="continue"/>
            <w:tcBorders>
              <w:left w:val="single" w:color="auto" w:sz="4" w:space="0"/>
              <w:right w:val="single" w:color="auto" w:sz="4"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p>
        </w:tc>
        <w:tc>
          <w:tcPr>
            <w:tcW w:w="306" w:type="pct"/>
            <w:vMerge w:val="continue"/>
            <w:tcBorders>
              <w:left w:val="single" w:color="auto" w:sz="4" w:space="0"/>
              <w:right w:val="single" w:color="auto" w:sz="4" w:space="0"/>
            </w:tcBorders>
            <w:textDirection w:val="tbRlV"/>
            <w:vAlign w:val="center"/>
          </w:tcPr>
          <w:p>
            <w:pPr>
              <w:pStyle w:val="45"/>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一般技术参数</w:t>
            </w:r>
          </w:p>
        </w:tc>
        <w:tc>
          <w:tcPr>
            <w:tcW w:w="3065" w:type="pct"/>
            <w:tcBorders>
              <w:top w:val="single" w:color="000000" w:sz="4" w:space="0"/>
              <w:left w:val="single" w:color="auto" w:sz="4" w:space="0"/>
              <w:bottom w:val="single" w:color="000000" w:sz="4" w:space="0"/>
              <w:right w:val="single" w:color="000000" w:sz="4" w:space="0"/>
            </w:tcBorders>
            <w:vAlign w:val="center"/>
          </w:tcPr>
          <w:p>
            <w:pPr>
              <w:pStyle w:val="8"/>
              <w:ind w:left="0" w:leftChars="0"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FF0000"/>
                <w:kern w:val="2"/>
                <w:sz w:val="21"/>
                <w:szCs w:val="21"/>
                <w:lang w:val="en-US" w:eastAsia="zh-CN" w:bidi="ar-SA"/>
              </w:rPr>
              <w:t>供应商报价时</w:t>
            </w:r>
            <w:r>
              <w:rPr>
                <w:rFonts w:hint="eastAsia" w:ascii="仿宋" w:hAnsi="仿宋" w:eastAsia="仿宋" w:cs="仿宋"/>
                <w:b/>
                <w:bCs/>
                <w:kern w:val="2"/>
                <w:sz w:val="21"/>
                <w:szCs w:val="21"/>
                <w:lang w:val="en-US" w:eastAsia="zh-CN" w:bidi="ar-SA"/>
              </w:rPr>
              <w:t>必须</w:t>
            </w:r>
            <w:r>
              <w:rPr>
                <w:rFonts w:hint="eastAsia" w:ascii="仿宋" w:hAnsi="仿宋" w:eastAsia="仿宋" w:cs="仿宋"/>
                <w:b/>
                <w:bCs/>
                <w:color w:val="FF0000"/>
                <w:kern w:val="2"/>
                <w:sz w:val="21"/>
                <w:szCs w:val="21"/>
                <w:lang w:val="en-US" w:eastAsia="zh-CN" w:bidi="ar-SA"/>
              </w:rPr>
              <w:t>明确书面技术承诺</w:t>
            </w:r>
            <w:r>
              <w:rPr>
                <w:rFonts w:hint="eastAsia" w:ascii="仿宋" w:hAnsi="仿宋" w:eastAsia="仿宋" w:cs="仿宋"/>
                <w:kern w:val="2"/>
                <w:sz w:val="21"/>
                <w:szCs w:val="21"/>
                <w:lang w:val="en-US" w:eastAsia="zh-CN" w:bidi="ar-SA"/>
              </w:rPr>
              <w:t>：</w:t>
            </w:r>
            <w:r>
              <w:rPr>
                <w:rFonts w:hint="eastAsia" w:ascii="仿宋" w:hAnsi="仿宋" w:eastAsia="仿宋" w:cs="仿宋"/>
                <w:kern w:val="2"/>
                <w:sz w:val="21"/>
                <w:szCs w:val="21"/>
                <w:lang w:val="en-US" w:eastAsia="zh-CN" w:bidi="ar"/>
              </w:rPr>
              <w:t>书面承诺书的内容以及承诺书格式，详见</w:t>
            </w:r>
            <w:r>
              <w:rPr>
                <w:rFonts w:hint="eastAsia" w:ascii="仿宋" w:hAnsi="仿宋" w:eastAsia="仿宋" w:cs="仿宋"/>
                <w:szCs w:val="21"/>
                <w:lang w:val="en-US" w:eastAsia="zh-CN"/>
              </w:rPr>
              <w:t>附</w:t>
            </w:r>
            <w:r>
              <w:rPr>
                <w:rFonts w:hint="eastAsia" w:ascii="仿宋" w:hAnsi="仿宋" w:eastAsia="仿宋" w:cs="仿宋"/>
                <w:szCs w:val="21"/>
                <w:lang w:val="en-US" w:eastAsia="zh-CN" w:bidi="ar"/>
              </w:rPr>
              <w:t>件6：</w:t>
            </w:r>
            <w:r>
              <w:rPr>
                <w:rFonts w:hint="eastAsia" w:ascii="仿宋" w:hAnsi="仿宋" w:eastAsia="仿宋" w:cs="仿宋"/>
                <w:szCs w:val="21"/>
                <w:lang w:bidi="ar"/>
              </w:rPr>
              <w:t>《</w:t>
            </w:r>
            <w:r>
              <w:rPr>
                <w:rFonts w:hint="eastAsia" w:ascii="仿宋" w:hAnsi="仿宋" w:eastAsia="仿宋" w:cs="仿宋"/>
                <w:szCs w:val="21"/>
                <w:lang w:val="en-US" w:eastAsia="zh-CN" w:bidi="ar"/>
              </w:rPr>
              <w:t>技术文件</w:t>
            </w:r>
            <w:r>
              <w:rPr>
                <w:rFonts w:hint="eastAsia" w:ascii="仿宋" w:hAnsi="仿宋" w:eastAsia="仿宋" w:cs="仿宋"/>
                <w:szCs w:val="21"/>
                <w:lang w:bidi="ar"/>
              </w:rPr>
              <w:t>》</w:t>
            </w:r>
            <w:r>
              <w:rPr>
                <w:rFonts w:hint="eastAsia" w:ascii="仿宋" w:hAnsi="仿宋" w:eastAsia="仿宋" w:cs="仿宋"/>
                <w:szCs w:val="21"/>
                <w:lang w:val="en-US" w:eastAsia="zh-CN" w:bidi="ar"/>
              </w:rPr>
              <w:t>/</w:t>
            </w:r>
            <w:r>
              <w:rPr>
                <w:rFonts w:hint="eastAsia" w:ascii="仿宋" w:hAnsi="仿宋" w:eastAsia="仿宋" w:cs="仿宋"/>
                <w:sz w:val="21"/>
                <w:szCs w:val="21"/>
                <w:lang w:val="en-US" w:eastAsia="zh-CN" w:bidi="ar"/>
              </w:rPr>
              <w:t>6.2 技术要求</w:t>
            </w:r>
            <w:r>
              <w:rPr>
                <w:rFonts w:hint="eastAsia" w:ascii="仿宋" w:hAnsi="仿宋" w:eastAsia="仿宋" w:cs="仿宋"/>
                <w:b w:val="0"/>
                <w:bCs w:val="0"/>
                <w:kern w:val="2"/>
                <w:sz w:val="21"/>
                <w:szCs w:val="21"/>
                <w:lang w:bidi="ar"/>
              </w:rPr>
              <w:t>承诺</w:t>
            </w:r>
            <w:r>
              <w:rPr>
                <w:rFonts w:hint="eastAsia" w:ascii="仿宋" w:hAnsi="仿宋" w:eastAsia="仿宋" w:cs="仿宋"/>
                <w:b w:val="0"/>
                <w:bCs w:val="0"/>
                <w:kern w:val="2"/>
                <w:sz w:val="21"/>
                <w:szCs w:val="21"/>
                <w:lang w:val="en-US" w:eastAsia="zh-CN" w:bidi="ar"/>
              </w:rPr>
              <w:t>书（格式）</w:t>
            </w:r>
            <w:r>
              <w:rPr>
                <w:rFonts w:hint="eastAsia" w:ascii="仿宋" w:hAnsi="仿宋" w:eastAsia="仿宋" w:cs="仿宋"/>
                <w:kern w:val="2"/>
                <w:sz w:val="21"/>
                <w:szCs w:val="21"/>
                <w:lang w:val="en-US" w:eastAsia="zh-CN" w:bidi="ar"/>
              </w:rPr>
              <w:t>。</w:t>
            </w:r>
          </w:p>
        </w:tc>
      </w:tr>
      <w:tr>
        <w:tblPrEx>
          <w:tblCellMar>
            <w:top w:w="0" w:type="dxa"/>
            <w:left w:w="0" w:type="dxa"/>
            <w:bottom w:w="0" w:type="dxa"/>
            <w:right w:w="0" w:type="dxa"/>
          </w:tblCellMar>
        </w:tblPrEx>
        <w:trPr>
          <w:trHeight w:val="454" w:hRule="atLeast"/>
        </w:trPr>
        <w:tc>
          <w:tcPr>
            <w:tcW w:w="329" w:type="pct"/>
            <w:vMerge w:val="continue"/>
            <w:tcBorders>
              <w:left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left w:val="single" w:color="auto" w:sz="4" w:space="0"/>
              <w:right w:val="single" w:color="auto" w:sz="4" w:space="0"/>
            </w:tcBorders>
            <w:vAlign w:val="center"/>
          </w:tcPr>
          <w:p>
            <w:pPr>
              <w:pStyle w:val="45"/>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auto" w:sz="4" w:space="0"/>
              <w:left w:val="single" w:color="auto" w:sz="4" w:space="0"/>
              <w:bottom w:val="single" w:color="auto" w:sz="4" w:space="0"/>
              <w:right w:val="single" w:color="auto" w:sz="4" w:space="0"/>
            </w:tcBorders>
            <w:vAlign w:val="center"/>
          </w:tcPr>
          <w:p>
            <w:pPr>
              <w:widowControl/>
              <w:numPr>
                <w:ilvl w:val="0"/>
                <w:numId w:val="0"/>
              </w:numPr>
              <w:ind w:left="105" w:leftChars="50" w:right="0" w:rightChars="0" w:firstLine="0" w:firstLineChars="0"/>
              <w:jc w:val="center"/>
              <w:rPr>
                <w:rFonts w:hint="eastAsia" w:ascii="仿宋" w:hAnsi="仿宋" w:eastAsia="仿宋" w:cs="仿宋"/>
                <w:bCs w:val="0"/>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 w:val="0"/>
                <w:bCs w:val="0"/>
                <w:color w:val="000000" w:themeColor="text1"/>
                <w:sz w:val="21"/>
                <w:szCs w:val="21"/>
                <w:highlight w:val="none"/>
                <w14:textFill>
                  <w14:solidFill>
                    <w14:schemeClr w14:val="tx1"/>
                  </w14:solidFill>
                </w14:textFill>
              </w:rPr>
              <w:t>技术</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要求承诺</w:t>
            </w:r>
            <w:r>
              <w:rPr>
                <w:rFonts w:hint="eastAsia" w:ascii="仿宋" w:hAnsi="仿宋" w:eastAsia="仿宋" w:cs="仿宋"/>
                <w:bCs w:val="0"/>
                <w:color w:val="000000" w:themeColor="text1"/>
                <w:kern w:val="2"/>
                <w:szCs w:val="21"/>
                <w:highlight w:val="none"/>
                <w:lang w:val="en-US" w:eastAsia="zh-CN"/>
                <w14:textFill>
                  <w14:solidFill>
                    <w14:schemeClr w14:val="tx1"/>
                  </w14:solidFill>
                </w14:textFill>
              </w:rPr>
              <w:t xml:space="preserve"> </w:t>
            </w:r>
            <w:r>
              <w:rPr>
                <w:rFonts w:hint="eastAsia" w:ascii="仿宋" w:hAnsi="仿宋" w:eastAsia="仿宋" w:cs="仿宋"/>
                <w:bCs w:val="0"/>
                <w:color w:val="000000" w:themeColor="text1"/>
                <w:szCs w:val="21"/>
                <w:highlight w:val="none"/>
                <w:lang w:val="en-US" w:eastAsia="zh-CN"/>
                <w14:textFill>
                  <w14:solidFill>
                    <w14:schemeClr w14:val="tx1"/>
                  </w14:solidFill>
                </w14:textFill>
              </w:rPr>
              <w:t xml:space="preserve"> </w:t>
            </w:r>
          </w:p>
          <w:p>
            <w:pPr>
              <w:widowControl/>
              <w:numPr>
                <w:ilvl w:val="0"/>
                <w:numId w:val="0"/>
              </w:numPr>
              <w:ind w:left="105" w:leftChars="50" w:right="0" w:rightChars="0" w:firstLine="0" w:firstLineChars="0"/>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bCs/>
                <w:lang w:val="en-US" w:eastAsia="zh-CN"/>
              </w:rPr>
              <w:t xml:space="preserve"> </w:t>
            </w:r>
          </w:p>
        </w:tc>
        <w:tc>
          <w:tcPr>
            <w:tcW w:w="3065" w:type="pct"/>
            <w:tcBorders>
              <w:top w:val="single" w:color="000000" w:sz="4" w:space="0"/>
              <w:left w:val="single" w:color="auto" w:sz="4" w:space="0"/>
              <w:bottom w:val="single" w:color="000000" w:sz="4" w:space="0"/>
              <w:right w:val="single" w:color="000000" w:sz="4" w:space="0"/>
            </w:tcBorders>
            <w:vAlign w:val="center"/>
          </w:tcPr>
          <w:p>
            <w:pPr>
              <w:widowControl/>
              <w:numPr>
                <w:ilvl w:val="0"/>
                <w:numId w:val="0"/>
              </w:numPr>
              <w:ind w:left="105" w:leftChars="50" w:firstLine="0" w:firstLineChars="0"/>
              <w:jc w:val="lef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FF0000"/>
                <w:kern w:val="2"/>
                <w:sz w:val="21"/>
                <w:szCs w:val="21"/>
                <w:lang w:val="en-US" w:eastAsia="zh-CN" w:bidi="ar-SA"/>
              </w:rPr>
              <w:t>供应商报价时</w:t>
            </w:r>
            <w:r>
              <w:rPr>
                <w:rFonts w:hint="eastAsia" w:ascii="仿宋" w:hAnsi="仿宋" w:eastAsia="仿宋" w:cs="仿宋"/>
                <w:b/>
                <w:bCs/>
                <w:kern w:val="2"/>
                <w:sz w:val="21"/>
                <w:szCs w:val="21"/>
                <w:lang w:val="en-US" w:eastAsia="zh-CN" w:bidi="ar-SA"/>
              </w:rPr>
              <w:t>必须</w:t>
            </w:r>
            <w:r>
              <w:rPr>
                <w:rFonts w:hint="eastAsia" w:ascii="仿宋" w:hAnsi="仿宋" w:eastAsia="仿宋" w:cs="仿宋"/>
                <w:b/>
                <w:bCs/>
                <w:color w:val="FF0000"/>
                <w:kern w:val="2"/>
                <w:sz w:val="21"/>
                <w:szCs w:val="21"/>
                <w:lang w:val="en-US" w:eastAsia="zh-CN" w:bidi="ar-SA"/>
              </w:rPr>
              <w:t>明确书面技术承诺</w:t>
            </w:r>
            <w:r>
              <w:rPr>
                <w:rFonts w:hint="eastAsia" w:ascii="仿宋" w:hAnsi="仿宋" w:eastAsia="仿宋" w:cs="仿宋"/>
                <w:kern w:val="2"/>
                <w:sz w:val="21"/>
                <w:szCs w:val="21"/>
                <w:lang w:val="en-US" w:eastAsia="zh-CN" w:bidi="ar-SA"/>
              </w:rPr>
              <w:t>：</w:t>
            </w:r>
            <w:r>
              <w:rPr>
                <w:rFonts w:hint="eastAsia" w:ascii="仿宋" w:hAnsi="仿宋" w:eastAsia="仿宋" w:cs="仿宋"/>
                <w:kern w:val="2"/>
                <w:sz w:val="21"/>
                <w:szCs w:val="21"/>
                <w:lang w:val="en-US" w:eastAsia="zh-CN" w:bidi="ar"/>
              </w:rPr>
              <w:t>书面承诺书的内容以及承诺书格式，详见</w:t>
            </w:r>
            <w:r>
              <w:rPr>
                <w:rFonts w:hint="eastAsia" w:ascii="仿宋" w:hAnsi="仿宋" w:eastAsia="仿宋" w:cs="仿宋"/>
                <w:szCs w:val="21"/>
                <w:lang w:val="en-US" w:eastAsia="zh-CN"/>
              </w:rPr>
              <w:t>附</w:t>
            </w:r>
            <w:r>
              <w:rPr>
                <w:rFonts w:hint="eastAsia" w:ascii="仿宋" w:hAnsi="仿宋" w:eastAsia="仿宋" w:cs="仿宋"/>
                <w:szCs w:val="21"/>
                <w:lang w:val="en-US" w:eastAsia="zh-CN" w:bidi="ar"/>
              </w:rPr>
              <w:t>件6：</w:t>
            </w:r>
            <w:r>
              <w:rPr>
                <w:rFonts w:hint="eastAsia" w:ascii="仿宋" w:hAnsi="仿宋" w:eastAsia="仿宋" w:cs="仿宋"/>
                <w:szCs w:val="21"/>
                <w:lang w:bidi="ar"/>
              </w:rPr>
              <w:t>《</w:t>
            </w:r>
            <w:r>
              <w:rPr>
                <w:rFonts w:hint="eastAsia" w:ascii="仿宋" w:hAnsi="仿宋" w:eastAsia="仿宋" w:cs="仿宋"/>
                <w:szCs w:val="21"/>
                <w:lang w:val="en-US" w:eastAsia="zh-CN" w:bidi="ar"/>
              </w:rPr>
              <w:t>技术文件</w:t>
            </w:r>
            <w:r>
              <w:rPr>
                <w:rFonts w:hint="eastAsia" w:ascii="仿宋" w:hAnsi="仿宋" w:eastAsia="仿宋" w:cs="仿宋"/>
                <w:szCs w:val="21"/>
                <w:lang w:bidi="ar"/>
              </w:rPr>
              <w:t>》</w:t>
            </w:r>
            <w:r>
              <w:rPr>
                <w:rFonts w:hint="eastAsia" w:ascii="仿宋" w:hAnsi="仿宋" w:eastAsia="仿宋" w:cs="仿宋"/>
                <w:szCs w:val="21"/>
                <w:lang w:val="en-US" w:eastAsia="zh-CN" w:bidi="ar"/>
              </w:rPr>
              <w:t>/</w:t>
            </w:r>
            <w:r>
              <w:rPr>
                <w:rFonts w:hint="eastAsia" w:ascii="仿宋" w:hAnsi="仿宋" w:eastAsia="仿宋" w:cs="仿宋"/>
                <w:sz w:val="21"/>
                <w:szCs w:val="21"/>
                <w:lang w:val="en-US" w:eastAsia="zh-CN" w:bidi="ar"/>
              </w:rPr>
              <w:t>6.2 技术要求</w:t>
            </w:r>
            <w:r>
              <w:rPr>
                <w:rFonts w:hint="eastAsia" w:ascii="仿宋" w:hAnsi="仿宋" w:eastAsia="仿宋" w:cs="仿宋"/>
                <w:b w:val="0"/>
                <w:bCs w:val="0"/>
                <w:kern w:val="2"/>
                <w:sz w:val="21"/>
                <w:szCs w:val="21"/>
                <w:lang w:bidi="ar"/>
              </w:rPr>
              <w:t>承诺</w:t>
            </w:r>
            <w:r>
              <w:rPr>
                <w:rFonts w:hint="eastAsia" w:ascii="仿宋" w:hAnsi="仿宋" w:eastAsia="仿宋" w:cs="仿宋"/>
                <w:b w:val="0"/>
                <w:bCs w:val="0"/>
                <w:kern w:val="2"/>
                <w:sz w:val="21"/>
                <w:szCs w:val="21"/>
                <w:lang w:val="en-US" w:eastAsia="zh-CN" w:bidi="ar"/>
              </w:rPr>
              <w:t>书（格式）</w:t>
            </w:r>
            <w:r>
              <w:rPr>
                <w:rFonts w:hint="eastAsia" w:ascii="仿宋" w:hAnsi="仿宋" w:eastAsia="仿宋" w:cs="仿宋"/>
                <w:kern w:val="2"/>
                <w:sz w:val="21"/>
                <w:szCs w:val="21"/>
                <w:lang w:val="en-US" w:eastAsia="zh-CN" w:bidi="ar"/>
              </w:rPr>
              <w:t>。</w:t>
            </w:r>
          </w:p>
        </w:tc>
      </w:tr>
      <w:tr>
        <w:tblPrEx>
          <w:tblCellMar>
            <w:top w:w="0" w:type="dxa"/>
            <w:left w:w="0" w:type="dxa"/>
            <w:bottom w:w="0" w:type="dxa"/>
            <w:right w:w="0" w:type="dxa"/>
          </w:tblCellMar>
        </w:tblPrEx>
        <w:trPr>
          <w:trHeight w:val="454" w:hRule="atLeast"/>
        </w:trPr>
        <w:tc>
          <w:tcPr>
            <w:tcW w:w="329" w:type="pct"/>
            <w:vMerge w:val="continue"/>
            <w:tcBorders>
              <w:left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left w:val="single" w:color="auto" w:sz="4" w:space="0"/>
              <w:right w:val="single" w:color="auto" w:sz="4" w:space="0"/>
            </w:tcBorders>
            <w:vAlign w:val="center"/>
          </w:tcPr>
          <w:p>
            <w:pPr>
              <w:pStyle w:val="45"/>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auto" w:sz="4" w:space="0"/>
              <w:left w:val="single" w:color="auto" w:sz="4" w:space="0"/>
              <w:bottom w:val="single" w:color="auto" w:sz="4" w:space="0"/>
              <w:right w:val="single" w:color="auto" w:sz="4" w:space="0"/>
            </w:tcBorders>
            <w:vAlign w:val="center"/>
          </w:tcPr>
          <w:p>
            <w:pPr>
              <w:widowControl/>
              <w:ind w:right="11" w:rightChars="0"/>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技术偏离要求</w:t>
            </w:r>
          </w:p>
        </w:tc>
        <w:tc>
          <w:tcPr>
            <w:tcW w:w="3065" w:type="pct"/>
            <w:tcBorders>
              <w:top w:val="single" w:color="000000" w:sz="4" w:space="0"/>
              <w:left w:val="single" w:color="auto" w:sz="4" w:space="0"/>
              <w:bottom w:val="single" w:color="000000" w:sz="4" w:space="0"/>
              <w:right w:val="single" w:color="000000" w:sz="4" w:space="0"/>
            </w:tcBorders>
            <w:vAlign w:val="center"/>
          </w:tcPr>
          <w:p>
            <w:pPr>
              <w:pStyle w:val="45"/>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1、一般技术指标偏离超过1项，则评议不合格。</w:t>
            </w:r>
          </w:p>
          <w:p>
            <w:pPr>
              <w:jc w:val="lef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8"/>
              <w:ind w:left="0" w:leftChars="0" w:firstLine="0" w:firstLineChars="0"/>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3.对于一般条款，提供了技术偏离表且明确无偏离，如无要求提供支持材料，则视为合格。</w:t>
            </w:r>
          </w:p>
        </w:tc>
      </w:tr>
      <w:tr>
        <w:tblPrEx>
          <w:tblCellMar>
            <w:top w:w="0" w:type="dxa"/>
            <w:left w:w="0" w:type="dxa"/>
            <w:bottom w:w="0" w:type="dxa"/>
            <w:right w:w="0" w:type="dxa"/>
          </w:tblCellMar>
        </w:tblPrEx>
        <w:trPr>
          <w:trHeight w:val="454" w:hRule="atLeast"/>
        </w:trPr>
        <w:tc>
          <w:tcPr>
            <w:tcW w:w="329" w:type="pct"/>
            <w:vMerge w:val="continue"/>
            <w:tcBorders>
              <w:left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left w:val="single" w:color="auto" w:sz="4" w:space="0"/>
              <w:right w:val="single" w:color="auto" w:sz="4" w:space="0"/>
            </w:tcBorders>
            <w:vAlign w:val="center"/>
          </w:tcPr>
          <w:p>
            <w:pPr>
              <w:pStyle w:val="45"/>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auto" w:sz="4" w:space="0"/>
              <w:left w:val="single" w:color="auto" w:sz="4" w:space="0"/>
              <w:bottom w:val="single" w:color="auto" w:sz="4" w:space="0"/>
              <w:right w:val="single" w:color="auto" w:sz="4" w:space="0"/>
            </w:tcBorders>
            <w:vAlign w:val="center"/>
          </w:tcPr>
          <w:p>
            <w:pPr>
              <w:widowControl/>
              <w:ind w:right="11" w:rightChars="0"/>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交货期/服务期</w:t>
            </w:r>
          </w:p>
        </w:tc>
        <w:tc>
          <w:tcPr>
            <w:tcW w:w="3065" w:type="pct"/>
            <w:tcBorders>
              <w:top w:val="single" w:color="000000" w:sz="4" w:space="0"/>
              <w:left w:val="single" w:color="auto" w:sz="4" w:space="0"/>
              <w:bottom w:val="single" w:color="000000" w:sz="4" w:space="0"/>
              <w:right w:val="single" w:color="000000" w:sz="4" w:space="0"/>
            </w:tcBorders>
            <w:vAlign w:val="center"/>
          </w:tcPr>
          <w:p>
            <w:pPr>
              <w:pStyle w:val="8"/>
              <w:ind w:left="0" w:leftChars="0"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合同签订之日起120天内供货</w:t>
            </w:r>
          </w:p>
        </w:tc>
      </w:tr>
      <w:tr>
        <w:tblPrEx>
          <w:tblCellMar>
            <w:top w:w="0" w:type="dxa"/>
            <w:left w:w="0" w:type="dxa"/>
            <w:bottom w:w="0" w:type="dxa"/>
            <w:right w:w="0" w:type="dxa"/>
          </w:tblCellMar>
        </w:tblPrEx>
        <w:trPr>
          <w:trHeight w:val="454" w:hRule="atLeast"/>
        </w:trPr>
        <w:tc>
          <w:tcPr>
            <w:tcW w:w="329" w:type="pct"/>
            <w:vMerge w:val="continue"/>
            <w:tcBorders>
              <w:left w:val="single" w:color="auto" w:sz="4" w:space="0"/>
              <w:bottom w:val="single" w:color="000000" w:sz="6"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06" w:type="pct"/>
            <w:vMerge w:val="continue"/>
            <w:tcBorders>
              <w:left w:val="single" w:color="auto" w:sz="4" w:space="0"/>
              <w:bottom w:val="single" w:color="000000" w:sz="6" w:space="0"/>
              <w:right w:val="single" w:color="auto" w:sz="4" w:space="0"/>
            </w:tcBorders>
            <w:vAlign w:val="center"/>
          </w:tcPr>
          <w:p>
            <w:pPr>
              <w:pStyle w:val="45"/>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97" w:type="pct"/>
            <w:tcBorders>
              <w:top w:val="single" w:color="auto" w:sz="4" w:space="0"/>
              <w:left w:val="single" w:color="auto" w:sz="4" w:space="0"/>
              <w:bottom w:val="single" w:color="auto" w:sz="4" w:space="0"/>
              <w:right w:val="single" w:color="auto" w:sz="4" w:space="0"/>
            </w:tcBorders>
            <w:vAlign w:val="center"/>
          </w:tcPr>
          <w:p>
            <w:pPr>
              <w:widowControl/>
              <w:ind w:right="11" w:rightChars="0"/>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交货地点</w:t>
            </w:r>
          </w:p>
        </w:tc>
        <w:tc>
          <w:tcPr>
            <w:tcW w:w="3065" w:type="pct"/>
            <w:tcBorders>
              <w:top w:val="single" w:color="000000" w:sz="4" w:space="0"/>
              <w:left w:val="single" w:color="auto" w:sz="4" w:space="0"/>
              <w:bottom w:val="single" w:color="000000" w:sz="4" w:space="0"/>
              <w:right w:val="single" w:color="000000" w:sz="4" w:space="0"/>
            </w:tcBorders>
            <w:vAlign w:val="center"/>
          </w:tcPr>
          <w:p>
            <w:pPr>
              <w:pStyle w:val="8"/>
              <w:ind w:left="0" w:leftChars="0"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广东省湛江市坡头区南油码头</w:t>
            </w:r>
          </w:p>
        </w:tc>
      </w:tr>
      <w:tr>
        <w:tblPrEx>
          <w:tblCellMar>
            <w:top w:w="0" w:type="dxa"/>
            <w:left w:w="0" w:type="dxa"/>
            <w:bottom w:w="0" w:type="dxa"/>
            <w:right w:w="0" w:type="dxa"/>
          </w:tblCellMar>
        </w:tblPrEx>
        <w:trPr>
          <w:trHeight w:val="2401" w:hRule="atLeast"/>
        </w:trPr>
        <w:tc>
          <w:tcPr>
            <w:tcW w:w="329" w:type="pct"/>
            <w:tcBorders>
              <w:top w:val="single" w:color="000000" w:sz="6" w:space="0"/>
              <w:left w:val="single" w:color="auto" w:sz="4" w:space="0"/>
              <w:bottom w:val="single" w:color="auto" w:sz="4" w:space="0"/>
              <w:right w:val="single" w:color="auto" w:sz="4"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3</w:t>
            </w:r>
          </w:p>
        </w:tc>
        <w:tc>
          <w:tcPr>
            <w:tcW w:w="306" w:type="pct"/>
            <w:tcBorders>
              <w:top w:val="single" w:color="000000" w:sz="6" w:space="0"/>
              <w:left w:val="single" w:color="auto" w:sz="4" w:space="0"/>
              <w:bottom w:val="single" w:color="auto" w:sz="4" w:space="0"/>
              <w:right w:val="single" w:color="auto" w:sz="4" w:space="0"/>
            </w:tcBorders>
            <w:vAlign w:val="center"/>
          </w:tcPr>
          <w:p>
            <w:pPr>
              <w:pStyle w:val="45"/>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价</w:t>
            </w:r>
          </w:p>
          <w:p>
            <w:pPr>
              <w:pStyle w:val="45"/>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格</w:t>
            </w:r>
          </w:p>
          <w:p>
            <w:pPr>
              <w:pStyle w:val="45"/>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标</w:t>
            </w:r>
          </w:p>
          <w:p>
            <w:pPr>
              <w:pStyle w:val="45"/>
              <w:spacing w:line="300" w:lineRule="exact"/>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准</w:t>
            </w:r>
          </w:p>
        </w:tc>
        <w:tc>
          <w:tcPr>
            <w:tcW w:w="1297" w:type="pct"/>
            <w:tcBorders>
              <w:top w:val="single" w:color="000000" w:sz="4" w:space="0"/>
              <w:left w:val="nil"/>
              <w:bottom w:val="single" w:color="000000" w:sz="4" w:space="0"/>
              <w:right w:val="single" w:color="000000" w:sz="4" w:space="0"/>
            </w:tcBorders>
            <w:vAlign w:val="center"/>
          </w:tcPr>
          <w:p>
            <w:pPr>
              <w:widowControl/>
              <w:ind w:right="11" w:rightChars="0"/>
              <w:jc w:val="center"/>
              <w:rPr>
                <w:rFonts w:hint="default"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kern w:val="0"/>
                <w:sz w:val="21"/>
                <w:szCs w:val="21"/>
                <w:highlight w:val="none"/>
                <w:lang w:val="en-US" w:eastAsia="zh-CN"/>
              </w:rPr>
              <w:t>价格评议（结合2.0）</w:t>
            </w:r>
          </w:p>
        </w:tc>
        <w:tc>
          <w:tcPr>
            <w:tcW w:w="3065" w:type="pct"/>
            <w:tcBorders>
              <w:top w:val="single" w:color="000000" w:sz="4" w:space="0"/>
              <w:left w:val="single" w:color="auto" w:sz="4" w:space="0"/>
              <w:bottom w:val="single" w:color="000000" w:sz="4" w:space="0"/>
              <w:right w:val="single" w:color="000000" w:sz="4" w:space="0"/>
            </w:tcBorders>
            <w:vAlign w:val="center"/>
          </w:tcPr>
          <w:p>
            <w:pPr>
              <w:jc w:val="lef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eastAsia="zh-CN" w:bidi="ar"/>
              </w:rPr>
              <w:t>经评审的价格（不含税）计算方法：经评审的价格（不含税）=</w:t>
            </w:r>
            <w:r>
              <w:rPr>
                <w:rFonts w:hint="eastAsia" w:ascii="仿宋" w:hAnsi="仿宋" w:eastAsia="仿宋" w:cs="仿宋"/>
                <w:b/>
                <w:bCs/>
                <w:color w:val="auto"/>
                <w:kern w:val="2"/>
                <w:sz w:val="21"/>
                <w:szCs w:val="21"/>
                <w:highlight w:val="none"/>
                <w:lang w:val="en-US" w:eastAsia="zh-CN" w:bidi="ar"/>
              </w:rPr>
              <w:t>应答人</w:t>
            </w:r>
            <w:r>
              <w:rPr>
                <w:rFonts w:hint="eastAsia" w:ascii="仿宋" w:hAnsi="仿宋" w:eastAsia="仿宋" w:cs="仿宋"/>
                <w:b/>
                <w:bCs/>
                <w:color w:val="auto"/>
                <w:kern w:val="2"/>
                <w:sz w:val="21"/>
                <w:szCs w:val="21"/>
                <w:highlight w:val="none"/>
                <w:lang w:eastAsia="zh-CN" w:bidi="ar"/>
              </w:rPr>
              <w:t>报价（不含税）+报价算术修正；</w:t>
            </w:r>
          </w:p>
          <w:p>
            <w:pPr>
              <w:jc w:val="left"/>
              <w:rPr>
                <w:rFonts w:hint="default" w:ascii="仿宋" w:hAnsi="仿宋" w:eastAsia="仿宋" w:cs="仿宋"/>
                <w:color w:val="C00000"/>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
              </w:rPr>
              <w:t>（1）应答人应进行系统报价，同时提供上传报价单，如缺少上传报价单或未进行系统报价均视为评议不合格。</w:t>
            </w:r>
          </w:p>
          <w:p>
            <w:pPr>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
              </w:rPr>
              <w:t>(2)系统中报价与系统中上传报价单应保持一致；当系统报价与上传价格明细文件不一致的，以“系统中</w:t>
            </w:r>
            <w:r>
              <w:rPr>
                <w:rFonts w:hint="eastAsia" w:ascii="仿宋" w:hAnsi="仿宋" w:eastAsia="仿宋" w:cs="仿宋"/>
                <w:color w:val="auto"/>
                <w:kern w:val="2"/>
                <w:sz w:val="21"/>
                <w:szCs w:val="21"/>
                <w:highlight w:val="yellow"/>
                <w:lang w:val="en-US" w:eastAsia="zh-CN" w:bidi="ar"/>
              </w:rPr>
              <w:t>上传</w:t>
            </w:r>
            <w:r>
              <w:rPr>
                <w:rFonts w:hint="eastAsia" w:ascii="仿宋" w:hAnsi="仿宋" w:eastAsia="仿宋" w:cs="仿宋"/>
                <w:color w:val="auto"/>
                <w:kern w:val="2"/>
                <w:sz w:val="21"/>
                <w:szCs w:val="21"/>
                <w:highlight w:val="none"/>
                <w:lang w:val="en-US" w:eastAsia="zh-CN" w:bidi="ar"/>
              </w:rPr>
              <w:t>价格明细文件”为准，如该文件出现计算错误，按如下算术修正方式修正</w:t>
            </w:r>
            <w:r>
              <w:rPr>
                <w:rFonts w:hint="eastAsia" w:ascii="仿宋" w:hAnsi="仿宋" w:eastAsia="仿宋" w:cs="仿宋"/>
                <w:color w:val="auto"/>
                <w:kern w:val="2"/>
                <w:sz w:val="21"/>
                <w:szCs w:val="21"/>
                <w:highlight w:val="none"/>
                <w:lang w:val="en-US" w:eastAsia="zh-CN" w:bidi="ar-SA"/>
              </w:rPr>
              <w:t>。</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1)大写金额和小写金额不一致的，以大写金额为准；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2)单价金额小数点或者百分比有明显错位的，修改单价；</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3)总价金额与按单价汇总金额不一致的，以单价金额计算结果为准。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同时出现两种以上不一致的，按照前款规定的顺序修正，即按照上述1）至3）项的顺序，逐项进行修正。询比评审小组应请应答人澄清确认修正后的报价,应答人不确认、否认或不回复的,其报价文件无效。</w:t>
            </w:r>
          </w:p>
          <w:p>
            <w:pPr>
              <w:rPr>
                <w:rFonts w:hint="eastAsia" w:ascii="仿宋" w:hAnsi="仿宋" w:eastAsia="仿宋" w:cs="仿宋"/>
                <w:color w:val="auto"/>
                <w:kern w:val="2"/>
                <w:szCs w:val="21"/>
                <w:highlight w:val="none"/>
              </w:rPr>
            </w:pP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Cs w:val="21"/>
                <w:highlight w:val="none"/>
              </w:rPr>
              <w:t>对于总价合同，“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报价中存在缺漏项的，则视为缺漏项价格已包含在其</w:t>
            </w:r>
            <w:r>
              <w:rPr>
                <w:rFonts w:hint="eastAsia" w:ascii="仿宋" w:hAnsi="仿宋" w:eastAsia="仿宋" w:cs="仿宋"/>
                <w:color w:val="auto"/>
                <w:kern w:val="2"/>
                <w:szCs w:val="21"/>
                <w:highlight w:val="none"/>
                <w:lang w:eastAsia="zh-CN"/>
              </w:rPr>
              <w:t>应答</w:t>
            </w:r>
            <w:r>
              <w:rPr>
                <w:rFonts w:hint="eastAsia" w:ascii="仿宋" w:hAnsi="仿宋" w:eastAsia="仿宋" w:cs="仿宋"/>
                <w:color w:val="auto"/>
                <w:kern w:val="2"/>
                <w:szCs w:val="21"/>
                <w:highlight w:val="none"/>
              </w:rPr>
              <w:t>报价之中，并要求</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人书面澄清确认，</w:t>
            </w:r>
            <w:r>
              <w:rPr>
                <w:rFonts w:hint="eastAsia" w:ascii="仿宋" w:hAnsi="仿宋" w:eastAsia="仿宋" w:cs="仿宋"/>
                <w:color w:val="auto"/>
                <w:kern w:val="2"/>
                <w:szCs w:val="21"/>
                <w:highlight w:val="none"/>
                <w:lang w:eastAsia="zh-CN"/>
              </w:rPr>
              <w:t>应答人</w:t>
            </w:r>
            <w:r>
              <w:rPr>
                <w:rFonts w:hint="eastAsia" w:ascii="仿宋" w:hAnsi="仿宋" w:eastAsia="仿宋" w:cs="仿宋"/>
                <w:color w:val="auto"/>
                <w:kern w:val="2"/>
                <w:szCs w:val="21"/>
                <w:highlight w:val="none"/>
              </w:rPr>
              <w:t>不按规定回复澄清确认或确认缺漏项价格不包含在</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报价中的，</w:t>
            </w:r>
            <w:r>
              <w:rPr>
                <w:rFonts w:hint="eastAsia" w:ascii="仿宋" w:hAnsi="仿宋" w:eastAsia="仿宋" w:cs="仿宋"/>
                <w:color w:val="auto"/>
                <w:kern w:val="2"/>
                <w:szCs w:val="21"/>
                <w:highlight w:val="none"/>
                <w:lang w:val="en-US" w:eastAsia="zh-CN"/>
              </w:rPr>
              <w:t>询比评审小组</w:t>
            </w:r>
            <w:r>
              <w:rPr>
                <w:rFonts w:hint="eastAsia" w:ascii="仿宋" w:hAnsi="仿宋" w:eastAsia="仿宋" w:cs="仿宋"/>
                <w:color w:val="auto"/>
                <w:kern w:val="2"/>
                <w:szCs w:val="21"/>
                <w:highlight w:val="none"/>
              </w:rPr>
              <w:t>应当否决其</w:t>
            </w:r>
            <w:r>
              <w:rPr>
                <w:rFonts w:hint="eastAsia" w:ascii="仿宋" w:hAnsi="仿宋" w:eastAsia="仿宋" w:cs="仿宋"/>
                <w:color w:val="auto"/>
                <w:kern w:val="2"/>
                <w:szCs w:val="21"/>
                <w:highlight w:val="none"/>
                <w:lang w:val="en-US" w:eastAsia="zh-CN"/>
              </w:rPr>
              <w:t>应答文件</w:t>
            </w:r>
            <w:r>
              <w:rPr>
                <w:rFonts w:hint="eastAsia" w:ascii="仿宋" w:hAnsi="仿宋" w:eastAsia="仿宋" w:cs="仿宋"/>
                <w:color w:val="auto"/>
                <w:kern w:val="2"/>
                <w:szCs w:val="21"/>
                <w:highlight w:val="none"/>
              </w:rPr>
              <w:t>”；</w:t>
            </w:r>
          </w:p>
          <w:p>
            <w:pPr>
              <w:ind w:left="0" w:leftChars="0"/>
              <w:jc w:val="both"/>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auto"/>
                <w:kern w:val="2"/>
                <w:szCs w:val="21"/>
                <w:highlight w:val="none"/>
              </w:rPr>
              <w:t>对于协议类合同，“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报价不允许缺漏项，否则将导致</w:t>
            </w:r>
            <w:r>
              <w:rPr>
                <w:rFonts w:hint="eastAsia" w:ascii="仿宋" w:hAnsi="仿宋" w:eastAsia="仿宋" w:cs="仿宋"/>
                <w:color w:val="auto"/>
                <w:kern w:val="2"/>
                <w:szCs w:val="21"/>
                <w:highlight w:val="none"/>
                <w:lang w:val="en-US" w:eastAsia="zh-CN"/>
              </w:rPr>
              <w:t>应答报价</w:t>
            </w:r>
            <w:r>
              <w:rPr>
                <w:rFonts w:hint="eastAsia" w:ascii="仿宋" w:hAnsi="仿宋" w:eastAsia="仿宋" w:cs="仿宋"/>
                <w:color w:val="auto"/>
                <w:kern w:val="2"/>
                <w:szCs w:val="21"/>
                <w:highlight w:val="none"/>
              </w:rPr>
              <w:t>被否决”</w:t>
            </w:r>
          </w:p>
        </w:tc>
      </w:tr>
    </w:tbl>
    <w:p>
      <w:pPr>
        <w:rPr>
          <w:rFonts w:hint="eastAsia"/>
          <w:lang w:val="en-US" w:eastAsia="zh-CN"/>
        </w:rPr>
      </w:pPr>
    </w:p>
    <w:p>
      <w:pPr>
        <w:shd w:val="clear" w:color="000000" w:fill="auto"/>
        <w:adjustRightInd w:val="0"/>
        <w:snapToGrid w:val="0"/>
        <w:spacing w:line="240" w:lineRule="auto"/>
        <w:jc w:val="left"/>
        <w:rPr>
          <w:rFonts w:hint="eastAsia" w:ascii="黑体" w:hAnsi="黑体" w:eastAsia="黑体"/>
          <w:sz w:val="24"/>
          <w:szCs w:val="24"/>
          <w:lang w:val="en-US" w:eastAsia="zh-CN"/>
        </w:rPr>
      </w:pPr>
      <w:bookmarkStart w:id="2" w:name="_Toc256000016"/>
      <w:r>
        <w:rPr>
          <w:rFonts w:hint="eastAsia" w:ascii="黑体" w:hAnsi="黑体" w:eastAsia="黑体"/>
          <w:sz w:val="24"/>
          <w:szCs w:val="24"/>
          <w:lang w:val="en-US" w:eastAsia="zh-CN"/>
        </w:rPr>
        <w:t>1.评审方法</w:t>
      </w:r>
      <w:bookmarkEnd w:id="2"/>
    </w:p>
    <w:p>
      <w:pPr>
        <w:adjustRightInd w:val="0"/>
        <w:snapToGrid w:val="0"/>
        <w:spacing w:line="360" w:lineRule="auto"/>
        <w:ind w:firstLine="420" w:firstLineChars="200"/>
        <w:rPr>
          <w:rFonts w:ascii="宋体" w:hAnsi="宋体" w:eastAsia="宋体" w:cs="微软雅黑"/>
          <w:sz w:val="21"/>
          <w:szCs w:val="21"/>
          <w:lang w:eastAsia="zh-CN"/>
        </w:rPr>
      </w:pPr>
      <w:r>
        <w:rPr>
          <w:rFonts w:ascii="宋体" w:hAnsi="宋体" w:eastAsia="宋体" w:cs="微软雅黑"/>
          <w:sz w:val="21"/>
          <w:szCs w:val="21"/>
          <w:lang w:eastAsia="zh-CN"/>
        </w:rPr>
        <w:t>本次采用</w:t>
      </w:r>
      <w:r>
        <w:rPr>
          <w:rFonts w:hint="eastAsia" w:ascii="宋体" w:hAnsi="宋体" w:eastAsia="宋体" w:cs="微软雅黑"/>
          <w:sz w:val="21"/>
          <w:szCs w:val="21"/>
          <w:lang w:eastAsia="zh-CN"/>
        </w:rPr>
        <w:t>经评审的最低价法</w:t>
      </w:r>
      <w:r>
        <w:rPr>
          <w:rFonts w:ascii="宋体" w:hAnsi="宋体" w:eastAsia="宋体" w:cs="微软雅黑"/>
          <w:sz w:val="21"/>
          <w:szCs w:val="21"/>
          <w:lang w:eastAsia="zh-CN"/>
        </w:rPr>
        <w:t>。</w:t>
      </w:r>
      <w:r>
        <w:rPr>
          <w:rFonts w:hint="eastAsia" w:ascii="宋体" w:hAnsi="宋体" w:eastAsia="宋体" w:cs="微软雅黑"/>
          <w:sz w:val="21"/>
          <w:szCs w:val="21"/>
          <w:lang w:eastAsia="zh-CN"/>
        </w:rPr>
        <w:t>本次采用响应询比文件要求且经评审的价格最低原则。如经评审的价格存在两家应答人一致的情形，可按照付款条件、交货期、质保期、注册资金等优先顺序确定成交供应商</w:t>
      </w:r>
      <w:r>
        <w:rPr>
          <w:rFonts w:ascii="宋体" w:hAnsi="宋体" w:eastAsia="宋体" w:cs="微软雅黑"/>
          <w:sz w:val="21"/>
          <w:szCs w:val="21"/>
          <w:lang w:eastAsia="zh-CN"/>
        </w:rPr>
        <w:t>。</w:t>
      </w:r>
    </w:p>
    <w:p>
      <w:pPr>
        <w:adjustRightInd w:val="0"/>
        <w:snapToGrid w:val="0"/>
        <w:spacing w:line="360" w:lineRule="auto"/>
        <w:ind w:firstLine="420" w:firstLineChars="200"/>
        <w:rPr>
          <w:rFonts w:ascii="宋体" w:hAnsi="宋体" w:eastAsia="宋体" w:cs="微软雅黑"/>
          <w:strike/>
          <w:dstrike w:val="0"/>
          <w:sz w:val="21"/>
          <w:szCs w:val="21"/>
          <w:lang w:val="en-US" w:eastAsia="zh-CN"/>
        </w:rPr>
      </w:pPr>
      <w:r>
        <w:rPr>
          <w:rFonts w:hint="eastAsia" w:ascii="宋体" w:hAnsi="宋体" w:eastAsia="宋体" w:cs="微软雅黑"/>
          <w:sz w:val="21"/>
          <w:szCs w:val="21"/>
          <w:lang w:val="en-US" w:eastAsia="zh-CN"/>
        </w:rPr>
        <w:t>如果“评审办法前附表”中加注“★”重要条款与询比文件其它部分内容不一致，以“评审办法前附表”为准。“评审办法前附表”中未加注“★”的一般条款跟询比文件其它部分的一般条款不一致，以“评审办法前附表”为准。</w:t>
      </w:r>
    </w:p>
    <w:p>
      <w:pPr>
        <w:shd w:val="clear" w:color="000000" w:fill="auto"/>
        <w:adjustRightInd w:val="0"/>
        <w:snapToGrid w:val="0"/>
        <w:spacing w:line="240" w:lineRule="auto"/>
        <w:jc w:val="left"/>
        <w:rPr>
          <w:rFonts w:hint="eastAsia" w:ascii="黑体" w:hAnsi="黑体" w:eastAsia="黑体"/>
          <w:sz w:val="24"/>
          <w:szCs w:val="24"/>
          <w:lang w:val="en-US" w:eastAsia="en-US"/>
        </w:rPr>
      </w:pPr>
      <w:r>
        <w:rPr>
          <w:rFonts w:hint="eastAsia" w:ascii="黑体" w:hAnsi="黑体" w:eastAsia="黑体"/>
          <w:sz w:val="24"/>
          <w:szCs w:val="24"/>
          <w:lang w:val="en-US" w:eastAsia="en-US"/>
        </w:rPr>
        <w:t>2. 评审标准</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2.1 初步评审标准</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2.1.1 形式评审标准：见</w:t>
      </w:r>
      <w:r>
        <w:rPr>
          <w:rFonts w:hint="eastAsia" w:ascii="宋体" w:hAnsi="宋体" w:eastAsia="宋体" w:cs="微软雅黑"/>
          <w:sz w:val="21"/>
          <w:szCs w:val="21"/>
          <w:lang w:val="en-US" w:eastAsia="zh-CN"/>
        </w:rPr>
        <w:t>评审办法前附表</w:t>
      </w:r>
      <w:r>
        <w:rPr>
          <w:rFonts w:hint="eastAsia" w:ascii="宋体" w:hAnsi="宋体" w:eastAsia="宋体" w:cs="微软雅黑"/>
          <w:sz w:val="21"/>
          <w:szCs w:val="21"/>
          <w:lang w:val="en-US" w:eastAsia="en-US"/>
        </w:rPr>
        <w:t>。</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2.1.2 资格评审标准：见</w:t>
      </w:r>
      <w:r>
        <w:rPr>
          <w:rFonts w:hint="eastAsia" w:ascii="宋体" w:hAnsi="宋体" w:eastAsia="宋体" w:cs="微软雅黑"/>
          <w:sz w:val="21"/>
          <w:szCs w:val="21"/>
          <w:lang w:val="en-US" w:eastAsia="zh-CN"/>
        </w:rPr>
        <w:t>评审办法前附表</w:t>
      </w:r>
      <w:r>
        <w:rPr>
          <w:rFonts w:hint="eastAsia" w:ascii="宋体" w:hAnsi="宋体" w:eastAsia="宋体" w:cs="微软雅黑"/>
          <w:sz w:val="21"/>
          <w:szCs w:val="21"/>
          <w:lang w:val="en-US" w:eastAsia="en-US"/>
        </w:rPr>
        <w:t>。</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2.1.3 响应性评审标准：见</w:t>
      </w:r>
      <w:r>
        <w:rPr>
          <w:rFonts w:hint="eastAsia" w:ascii="宋体" w:hAnsi="宋体" w:eastAsia="宋体" w:cs="微软雅黑"/>
          <w:sz w:val="21"/>
          <w:szCs w:val="21"/>
          <w:lang w:val="en-US" w:eastAsia="zh-CN"/>
        </w:rPr>
        <w:t>评审办法前附表</w:t>
      </w:r>
      <w:r>
        <w:rPr>
          <w:rFonts w:hint="eastAsia" w:ascii="宋体" w:hAnsi="宋体" w:eastAsia="宋体" w:cs="微软雅黑"/>
          <w:sz w:val="21"/>
          <w:szCs w:val="21"/>
          <w:lang w:val="en-US" w:eastAsia="en-US"/>
        </w:rPr>
        <w:t>。</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2.2 详细评审标准</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详细评审标准：见</w:t>
      </w:r>
      <w:r>
        <w:rPr>
          <w:rFonts w:hint="eastAsia" w:ascii="宋体" w:hAnsi="宋体" w:eastAsia="宋体" w:cs="微软雅黑"/>
          <w:sz w:val="21"/>
          <w:szCs w:val="21"/>
          <w:lang w:val="en-US" w:eastAsia="zh-CN"/>
        </w:rPr>
        <w:t>评审办法前附表</w:t>
      </w:r>
      <w:r>
        <w:rPr>
          <w:rFonts w:hint="eastAsia" w:ascii="宋体" w:hAnsi="宋体" w:eastAsia="宋体" w:cs="微软雅黑"/>
          <w:sz w:val="21"/>
          <w:szCs w:val="21"/>
          <w:lang w:val="en-US" w:eastAsia="en-US"/>
        </w:rPr>
        <w:t>。</w:t>
      </w:r>
    </w:p>
    <w:p>
      <w:pPr>
        <w:shd w:val="clear" w:color="000000" w:fill="auto"/>
        <w:adjustRightInd w:val="0"/>
        <w:snapToGrid w:val="0"/>
        <w:spacing w:line="240" w:lineRule="auto"/>
        <w:jc w:val="left"/>
        <w:rPr>
          <w:rFonts w:hint="eastAsia" w:ascii="黑体" w:hAnsi="黑体" w:eastAsia="黑体"/>
          <w:sz w:val="24"/>
          <w:szCs w:val="24"/>
          <w:lang w:val="en-US" w:eastAsia="en-US"/>
        </w:rPr>
      </w:pPr>
      <w:r>
        <w:rPr>
          <w:rFonts w:hint="eastAsia" w:ascii="黑体" w:hAnsi="黑体" w:eastAsia="黑体"/>
          <w:sz w:val="24"/>
          <w:szCs w:val="24"/>
          <w:lang w:val="en-US" w:eastAsia="en-US"/>
        </w:rPr>
        <w:t>3. 评审程序</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3.1 初步评审</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 xml:space="preserve">3.1.1 </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可以要求</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提交有关证明和证件的原件，以便核验。</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依据标准对</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进行初步评审。有一项不符合评审标准的，</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应当否决其</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 xml:space="preserve">3.1.2 </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有以下情形之一的，</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应当否决其</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（1）</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没有对</w:t>
      </w:r>
      <w:r>
        <w:rPr>
          <w:rFonts w:hint="eastAsia" w:ascii="宋体" w:hAnsi="宋体" w:eastAsia="宋体" w:cs="微软雅黑"/>
          <w:sz w:val="21"/>
          <w:szCs w:val="21"/>
          <w:lang w:val="en-US" w:eastAsia="zh-CN"/>
        </w:rPr>
        <w:t>询比文件</w:t>
      </w:r>
      <w:r>
        <w:rPr>
          <w:rFonts w:hint="eastAsia" w:ascii="宋体" w:hAnsi="宋体" w:eastAsia="宋体" w:cs="微软雅黑"/>
          <w:sz w:val="21"/>
          <w:szCs w:val="21"/>
          <w:lang w:val="en-US" w:eastAsia="en-US"/>
        </w:rPr>
        <w:t>的实质性要求和条件作出响应.或者对</w:t>
      </w:r>
      <w:r>
        <w:rPr>
          <w:rFonts w:hint="eastAsia" w:ascii="宋体" w:hAnsi="宋体" w:eastAsia="宋体" w:cs="微软雅黑"/>
          <w:sz w:val="21"/>
          <w:szCs w:val="21"/>
          <w:lang w:val="en-US" w:eastAsia="zh-CN"/>
        </w:rPr>
        <w:t>询比文件</w:t>
      </w:r>
      <w:r>
        <w:rPr>
          <w:rFonts w:hint="eastAsia" w:ascii="宋体" w:hAnsi="宋体" w:eastAsia="宋体" w:cs="微软雅黑"/>
          <w:sz w:val="21"/>
          <w:szCs w:val="21"/>
          <w:lang w:val="en-US" w:eastAsia="en-US"/>
        </w:rPr>
        <w:t xml:space="preserve">的偏差超出 </w:t>
      </w:r>
      <w:r>
        <w:rPr>
          <w:rFonts w:hint="eastAsia" w:ascii="宋体" w:hAnsi="宋体" w:eastAsia="宋体" w:cs="微软雅黑"/>
          <w:sz w:val="21"/>
          <w:szCs w:val="21"/>
          <w:lang w:val="en-US" w:eastAsia="zh-CN"/>
        </w:rPr>
        <w:t>询比文件</w:t>
      </w:r>
      <w:r>
        <w:rPr>
          <w:rFonts w:hint="eastAsia" w:ascii="宋体" w:hAnsi="宋体" w:eastAsia="宋体" w:cs="微软雅黑"/>
          <w:sz w:val="21"/>
          <w:szCs w:val="21"/>
          <w:lang w:val="en-US" w:eastAsia="en-US"/>
        </w:rPr>
        <w:t>规定的偏差范围或最高项数；</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（2）有串通</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、弄虚作假、行贿等违法行为。</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 xml:space="preserve">3.1.3 </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报价有算术错误及其他错误的，</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按上述算术修正原则要求</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对</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报价进行修正，并要求</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书面澄清确认。</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拒不澄清确认的，</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应当否决其</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（1）</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中的大写金额与小写金额不一致的，以大写金额为准；</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（2）总价金额与单价金额不一致的，以单价金额为准，但单价金额小数点有明显错误的除外；</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（3）</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报价为各分项报价金额之和，</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报价与分项报价的合价不一致的，应以各分项合价累计数为准，修正</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报价；</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（4）如果分项报价中存在缺漏项，则视为缺漏项价格已包含在其他分项报价之中。</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3.2 详细评审</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 xml:space="preserve">3.2.1 </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按本章规定的评标价格调整方法进行必要的价格调整，并编制“价格比较表”。</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 xml:space="preserve">3.2.2 </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发现</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的报价明显低于其他</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报价，使得其</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报价可能低于其成本的，应当要求该</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作出书面说明并提供相应的证明材料。</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不能合理说明或者不能 提供相应证明材料的，由</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认定该</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以低于成本报价竞标，并否决其</w:t>
      </w:r>
      <w:r>
        <w:rPr>
          <w:rFonts w:hint="eastAsia" w:ascii="宋体" w:hAnsi="宋体" w:eastAsia="宋体" w:cs="微软雅黑"/>
          <w:sz w:val="21"/>
          <w:szCs w:val="21"/>
          <w:lang w:val="en-US" w:eastAsia="zh-CN"/>
        </w:rPr>
        <w:t>应答</w:t>
      </w:r>
      <w:r>
        <w:rPr>
          <w:rFonts w:hint="eastAsia" w:ascii="宋体" w:hAnsi="宋体" w:eastAsia="宋体" w:cs="微软雅黑"/>
          <w:sz w:val="21"/>
          <w:szCs w:val="21"/>
          <w:lang w:val="en-US" w:eastAsia="en-US"/>
        </w:rPr>
        <w:t>。</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 xml:space="preserve">3.3 </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的澄清</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3.3.1 在评标过程中，</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可以书面形式要求</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对</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中含义不明确、对同 类问题表述不一致或者有明显文字和计算错误的内容作必要的澄清、说明或补正。澄清、说明 或补正应以书面方式进行。</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不接受</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主动提出的澄清、说明或补正。</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3.3.2 澄清、说明或补正不得超出</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的范围且不得改变</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的实质性内容，并构 成</w:t>
      </w:r>
      <w:r>
        <w:rPr>
          <w:rFonts w:hint="eastAsia" w:ascii="宋体" w:hAnsi="宋体" w:eastAsia="宋体" w:cs="微软雅黑"/>
          <w:sz w:val="21"/>
          <w:szCs w:val="21"/>
          <w:lang w:val="en-US" w:eastAsia="zh-CN"/>
        </w:rPr>
        <w:t>应答文件</w:t>
      </w:r>
      <w:r>
        <w:rPr>
          <w:rFonts w:hint="eastAsia" w:ascii="宋体" w:hAnsi="宋体" w:eastAsia="宋体" w:cs="微软雅黑"/>
          <w:sz w:val="21"/>
          <w:szCs w:val="21"/>
          <w:lang w:val="en-US" w:eastAsia="en-US"/>
        </w:rPr>
        <w:t>的组成部分。</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 xml:space="preserve">3.3.3 </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对</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提交的澄清、说明或补正有疑问的，可以要求</w:t>
      </w:r>
      <w:r>
        <w:rPr>
          <w:rFonts w:hint="eastAsia" w:ascii="宋体" w:hAnsi="宋体" w:eastAsia="宋体" w:cs="微软雅黑"/>
          <w:sz w:val="21"/>
          <w:szCs w:val="21"/>
          <w:lang w:val="en-US" w:eastAsia="zh-CN"/>
        </w:rPr>
        <w:t>应答人</w:t>
      </w:r>
      <w:r>
        <w:rPr>
          <w:rFonts w:hint="eastAsia" w:ascii="宋体" w:hAnsi="宋体" w:eastAsia="宋体" w:cs="微软雅黑"/>
          <w:sz w:val="21"/>
          <w:szCs w:val="21"/>
          <w:lang w:val="en-US" w:eastAsia="en-US"/>
        </w:rPr>
        <w:t>进一步澄清、 说明或补正，直至满足</w:t>
      </w:r>
      <w:r>
        <w:rPr>
          <w:rFonts w:hint="eastAsia" w:ascii="宋体" w:hAnsi="宋体" w:eastAsia="宋体" w:cs="微软雅黑"/>
          <w:sz w:val="21"/>
          <w:szCs w:val="21"/>
          <w:lang w:val="en-US" w:eastAsia="zh-CN"/>
        </w:rPr>
        <w:t>评审委员会</w:t>
      </w:r>
      <w:r>
        <w:rPr>
          <w:rFonts w:hint="eastAsia" w:ascii="宋体" w:hAnsi="宋体" w:eastAsia="宋体" w:cs="微软雅黑"/>
          <w:sz w:val="21"/>
          <w:szCs w:val="21"/>
          <w:lang w:val="en-US" w:eastAsia="en-US"/>
        </w:rPr>
        <w:t>的要求。</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3.4 评标结果</w:t>
      </w:r>
    </w:p>
    <w:p>
      <w:pPr>
        <w:adjustRightInd w:val="0"/>
        <w:snapToGrid w:val="0"/>
        <w:spacing w:line="360" w:lineRule="auto"/>
        <w:ind w:firstLine="420" w:firstLineChars="200"/>
        <w:rPr>
          <w:rFonts w:hint="eastAsia" w:ascii="宋体" w:hAnsi="宋体" w:eastAsia="宋体" w:cs="微软雅黑"/>
          <w:sz w:val="21"/>
          <w:szCs w:val="21"/>
          <w:lang w:val="en-US" w:eastAsia="en-US"/>
        </w:rPr>
      </w:pPr>
      <w:r>
        <w:rPr>
          <w:rFonts w:hint="eastAsia" w:ascii="宋体" w:hAnsi="宋体" w:eastAsia="宋体" w:cs="微软雅黑"/>
          <w:sz w:val="21"/>
          <w:szCs w:val="21"/>
          <w:lang w:val="en-US" w:eastAsia="en-US"/>
        </w:rPr>
        <w:t>3.4.1 评审委员会按照经评审的价格由低到高的顺序推荐成交候选人，并标明排序。</w:t>
      </w:r>
    </w:p>
    <w:p>
      <w:pPr>
        <w:adjustRightInd w:val="0"/>
        <w:snapToGrid w:val="0"/>
        <w:spacing w:line="360" w:lineRule="auto"/>
        <w:ind w:firstLine="420" w:firstLineChars="200"/>
        <w:rPr>
          <w:rFonts w:hint="eastAsia" w:ascii="宋体" w:hAnsi="宋体" w:eastAsia="宋体" w:cs="微软雅黑"/>
          <w:sz w:val="21"/>
          <w:szCs w:val="21"/>
          <w:lang w:val="en-US" w:eastAsia="zh-CN"/>
        </w:rPr>
      </w:pPr>
      <w:r>
        <w:rPr>
          <w:rFonts w:hint="eastAsia" w:ascii="宋体" w:hAnsi="宋体" w:eastAsia="宋体" w:cs="微软雅黑"/>
          <w:sz w:val="21"/>
          <w:szCs w:val="21"/>
          <w:lang w:val="en-US" w:eastAsia="en-US"/>
        </w:rPr>
        <w:t>3.4.2  评审委员会完成评审后，应当提交书面评审报告和成交候选人名单。</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ascii="黑体" w:hAnsi="黑体" w:eastAsia="黑体"/>
          <w:b/>
          <w:bCs/>
          <w:color w:val="000000" w:themeColor="text1"/>
          <w:sz w:val="24"/>
          <w:szCs w:val="24"/>
          <w:highlight w:val="none"/>
          <w14:textFill>
            <w14:solidFill>
              <w14:schemeClr w14:val="tx1"/>
            </w14:solidFill>
          </w14:textFill>
        </w:rPr>
      </w:pPr>
    </w:p>
    <w:p>
      <w:pPr>
        <w:rPr>
          <w:rFonts w:hint="eastAsia" w:ascii="黑体" w:hAnsi="黑体" w:eastAsia="黑体"/>
          <w:b/>
          <w:bCs/>
          <w:color w:val="000000" w:themeColor="text1"/>
          <w:sz w:val="24"/>
          <w:szCs w:val="24"/>
          <w:highlight w:val="none"/>
          <w14:textFill>
            <w14:solidFill>
              <w14:schemeClr w14:val="tx1"/>
            </w14:solidFill>
          </w14:textFill>
        </w:rPr>
      </w:pPr>
    </w:p>
    <w:p>
      <w:pPr>
        <w:pStyle w:val="15"/>
        <w:rPr>
          <w:rFonts w:hint="eastAsia" w:ascii="黑体" w:hAnsi="黑体" w:eastAsia="黑体"/>
          <w:b/>
          <w:bCs/>
          <w:color w:val="000000" w:themeColor="text1"/>
          <w:sz w:val="24"/>
          <w:szCs w:val="24"/>
          <w:highlight w:val="none"/>
          <w14:textFill>
            <w14:solidFill>
              <w14:schemeClr w14:val="tx1"/>
            </w14:solidFill>
          </w14:textFill>
        </w:rPr>
      </w:pPr>
    </w:p>
    <w:p>
      <w:pPr>
        <w:pStyle w:val="8"/>
        <w:rPr>
          <w:rFonts w:hint="eastAsia"/>
        </w:rPr>
      </w:pPr>
    </w:p>
    <w:p>
      <w:pPr>
        <w:pStyle w:val="8"/>
        <w:ind w:left="0" w:leftChars="0" w:firstLine="0" w:firstLineChars="0"/>
        <w:rPr>
          <w:rFonts w:hint="eastAsia" w:ascii="黑体" w:hAnsi="黑体" w:eastAsia="黑体"/>
          <w:b/>
          <w:bCs/>
          <w:color w:val="000000" w:themeColor="text1"/>
          <w:sz w:val="24"/>
          <w:szCs w:val="24"/>
          <w:highlight w:val="none"/>
          <w14:textFill>
            <w14:solidFill>
              <w14:schemeClr w14:val="tx1"/>
            </w14:solidFill>
          </w14:textFill>
        </w:rPr>
      </w:pPr>
    </w:p>
    <w:p>
      <w:pPr>
        <w:pStyle w:val="8"/>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ascii="黑体" w:hAnsi="黑体" w:eastAsia="黑体"/>
          <w:b/>
          <w:bCs/>
          <w:color w:val="000000" w:themeColor="text1"/>
          <w:sz w:val="24"/>
          <w:szCs w:val="24"/>
          <w:highlight w:val="none"/>
          <w14:textFill>
            <w14:solidFill>
              <w14:schemeClr w14:val="tx1"/>
            </w14:solidFill>
          </w14:textFill>
        </w:rPr>
        <w:t>2</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 ：</w:t>
      </w:r>
      <w:r>
        <w:rPr>
          <w:rFonts w:ascii="黑体" w:hAnsi="黑体" w:eastAsia="黑体"/>
          <w:b/>
          <w:bCs/>
          <w:color w:val="000000" w:themeColor="text1"/>
          <w:sz w:val="24"/>
          <w:szCs w:val="24"/>
          <w:highlight w:val="none"/>
          <w14:textFill>
            <w14:solidFill>
              <w14:schemeClr w14:val="tx1"/>
            </w14:solidFill>
          </w14:textFill>
        </w:rPr>
        <w:t>采</w:t>
      </w:r>
      <w:r>
        <w:rPr>
          <w:rFonts w:hint="eastAsia" w:ascii="黑体" w:hAnsi="黑体" w:eastAsia="黑体"/>
          <w:b/>
          <w:bCs/>
          <w:color w:val="000000" w:themeColor="text1"/>
          <w:sz w:val="24"/>
          <w:szCs w:val="24"/>
          <w:highlight w:val="none"/>
          <w:lang w:val="en-US" w:eastAsia="zh-CN"/>
          <w14:textFill>
            <w14:solidFill>
              <w14:schemeClr w14:val="tx1"/>
            </w14:solidFill>
          </w14:textFill>
        </w:rPr>
        <w:t>购</w:t>
      </w:r>
      <w:r>
        <w:rPr>
          <w:rFonts w:hint="eastAsia" w:ascii="黑体" w:hAnsi="黑体" w:eastAsia="黑体"/>
          <w:b/>
          <w:bCs/>
          <w:color w:val="000000" w:themeColor="text1"/>
          <w:sz w:val="24"/>
          <w:szCs w:val="24"/>
          <w:highlight w:val="none"/>
          <w14:textFill>
            <w14:solidFill>
              <w14:schemeClr w14:val="tx1"/>
            </w14:solidFill>
          </w14:textFill>
        </w:rPr>
        <w:t>内容及</w:t>
      </w:r>
      <w:r>
        <w:rPr>
          <w:rFonts w:ascii="黑体" w:hAnsi="黑体" w:eastAsia="黑体"/>
          <w:b/>
          <w:bCs/>
          <w:color w:val="000000" w:themeColor="text1"/>
          <w:sz w:val="24"/>
          <w:szCs w:val="24"/>
          <w:highlight w:val="none"/>
          <w14:textFill>
            <w14:solidFill>
              <w14:schemeClr w14:val="tx1"/>
            </w14:solidFill>
          </w14:textFill>
        </w:rPr>
        <w:t>技术要求</w:t>
      </w:r>
    </w:p>
    <w:p>
      <w:pPr>
        <w:rPr>
          <w:rFonts w:ascii="黑体" w:hAnsi="黑体" w:eastAsia="黑体"/>
          <w:color w:val="000000" w:themeColor="text1"/>
          <w:sz w:val="24"/>
          <w:szCs w:val="24"/>
          <w:highlight w:val="none"/>
          <w14:textFill>
            <w14:solidFill>
              <w14:schemeClr w14:val="tx1"/>
            </w14:solidFill>
          </w14:textFill>
        </w:rPr>
      </w:pPr>
    </w:p>
    <w:p>
      <w:pPr>
        <w:ind w:firstLine="2520" w:firstLineChars="1200"/>
        <w:rPr>
          <w:rFonts w:ascii="黑体" w:hAnsi="黑体" w:eastAsia="黑体"/>
          <w:color w:val="000000" w:themeColor="text1"/>
          <w:sz w:val="21"/>
          <w:szCs w:val="21"/>
          <w:highlight w:val="none"/>
          <w14:textFill>
            <w14:solidFill>
              <w14:schemeClr w14:val="tx1"/>
            </w14:solidFill>
          </w14:textFill>
        </w:rPr>
      </w:pPr>
      <w:r>
        <w:rPr>
          <w:rFonts w:ascii="黑体" w:hAnsi="黑体" w:eastAsia="黑体"/>
          <w:color w:val="000000" w:themeColor="text1"/>
          <w:sz w:val="21"/>
          <w:szCs w:val="21"/>
          <w:highlight w:val="none"/>
          <w14:textFill>
            <w14:solidFill>
              <w14:schemeClr w14:val="tx1"/>
            </w14:solidFill>
          </w14:textFill>
        </w:rPr>
        <w:t>采</w:t>
      </w:r>
      <w:r>
        <w:rPr>
          <w:rFonts w:hint="eastAsia" w:ascii="黑体" w:hAnsi="黑体" w:eastAsia="黑体"/>
          <w:color w:val="000000" w:themeColor="text1"/>
          <w:sz w:val="21"/>
          <w:szCs w:val="21"/>
          <w:highlight w:val="none"/>
          <w:lang w:val="en-US" w:eastAsia="zh-CN"/>
          <w14:textFill>
            <w14:solidFill>
              <w14:schemeClr w14:val="tx1"/>
            </w14:solidFill>
          </w14:textFill>
        </w:rPr>
        <w:t>购</w:t>
      </w:r>
      <w:r>
        <w:rPr>
          <w:rFonts w:hint="eastAsia" w:ascii="黑体" w:hAnsi="黑体" w:eastAsia="黑体"/>
          <w:color w:val="000000" w:themeColor="text1"/>
          <w:sz w:val="21"/>
          <w:szCs w:val="21"/>
          <w:highlight w:val="none"/>
          <w14:textFill>
            <w14:solidFill>
              <w14:schemeClr w14:val="tx1"/>
            </w14:solidFill>
          </w14:textFill>
        </w:rPr>
        <w:t>内容及</w:t>
      </w:r>
      <w:r>
        <w:rPr>
          <w:rFonts w:ascii="黑体" w:hAnsi="黑体" w:eastAsia="黑体"/>
          <w:color w:val="000000" w:themeColor="text1"/>
          <w:sz w:val="21"/>
          <w:szCs w:val="21"/>
          <w:highlight w:val="none"/>
          <w14:textFill>
            <w14:solidFill>
              <w14:schemeClr w14:val="tx1"/>
            </w14:solidFill>
          </w14:textFill>
        </w:rPr>
        <w:t>技术要求</w:t>
      </w:r>
    </w:p>
    <w:p>
      <w:pPr>
        <w:ind w:firstLine="2520" w:firstLineChars="1200"/>
        <w:rPr>
          <w:rFonts w:ascii="黑体" w:hAnsi="黑体" w:eastAsia="黑体"/>
          <w:color w:val="000000" w:themeColor="text1"/>
          <w:sz w:val="21"/>
          <w:szCs w:val="21"/>
          <w:highlight w:val="none"/>
          <w14:textFill>
            <w14:solidFill>
              <w14:schemeClr w14:val="tx1"/>
            </w14:solidFill>
          </w14:textFill>
        </w:rPr>
      </w:pPr>
    </w:p>
    <w:p>
      <w:pPr>
        <w:pStyle w:val="55"/>
        <w:spacing w:before="120" w:after="120" w:line="300" w:lineRule="auto"/>
        <w:outlineLvl w:val="0"/>
        <w:rPr>
          <w:rFonts w:cs="Times New Roman" w:asciiTheme="minorEastAsia" w:hAnsiTheme="minorEastAsia" w:eastAsiaTheme="minorEastAsia"/>
          <w:bCs/>
          <w:color w:val="auto"/>
          <w:sz w:val="32"/>
          <w:szCs w:val="32"/>
        </w:rPr>
      </w:pPr>
      <w:r>
        <w:rPr>
          <w:rFonts w:cs="Times New Roman" w:asciiTheme="minorEastAsia" w:hAnsiTheme="minorEastAsia" w:eastAsiaTheme="minorEastAsia"/>
          <w:bCs/>
          <w:color w:val="auto"/>
          <w:sz w:val="32"/>
          <w:szCs w:val="32"/>
        </w:rPr>
        <w:t>一、项目概况及总体要求</w:t>
      </w:r>
    </w:p>
    <w:p>
      <w:pPr>
        <w:pStyle w:val="10"/>
        <w:keepNext w:val="0"/>
        <w:keepLines w:val="0"/>
        <w:pageBreakBefore w:val="0"/>
        <w:widowControl w:val="0"/>
        <w:kinsoku/>
        <w:wordWrap/>
        <w:overflowPunct/>
        <w:topLinePunct w:val="0"/>
        <w:autoSpaceDE/>
        <w:autoSpaceDN/>
        <w:bidi w:val="0"/>
        <w:adjustRightInd/>
        <w:snapToGrid/>
        <w:spacing w:line="300" w:lineRule="auto"/>
        <w:ind w:left="0" w:right="0" w:firstLine="480"/>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本次采购的</w:t>
      </w:r>
      <w:r>
        <w:rPr>
          <w:rFonts w:hint="eastAsia" w:ascii="Times New Roman" w:hAnsi="Times New Roman" w:eastAsia="宋体" w:cs="Times New Roman"/>
          <w:sz w:val="24"/>
          <w:szCs w:val="24"/>
          <w:highlight w:val="none"/>
          <w:lang w:val="en-US" w:eastAsia="zh-CN"/>
        </w:rPr>
        <w:t>低温精馏回流</w:t>
      </w:r>
      <w:r>
        <w:rPr>
          <w:rFonts w:hint="default" w:ascii="Times New Roman" w:hAnsi="Times New Roman" w:eastAsia="宋体" w:cs="Times New Roman"/>
          <w:sz w:val="24"/>
          <w:szCs w:val="24"/>
          <w:highlight w:val="none"/>
          <w:lang w:val="en-US" w:eastAsia="zh-CN"/>
        </w:rPr>
        <w:t>泵</w:t>
      </w:r>
      <w:r>
        <w:rPr>
          <w:rFonts w:hint="eastAsia" w:ascii="Times New Roman" w:hAnsi="Times New Roman" w:eastAsia="宋体" w:cs="Times New Roman"/>
          <w:sz w:val="24"/>
          <w:szCs w:val="24"/>
          <w:highlight w:val="none"/>
          <w:lang w:val="en-US" w:eastAsia="zh-CN"/>
        </w:rPr>
        <w:t>，用于东方1-1气田CCUS低温脱碳项目。</w:t>
      </w:r>
    </w:p>
    <w:p>
      <w:pPr>
        <w:spacing w:line="300" w:lineRule="auto"/>
        <w:ind w:firstLine="480" w:firstLineChars="200"/>
        <w:rPr>
          <w:rFonts w:hint="eastAsia" w:ascii="Times New Roman" w:hAnsi="Times New Roman" w:cs="Times New Roman"/>
          <w:bCs/>
          <w:sz w:val="24"/>
          <w:highlight w:val="none"/>
          <w:lang w:val="en-US" w:eastAsia="zh-CN"/>
        </w:rPr>
      </w:pPr>
      <w:r>
        <w:rPr>
          <w:rFonts w:hint="eastAsia" w:ascii="Times New Roman" w:hAnsi="Times New Roman" w:eastAsia="宋体" w:cs="Times New Roman"/>
          <w:kern w:val="0"/>
          <w:sz w:val="24"/>
          <w:szCs w:val="24"/>
          <w:highlight w:val="none"/>
          <w:lang w:val="en-US" w:eastAsia="zh-CN" w:bidi="ar-SA"/>
        </w:rPr>
        <w:t>标准应用情况概述：本次需求引用</w:t>
      </w:r>
      <w:r>
        <w:rPr>
          <w:rFonts w:ascii="Times New Roman" w:hAnsi="Times New Roman" w:cs="Times New Roman"/>
          <w:bCs/>
          <w:sz w:val="24"/>
          <w:highlight w:val="none"/>
          <w:lang w:eastAsia="zh-CN"/>
        </w:rPr>
        <w:t>API STD 610</w:t>
      </w:r>
      <w:r>
        <w:rPr>
          <w:rFonts w:hint="eastAsia" w:ascii="Times New Roman" w:hAnsi="Times New Roman" w:cs="Times New Roman"/>
          <w:bCs/>
          <w:sz w:val="24"/>
          <w:highlight w:val="none"/>
          <w:lang w:val="en-US" w:eastAsia="zh-CN"/>
        </w:rPr>
        <w:t>《石</w:t>
      </w:r>
      <w:r>
        <w:rPr>
          <w:rFonts w:hint="default" w:ascii="Times New Roman" w:hAnsi="Times New Roman" w:cs="Times New Roman"/>
          <w:bCs/>
          <w:sz w:val="24"/>
          <w:highlight w:val="none"/>
          <w:lang w:eastAsia="zh-CN"/>
        </w:rPr>
        <w:t>油、石化和天然气工业用离心泵</w:t>
      </w:r>
      <w:r>
        <w:rPr>
          <w:rFonts w:hint="eastAsia" w:ascii="Times New Roman" w:hAnsi="Times New Roman" w:cs="Times New Roman"/>
          <w:bCs/>
          <w:sz w:val="24"/>
          <w:highlight w:val="none"/>
          <w:lang w:eastAsia="zh-CN"/>
        </w:rPr>
        <w:t>》</w:t>
      </w:r>
      <w:r>
        <w:rPr>
          <w:rFonts w:hint="eastAsia" w:ascii="Times New Roman" w:hAnsi="Times New Roman" w:cs="Times New Roman"/>
          <w:bCs/>
          <w:sz w:val="24"/>
          <w:highlight w:val="none"/>
          <w:lang w:val="en-US" w:eastAsia="zh-CN"/>
        </w:rPr>
        <w:t>为完全引用（无补充引用）。</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highlight w:val="none"/>
          <w:lang w:val="en-US" w:eastAsia="zh-CN"/>
        </w:rPr>
      </w:pPr>
      <w:r>
        <w:rPr>
          <w:rFonts w:ascii="Times New Roman" w:hAnsi="Times New Roman" w:cs="Times New Roman"/>
          <w:bCs/>
          <w:sz w:val="24"/>
          <w:highlight w:val="none"/>
          <w:lang w:eastAsia="zh-CN"/>
        </w:rPr>
        <w:t>ASME B16.5</w:t>
      </w:r>
      <w:r>
        <w:rPr>
          <w:rFonts w:hint="eastAsia" w:ascii="Times New Roman" w:hAnsi="Times New Roman" w:cs="Times New Roman"/>
          <w:bCs/>
          <w:sz w:val="24"/>
          <w:highlight w:val="none"/>
          <w:lang w:eastAsia="zh-CN"/>
        </w:rPr>
        <w:t>《</w:t>
      </w:r>
      <w:r>
        <w:rPr>
          <w:rFonts w:hint="default" w:ascii="Times New Roman" w:hAnsi="Times New Roman" w:cs="Times New Roman"/>
          <w:bCs/>
          <w:sz w:val="24"/>
          <w:highlight w:val="none"/>
          <w:lang w:eastAsia="zh-CN"/>
        </w:rPr>
        <w:t>管法兰和法兰管件NPS 1/2至NPS 24公制/英寸标准</w:t>
      </w:r>
      <w:r>
        <w:rPr>
          <w:rFonts w:hint="eastAsia" w:ascii="Times New Roman" w:hAnsi="Times New Roman" w:cs="Times New Roman"/>
          <w:bCs/>
          <w:sz w:val="24"/>
          <w:highlight w:val="none"/>
          <w:lang w:eastAsia="zh-CN"/>
        </w:rPr>
        <w:t>》、</w:t>
      </w:r>
      <w:r>
        <w:rPr>
          <w:rFonts w:hint="default" w:ascii="Times New Roman" w:hAnsi="Times New Roman" w:cs="Times New Roman"/>
          <w:bCs/>
          <w:sz w:val="24"/>
          <w:highlight w:val="none"/>
          <w:lang w:val="en-US" w:eastAsia="zh-CN"/>
        </w:rPr>
        <w:t>GB/T 29529</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泵的噪声测量与评价方法</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GB/T 29531</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泵的振动测量与评价方法</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GB 18613</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中小型三相异步电动机能效限定值与能效等级</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GB/T13007</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离心泵效率</w:t>
      </w:r>
      <w:r>
        <w:rPr>
          <w:rFonts w:hint="eastAsia" w:ascii="Times New Roman" w:hAnsi="Times New Roman" w:cs="Times New Roman"/>
          <w:bCs/>
          <w:sz w:val="24"/>
          <w:highlight w:val="none"/>
          <w:lang w:val="en-US" w:eastAsia="zh-CN"/>
        </w:rPr>
        <w:t>》、GB/T 1032 《三相异步电动机试验方法》、《海上固定平台安全规则》、</w:t>
      </w:r>
      <w:r>
        <w:rPr>
          <w:rFonts w:hint="default" w:ascii="Times New Roman" w:hAnsi="Times New Roman" w:eastAsia="宋体" w:cs="Times New Roman"/>
          <w:color w:val="auto"/>
          <w:kern w:val="0"/>
          <w:sz w:val="24"/>
          <w:highlight w:val="none"/>
          <w:lang w:eastAsia="en-US"/>
        </w:rPr>
        <w:t>QBZH 11111.01-2024</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highlight w:val="none"/>
          <w:lang w:eastAsia="en-US"/>
        </w:rPr>
        <w:t>组块涂装规格书</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en-US"/>
        </w:rPr>
        <w:t xml:space="preserve">QBZH 11104.01-2021 </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eastAsia" w:ascii="Times New Roman" w:hAnsi="Times New Roman" w:eastAsia="宋体" w:cs="Times New Roman"/>
          <w:color w:val="auto"/>
          <w:kern w:val="0"/>
          <w:sz w:val="24"/>
          <w:highlight w:val="none"/>
          <w:lang w:eastAsia="en-US"/>
        </w:rPr>
        <w:t>成橇设备</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szCs w:val="22"/>
          <w:highlight w:val="none"/>
          <w:lang w:val="en-US" w:eastAsia="zh-CN" w:bidi="ar-SA"/>
        </w:rPr>
        <w:t xml:space="preserve">QBZH 11104.14-2021 </w:t>
      </w:r>
      <w:r>
        <w:rPr>
          <w:rFonts w:hint="eastAsia" w:ascii="Times New Roman" w:hAnsi="Times New Roman" w:eastAsia="宋体" w:cs="Times New Roman"/>
          <w:color w:val="auto"/>
          <w:kern w:val="0"/>
          <w:sz w:val="24"/>
          <w:szCs w:val="22"/>
          <w:highlight w:val="none"/>
          <w:lang w:val="en-US" w:eastAsia="zh-CN" w:bidi="ar-SA"/>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szCs w:val="22"/>
          <w:highlight w:val="none"/>
          <w:lang w:val="en-US" w:eastAsia="zh-CN" w:bidi="ar-SA"/>
        </w:rPr>
        <w:t xml:space="preserve">离心泵规格书 </w:t>
      </w:r>
      <w:r>
        <w:rPr>
          <w:rFonts w:hint="eastAsia" w:ascii="Times New Roman" w:hAnsi="Times New Roman" w:eastAsia="宋体" w:cs="Times New Roman"/>
          <w:color w:val="auto"/>
          <w:kern w:val="0"/>
          <w:sz w:val="24"/>
          <w:szCs w:val="22"/>
          <w:highlight w:val="none"/>
          <w:lang w:val="en-US" w:eastAsia="zh-CN" w:bidi="ar-SA"/>
        </w:rPr>
        <w:t>》均为部分引用（无补充引用）。</w:t>
      </w:r>
    </w:p>
    <w:p>
      <w:pPr>
        <w:pStyle w:val="55"/>
        <w:numPr>
          <w:ilvl w:val="0"/>
          <w:numId w:val="3"/>
        </w:numPr>
        <w:spacing w:before="120" w:after="120" w:line="300" w:lineRule="auto"/>
        <w:outlineLvl w:val="0"/>
        <w:rPr>
          <w:rFonts w:cs="Times New Roman" w:asciiTheme="minorEastAsia" w:hAnsiTheme="minorEastAsia" w:eastAsiaTheme="minorEastAsia"/>
          <w:bCs/>
          <w:color w:val="auto"/>
          <w:sz w:val="32"/>
          <w:szCs w:val="32"/>
          <w:highlight w:val="none"/>
        </w:rPr>
      </w:pPr>
      <w:bookmarkStart w:id="3" w:name="_Toc13249325"/>
      <w:bookmarkStart w:id="4" w:name="_Toc13248928"/>
      <w:r>
        <w:rPr>
          <w:rFonts w:cs="Times New Roman" w:asciiTheme="minorEastAsia" w:hAnsiTheme="minorEastAsia" w:eastAsiaTheme="minorEastAsia"/>
          <w:bCs/>
          <w:color w:val="auto"/>
          <w:sz w:val="32"/>
          <w:szCs w:val="32"/>
          <w:highlight w:val="none"/>
        </w:rPr>
        <w:t>需求一览表</w:t>
      </w:r>
      <w:bookmarkEnd w:id="3"/>
      <w:bookmarkEnd w:id="4"/>
    </w:p>
    <w:tbl>
      <w:tblPr>
        <w:tblStyle w:val="23"/>
        <w:tblW w:w="4314"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166"/>
        <w:gridCol w:w="871"/>
        <w:gridCol w:w="1737"/>
        <w:gridCol w:w="652"/>
        <w:gridCol w:w="676"/>
        <w:gridCol w:w="345"/>
        <w:gridCol w:w="864"/>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序号</w:t>
            </w:r>
          </w:p>
        </w:tc>
        <w:tc>
          <w:tcPr>
            <w:tcW w:w="11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物资编码</w:t>
            </w:r>
          </w:p>
        </w:tc>
        <w:tc>
          <w:tcPr>
            <w:tcW w:w="8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物资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名称</w:t>
            </w:r>
          </w:p>
        </w:tc>
        <w:tc>
          <w:tcPr>
            <w:tcW w:w="173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规格型号</w:t>
            </w:r>
          </w:p>
        </w:tc>
        <w:tc>
          <w:tcPr>
            <w:tcW w:w="6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中文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单位</w:t>
            </w:r>
          </w:p>
        </w:tc>
        <w:tc>
          <w:tcPr>
            <w:tcW w:w="6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基本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单位</w:t>
            </w:r>
          </w:p>
        </w:tc>
        <w:tc>
          <w:tcPr>
            <w:tcW w:w="3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数量</w:t>
            </w:r>
          </w:p>
        </w:tc>
        <w:tc>
          <w:tcPr>
            <w:tcW w:w="86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交货期</w:t>
            </w:r>
          </w:p>
        </w:tc>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39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1</w:t>
            </w:r>
          </w:p>
        </w:tc>
        <w:tc>
          <w:tcPr>
            <w:tcW w:w="116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firstLine="0" w:firstLineChars="0"/>
              <w:jc w:val="both"/>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85331965</w:t>
            </w:r>
          </w:p>
        </w:tc>
        <w:tc>
          <w:tcPr>
            <w:tcW w:w="87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en-US"/>
              </w:rPr>
            </w:pPr>
            <w:r>
              <w:rPr>
                <w:rFonts w:hint="eastAsia" w:ascii="Times New Roman" w:hAnsi="Times New Roman" w:eastAsia="宋体" w:cs="Times New Roman"/>
                <w:b w:val="0"/>
                <w:bCs w:val="0"/>
                <w:color w:val="auto"/>
                <w:kern w:val="0"/>
                <w:sz w:val="21"/>
                <w:szCs w:val="18"/>
                <w:highlight w:val="none"/>
                <w:lang w:val="en-US" w:eastAsia="zh-CN" w:bidi="ar-SA"/>
              </w:rPr>
              <w:t>低温精馏回流泵</w:t>
            </w:r>
          </w:p>
        </w:tc>
        <w:tc>
          <w:tcPr>
            <w:tcW w:w="1736" w:type="dxa"/>
            <w:noWrap w:val="0"/>
            <w:vAlign w:val="center"/>
          </w:tcPr>
          <w:p>
            <w:pPr>
              <w:keepNext w:val="0"/>
              <w:keepLines w:val="0"/>
              <w:widowControl w:val="0"/>
              <w:suppressLineNumbers w:val="0"/>
              <w:tabs>
                <w:tab w:val="center" w:pos="4153"/>
                <w:tab w:val="right" w:pos="8306"/>
              </w:tabs>
              <w:snapToGrid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kern w:val="0"/>
                <w:sz w:val="21"/>
                <w:szCs w:val="18"/>
                <w:highlight w:val="none"/>
                <w:lang w:val="en-US" w:eastAsia="zh-CN" w:bidi="ar-SA"/>
              </w:rPr>
            </w:pPr>
            <w:r>
              <w:rPr>
                <w:rFonts w:hint="eastAsia" w:ascii="Times New Roman" w:hAnsi="Times New Roman" w:eastAsia="宋体" w:cs="Times New Roman"/>
                <w:b w:val="0"/>
                <w:bCs w:val="0"/>
                <w:color w:val="auto"/>
                <w:kern w:val="0"/>
                <w:sz w:val="21"/>
                <w:szCs w:val="18"/>
                <w:highlight w:val="none"/>
                <w:lang w:val="en-US" w:eastAsia="zh-CN" w:bidi="ar-SA"/>
              </w:rPr>
              <w:t>介质：液体CO</w:t>
            </w:r>
            <w:r>
              <w:rPr>
                <w:rFonts w:hint="eastAsia" w:ascii="Times New Roman" w:hAnsi="Times New Roman" w:eastAsia="宋体" w:cs="Times New Roman"/>
                <w:b w:val="0"/>
                <w:bCs w:val="0"/>
                <w:color w:val="auto"/>
                <w:kern w:val="0"/>
                <w:sz w:val="21"/>
                <w:szCs w:val="18"/>
                <w:highlight w:val="none"/>
                <w:vertAlign w:val="subscript"/>
                <w:lang w:val="en-US" w:eastAsia="zh-CN" w:bidi="ar-SA"/>
              </w:rPr>
              <w:t>2</w:t>
            </w:r>
            <w:r>
              <w:rPr>
                <w:rFonts w:hint="eastAsia" w:ascii="Times New Roman" w:hAnsi="Times New Roman" w:eastAsia="宋体" w:cs="Times New Roman"/>
                <w:b w:val="0"/>
                <w:bCs w:val="0"/>
                <w:color w:val="auto"/>
                <w:kern w:val="0"/>
                <w:sz w:val="21"/>
                <w:szCs w:val="18"/>
                <w:highlight w:val="none"/>
                <w:lang w:val="en-US" w:eastAsia="zh-CN" w:bidi="ar-SA"/>
              </w:rPr>
              <w:t>/CH</w:t>
            </w:r>
            <w:r>
              <w:rPr>
                <w:rFonts w:hint="eastAsia" w:ascii="Times New Roman" w:hAnsi="Times New Roman" w:eastAsia="宋体" w:cs="Times New Roman"/>
                <w:b w:val="0"/>
                <w:bCs w:val="0"/>
                <w:color w:val="auto"/>
                <w:kern w:val="0"/>
                <w:sz w:val="21"/>
                <w:szCs w:val="18"/>
                <w:highlight w:val="none"/>
                <w:vertAlign w:val="subscript"/>
                <w:lang w:val="en-US" w:eastAsia="zh-CN" w:bidi="ar-SA"/>
              </w:rPr>
              <w:t>4</w:t>
            </w:r>
            <w:r>
              <w:rPr>
                <w:rFonts w:hint="eastAsia" w:ascii="Times New Roman" w:hAnsi="Times New Roman" w:eastAsia="宋体" w:cs="Times New Roman"/>
                <w:b w:val="0"/>
                <w:bCs w:val="0"/>
                <w:color w:val="auto"/>
                <w:kern w:val="0"/>
                <w:sz w:val="21"/>
                <w:szCs w:val="18"/>
                <w:highlight w:val="none"/>
                <w:lang w:val="en-US" w:eastAsia="zh-CN" w:bidi="ar-SA"/>
              </w:rPr>
              <w:t>，设计压力：8.235MPaG，设计温度：-55℃，泵额定流量：20m</w:t>
            </w:r>
            <w:r>
              <w:rPr>
                <w:rFonts w:hint="eastAsia" w:ascii="Times New Roman" w:hAnsi="Times New Roman" w:eastAsia="宋体" w:cs="Times New Roman"/>
                <w:b w:val="0"/>
                <w:bCs w:val="0"/>
                <w:color w:val="auto"/>
                <w:kern w:val="0"/>
                <w:sz w:val="21"/>
                <w:szCs w:val="18"/>
                <w:highlight w:val="none"/>
                <w:vertAlign w:val="superscript"/>
                <w:lang w:val="en-US" w:eastAsia="zh-CN" w:bidi="ar-SA"/>
              </w:rPr>
              <w:t>3</w:t>
            </w:r>
            <w:r>
              <w:rPr>
                <w:rFonts w:hint="eastAsia" w:ascii="Times New Roman" w:hAnsi="Times New Roman" w:eastAsia="宋体" w:cs="Times New Roman"/>
                <w:b w:val="0"/>
                <w:bCs w:val="0"/>
                <w:color w:val="auto"/>
                <w:kern w:val="0"/>
                <w:sz w:val="21"/>
                <w:szCs w:val="18"/>
                <w:highlight w:val="none"/>
                <w:lang w:val="en-US" w:eastAsia="zh-CN" w:bidi="ar-SA"/>
              </w:rPr>
              <w:t>/h，泵扬程：30m，泵入口操作压力：3.5MPaG，操作温度：-42℃。</w:t>
            </w:r>
          </w:p>
        </w:tc>
        <w:tc>
          <w:tcPr>
            <w:tcW w:w="6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件</w:t>
            </w:r>
          </w:p>
        </w:tc>
        <w:tc>
          <w:tcPr>
            <w:tcW w:w="67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EA</w:t>
            </w:r>
          </w:p>
        </w:tc>
        <w:tc>
          <w:tcPr>
            <w:tcW w:w="34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2</w:t>
            </w:r>
          </w:p>
        </w:tc>
        <w:tc>
          <w:tcPr>
            <w:tcW w:w="864"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kern w:val="0"/>
                <w:sz w:val="21"/>
                <w:szCs w:val="18"/>
                <w:highlight w:val="none"/>
                <w:lang w:val="en-US" w:eastAsia="zh-CN"/>
              </w:rPr>
              <w:t>合同签订之日起120天内供货</w:t>
            </w:r>
          </w:p>
        </w:tc>
        <w:tc>
          <w:tcPr>
            <w:tcW w:w="64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420" w:firstLineChars="200"/>
              <w:jc w:val="center"/>
              <w:textAlignment w:val="auto"/>
              <w:outlineLvl w:val="9"/>
              <w:rPr>
                <w:rFonts w:hint="default" w:ascii="Times New Roman" w:hAnsi="Times New Roman" w:eastAsia="宋体" w:cs="Times New Roman"/>
                <w:kern w:val="0"/>
                <w:sz w:val="21"/>
                <w:highlight w:val="none"/>
                <w:lang w:val="en-US" w:eastAsia="zh-CN"/>
              </w:rPr>
            </w:pPr>
          </w:p>
        </w:tc>
      </w:tr>
    </w:tbl>
    <w:p>
      <w:pPr>
        <w:pStyle w:val="55"/>
        <w:numPr>
          <w:ilvl w:val="0"/>
          <w:numId w:val="0"/>
        </w:numPr>
        <w:tabs>
          <w:tab w:val="left" w:pos="1040"/>
        </w:tabs>
        <w:snapToGrid w:val="0"/>
        <w:spacing w:line="360" w:lineRule="auto"/>
        <w:ind w:firstLine="480" w:firstLineChars="200"/>
        <w:rPr>
          <w:highlight w:val="none"/>
        </w:rPr>
      </w:pPr>
      <w:r>
        <w:rPr>
          <w:rFonts w:hint="eastAsia" w:ascii="Times New Roman" w:hAnsi="Times New Roman"/>
          <w:color w:val="auto"/>
          <w:sz w:val="24"/>
          <w:szCs w:val="24"/>
          <w:highlight w:val="none"/>
          <w:lang w:val="en-US" w:eastAsia="zh-CN"/>
        </w:rPr>
        <w:t>交货地点：</w:t>
      </w:r>
      <w:r>
        <w:rPr>
          <w:rFonts w:hint="eastAsia" w:ascii="Times New Roman" w:hAnsi="Times New Roman" w:eastAsia="宋体" w:cs="Times New Roman"/>
          <w:b w:val="0"/>
          <w:color w:val="auto"/>
          <w:sz w:val="24"/>
          <w:szCs w:val="24"/>
          <w:highlight w:val="none"/>
          <w:lang w:val="en-US" w:eastAsia="zh-CN"/>
        </w:rPr>
        <w:t>广东省湛江市坡头区南油码头</w:t>
      </w:r>
      <w:r>
        <w:rPr>
          <w:rFonts w:hint="eastAsia"/>
          <w:color w:val="auto"/>
          <w:sz w:val="24"/>
          <w:szCs w:val="24"/>
          <w:highlight w:val="none"/>
          <w:lang w:val="en-US" w:eastAsia="zh-CN"/>
        </w:rPr>
        <w:t>。</w:t>
      </w:r>
    </w:p>
    <w:p>
      <w:pPr>
        <w:pStyle w:val="10"/>
        <w:keepNext w:val="0"/>
        <w:keepLines w:val="0"/>
        <w:pageBreakBefore w:val="0"/>
        <w:widowControl w:val="0"/>
        <w:kinsoku/>
        <w:wordWrap w:val="0"/>
        <w:overflowPunct/>
        <w:topLinePunct/>
        <w:autoSpaceDE/>
        <w:autoSpaceDN/>
        <w:bidi w:val="0"/>
        <w:adjustRightInd w:val="0"/>
        <w:snapToGrid w:val="0"/>
        <w:spacing w:before="313" w:beforeLines="100" w:line="360" w:lineRule="auto"/>
        <w:ind w:left="0" w:leftChars="0" w:firstLine="0" w:firstLineChars="0"/>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总体要求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left"/>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lang w:eastAsia="zh-CN"/>
        </w:rPr>
        <w:t>应根据技术附件提供</w:t>
      </w:r>
      <w:r>
        <w:rPr>
          <w:rFonts w:hint="default" w:ascii="Times New Roman" w:hAnsi="Times New Roman" w:eastAsia="宋体" w:cs="Times New Roman"/>
          <w:sz w:val="24"/>
          <w:szCs w:val="24"/>
          <w:highlight w:val="none"/>
          <w:lang w:val="en-US" w:eastAsia="zh-CN"/>
        </w:rPr>
        <w:t>泵</w:t>
      </w:r>
      <w:r>
        <w:rPr>
          <w:rFonts w:hint="default" w:ascii="Times New Roman" w:hAnsi="Times New Roman" w:eastAsia="宋体" w:cs="Times New Roman"/>
          <w:sz w:val="24"/>
          <w:szCs w:val="24"/>
          <w:highlight w:val="none"/>
          <w:lang w:eastAsia="zh-CN"/>
        </w:rPr>
        <w:t>橇</w:t>
      </w:r>
      <w:r>
        <w:rPr>
          <w:rFonts w:hint="default" w:ascii="Times New Roman" w:hAnsi="Times New Roman" w:eastAsia="宋体" w:cs="Times New Roman"/>
          <w:sz w:val="24"/>
          <w:szCs w:val="24"/>
          <w:highlight w:val="none"/>
          <w:lang w:val="en-US" w:eastAsia="zh-CN"/>
        </w:rPr>
        <w:t>的整体橇装设备以及相关设计文件、完工文件</w:t>
      </w:r>
      <w:r>
        <w:rPr>
          <w:rFonts w:hint="default" w:ascii="Times New Roman" w:hAnsi="Times New Roman" w:eastAsia="宋体" w:cs="Times New Roman"/>
          <w:sz w:val="24"/>
          <w:szCs w:val="24"/>
          <w:highlight w:val="none"/>
          <w:lang w:eastAsia="zh-CN"/>
        </w:rPr>
        <w:t>，并按</w:t>
      </w:r>
      <w:r>
        <w:rPr>
          <w:rFonts w:hint="eastAsia" w:ascii="Times New Roman" w:hAnsi="Times New Roman" w:eastAsia="宋体" w:cs="Times New Roman"/>
          <w:sz w:val="24"/>
          <w:szCs w:val="24"/>
          <w:highlight w:val="none"/>
          <w:lang w:eastAsia="zh-CN"/>
        </w:rPr>
        <w:t>买方</w:t>
      </w:r>
      <w:r>
        <w:rPr>
          <w:rFonts w:hint="default" w:ascii="Times New Roman" w:hAnsi="Times New Roman" w:eastAsia="宋体" w:cs="Times New Roman"/>
          <w:sz w:val="24"/>
          <w:szCs w:val="24"/>
          <w:highlight w:val="none"/>
          <w:lang w:eastAsia="zh-CN"/>
        </w:rPr>
        <w:t>要求完成</w:t>
      </w:r>
      <w:r>
        <w:rPr>
          <w:rFonts w:hint="default" w:ascii="Times New Roman" w:hAnsi="Times New Roman" w:eastAsia="宋体" w:cs="Times New Roman"/>
          <w:sz w:val="24"/>
          <w:szCs w:val="24"/>
          <w:highlight w:val="none"/>
          <w:lang w:val="en-US" w:eastAsia="zh-CN"/>
        </w:rPr>
        <w:t>泵橇</w:t>
      </w:r>
      <w:r>
        <w:rPr>
          <w:rFonts w:hint="default" w:ascii="Times New Roman" w:hAnsi="Times New Roman" w:eastAsia="宋体" w:cs="Times New Roman"/>
          <w:sz w:val="24"/>
          <w:szCs w:val="24"/>
          <w:highlight w:val="none"/>
          <w:lang w:eastAsia="zh-CN"/>
        </w:rPr>
        <w:t>的</w:t>
      </w:r>
      <w:r>
        <w:rPr>
          <w:rFonts w:hint="default" w:ascii="Times New Roman" w:hAnsi="Times New Roman" w:eastAsia="宋体" w:cs="Times New Roman"/>
          <w:sz w:val="24"/>
          <w:szCs w:val="24"/>
          <w:highlight w:val="none"/>
          <w:lang w:val="en-US" w:eastAsia="zh-CN"/>
        </w:rPr>
        <w:t>设计、</w:t>
      </w:r>
      <w:r>
        <w:rPr>
          <w:rFonts w:hint="default" w:ascii="Times New Roman" w:hAnsi="Times New Roman" w:eastAsia="宋体" w:cs="Times New Roman"/>
          <w:sz w:val="24"/>
          <w:szCs w:val="24"/>
          <w:highlight w:val="none"/>
          <w:lang w:eastAsia="zh-CN"/>
        </w:rPr>
        <w:t>现场安装、调试、培训等相关服务；</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泵</w:t>
      </w:r>
      <w:r>
        <w:rPr>
          <w:rFonts w:hint="default" w:ascii="Times New Roman" w:hAnsi="Times New Roman" w:eastAsia="宋体" w:cs="Times New Roman"/>
          <w:sz w:val="24"/>
          <w:szCs w:val="24"/>
          <w:highlight w:val="none"/>
          <w:lang w:eastAsia="zh-CN"/>
        </w:rPr>
        <w:t>橇内设备的规格、数量、技术规范、性能指标等要求以及供货范围等详见第二部分的“需求一览表”和第五部分的“技术要求”；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应执行最新版本的《海上固定平台安全规则》</w:t>
      </w:r>
      <w:r>
        <w:rPr>
          <w:rFonts w:hint="eastAsia" w:ascii="Times New Roman" w:hAnsi="Times New Roman" w:eastAsia="宋体" w:cs="Times New Roman"/>
          <w:sz w:val="24"/>
          <w:szCs w:val="24"/>
          <w:highlight w:val="none"/>
          <w:lang w:val="en-US" w:eastAsia="zh-CN"/>
        </w:rPr>
        <w:t>第七章通用机械设备及管系中的一般规定，</w:t>
      </w:r>
      <w:r>
        <w:rPr>
          <w:rFonts w:hint="default" w:ascii="Times New Roman" w:hAnsi="Times New Roman" w:eastAsia="宋体" w:cs="Times New Roman"/>
          <w:sz w:val="24"/>
          <w:szCs w:val="24"/>
          <w:highlight w:val="none"/>
          <w:lang w:val="en-US" w:eastAsia="zh-CN"/>
        </w:rPr>
        <w:t>进行</w:t>
      </w:r>
      <w:r>
        <w:rPr>
          <w:rFonts w:hint="eastAsia" w:ascii="Times New Roman" w:hAnsi="Times New Roman" w:eastAsia="宋体" w:cs="Times New Roman"/>
          <w:sz w:val="24"/>
          <w:szCs w:val="24"/>
          <w:highlight w:val="none"/>
          <w:lang w:val="en-US" w:eastAsia="zh-CN"/>
        </w:rPr>
        <w:t>泵橇</w:t>
      </w:r>
      <w:r>
        <w:rPr>
          <w:rFonts w:hint="default" w:ascii="Times New Roman" w:hAnsi="Times New Roman" w:eastAsia="宋体" w:cs="Times New Roman"/>
          <w:sz w:val="24"/>
          <w:szCs w:val="24"/>
          <w:highlight w:val="none"/>
          <w:lang w:val="en-US" w:eastAsia="zh-CN"/>
        </w:rPr>
        <w:t>的生产、测试、现场安装、调试和交付</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所采用的标准规范均应该为最新版本</w:t>
      </w:r>
      <w:r>
        <w:rPr>
          <w:rFonts w:hint="eastAsia" w:ascii="Times New Roman" w:hAnsi="Times New Roman" w:eastAsia="宋体" w:cs="Times New Roman"/>
          <w:sz w:val="24"/>
          <w:szCs w:val="24"/>
          <w:highlight w:val="none"/>
          <w:lang w:val="en-US" w:eastAsia="zh-CN"/>
        </w:rPr>
        <w:t>。【本设备部分引用《海上平台安全规则》中第7.1.3，7.1.6，7.1.7，7.1.8条。】</w:t>
      </w:r>
    </w:p>
    <w:p>
      <w:pPr>
        <w:pStyle w:val="20"/>
        <w:ind w:left="0" w:leftChars="0" w:firstLine="480" w:firstLineChars="200"/>
        <w:rPr>
          <w:rFonts w:hint="default"/>
          <w:highlight w:val="none"/>
          <w:lang w:val="en-US" w:eastAsia="zh-CN"/>
        </w:rPr>
      </w:pPr>
      <w:r>
        <w:rPr>
          <w:rFonts w:hint="eastAsia" w:ascii="Times New Roman" w:hAnsi="Times New Roman" w:eastAsia="宋体" w:cs="Times New Roman"/>
          <w:sz w:val="24"/>
          <w:szCs w:val="24"/>
          <w:highlight w:val="none"/>
          <w:lang w:val="en-US" w:eastAsia="zh-CN"/>
        </w:rPr>
        <w:t>以下为引用标准中所列重要参数，纳入评议范围：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eastAsia" w:ascii="Times New Roman" w:hAnsi="Times New Roman" w:eastAsia="宋体" w:cs="Times New Roman"/>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Times New Roman" w:hAnsi="Times New Roman" w:eastAsia="宋体" w:cs="Times New Roman"/>
          <w:sz w:val="24"/>
          <w:szCs w:val="24"/>
          <w:highlight w:val="none"/>
          <w:lang w:val="en-US" w:eastAsia="zh-CN"/>
        </w:rPr>
        <w:t>7.1.3防护措施</w:t>
      </w:r>
    </w:p>
    <w:p>
      <w:pPr>
        <w:pStyle w:val="2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7.1.3.1机器、锅炉、压力容器及管系和附件的设计、安装和防护应充分考虑到使运动部件、热表面和其他危险对平台上人员的伤害可能性减少至最小程度。</w:t>
      </w:r>
    </w:p>
    <w:p>
      <w:pPr>
        <w:pStyle w:val="2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7.1.3.2为避免机械设备和管系在操作及转换中的差错，应在醒目处设有操作须知的标志牌。</w:t>
      </w:r>
    </w:p>
    <w:p>
      <w:pPr>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eastAsiaTheme="minorEastAsia"/>
          <w:sz w:val="24"/>
          <w:highlight w:val="none"/>
          <w:lang w:val="en-US" w:eastAsia="zh-CN"/>
        </w:rPr>
        <w:t>★</w:t>
      </w:r>
      <w:r>
        <w:rPr>
          <w:rFonts w:hint="eastAsia" w:ascii="Times New Roman" w:hAnsi="Times New Roman" w:eastAsia="宋体" w:cs="Times New Roman"/>
          <w:sz w:val="24"/>
          <w:szCs w:val="24"/>
          <w:highlight w:val="none"/>
          <w:lang w:val="en-US" w:eastAsia="zh-CN"/>
        </w:rPr>
        <w:t>7.1.6防腐蚀</w:t>
      </w:r>
    </w:p>
    <w:p>
      <w:pPr>
        <w:pStyle w:val="2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暴露于腐蚀环境的零部件应采用耐腐蚀的材料制成，或采取有效的防腐蚀措施。</w:t>
      </w:r>
    </w:p>
    <w:p>
      <w:pPr>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eastAsiaTheme="minorEastAsia"/>
          <w:sz w:val="24"/>
          <w:highlight w:val="none"/>
          <w:lang w:val="en-US" w:eastAsia="zh-CN"/>
        </w:rPr>
        <w:t>★</w:t>
      </w:r>
      <w:r>
        <w:rPr>
          <w:rFonts w:hint="eastAsia" w:ascii="Times New Roman" w:hAnsi="Times New Roman" w:eastAsia="宋体" w:cs="Times New Roman"/>
          <w:sz w:val="24"/>
          <w:szCs w:val="24"/>
          <w:highlight w:val="none"/>
          <w:lang w:val="en-US" w:eastAsia="zh-CN"/>
        </w:rPr>
        <w:t>7.1.7防污染设施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机器处所应设适当的设施，防止含油污水外溢，并使含油污水进入排放系统加以处理。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eastAsia" w:ascii="Times New Roman" w:hAnsi="Times New Roman" w:eastAsia="宋体" w:cs="Times New Roman"/>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Times New Roman" w:hAnsi="Times New Roman" w:eastAsia="宋体" w:cs="Times New Roman"/>
          <w:sz w:val="24"/>
          <w:szCs w:val="24"/>
          <w:highlight w:val="none"/>
          <w:lang w:val="en-US" w:eastAsia="zh-CN"/>
        </w:rPr>
        <w:t>7.1.8检验、试验与证书。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平台上所有的通用机械设备应有出厂合格证书。</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需要根据</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给出的设计条件</w:t>
      </w:r>
      <w:r>
        <w:rPr>
          <w:rFonts w:hint="eastAsia" w:ascii="Times New Roman" w:hAnsi="Times New Roman" w:eastAsia="宋体" w:cs="Times New Roman"/>
          <w:sz w:val="24"/>
          <w:szCs w:val="24"/>
          <w:highlight w:val="none"/>
          <w:lang w:val="en-US" w:eastAsia="zh-CN"/>
        </w:rPr>
        <w:t>（买方提供的数据表及需求一览表中的规格型号描述）</w:t>
      </w:r>
      <w:r>
        <w:rPr>
          <w:rFonts w:hint="default" w:ascii="Times New Roman" w:hAnsi="Times New Roman" w:eastAsia="宋体" w:cs="Times New Roman"/>
          <w:sz w:val="24"/>
          <w:szCs w:val="24"/>
          <w:highlight w:val="none"/>
          <w:lang w:val="en-US" w:eastAsia="zh-CN"/>
        </w:rPr>
        <w:t>进行泵橇的设计，设备完全满足海上平台设备的相关设计规范以及设备整体泵橇尺寸的空间要求；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供货时需提供泵橇的《海上固定设施产品检验证书》B类证书（证书检验机构：CCS或BV或ABS或DNV</w:t>
      </w:r>
      <w:r>
        <w:rPr>
          <w:rFonts w:hint="eastAsia" w:ascii="Times New Roman" w:hAnsi="Times New Roman" w:eastAsia="宋体" w:cs="Times New Roman"/>
          <w:sz w:val="24"/>
          <w:szCs w:val="24"/>
          <w:highlight w:val="none"/>
          <w:lang w:val="en-US" w:eastAsia="zh-CN"/>
        </w:rPr>
        <w:t>，其一即可</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供货时需提供泵橇内设备、阀门、仪表、管件等材质证明书和出厂合格证，仪表应提供防爆证书、防护证书、CCC证书和</w:t>
      </w:r>
      <w:r>
        <w:rPr>
          <w:rFonts w:hint="eastAsia" w:ascii="Times New Roman" w:hAnsi="Times New Roman" w:eastAsia="宋体" w:cs="Times New Roman"/>
          <w:sz w:val="24"/>
          <w:szCs w:val="24"/>
          <w:highlight w:val="none"/>
          <w:lang w:val="en-US" w:eastAsia="zh-CN"/>
        </w:rPr>
        <w:t>具有CNAS认证和CMA资质的</w:t>
      </w:r>
      <w:r>
        <w:rPr>
          <w:rFonts w:hint="default" w:ascii="Times New Roman" w:hAnsi="Times New Roman" w:eastAsia="宋体" w:cs="Times New Roman"/>
          <w:sz w:val="24"/>
          <w:szCs w:val="24"/>
          <w:highlight w:val="none"/>
          <w:lang w:val="en-US" w:eastAsia="zh-CN"/>
        </w:rPr>
        <w:t>第三方标定证书</w:t>
      </w:r>
      <w:r>
        <w:rPr>
          <w:rFonts w:hint="default" w:ascii="Times New Roman" w:hAnsi="Times New Roman" w:eastAsia="宋体" w:cs="Times New Roman"/>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泵橇内使用的电缆要求为船用铠装（阻燃）电缆，并根据安装要求需要配备</w:t>
      </w:r>
      <w:r>
        <w:rPr>
          <w:rFonts w:hint="default" w:ascii="Times New Roman" w:hAnsi="Times New Roman" w:eastAsia="宋体" w:cs="Times New Roman"/>
          <w:sz w:val="24"/>
          <w:szCs w:val="24"/>
          <w:highlight w:val="none"/>
          <w:lang w:eastAsia="zh-CN"/>
        </w:rPr>
        <w:t>船用阻燃铠装电缆</w:t>
      </w:r>
      <w:r>
        <w:rPr>
          <w:rFonts w:hint="default" w:ascii="Times New Roman" w:hAnsi="Times New Roman" w:eastAsia="宋体" w:cs="Times New Roman"/>
          <w:sz w:val="24"/>
          <w:szCs w:val="24"/>
          <w:highlight w:val="none"/>
          <w:lang w:val="en-US" w:eastAsia="zh-CN"/>
        </w:rPr>
        <w:t>电气连接的双密封防爆填料函（材质为</w:t>
      </w:r>
      <w:r>
        <w:rPr>
          <w:rFonts w:hint="eastAsia" w:ascii="Times New Roman" w:hAnsi="Times New Roman" w:eastAsia="宋体" w:cs="Times New Roman"/>
          <w:sz w:val="24"/>
          <w:szCs w:val="24"/>
          <w:highlight w:val="none"/>
          <w:lang w:val="en-US" w:eastAsia="zh-CN"/>
        </w:rPr>
        <w:t>不锈钢316</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配带整体泵橇及单体设备铭牌，相关铭牌信息按</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要求制作，整橇交付前铭牌需带船级社检验钢印；</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泵橇内手动阀门须符合API、ASME、ANSI中的相关标准，所有产品必须</w:t>
      </w:r>
      <w:r>
        <w:rPr>
          <w:rFonts w:hint="eastAsia" w:ascii="Times New Roman" w:hAnsi="Times New Roman" w:eastAsia="宋体" w:cs="Times New Roman"/>
          <w:sz w:val="24"/>
          <w:szCs w:val="24"/>
          <w:highlight w:val="none"/>
          <w:lang w:val="en-US" w:eastAsia="zh-CN"/>
        </w:rPr>
        <w:t>交货时</w:t>
      </w:r>
      <w:r>
        <w:rPr>
          <w:rFonts w:hint="default" w:ascii="Times New Roman" w:hAnsi="Times New Roman" w:eastAsia="宋体" w:cs="Times New Roman"/>
          <w:sz w:val="24"/>
          <w:szCs w:val="24"/>
          <w:highlight w:val="none"/>
          <w:lang w:val="en-US" w:eastAsia="zh-CN"/>
        </w:rPr>
        <w:t>提供材质证明书和出厂合格证</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对橇内防爆电仪部件， 防护等级</w:t>
      </w:r>
      <w:r>
        <w:rPr>
          <w:rFonts w:hint="eastAsia"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lang w:val="en-US" w:eastAsia="zh-CN"/>
        </w:rPr>
        <w:t>IP56</w:t>
      </w:r>
      <w:r>
        <w:rPr>
          <w:rFonts w:hint="eastAsia" w:ascii="Times New Roman" w:hAnsi="Times New Roman" w:eastAsia="宋体" w:cs="Times New Roman"/>
          <w:sz w:val="24"/>
          <w:szCs w:val="24"/>
          <w:highlight w:val="none"/>
          <w:lang w:val="en-US" w:eastAsia="zh-CN"/>
        </w:rPr>
        <w:t>或IP66</w:t>
      </w:r>
      <w:r>
        <w:rPr>
          <w:rFonts w:hint="default" w:ascii="Times New Roman" w:hAnsi="Times New Roman" w:eastAsia="宋体" w:cs="Times New Roman"/>
          <w:sz w:val="24"/>
          <w:szCs w:val="24"/>
          <w:highlight w:val="none"/>
          <w:lang w:val="en-US" w:eastAsia="zh-CN"/>
        </w:rPr>
        <w:t>，防爆等级为 Exd II BT 4。明确相应设备、部件的防护等级，并提供相应的防爆合格证书。可接受的防爆认证机构有：IECEx、FM、CSA、ATEX 或经中国机构 CQST 或 NEPSI 认可的其它机构，也可以直接由 CQST 或 NEPSI 认证</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泵橇内温度变送器、压力变送器</w:t>
      </w:r>
      <w:r>
        <w:rPr>
          <w:rFonts w:hint="eastAsia" w:ascii="Times New Roman" w:hAnsi="Times New Roman" w:eastAsia="宋体" w:cs="Times New Roman"/>
          <w:sz w:val="24"/>
          <w:szCs w:val="24"/>
          <w:highlight w:val="none"/>
          <w:lang w:val="en-US" w:eastAsia="zh-CN"/>
        </w:rPr>
        <w:t>（如果有）</w:t>
      </w:r>
      <w:r>
        <w:rPr>
          <w:rFonts w:hint="default" w:ascii="Times New Roman" w:hAnsi="Times New Roman" w:eastAsia="宋体" w:cs="Times New Roman"/>
          <w:sz w:val="24"/>
          <w:szCs w:val="24"/>
          <w:highlight w:val="none"/>
          <w:lang w:eastAsia="zh-CN"/>
        </w:rPr>
        <w:t>需</w:t>
      </w:r>
      <w:r>
        <w:rPr>
          <w:rFonts w:hint="default" w:ascii="Times New Roman" w:hAnsi="Times New Roman" w:eastAsia="宋体" w:cs="Times New Roman"/>
          <w:sz w:val="24"/>
          <w:szCs w:val="24"/>
          <w:highlight w:val="none"/>
          <w:lang w:val="en-US" w:eastAsia="zh-CN"/>
        </w:rPr>
        <w:t>单独</w:t>
      </w:r>
      <w:r>
        <w:rPr>
          <w:rFonts w:hint="default" w:ascii="Times New Roman" w:hAnsi="Times New Roman" w:eastAsia="宋体" w:cs="Times New Roman"/>
          <w:sz w:val="24"/>
          <w:szCs w:val="24"/>
          <w:highlight w:val="none"/>
          <w:lang w:eastAsia="zh-CN"/>
        </w:rPr>
        <w:t>取得船级社认证的B类海上固定设施产品检验证书，</w:t>
      </w:r>
      <w:r>
        <w:rPr>
          <w:rFonts w:hint="default" w:ascii="Times New Roman" w:hAnsi="Times New Roman" w:eastAsia="宋体" w:cs="Times New Roman"/>
          <w:sz w:val="24"/>
          <w:szCs w:val="24"/>
          <w:highlight w:val="none"/>
          <w:lang w:val="en-US" w:eastAsia="zh-CN"/>
        </w:rPr>
        <w:t>第三方标定证书，</w:t>
      </w:r>
      <w:r>
        <w:rPr>
          <w:rFonts w:hint="default" w:ascii="Times New Roman" w:hAnsi="Times New Roman" w:eastAsia="宋体" w:cs="Times New Roman"/>
          <w:sz w:val="24"/>
          <w:szCs w:val="24"/>
          <w:highlight w:val="none"/>
          <w:lang w:eastAsia="zh-CN"/>
        </w:rPr>
        <w:t>其中</w:t>
      </w:r>
      <w:r>
        <w:rPr>
          <w:rFonts w:hint="default" w:ascii="Times New Roman" w:hAnsi="Times New Roman" w:eastAsia="宋体" w:cs="Times New Roman"/>
          <w:sz w:val="24"/>
          <w:szCs w:val="24"/>
          <w:highlight w:val="none"/>
          <w:lang w:val="en-US" w:eastAsia="zh-CN"/>
        </w:rPr>
        <w:t>船级社应为DNV或ABS或CCS或BV</w:t>
      </w:r>
      <w:r>
        <w:rPr>
          <w:rFonts w:hint="eastAsia" w:ascii="Times New Roman" w:hAnsi="Times New Roman" w:eastAsia="宋体" w:cs="Times New Roman"/>
          <w:sz w:val="24"/>
          <w:szCs w:val="24"/>
          <w:highlight w:val="none"/>
          <w:lang w:val="en-US" w:eastAsia="zh-CN"/>
        </w:rPr>
        <w:t>（其一即可）</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产品</w:t>
      </w:r>
      <w:r>
        <w:rPr>
          <w:rFonts w:hint="default" w:ascii="Times New Roman" w:hAnsi="Times New Roman" w:eastAsia="宋体" w:cs="Times New Roman"/>
          <w:sz w:val="24"/>
          <w:szCs w:val="24"/>
          <w:highlight w:val="none"/>
          <w:lang w:eastAsia="zh-CN"/>
        </w:rPr>
        <w:t>防爆等级</w:t>
      </w:r>
      <w:r>
        <w:rPr>
          <w:rFonts w:hint="default"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lang w:eastAsia="zh-CN"/>
        </w:rPr>
        <w:t>Exd</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II</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BT4，防护等级</w:t>
      </w:r>
      <w:r>
        <w:rPr>
          <w:rFonts w:hint="default"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lang w:eastAsia="zh-CN"/>
        </w:rPr>
        <w:t>IP56或IP66</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变送器外壳材质为316SS，</w:t>
      </w:r>
      <w:r>
        <w:rPr>
          <w:rFonts w:hint="default" w:ascii="Times New Roman" w:hAnsi="Times New Roman" w:eastAsia="宋体" w:cs="Times New Roman"/>
          <w:sz w:val="24"/>
          <w:szCs w:val="24"/>
          <w:highlight w:val="none"/>
          <w:lang w:val="en-US" w:eastAsia="zh-CN"/>
        </w:rPr>
        <w:t>产品需要带有</w:t>
      </w:r>
      <w:r>
        <w:rPr>
          <w:rFonts w:hint="default" w:ascii="Times New Roman" w:hAnsi="Times New Roman" w:eastAsia="宋体" w:cs="Times New Roman"/>
          <w:sz w:val="24"/>
          <w:szCs w:val="24"/>
          <w:highlight w:val="none"/>
          <w:lang w:eastAsia="zh-CN"/>
        </w:rPr>
        <w:t>316不锈钢</w:t>
      </w:r>
      <w:r>
        <w:rPr>
          <w:rFonts w:hint="default" w:ascii="Times New Roman" w:hAnsi="Times New Roman" w:eastAsia="宋体" w:cs="Times New Roman"/>
          <w:sz w:val="24"/>
          <w:szCs w:val="24"/>
          <w:highlight w:val="none"/>
          <w:lang w:val="en-US" w:eastAsia="zh-CN"/>
        </w:rPr>
        <w:t>铭牌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并且使用316不锈钢的钢丝绳进行固定，</w:t>
      </w:r>
      <w:r>
        <w:rPr>
          <w:rFonts w:hint="default" w:ascii="Times New Roman" w:hAnsi="Times New Roman" w:eastAsia="宋体" w:cs="Times New Roman"/>
          <w:sz w:val="24"/>
          <w:szCs w:val="24"/>
          <w:highlight w:val="none"/>
          <w:lang w:eastAsia="zh-CN"/>
        </w:rPr>
        <w:t>铭牌上需明确标出设备型号、防爆等级</w:t>
      </w:r>
      <w:r>
        <w:rPr>
          <w:rFonts w:hint="default" w:ascii="Times New Roman" w:hAnsi="Times New Roman" w:eastAsia="宋体" w:cs="Times New Roman"/>
          <w:sz w:val="24"/>
          <w:szCs w:val="24"/>
          <w:highlight w:val="none"/>
          <w:lang w:val="en-US" w:eastAsia="zh-CN"/>
        </w:rPr>
        <w:t>标识</w:t>
      </w:r>
      <w:r>
        <w:rPr>
          <w:rFonts w:hint="default" w:ascii="Times New Roman" w:hAnsi="Times New Roman" w:eastAsia="宋体" w:cs="Times New Roman"/>
          <w:sz w:val="24"/>
          <w:szCs w:val="24"/>
          <w:highlight w:val="none"/>
          <w:lang w:eastAsia="zh-CN"/>
        </w:rPr>
        <w:t>、防爆证书编号、</w:t>
      </w:r>
      <w:r>
        <w:rPr>
          <w:rFonts w:hint="default" w:ascii="Times New Roman" w:hAnsi="Times New Roman" w:eastAsia="宋体" w:cs="Times New Roman"/>
          <w:sz w:val="24"/>
          <w:szCs w:val="24"/>
          <w:highlight w:val="none"/>
          <w:lang w:val="en-US" w:eastAsia="zh-CN"/>
        </w:rPr>
        <w:t>防护等级标识</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品牌</w:t>
      </w:r>
      <w:r>
        <w:rPr>
          <w:rFonts w:hint="eastAsia" w:ascii="Times New Roman" w:hAnsi="Times New Roman" w:eastAsia="宋体" w:cs="Times New Roman"/>
          <w:sz w:val="24"/>
          <w:szCs w:val="24"/>
          <w:highlight w:val="none"/>
          <w:lang w:val="en-US" w:eastAsia="zh-CN"/>
        </w:rPr>
        <w:t>等同或相当于</w:t>
      </w:r>
      <w:r>
        <w:rPr>
          <w:rFonts w:hint="default" w:ascii="Times New Roman" w:hAnsi="Times New Roman" w:eastAsia="宋体" w:cs="Times New Roman"/>
          <w:sz w:val="24"/>
          <w:szCs w:val="24"/>
          <w:highlight w:val="none"/>
          <w:lang w:val="en-US" w:eastAsia="zh-CN"/>
        </w:rPr>
        <w:t>ROSEMOUNT（美国）或HONEYWELL（美国）或WIKA或E+H；</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泵橇内的温度变送器、压力变送器的电气接口需配有用于船用阻燃铠装电缆电气连接的双密封防爆填料函，填料函材质为</w:t>
      </w:r>
      <w:r>
        <w:rPr>
          <w:rFonts w:hint="eastAsia" w:ascii="Times New Roman" w:hAnsi="Times New Roman" w:eastAsia="宋体" w:cs="Times New Roman"/>
          <w:sz w:val="24"/>
          <w:szCs w:val="24"/>
          <w:highlight w:val="none"/>
          <w:lang w:val="en-US" w:eastAsia="zh-CN"/>
        </w:rPr>
        <w:t>不锈钢316</w:t>
      </w:r>
      <w:r>
        <w:rPr>
          <w:rFonts w:hint="default" w:ascii="Times New Roman" w:hAnsi="Times New Roman" w:eastAsia="宋体" w:cs="Times New Roman"/>
          <w:sz w:val="24"/>
          <w:szCs w:val="24"/>
          <w:highlight w:val="none"/>
          <w:lang w:val="en-US" w:eastAsia="zh-CN"/>
        </w:rPr>
        <w:t>，防爆等级为Exd IIB T4，防护等级为IP56或IP66；未连接电缆的电气接口需要使用防爆丝堵进行密封，材质为</w:t>
      </w:r>
      <w:r>
        <w:rPr>
          <w:rFonts w:hint="eastAsia" w:ascii="Times New Roman" w:hAnsi="Times New Roman" w:eastAsia="宋体" w:cs="Times New Roman"/>
          <w:sz w:val="24"/>
          <w:szCs w:val="24"/>
          <w:highlight w:val="none"/>
          <w:lang w:val="en-US" w:eastAsia="zh-CN"/>
        </w:rPr>
        <w:t>不锈钢316</w:t>
      </w:r>
      <w:r>
        <w:rPr>
          <w:rFonts w:hint="default" w:ascii="Times New Roman" w:hAnsi="Times New Roman" w:eastAsia="宋体" w:cs="Times New Roman"/>
          <w:sz w:val="24"/>
          <w:szCs w:val="24"/>
          <w:highlight w:val="none"/>
          <w:lang w:val="en-US" w:eastAsia="zh-CN"/>
        </w:rPr>
        <w:t>，防爆等级为Exd IIB T4，防护等级为IP56或IP66；</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所有设备及支架的部件需要进行喷砂处理，油漆需要符合海上用漆要求</w:t>
      </w:r>
      <w:r>
        <w:rPr>
          <w:rFonts w:hint="eastAsia" w:ascii="Times New Roman" w:hAnsi="Times New Roman" w:eastAsia="宋体" w:cs="Times New Roman"/>
          <w:sz w:val="24"/>
          <w:szCs w:val="24"/>
          <w:highlight w:val="none"/>
          <w:lang w:val="en-US" w:eastAsia="zh-CN"/>
        </w:rPr>
        <w:t>，进行拉拔试验；</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泵橇内法兰、碳钢管道法兰、阀门应用的螺栓螺母材质为A193 Gr.B7/ A194 Gr 2H，表面需要渗锌处理</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316L管道法兰、阀门应用的螺栓螺母材质为</w:t>
      </w:r>
      <w:r>
        <w:rPr>
          <w:rFonts w:hint="default" w:ascii="Times New Roman" w:hAnsi="Times New Roman" w:eastAsia="宋体" w:cs="Times New Roman"/>
          <w:sz w:val="24"/>
          <w:szCs w:val="24"/>
          <w:highlight w:val="none"/>
          <w:lang w:eastAsia="zh-CN"/>
        </w:rPr>
        <w:t>A193 Gr.B8</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A194 Gr 8</w:t>
      </w:r>
      <w:r>
        <w:rPr>
          <w:rFonts w:hint="default" w:ascii="Times New Roman" w:hAnsi="Times New Roman" w:eastAsia="宋体" w:cs="Times New Roman"/>
          <w:sz w:val="24"/>
          <w:szCs w:val="24"/>
          <w:highlight w:val="none"/>
          <w:lang w:val="en-US" w:eastAsia="zh-CN"/>
        </w:rPr>
        <w:t>M，表面带有红色特氟龙涂层</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双相钢管道法兰、阀门应用的螺栓螺母材质为A193 Gr.B7/A194 Gr 2H，表面带有蓝色特氟龙涂层；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 xml:space="preserve"> 泵</w:t>
      </w:r>
      <w:r>
        <w:rPr>
          <w:rFonts w:hint="default" w:ascii="Times New Roman" w:hAnsi="Times New Roman" w:eastAsia="宋体" w:cs="Times New Roman"/>
          <w:color w:val="auto"/>
          <w:sz w:val="24"/>
          <w:szCs w:val="24"/>
          <w:highlight w:val="none"/>
          <w:lang w:val="en-US" w:eastAsia="zh-CN"/>
        </w:rPr>
        <w:t>橇内电仪控制所需电缆及电缆铺设路径所需的马脚和托架（材质316L），托架为梯阶式带盖板，并完成支架、马脚的焊接和托架的安装工作，电缆托架端口要包裹完整。橇内气源主管路（材质为TP316L）和仪表管（英制tubing管，壁厚0.065英寸，材质</w:t>
      </w:r>
      <w:r>
        <w:rPr>
          <w:rFonts w:hint="default" w:ascii="Times New Roman" w:hAnsi="Times New Roman" w:eastAsia="宋体" w:cs="Times New Roman"/>
          <w:sz w:val="24"/>
          <w:szCs w:val="24"/>
          <w:highlight w:val="none"/>
          <w:lang w:val="en-US" w:eastAsia="zh-CN"/>
        </w:rPr>
        <w:t>不锈钢</w:t>
      </w:r>
      <w:r>
        <w:rPr>
          <w:rFonts w:hint="default" w:ascii="Times New Roman" w:hAnsi="Times New Roman" w:eastAsia="宋体" w:cs="Times New Roman"/>
          <w:color w:val="auto"/>
          <w:sz w:val="24"/>
          <w:szCs w:val="24"/>
          <w:highlight w:val="none"/>
          <w:lang w:val="en-US" w:eastAsia="zh-CN"/>
        </w:rPr>
        <w:t>316</w:t>
      </w:r>
      <w:r>
        <w:rPr>
          <w:rFonts w:hint="default" w:ascii="Times New Roman" w:hAnsi="Times New Roman" w:eastAsia="宋体" w:cs="Times New Roman"/>
          <w:sz w:val="24"/>
          <w:szCs w:val="24"/>
          <w:highlight w:val="none"/>
          <w:lang w:val="en-US" w:eastAsia="zh-CN"/>
        </w:rPr>
        <w:t>L</w:t>
      </w:r>
      <w:r>
        <w:rPr>
          <w:rFonts w:hint="default" w:ascii="Times New Roman" w:hAnsi="Times New Roman" w:eastAsia="宋体" w:cs="Times New Roman"/>
          <w:color w:val="auto"/>
          <w:sz w:val="24"/>
          <w:szCs w:val="24"/>
          <w:highlight w:val="none"/>
          <w:lang w:val="en-US" w:eastAsia="zh-CN"/>
        </w:rPr>
        <w:t>）的供货与安装，满足工艺与仪表控制要求</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电动机防爆型式的选择应满足所处防爆区域的要求，对于用在防爆2区的电机，防爆型式和防护等级见数据表，电机需考虑海上湿热带和盐雾腐蚀环境</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泵</w:t>
      </w:r>
      <w:r>
        <w:rPr>
          <w:rFonts w:hint="default" w:ascii="Times New Roman" w:hAnsi="Times New Roman" w:eastAsia="宋体" w:cs="Times New Roman"/>
          <w:sz w:val="24"/>
          <w:szCs w:val="24"/>
          <w:highlight w:val="none"/>
          <w:lang w:val="en-US" w:eastAsia="zh-CN"/>
        </w:rPr>
        <w:t>橇内的电气、仪表设备应分开单独接地，所有电气设备接地应汇接于一处，以便与现场接地系统连接</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仪表设备同理。橇体应设有防静电接地点，橇块应在橇底座对角位置设置2套接地装置；接地线规格应满足IEC规范要求，且接地线导体截面积不小于6 mm</w:t>
      </w:r>
      <w:r>
        <w:rPr>
          <w:rFonts w:hint="default" w:ascii="Times New Roman" w:hAnsi="Times New Roman" w:eastAsia="宋体" w:cs="Times New Roman"/>
          <w:sz w:val="24"/>
          <w:szCs w:val="24"/>
          <w:highlight w:val="none"/>
          <w:vertAlign w:val="superscript"/>
          <w:lang w:val="en-US" w:eastAsia="zh-CN"/>
        </w:rPr>
        <w:t>2</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textAlignment w:val="auto"/>
        <w:rPr>
          <w:rFonts w:hint="default"/>
          <w:highlight w:val="none"/>
          <w:lang w:val="en-US" w:eastAsia="zh-CN"/>
        </w:rPr>
      </w:pPr>
      <w:r>
        <w:rPr>
          <w:rFonts w:hint="eastAsia" w:ascii="Times New Roman" w:hAnsi="Times New Roman" w:eastAsia="宋体" w:cs="Times New Roman"/>
          <w:sz w:val="24"/>
          <w:szCs w:val="24"/>
          <w:highlight w:val="none"/>
          <w:lang w:val="en-US" w:eastAsia="zh-CN"/>
        </w:rPr>
        <w:t>泵橇内中压电动机</w:t>
      </w:r>
      <w:r>
        <w:rPr>
          <w:rFonts w:hint="default" w:ascii="Times New Roman" w:hAnsi="Times New Roman" w:eastAsia="宋体" w:cs="Times New Roman"/>
          <w:sz w:val="24"/>
          <w:szCs w:val="24"/>
          <w:highlight w:val="none"/>
          <w:lang w:val="en-US" w:eastAsia="zh-CN"/>
        </w:rPr>
        <w:t>品牌</w:t>
      </w:r>
      <w:r>
        <w:rPr>
          <w:rFonts w:hint="eastAsia" w:ascii="Times New Roman" w:hAnsi="Times New Roman" w:eastAsia="宋体" w:cs="Times New Roman"/>
          <w:sz w:val="24"/>
          <w:szCs w:val="24"/>
          <w:highlight w:val="none"/>
          <w:lang w:val="en-US" w:eastAsia="zh-CN"/>
        </w:rPr>
        <w:t>等同或相当于ATB或GE或南阳防爆或佳木斯。低压电动机品牌等同或相当于ATB或WEG或南阳防爆或佳木斯；</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单台</w:t>
      </w:r>
      <w:r>
        <w:rPr>
          <w:rFonts w:hint="default" w:ascii="Times New Roman" w:hAnsi="Times New Roman" w:eastAsia="宋体" w:cs="Times New Roman"/>
          <w:sz w:val="24"/>
          <w:szCs w:val="24"/>
          <w:highlight w:val="none"/>
          <w:lang w:val="en-US" w:eastAsia="zh-CN"/>
        </w:rPr>
        <w:t>泵橇尺寸</w:t>
      </w:r>
      <w:r>
        <w:rPr>
          <w:rFonts w:hint="eastAsia" w:ascii="Times New Roman" w:hAnsi="Times New Roman" w:eastAsia="宋体" w:cs="Times New Roman"/>
          <w:sz w:val="24"/>
          <w:szCs w:val="24"/>
          <w:highlight w:val="none"/>
          <w:lang w:val="en-US" w:eastAsia="zh-CN"/>
        </w:rPr>
        <w:t>长宽高</w:t>
      </w:r>
      <w:r>
        <w:rPr>
          <w:rFonts w:hint="default" w:ascii="Times New Roman" w:hAnsi="Times New Roman" w:eastAsia="宋体" w:cs="Times New Roman"/>
          <w:sz w:val="24"/>
          <w:szCs w:val="24"/>
          <w:highlight w:val="none"/>
          <w:lang w:val="en-US" w:eastAsia="zh-CN"/>
        </w:rPr>
        <w:t>要求</w:t>
      </w:r>
      <w:r>
        <w:rPr>
          <w:rFonts w:hint="eastAsia" w:ascii="Times New Roman" w:hAnsi="Times New Roman" w:eastAsia="宋体" w:cs="Times New Roman"/>
          <w:sz w:val="24"/>
          <w:szCs w:val="24"/>
          <w:highlight w:val="none"/>
          <w:lang w:val="en-US" w:eastAsia="zh-CN"/>
        </w:rPr>
        <w:t>不超过L2000（mm）×W1500（mm）×H2200（mm），单台泵橇重量不超过1吨</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在合同签订后，项目执行过程中，如对技术要求书中的内容发生变更，必须经过</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审核通过后才可执行，如果变更内容不能成立或不能生效，则仍然应按原技术要求的内容履行；</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所有供应的设备应是新的未被使用的；</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eastAsiaTheme="minorEastAsia"/>
          <w:sz w:val="24"/>
          <w:highlight w:val="none"/>
          <w:lang w:val="en-US" w:eastAsia="zh-CN"/>
        </w:rPr>
        <w:t>★</w:t>
      </w:r>
      <w:r>
        <w:rPr>
          <w:rFonts w:hint="eastAsia" w:ascii="Times New Roman" w:hAnsi="Times New Roman" w:eastAsia="宋体" w:cs="Times New Roman"/>
          <w:sz w:val="24"/>
          <w:szCs w:val="24"/>
          <w:highlight w:val="none"/>
          <w:lang w:val="en-US" w:eastAsia="zh-CN"/>
        </w:rPr>
        <w:t>卖方承诺</w:t>
      </w:r>
      <w:r>
        <w:rPr>
          <w:rFonts w:hint="default" w:ascii="Times New Roman" w:hAnsi="Times New Roman" w:eastAsia="宋体" w:cs="Times New Roman"/>
          <w:sz w:val="24"/>
          <w:szCs w:val="24"/>
          <w:highlight w:val="none"/>
          <w:lang w:val="en-US" w:eastAsia="zh-CN"/>
        </w:rPr>
        <w:t>签订合同后，未经</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同意，不允许分包给其他厂家；</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现场施工过程中</w:t>
      </w:r>
      <w:r>
        <w:rPr>
          <w:rFonts w:hint="eastAsia"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lang w:eastAsia="zh-CN"/>
        </w:rPr>
        <w:t>应按相关规程操作施工，</w:t>
      </w:r>
      <w:r>
        <w:rPr>
          <w:rFonts w:hint="default" w:ascii="Times New Roman" w:hAnsi="Times New Roman" w:eastAsia="宋体" w:cs="Times New Roman"/>
          <w:sz w:val="24"/>
          <w:szCs w:val="24"/>
          <w:highlight w:val="none"/>
          <w:lang w:val="en-US" w:eastAsia="zh-CN"/>
        </w:rPr>
        <w:t>因违反安全操作规程所产生的安全责任及造成损失由卖方承担，与买方无关</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因</w:t>
      </w:r>
      <w:r>
        <w:rPr>
          <w:rFonts w:hint="eastAsia"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lang w:eastAsia="zh-CN"/>
        </w:rPr>
        <w:t>原因导致超出的工作量，</w:t>
      </w:r>
      <w:r>
        <w:rPr>
          <w:rFonts w:hint="eastAsia" w:ascii="Times New Roman" w:hAnsi="Times New Roman" w:eastAsia="宋体" w:cs="Times New Roman"/>
          <w:sz w:val="24"/>
          <w:szCs w:val="24"/>
          <w:highlight w:val="none"/>
          <w:lang w:eastAsia="zh-CN"/>
        </w:rPr>
        <w:t>买方</w:t>
      </w:r>
      <w:r>
        <w:rPr>
          <w:rFonts w:hint="default" w:ascii="Times New Roman" w:hAnsi="Times New Roman" w:eastAsia="宋体" w:cs="Times New Roman"/>
          <w:sz w:val="24"/>
          <w:szCs w:val="24"/>
          <w:highlight w:val="none"/>
          <w:lang w:eastAsia="zh-CN"/>
        </w:rPr>
        <w:t>不予计量</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b w:val="0"/>
          <w:bCs/>
          <w:sz w:val="24"/>
          <w:szCs w:val="28"/>
          <w:highlight w:val="none"/>
        </w:rPr>
      </w:pPr>
      <w:r>
        <w:rPr>
          <w:rFonts w:hint="default" w:ascii="Times New Roman" w:hAnsi="Times New Roman" w:eastAsia="宋体" w:cs="Times New Roman"/>
          <w:sz w:val="24"/>
          <w:szCs w:val="24"/>
          <w:highlight w:val="none"/>
          <w:lang w:val="en-US" w:eastAsia="zh-CN"/>
        </w:rPr>
        <w:t>当</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认为某项或某部分工作需要聘请第三方或亲自（重新）进行检查时，</w:t>
      </w: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应清除所有外物如沙、夹渣、焊瘤、焊条、碎屑等，并安排足够的时间进行检查，如果检查结果不合格，</w:t>
      </w: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承担该项检查的全部责任，如果检查结果合格，</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承担该项检查的全部责任</w:t>
      </w:r>
      <w:r>
        <w:rPr>
          <w:rFonts w:hint="eastAsia" w:ascii="Times New Roman" w:hAnsi="Times New Roman" w:eastAsia="宋体" w:cs="Times New Roman"/>
          <w:sz w:val="24"/>
          <w:szCs w:val="24"/>
          <w:highlight w:val="none"/>
          <w:lang w:val="en-US" w:eastAsia="zh-CN"/>
        </w:rPr>
        <w:t>；</w:t>
      </w:r>
    </w:p>
    <w:p>
      <w:pPr>
        <w:pStyle w:val="10"/>
        <w:keepNext w:val="0"/>
        <w:keepLines w:val="0"/>
        <w:pageBreakBefore w:val="0"/>
        <w:widowControl w:val="0"/>
        <w:kinsoku/>
        <w:wordWrap w:val="0"/>
        <w:overflowPunct/>
        <w:topLinePunct/>
        <w:autoSpaceDE/>
        <w:autoSpaceDN/>
        <w:bidi w:val="0"/>
        <w:adjustRightInd w:val="0"/>
        <w:snapToGrid w:val="0"/>
        <w:spacing w:before="313" w:beforeLines="100" w:line="360" w:lineRule="auto"/>
        <w:ind w:left="0" w:leftChars="0" w:firstLine="0" w:firstLineChars="0"/>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 供货界面</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卖方供货时</w:t>
      </w:r>
      <w:r>
        <w:rPr>
          <w:rFonts w:hint="default" w:ascii="Times New Roman" w:hAnsi="Times New Roman" w:eastAsia="宋体" w:cs="Times New Roman"/>
          <w:sz w:val="24"/>
          <w:szCs w:val="24"/>
          <w:highlight w:val="none"/>
          <w:lang w:val="en-US" w:eastAsia="zh-CN"/>
        </w:rPr>
        <w:t>提供</w:t>
      </w:r>
      <w:r>
        <w:rPr>
          <w:rFonts w:hint="eastAsia" w:ascii="Times New Roman" w:hAnsi="Times New Roman" w:eastAsia="宋体" w:cs="Times New Roman"/>
          <w:sz w:val="24"/>
          <w:szCs w:val="24"/>
          <w:highlight w:val="none"/>
          <w:lang w:val="en-US" w:eastAsia="zh-CN"/>
        </w:rPr>
        <w:t>泵橇</w:t>
      </w:r>
      <w:r>
        <w:rPr>
          <w:rFonts w:hint="default" w:ascii="Times New Roman" w:hAnsi="Times New Roman" w:eastAsia="宋体" w:cs="Times New Roman"/>
          <w:sz w:val="24"/>
          <w:szCs w:val="24"/>
          <w:highlight w:val="none"/>
          <w:lang w:val="en-US" w:eastAsia="zh-CN"/>
        </w:rPr>
        <w:t>内所有配套设备、</w:t>
      </w:r>
      <w:r>
        <w:rPr>
          <w:rFonts w:hint="eastAsia" w:ascii="Times New Roman" w:hAnsi="Times New Roman" w:eastAsia="宋体" w:cs="Times New Roman"/>
          <w:sz w:val="24"/>
          <w:szCs w:val="24"/>
          <w:highlight w:val="none"/>
          <w:lang w:val="en-US" w:eastAsia="zh-CN"/>
        </w:rPr>
        <w:t>泵进出口配对法兰和变径、</w:t>
      </w:r>
      <w:r>
        <w:rPr>
          <w:rFonts w:hint="default" w:ascii="Times New Roman" w:hAnsi="Times New Roman" w:eastAsia="宋体" w:cs="Times New Roman"/>
          <w:sz w:val="24"/>
          <w:szCs w:val="24"/>
          <w:highlight w:val="none"/>
          <w:lang w:val="en-US" w:eastAsia="zh-CN"/>
        </w:rPr>
        <w:t>材料、管线、</w:t>
      </w:r>
      <w:r>
        <w:rPr>
          <w:rFonts w:hint="eastAsia" w:ascii="Times New Roman" w:hAnsi="Times New Roman" w:eastAsia="宋体" w:cs="Times New Roman"/>
          <w:sz w:val="24"/>
          <w:szCs w:val="24"/>
          <w:highlight w:val="none"/>
          <w:lang w:val="en-US" w:eastAsia="zh-CN"/>
        </w:rPr>
        <w:t>橇</w:t>
      </w:r>
      <w:r>
        <w:rPr>
          <w:rFonts w:hint="default" w:ascii="Times New Roman" w:hAnsi="Times New Roman" w:eastAsia="宋体" w:cs="Times New Roman"/>
          <w:sz w:val="24"/>
          <w:szCs w:val="24"/>
          <w:highlight w:val="none"/>
          <w:lang w:val="en-US" w:eastAsia="zh-CN"/>
        </w:rPr>
        <w:t>块底座、备品备件</w:t>
      </w:r>
      <w:r>
        <w:rPr>
          <w:rFonts w:hint="eastAsia" w:ascii="Times New Roman" w:hAnsi="Times New Roman" w:eastAsia="宋体" w:cs="Times New Roman"/>
          <w:sz w:val="24"/>
          <w:szCs w:val="24"/>
          <w:highlight w:val="none"/>
          <w:lang w:val="en-US" w:eastAsia="zh-CN"/>
        </w:rPr>
        <w:t>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卖方供货时提供所有必要的启动和调试备件，提供质保期备品备件。</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卖方在签订合同15日内提供泵的数据表、三维图(stp、RVM格式可导入PDMS)、外形安装图（总装图，含重量）、零部件图及清单，电机外形尺寸图，电机、风扇与空间加热器接线端子图等图纸文件。</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卖方在交货时提供泵的合格证、机械密封合格证、联轴器合格证、电机出厂合格证、电机出厂试验报告、各类安装使用说明书等。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后1个月内提供泵的材质质量检验报告、机械运转试验记录、性能试验报告与曲线图、噪声试验报告、振动试验报告、轴承温度试验报告、水压试验报告、静平衡试验报告、动平衡试验报告、探伤检测报告、船级社海上固定设施产品检验证书等证件报告。</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卖方在交货时提供发货清单明细与品牌清单、调试备品备件清单、质保期备品备件清单等。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卖方在签订合同15日内提供泵的检验和试验计划（ITP）、出厂验收试验程序（FAT）、操作维修手册与调试大纲。</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卖方在交货前7日内提供吊点/吊耳无损探伤检测报告，交货后30日内提交按买方要求制作的完工文件及各类证书。</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卖方在交货前15日提供泵铭牌图及照片。</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卖方交货时提供所有配套的材料、拆卸与维护工具、调试和生产用的一年备品备件等。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卖方交货时提供所有必要的吊装设施及对应的吊装方案。</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完成设备的现场安装、调试等相关服务，包括派人员到买方指定的交货地与海上平台完成设备的安装、调试、整改、试生产等工作，由买方按实际工作需求，安排卖方现场工作量，总计现场工作时不低于30人天（含陆地与海上），卖方因提供上述服务，产生的费用，均由卖方承担。因设备故障、整改等卖方原因导致超出的工作量，买方不予计量。</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bookmarkStart w:id="5" w:name="_Toc13249326"/>
      <w:bookmarkStart w:id="6" w:name="_Toc13248929"/>
      <w:r>
        <w:rPr>
          <w:rFonts w:hint="eastAsia" w:cs="Times New Roman" w:asciiTheme="minorEastAsia" w:hAnsiTheme="minorEastAsia" w:eastAsiaTheme="minorEastAsia"/>
          <w:bCs/>
          <w:color w:val="auto"/>
          <w:sz w:val="32"/>
          <w:szCs w:val="32"/>
          <w:highlight w:val="none"/>
        </w:rPr>
        <w:t>三、执行标准/规范</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ascii="Times New Roman" w:hAnsi="Times New Roman" w:cs="Times New Roman"/>
          <w:bCs/>
          <w:sz w:val="24"/>
          <w:highlight w:val="none"/>
          <w:lang w:eastAsia="zh-CN"/>
        </w:rPr>
      </w:pPr>
      <w:r>
        <w:rPr>
          <w:rFonts w:hint="default" w:ascii="Times New Roman" w:hAnsi="Times New Roman" w:cs="Times New Roman"/>
          <w:bCs/>
          <w:sz w:val="24"/>
          <w:highlight w:val="none"/>
          <w:lang w:eastAsia="zh-CN"/>
        </w:rPr>
        <w:t>泵的设计、制造、认证和测试应符合以下规范、标准和法定法规：</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ascii="Times New Roman" w:hAnsi="Times New Roman" w:cs="Times New Roman"/>
          <w:bCs/>
          <w:sz w:val="24"/>
          <w:highlight w:val="none"/>
          <w:lang w:eastAsia="zh-CN"/>
        </w:rPr>
      </w:pPr>
      <w:r>
        <w:rPr>
          <w:rFonts w:ascii="Times New Roman" w:hAnsi="Times New Roman" w:cs="Times New Roman"/>
          <w:bCs/>
          <w:sz w:val="24"/>
          <w:highlight w:val="none"/>
          <w:lang w:eastAsia="zh-CN"/>
        </w:rPr>
        <w:t>API STD 610</w:t>
      </w:r>
      <w:r>
        <w:rPr>
          <w:rFonts w:hint="eastAsia" w:ascii="Times New Roman" w:hAnsi="Times New Roman" w:cs="Times New Roman"/>
          <w:bCs/>
          <w:sz w:val="24"/>
          <w:highlight w:val="none"/>
          <w:lang w:val="en-US" w:eastAsia="zh-CN"/>
        </w:rPr>
        <w:t xml:space="preserve"> 《石</w:t>
      </w:r>
      <w:r>
        <w:rPr>
          <w:rFonts w:hint="default" w:ascii="Times New Roman" w:hAnsi="Times New Roman" w:cs="Times New Roman"/>
          <w:bCs/>
          <w:sz w:val="24"/>
          <w:highlight w:val="none"/>
          <w:lang w:eastAsia="zh-CN"/>
        </w:rPr>
        <w:t>油、石化和天然气工业用离心泵</w:t>
      </w:r>
      <w:r>
        <w:rPr>
          <w:rFonts w:hint="eastAsia" w:ascii="Times New Roman" w:hAnsi="Times New Roman" w:cs="Times New Roman"/>
          <w:bCs/>
          <w:sz w:val="24"/>
          <w:highlight w:val="none"/>
          <w:lang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ascii="Times New Roman" w:hAnsi="Times New Roman" w:cs="Times New Roman"/>
          <w:bCs/>
          <w:sz w:val="24"/>
          <w:highlight w:val="none"/>
          <w:lang w:eastAsia="zh-CN"/>
        </w:rPr>
      </w:pPr>
      <w:r>
        <w:rPr>
          <w:rFonts w:ascii="Times New Roman" w:hAnsi="Times New Roman" w:cs="Times New Roman"/>
          <w:bCs/>
          <w:sz w:val="24"/>
          <w:highlight w:val="none"/>
          <w:lang w:eastAsia="zh-CN"/>
        </w:rPr>
        <w:t xml:space="preserve">ASME B16.5 </w:t>
      </w:r>
      <w:r>
        <w:rPr>
          <w:rFonts w:hint="eastAsia" w:ascii="Times New Roman" w:hAnsi="Times New Roman" w:cs="Times New Roman"/>
          <w:bCs/>
          <w:sz w:val="24"/>
          <w:highlight w:val="none"/>
          <w:lang w:eastAsia="zh-CN"/>
        </w:rPr>
        <w:t>《</w:t>
      </w:r>
      <w:r>
        <w:rPr>
          <w:rFonts w:hint="default" w:ascii="Times New Roman" w:hAnsi="Times New Roman" w:cs="Times New Roman"/>
          <w:bCs/>
          <w:sz w:val="24"/>
          <w:highlight w:val="none"/>
          <w:lang w:eastAsia="zh-CN"/>
        </w:rPr>
        <w:t>管法兰和法兰管件NPS 1/2至NPS 24公制/英寸标准</w:t>
      </w:r>
      <w:r>
        <w:rPr>
          <w:rFonts w:hint="eastAsia" w:ascii="Times New Roman" w:hAnsi="Times New Roman" w:cs="Times New Roman"/>
          <w:bCs/>
          <w:sz w:val="24"/>
          <w:highlight w:val="none"/>
          <w:lang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 xml:space="preserve">GB/T 29529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泵的噪声测量与评价方法</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 xml:space="preserve">GB/T 29531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泵的振动测量与评价方法</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eastAsia"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 xml:space="preserve">GB 18613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中小型三相异步电动机能效限定值与能效等级</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GB/T 1032   《三相异步电动机试验方法》</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GB/T</w:t>
      </w:r>
      <w:r>
        <w:rPr>
          <w:rFonts w:hint="eastAsia" w:ascii="Times New Roman" w:hAnsi="Times New Roman" w:cs="Times New Roman"/>
          <w:bCs/>
          <w:sz w:val="24"/>
          <w:highlight w:val="none"/>
          <w:lang w:val="en-US" w:eastAsia="zh-CN"/>
        </w:rPr>
        <w:t xml:space="preserve"> </w:t>
      </w:r>
      <w:r>
        <w:rPr>
          <w:rFonts w:hint="default" w:ascii="Times New Roman" w:hAnsi="Times New Roman" w:cs="Times New Roman"/>
          <w:bCs/>
          <w:sz w:val="24"/>
          <w:highlight w:val="none"/>
          <w:lang w:val="en-US" w:eastAsia="zh-CN"/>
        </w:rPr>
        <w:t xml:space="preserve">13007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离心泵效率</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《海上固定平台安全规则》</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en-US"/>
        </w:rPr>
        <w:t>QBZH 11111.01-2024</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highlight w:val="none"/>
          <w:lang w:eastAsia="en-US"/>
        </w:rPr>
        <w:t>组块涂装规格书</w:t>
      </w:r>
      <w:r>
        <w:rPr>
          <w:rFonts w:hint="eastAsia" w:ascii="Times New Roman" w:hAnsi="Times New Roman" w:eastAsia="宋体" w:cs="Times New Roman"/>
          <w:color w:val="auto"/>
          <w:kern w:val="0"/>
          <w:sz w:val="24"/>
          <w:highlight w:val="none"/>
          <w:lang w:eastAsia="zh-CN"/>
        </w:rPr>
        <w:t>》</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en-US"/>
        </w:rPr>
        <w:t xml:space="preserve">QBZH 11104.01-2021 </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eastAsia" w:ascii="Times New Roman" w:hAnsi="Times New Roman" w:eastAsia="宋体" w:cs="Times New Roman"/>
          <w:color w:val="auto"/>
          <w:kern w:val="0"/>
          <w:sz w:val="24"/>
          <w:highlight w:val="none"/>
          <w:lang w:eastAsia="en-US"/>
        </w:rPr>
        <w:t>成橇设备</w:t>
      </w:r>
      <w:r>
        <w:rPr>
          <w:rFonts w:hint="eastAsia" w:ascii="Times New Roman" w:hAnsi="Times New Roman" w:eastAsia="宋体" w:cs="Times New Roman"/>
          <w:color w:val="auto"/>
          <w:kern w:val="0"/>
          <w:sz w:val="24"/>
          <w:highlight w:val="none"/>
          <w:lang w:eastAsia="zh-CN"/>
        </w:rPr>
        <w:t>》</w:t>
      </w:r>
    </w:p>
    <w:p>
      <w:pPr>
        <w:pStyle w:val="20"/>
        <w:keepNext w:val="0"/>
        <w:keepLines w:val="0"/>
        <w:pageBreakBefore w:val="0"/>
        <w:widowControl w:val="0"/>
        <w:kinsoku/>
        <w:wordWrap/>
        <w:overflowPunct/>
        <w:topLinePunct w:val="0"/>
        <w:bidi w:val="0"/>
        <w:ind w:left="0" w:leftChars="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 xml:space="preserve">QBZH 11104.14-2021 </w:t>
      </w:r>
      <w:r>
        <w:rPr>
          <w:rFonts w:hint="eastAsia" w:ascii="Times New Roman" w:hAnsi="Times New Roman" w:eastAsia="宋体" w:cs="Times New Roman"/>
          <w:color w:val="auto"/>
          <w:kern w:val="0"/>
          <w:sz w:val="24"/>
          <w:szCs w:val="22"/>
          <w:highlight w:val="none"/>
          <w:lang w:val="en-US" w:eastAsia="zh-CN" w:bidi="ar-SA"/>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szCs w:val="22"/>
          <w:highlight w:val="none"/>
          <w:lang w:val="en-US" w:eastAsia="zh-CN" w:bidi="ar-SA"/>
        </w:rPr>
        <w:t xml:space="preserve">离心泵规格书 </w:t>
      </w:r>
      <w:r>
        <w:rPr>
          <w:rFonts w:hint="eastAsia" w:ascii="Times New Roman" w:hAnsi="Times New Roman" w:eastAsia="宋体" w:cs="Times New Roman"/>
          <w:color w:val="auto"/>
          <w:kern w:val="0"/>
          <w:sz w:val="24"/>
          <w:szCs w:val="22"/>
          <w:highlight w:val="none"/>
          <w:lang w:val="en-US" w:eastAsia="zh-CN" w:bidi="ar-SA"/>
        </w:rPr>
        <w:t>》</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以上凡没有标注版本日期的引用文件，其最新版本适用于本采购技术要求书。如上述标准与卖方所执行的标准发生矛盾时，应按较高标准执行。当标准、规范和买方要求对同一问题的规定不一致时，按较高要求执行。</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说明应用或执行的标准或规范，应为国家标准、行业标准或集团公司标准，如为内控标准，则需提供相应标准文件。</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四</w:t>
      </w:r>
      <w:r>
        <w:rPr>
          <w:rFonts w:cs="Times New Roman" w:asciiTheme="minorEastAsia" w:hAnsiTheme="minorEastAsia" w:eastAsiaTheme="minorEastAsia"/>
          <w:bCs/>
          <w:color w:val="auto"/>
          <w:sz w:val="32"/>
          <w:szCs w:val="32"/>
          <w:highlight w:val="none"/>
        </w:rPr>
        <w:t>、</w:t>
      </w:r>
      <w:r>
        <w:rPr>
          <w:rFonts w:hint="eastAsia" w:cs="Times New Roman" w:asciiTheme="minorEastAsia" w:hAnsiTheme="minorEastAsia" w:eastAsiaTheme="minorEastAsia"/>
          <w:bCs/>
          <w:color w:val="auto"/>
          <w:sz w:val="32"/>
          <w:szCs w:val="32"/>
          <w:highlight w:val="none"/>
        </w:rPr>
        <w:t>设计/使用条件</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作业环境、安装位置：户外，海上</w:t>
      </w:r>
      <w:r>
        <w:rPr>
          <w:rFonts w:hint="eastAsia" w:asciiTheme="minorEastAsia" w:hAnsiTheme="minorEastAsia" w:eastAsiaTheme="minorEastAsia"/>
          <w:sz w:val="24"/>
          <w:highlight w:val="none"/>
          <w:lang w:val="en-US" w:eastAsia="zh-CN"/>
        </w:rPr>
        <w:t>固定</w:t>
      </w:r>
      <w:r>
        <w:rPr>
          <w:rFonts w:hint="eastAsia" w:asciiTheme="minorEastAsia" w:hAnsiTheme="minorEastAsia" w:eastAsiaTheme="minorEastAsia"/>
          <w:sz w:val="24"/>
          <w:highlight w:val="none"/>
          <w:lang w:eastAsia="zh-CN"/>
        </w:rPr>
        <w:t>平台。</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环境温度：</w:t>
      </w:r>
      <w:r>
        <w:rPr>
          <w:rFonts w:hint="eastAsia" w:asciiTheme="minorEastAsia" w:hAnsiTheme="minorEastAsia" w:eastAsiaTheme="minorEastAsia"/>
          <w:sz w:val="24"/>
          <w:highlight w:val="none"/>
          <w:lang w:val="en-US" w:eastAsia="zh-CN"/>
        </w:rPr>
        <w:t>11.5</w:t>
      </w:r>
      <w:r>
        <w:rPr>
          <w:rFonts w:hint="eastAsia" w:asciiTheme="minorEastAsia" w:hAnsiTheme="minorEastAsia" w:eastAsiaTheme="minorEastAsia"/>
          <w:sz w:val="24"/>
          <w:highlight w:val="none"/>
          <w:lang w:eastAsia="zh-CN"/>
        </w:rPr>
        <w:t>℃～</w:t>
      </w:r>
      <w:r>
        <w:rPr>
          <w:rFonts w:asciiTheme="minorEastAsia" w:hAnsiTheme="minorEastAsia" w:eastAsiaTheme="minorEastAsia"/>
          <w:sz w:val="24"/>
          <w:highlight w:val="none"/>
          <w:lang w:eastAsia="zh-CN"/>
        </w:rPr>
        <w:t>3</w:t>
      </w:r>
      <w:r>
        <w:rPr>
          <w:rFonts w:hint="eastAsia" w:asciiTheme="minorEastAsia" w:hAnsiTheme="minorEastAsia" w:eastAsiaTheme="minorEastAsia"/>
          <w:sz w:val="24"/>
          <w:highlight w:val="none"/>
          <w:lang w:val="en-US" w:eastAsia="zh-CN"/>
        </w:rPr>
        <w:t>6</w:t>
      </w:r>
      <w:r>
        <w:rPr>
          <w:rFonts w:hint="eastAsia" w:asciiTheme="minorEastAsia" w:hAnsiTheme="minorEastAsia" w:eastAsiaTheme="minorEastAsia"/>
          <w:sz w:val="24"/>
          <w:highlight w:val="none"/>
          <w:lang w:eastAsia="zh-CN"/>
        </w:rPr>
        <w:t>℃。</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相对湿度：</w:t>
      </w:r>
      <w:r>
        <w:rPr>
          <w:rFonts w:asciiTheme="minorEastAsia" w:hAnsiTheme="minorEastAsia" w:eastAsiaTheme="minorEastAsia"/>
          <w:sz w:val="24"/>
          <w:highlight w:val="none"/>
          <w:lang w:eastAsia="zh-CN"/>
        </w:rPr>
        <w:t>45</w:t>
      </w:r>
      <w:r>
        <w:rPr>
          <w:rFonts w:hint="eastAsia" w:asciiTheme="minorEastAsia" w:hAnsiTheme="minorEastAsia" w:eastAsiaTheme="minorEastAsia"/>
          <w:sz w:val="24"/>
          <w:highlight w:val="none"/>
          <w:lang w:eastAsia="zh-CN"/>
        </w:rPr>
        <w:t>%～</w:t>
      </w:r>
      <w:r>
        <w:rPr>
          <w:rFonts w:asciiTheme="minorEastAsia" w:hAnsiTheme="minorEastAsia" w:eastAsiaTheme="minorEastAsia"/>
          <w:sz w:val="24"/>
          <w:highlight w:val="none"/>
          <w:lang w:eastAsia="zh-CN"/>
        </w:rPr>
        <w:t>100</w:t>
      </w:r>
      <w:r>
        <w:rPr>
          <w:rFonts w:hint="eastAsia" w:asciiTheme="minorEastAsia" w:hAnsiTheme="minorEastAsia" w:eastAsiaTheme="minorEastAsia"/>
          <w:sz w:val="24"/>
          <w:highlight w:val="none"/>
          <w:lang w:eastAsia="zh-CN"/>
        </w:rPr>
        <w:t>%，</w:t>
      </w:r>
      <w:r>
        <w:rPr>
          <w:rFonts w:hint="eastAsia" w:asciiTheme="minorEastAsia" w:hAnsiTheme="minorEastAsia" w:eastAsiaTheme="minorEastAsia"/>
          <w:sz w:val="24"/>
          <w:highlight w:val="none"/>
          <w:lang w:val="en-US" w:eastAsia="zh-CN"/>
        </w:rPr>
        <w:t>高盐雾</w:t>
      </w:r>
      <w:r>
        <w:rPr>
          <w:rFonts w:hint="eastAsia" w:asciiTheme="minorEastAsia" w:hAnsiTheme="minorEastAsia" w:eastAsiaTheme="minorEastAsia"/>
          <w:sz w:val="24"/>
          <w:highlight w:val="none"/>
          <w:lang w:eastAsia="zh-CN"/>
        </w:rPr>
        <w:t>。</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买方提供电源：380V，3ph，3wire，50Hz，neutral insulated；220V，1ph，2wire，50Hz，neutral insulated；10.5kV,3ph，3wire，50Hz，neutral insulated。</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买方提供公用压缩空气：压力450-750kPaG，露点-40℃；</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1440" w:firstLineChars="600"/>
        <w:textAlignment w:val="auto"/>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4"/>
          <w:highlight w:val="none"/>
          <w:lang w:val="en-US" w:eastAsia="zh-CN"/>
        </w:rPr>
        <w:t>海水冷却水（温度</w:t>
      </w:r>
      <w:r>
        <w:rPr>
          <w:rFonts w:hint="default" w:ascii="Times New Roman" w:hAnsi="Times New Roman" w:cs="Times New Roman" w:eastAsiaTheme="minorEastAsia"/>
          <w:sz w:val="24"/>
          <w:highlight w:val="none"/>
          <w:lang w:val="en-US" w:eastAsia="zh-CN"/>
        </w:rPr>
        <w:t>20.6~27.9℃</w:t>
      </w:r>
      <w:r>
        <w:rPr>
          <w:rFonts w:hint="eastAsia" w:asciiTheme="minorEastAsia" w:hAnsiTheme="minorEastAsia" w:eastAsiaTheme="minorEastAsia"/>
          <w:sz w:val="24"/>
          <w:highlight w:val="none"/>
          <w:lang w:val="en-US" w:eastAsia="zh-CN"/>
        </w:rPr>
        <w:t>）。</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油漆防腐要求：</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需要提供油漆防腐</w:t>
      </w:r>
      <w:r>
        <w:rPr>
          <w:rFonts w:hint="eastAsia" w:asciiTheme="minorEastAsia" w:hAnsiTheme="minorEastAsia" w:eastAsiaTheme="minorEastAsia"/>
          <w:sz w:val="24"/>
          <w:highlight w:val="none"/>
          <w:lang w:val="en-US" w:eastAsia="zh-CN"/>
        </w:rPr>
        <w:t>规格书（施工方案）</w:t>
      </w:r>
      <w:r>
        <w:rPr>
          <w:rFonts w:hint="eastAsia" w:asciiTheme="minorEastAsia" w:hAnsiTheme="minorEastAsia" w:eastAsiaTheme="minorEastAsia"/>
          <w:sz w:val="24"/>
          <w:highlight w:val="none"/>
          <w:lang w:eastAsia="zh-CN"/>
        </w:rPr>
        <w:t>，经</w:t>
      </w:r>
      <w:r>
        <w:rPr>
          <w:rFonts w:hint="eastAsia" w:asciiTheme="minorEastAsia" w:hAnsiTheme="minorEastAsia" w:eastAsiaTheme="minorEastAsia"/>
          <w:sz w:val="24"/>
          <w:highlight w:val="none"/>
          <w:lang w:val="en-US" w:eastAsia="zh-CN"/>
        </w:rPr>
        <w:t>买方</w:t>
      </w:r>
      <w:r>
        <w:rPr>
          <w:rFonts w:hint="eastAsia" w:asciiTheme="minorEastAsia" w:hAnsiTheme="minorEastAsia" w:eastAsiaTheme="minorEastAsia"/>
          <w:sz w:val="24"/>
          <w:highlight w:val="none"/>
          <w:lang w:eastAsia="zh-CN"/>
        </w:rPr>
        <w:t>审核通过，方可实施。</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资料和</w:t>
      </w:r>
      <w:r>
        <w:rPr>
          <w:rFonts w:hint="eastAsia" w:asciiTheme="minorEastAsia" w:hAnsiTheme="minorEastAsia" w:eastAsiaTheme="minorEastAsia"/>
          <w:sz w:val="24"/>
          <w:highlight w:val="none"/>
          <w:lang w:eastAsia="zh-CN"/>
        </w:rPr>
        <w:t>图纸要求：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textAlignment w:val="auto"/>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4"/>
          <w:highlight w:val="none"/>
          <w:lang w:val="en-US" w:eastAsia="zh-CN"/>
        </w:rPr>
        <w:t xml:space="preserve">   卖方应按照API610中关于图纸资料交付的相关条款要求，向买方提交下述资料（不限于此）。其中泵组总布置图应列出泵和驱动机的主要性能参数、单机外形尺寸、连接尺寸、维修和拆卸空间所需尺寸、各单机质量、总橇的尺寸和重量等。泵组管道和仪表控制流程图应标出流量、压力、温度正常值、报警值、停机值，管道规格，法兰标准等。</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default"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图5.1 图纸资料交付清单</w:t>
      </w:r>
    </w:p>
    <w:tbl>
      <w:tblPr>
        <w:tblStyle w:val="23"/>
        <w:tblW w:w="768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313"/>
        <w:gridCol w:w="792"/>
        <w:gridCol w:w="702"/>
        <w:gridCol w:w="589"/>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0" w:type="dxa"/>
            <w:gridSpan w:val="6"/>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1列    卖方中标后签订合同前提供的资料</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2列    中标之日起2周内提供的资料</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3列    设计协调会后2周内提供的资料</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4列    交货时装订成册的资料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序号</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资料名称</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2</w:t>
            </w: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w:t>
            </w: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泵组主要设备数据表</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2</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泵组总布置图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泵总装配图、主要部件图及零件清单</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4</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泵预期性能曲线</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5</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机械密封外形图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6</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机械密封辅助系统布置图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7</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泵橇管道和仪表控制流程图（包括润滑油、轴系检测、密封冲洗系统等）</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8</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泵组报警及连锁逻辑框图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9</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泵组接线箱外形图和内部端子及接线图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10</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泵组仪表数据表</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11</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电动机、联轴器外形图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12</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电动机工厂试验报告</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13</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电动机端子接线图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14</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泵组水、电、气消耗指标汇总表</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15</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泵组安装使用说明书</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16</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电机使用说明书</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17</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工厂试验、检验报告、所有设备合格证书及按照容规规定的压力容器有关取证资料</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18</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备件及特殊工具清单</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19</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装箱单及其它</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bl>
    <w:p>
      <w:pPr>
        <w:pStyle w:val="55"/>
        <w:numPr>
          <w:ilvl w:val="0"/>
          <w:numId w:val="7"/>
        </w:numPr>
        <w:spacing w:before="120" w:after="120" w:line="300" w:lineRule="auto"/>
        <w:outlineLvl w:val="0"/>
        <w:rPr>
          <w:rFonts w:hint="eastAsia"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技术要求</w:t>
      </w:r>
    </w:p>
    <w:p>
      <w:pPr>
        <w:keepNext w:val="0"/>
        <w:keepLines w:val="0"/>
        <w:pageBreakBefore w:val="0"/>
        <w:widowControl w:val="0"/>
        <w:kinsoku/>
        <w:wordWrap w:val="0"/>
        <w:overflowPunct/>
        <w:topLinePunct/>
        <w:autoSpaceDE/>
        <w:autoSpaceDN/>
        <w:bidi w:val="0"/>
        <w:adjustRightInd w:val="0"/>
        <w:snapToGrid w:val="0"/>
        <w:spacing w:before="313" w:beforeLines="100" w:line="360" w:lineRule="auto"/>
        <w:ind w:firstLine="562" w:firstLineChars="200"/>
        <w:jc w:val="both"/>
        <w:textAlignment w:val="auto"/>
        <w:outlineLvl w:val="1"/>
        <w:rPr>
          <w:rFonts w:hint="eastAsia" w:cs="Times New Roman" w:asciiTheme="minorEastAsia" w:hAnsiTheme="minorEastAsia" w:eastAsiaTheme="minorEastAsia"/>
          <w:bCs/>
          <w:color w:val="auto"/>
          <w:sz w:val="32"/>
          <w:szCs w:val="32"/>
          <w:highlight w:val="none"/>
        </w:rPr>
      </w:pPr>
      <w:r>
        <w:rPr>
          <w:rFonts w:hint="eastAsia" w:ascii="Times New Roman" w:hAnsi="Times New Roman" w:eastAsia="宋体" w:cs="Times New Roman"/>
          <w:b/>
          <w:bCs/>
          <w:color w:val="auto"/>
          <w:kern w:val="0"/>
          <w:sz w:val="28"/>
          <w:szCs w:val="28"/>
          <w:highlight w:val="none"/>
          <w:lang w:val="en-US" w:eastAsia="zh-CN" w:bidi="ar-SA"/>
        </w:rPr>
        <w:t>1.橇</w:t>
      </w:r>
      <w:r>
        <w:rPr>
          <w:rFonts w:hint="default" w:ascii="Times New Roman" w:hAnsi="Times New Roman" w:eastAsia="宋体" w:cs="Times New Roman"/>
          <w:b/>
          <w:bCs/>
          <w:color w:val="auto"/>
          <w:kern w:val="0"/>
          <w:sz w:val="28"/>
          <w:szCs w:val="28"/>
          <w:highlight w:val="none"/>
          <w:lang w:val="en-US" w:eastAsia="en-US" w:bidi="ar-SA"/>
        </w:rPr>
        <w:t>总体</w:t>
      </w:r>
      <w:r>
        <w:rPr>
          <w:rFonts w:hint="eastAsia" w:ascii="Times New Roman" w:hAnsi="Times New Roman" w:eastAsia="宋体" w:cs="Times New Roman"/>
          <w:b/>
          <w:bCs/>
          <w:color w:val="auto"/>
          <w:kern w:val="0"/>
          <w:sz w:val="28"/>
          <w:szCs w:val="28"/>
          <w:highlight w:val="none"/>
          <w:lang w:val="en-US" w:eastAsia="zh-CN" w:bidi="ar-SA"/>
        </w:rPr>
        <w:t>技术</w:t>
      </w:r>
      <w:r>
        <w:rPr>
          <w:rFonts w:hint="default" w:ascii="Times New Roman" w:hAnsi="Times New Roman" w:eastAsia="宋体" w:cs="Times New Roman"/>
          <w:b/>
          <w:bCs/>
          <w:color w:val="auto"/>
          <w:kern w:val="0"/>
          <w:sz w:val="28"/>
          <w:szCs w:val="28"/>
          <w:highlight w:val="none"/>
          <w:lang w:val="en-US" w:eastAsia="en-US" w:bidi="ar-SA"/>
        </w:rPr>
        <w:t>要求</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本次采购的</w:t>
      </w:r>
      <w:r>
        <w:rPr>
          <w:rFonts w:hint="eastAsia" w:ascii="Times New Roman" w:hAnsi="Times New Roman" w:cs="Times New Roman" w:eastAsiaTheme="minorEastAsia"/>
          <w:sz w:val="24"/>
          <w:highlight w:val="none"/>
          <w:lang w:val="en-US" w:eastAsia="zh-CN"/>
        </w:rPr>
        <w:t>低温精馏回流</w:t>
      </w:r>
      <w:r>
        <w:rPr>
          <w:rFonts w:hint="default" w:ascii="Times New Roman" w:hAnsi="Times New Roman" w:cs="Times New Roman" w:eastAsiaTheme="minorEastAsia"/>
          <w:sz w:val="24"/>
          <w:highlight w:val="none"/>
          <w:lang w:val="en-US" w:eastAsia="zh-CN"/>
        </w:rPr>
        <w:t>泵包括但不限于泵体、泵盖、叶轮、泵轴、轴承、密封装置、电机轴、联轴器及护罩、底座、进出口配对法兰及变径接头</w:t>
      </w:r>
      <w:r>
        <w:rPr>
          <w:rFonts w:hint="eastAsia" w:ascii="Times New Roman" w:hAnsi="Times New Roman" w:cs="Times New Roman" w:eastAsiaTheme="minorEastAsia"/>
          <w:sz w:val="24"/>
          <w:highlight w:val="none"/>
          <w:lang w:val="en-US" w:eastAsia="zh-CN"/>
        </w:rPr>
        <w:t>（ASME CL900）</w:t>
      </w:r>
      <w:r>
        <w:rPr>
          <w:rFonts w:hint="default" w:ascii="Times New Roman" w:hAnsi="Times New Roman" w:cs="Times New Roman" w:eastAsiaTheme="minorEastAsia"/>
          <w:sz w:val="24"/>
          <w:highlight w:val="none"/>
          <w:lang w:val="en-US" w:eastAsia="zh-CN"/>
        </w:rPr>
        <w:t>、紧固件、电机、接线盒、填料函、铭牌等，满足API610标准离心泵的相关标准及完整功能。</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★卖方承诺低温精馏回流</w:t>
      </w:r>
      <w:r>
        <w:rPr>
          <w:rFonts w:hint="default" w:ascii="Times New Roman" w:hAnsi="Times New Roman" w:cs="Times New Roman" w:eastAsiaTheme="minorEastAsia"/>
          <w:sz w:val="24"/>
          <w:highlight w:val="none"/>
          <w:lang w:val="en-US" w:eastAsia="zh-CN"/>
        </w:rPr>
        <w:t>泵选用</w:t>
      </w:r>
      <w:r>
        <w:rPr>
          <w:rFonts w:hint="eastAsia" w:ascii="Times New Roman" w:hAnsi="Times New Roman" w:cs="Times New Roman" w:eastAsiaTheme="minorEastAsia"/>
          <w:sz w:val="24"/>
          <w:highlight w:val="none"/>
          <w:lang w:val="en-US" w:eastAsia="zh-CN"/>
        </w:rPr>
        <w:t>单级悬臂式离心</w:t>
      </w:r>
      <w:r>
        <w:rPr>
          <w:rFonts w:hint="default" w:ascii="Times New Roman" w:hAnsi="Times New Roman" w:cs="Times New Roman" w:eastAsiaTheme="minorEastAsia"/>
          <w:sz w:val="24"/>
          <w:highlight w:val="none"/>
          <w:lang w:val="en-US" w:eastAsia="zh-CN"/>
        </w:rPr>
        <w:t>泵（</w:t>
      </w:r>
      <w:r>
        <w:rPr>
          <w:rFonts w:hint="eastAsia" w:ascii="Times New Roman" w:hAnsi="Times New Roman" w:cs="Times New Roman" w:eastAsiaTheme="minorEastAsia"/>
          <w:sz w:val="24"/>
          <w:highlight w:val="none"/>
          <w:lang w:val="en-US" w:eastAsia="zh-CN"/>
        </w:rPr>
        <w:t>API标准OH2型</w:t>
      </w:r>
      <w:r>
        <w:rPr>
          <w:rFonts w:hint="default" w:ascii="Times New Roman" w:hAnsi="Times New Roman" w:cs="Times New Roman" w:eastAsiaTheme="minorEastAsia"/>
          <w:sz w:val="24"/>
          <w:highlight w:val="none"/>
          <w:lang w:val="en-US" w:eastAsia="zh-CN"/>
        </w:rPr>
        <w:t>），泵的具体型式见数据表。泵制造厂应对整个机组包括泵、驱动机、控制及仪表、联轴器、相关的辅助设备和管道系统及其之间的合理匹配等负全部责任，并对整个系统的总成套设计、制造、性能、检验、试验、质量、供货、服务等责任。</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提供的</w:t>
      </w:r>
      <w:r>
        <w:rPr>
          <w:rFonts w:hint="eastAsia" w:ascii="Times New Roman" w:hAnsi="Times New Roman" w:cs="Times New Roman" w:eastAsiaTheme="minorEastAsia"/>
          <w:sz w:val="24"/>
          <w:highlight w:val="none"/>
          <w:lang w:val="en-US" w:eastAsia="zh-CN"/>
        </w:rPr>
        <w:t>泵</w:t>
      </w:r>
      <w:r>
        <w:rPr>
          <w:rFonts w:hint="default" w:ascii="Times New Roman" w:hAnsi="Times New Roman" w:cs="Times New Roman" w:eastAsiaTheme="minorEastAsia"/>
          <w:sz w:val="24"/>
          <w:highlight w:val="none"/>
          <w:lang w:val="en-US" w:eastAsia="zh-CN"/>
        </w:rPr>
        <w:t>橇内电气、仪表设备防爆等级应不低于Exd IIB T4，防护等级</w:t>
      </w:r>
      <w:r>
        <w:rPr>
          <w:rFonts w:hint="eastAsia" w:ascii="Times New Roman" w:hAnsi="Times New Roman" w:cs="Times New Roman" w:eastAsiaTheme="minorEastAsia"/>
          <w:sz w:val="24"/>
          <w:highlight w:val="none"/>
          <w:lang w:val="en-US" w:eastAsia="zh-CN"/>
        </w:rPr>
        <w:t>为</w:t>
      </w:r>
      <w:r>
        <w:rPr>
          <w:rFonts w:hint="default" w:ascii="Times New Roman" w:hAnsi="Times New Roman" w:cs="Times New Roman" w:eastAsiaTheme="minorEastAsia"/>
          <w:sz w:val="24"/>
          <w:highlight w:val="none"/>
          <w:lang w:val="en-US" w:eastAsia="zh-CN"/>
        </w:rPr>
        <w:t>IP56</w:t>
      </w:r>
      <w:r>
        <w:rPr>
          <w:rFonts w:hint="eastAsia" w:ascii="Times New Roman" w:hAnsi="Times New Roman" w:cs="Times New Roman" w:eastAsiaTheme="minorEastAsia"/>
          <w:sz w:val="24"/>
          <w:highlight w:val="none"/>
          <w:lang w:val="en-US" w:eastAsia="zh-CN"/>
        </w:rPr>
        <w:t>或IP66</w:t>
      </w:r>
      <w:r>
        <w:rPr>
          <w:rFonts w:hint="default" w:ascii="Times New Roman" w:hAnsi="Times New Roman" w:cs="Times New Roman" w:eastAsiaTheme="minorEastAsia"/>
          <w:sz w:val="24"/>
          <w:highlight w:val="none"/>
          <w:lang w:val="en-US" w:eastAsia="zh-CN"/>
        </w:rPr>
        <w:t>，</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提供橇内</w:t>
      </w:r>
      <w:r>
        <w:rPr>
          <w:rFonts w:hint="eastAsia" w:ascii="Times New Roman" w:hAnsi="Times New Roman" w:cs="Times New Roman" w:eastAsiaTheme="minorEastAsia"/>
          <w:sz w:val="24"/>
          <w:highlight w:val="none"/>
          <w:lang w:val="en-US" w:eastAsia="zh-CN"/>
        </w:rPr>
        <w:t>设备</w:t>
      </w:r>
      <w:r>
        <w:rPr>
          <w:rFonts w:hint="default" w:ascii="Times New Roman" w:hAnsi="Times New Roman" w:cs="Times New Roman" w:eastAsiaTheme="minorEastAsia"/>
          <w:sz w:val="24"/>
          <w:highlight w:val="none"/>
          <w:lang w:val="en-US" w:eastAsia="zh-CN"/>
        </w:rPr>
        <w:t>、管线、阀门等关键性组件的材质证书；</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整套泵组海上平台露天安装，泵、驱动机及辅助设备应在规定的环境条件下（高湿度的含盐环境）适用于启动和连续操作，应采取相应的安全和防护措施。输送介质为低温液态CO</w:t>
      </w:r>
      <w:r>
        <w:rPr>
          <w:rFonts w:hint="default" w:ascii="Times New Roman" w:hAnsi="Times New Roman" w:cs="Times New Roman" w:eastAsiaTheme="minorEastAsia"/>
          <w:sz w:val="24"/>
          <w:highlight w:val="none"/>
          <w:vertAlign w:val="subscript"/>
          <w:lang w:val="en-US" w:eastAsia="zh-CN"/>
        </w:rPr>
        <w:t>2</w:t>
      </w:r>
      <w:r>
        <w:rPr>
          <w:rFonts w:hint="default" w:ascii="Times New Roman" w:hAnsi="Times New Roman" w:cs="Times New Roman" w:eastAsiaTheme="minorEastAsia"/>
          <w:sz w:val="24"/>
          <w:highlight w:val="none"/>
          <w:lang w:val="en-US" w:eastAsia="zh-CN"/>
        </w:rPr>
        <w:t>，</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应高度重视泵材料的选择，泵材料应执行API610附录G及附录H的规定</w:t>
      </w:r>
      <w:r>
        <w:rPr>
          <w:rFonts w:hint="eastAsia" w:ascii="Times New Roman" w:hAnsi="Times New Roman" w:cs="Times New Roman" w:eastAsiaTheme="minorEastAsia"/>
          <w:sz w:val="24"/>
          <w:highlight w:val="none"/>
          <w:lang w:val="en-US" w:eastAsia="zh-CN"/>
        </w:rPr>
        <w:t>（详见附件引用标准）</w:t>
      </w:r>
      <w:r>
        <w:rPr>
          <w:rFonts w:hint="default" w:ascii="Times New Roman" w:hAnsi="Times New Roman" w:cs="Times New Roman" w:eastAsiaTheme="minorEastAsia"/>
          <w:sz w:val="24"/>
          <w:highlight w:val="none"/>
          <w:lang w:val="en-US" w:eastAsia="zh-CN"/>
        </w:rPr>
        <w:t>，也可以提供同等或更优质的材料，并经</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确认，确保所提供的材料适用于操作和外部环境。</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泵橇内的设备、阀门、仪表、管道、钢结构的防腐等级须达到C5M，</w:t>
      </w:r>
      <w:r>
        <w:rPr>
          <w:rFonts w:hint="eastAsia" w:ascii="Times New Roman" w:hAnsi="Times New Roman" w:cs="Times New Roman" w:eastAsiaTheme="minorEastAsia"/>
          <w:sz w:val="24"/>
          <w:highlight w:val="none"/>
          <w:lang w:val="en-US" w:eastAsia="zh-CN"/>
        </w:rPr>
        <w:t>卖方</w:t>
      </w:r>
      <w:bookmarkStart w:id="7" w:name="OLE_LINK2"/>
      <w:r>
        <w:rPr>
          <w:rFonts w:hint="eastAsia" w:ascii="Times New Roman" w:hAnsi="Times New Roman" w:cs="Times New Roman" w:eastAsiaTheme="minorEastAsia"/>
          <w:sz w:val="24"/>
          <w:highlight w:val="none"/>
          <w:lang w:val="en-US" w:eastAsia="zh-CN"/>
        </w:rPr>
        <w:t>对泵橇内的防腐部分需满足【</w:t>
      </w:r>
      <w:r>
        <w:rPr>
          <w:rFonts w:hint="default" w:ascii="Times New Roman" w:hAnsi="Times New Roman" w:cs="Times New Roman" w:eastAsiaTheme="minorEastAsia"/>
          <w:sz w:val="24"/>
          <w:highlight w:val="none"/>
          <w:lang w:val="en-US" w:eastAsia="zh-CN"/>
        </w:rPr>
        <w:t>《中国境内海上油气田通用技术规格书-组块涂装规格书》QBZH 11111.01-2024</w:t>
      </w:r>
      <w:r>
        <w:rPr>
          <w:rFonts w:hint="eastAsia" w:ascii="Times New Roman" w:hAnsi="Times New Roman" w:cs="Times New Roman" w:eastAsiaTheme="minorEastAsia"/>
          <w:sz w:val="24"/>
          <w:highlight w:val="none"/>
          <w:lang w:val="en-US" w:eastAsia="zh-CN"/>
        </w:rPr>
        <w:t>中第4.2.2部分</w:t>
      </w:r>
      <w:bookmarkEnd w:id="7"/>
      <w:r>
        <w:rPr>
          <w:rFonts w:hint="eastAsia" w:ascii="Times New Roman" w:hAnsi="Times New Roman" w:cs="Times New Roman" w:eastAsiaTheme="minorEastAsia"/>
          <w:sz w:val="24"/>
          <w:highlight w:val="none"/>
          <w:lang w:val="en-US" w:eastAsia="zh-CN"/>
        </w:rPr>
        <w:t>。】</w:t>
      </w:r>
    </w:p>
    <w:p>
      <w:pP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 xml:space="preserve">        以下为引用标准中所列重要参数，纳入评议范围：</w:t>
      </w:r>
    </w:p>
    <w:p>
      <w:pPr>
        <w:rPr>
          <w:rFonts w:hint="default"/>
          <w:highlight w:val="none"/>
          <w:lang w:val="en-US" w:eastAsia="zh-CN"/>
        </w:rPr>
      </w:pPr>
    </w:p>
    <w:p>
      <w:pPr>
        <w:jc w:val="center"/>
        <w:rPr>
          <w:rFonts w:hint="default"/>
          <w:highlight w:val="none"/>
          <w:lang w:val="en-US" w:eastAsia="zh-CN"/>
        </w:rPr>
      </w:pPr>
      <w:r>
        <w:rPr>
          <w:rFonts w:hint="default"/>
          <w:highlight w:val="none"/>
          <w:lang w:val="en-US" w:eastAsia="zh-CN"/>
        </w:rPr>
        <w:drawing>
          <wp:inline distT="0" distB="0" distL="114300" distR="114300">
            <wp:extent cx="4476750" cy="4801870"/>
            <wp:effectExtent l="0" t="0" r="0" b="17780"/>
            <wp:docPr id="2" name="图片 2" descr="AE741A7D-25F9-42f2-8053-B949D5037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741A7D-25F9-42f2-8053-B949D5037A44"/>
                    <pic:cNvPicPr>
                      <a:picLocks noChangeAspect="1"/>
                    </pic:cNvPicPr>
                  </pic:nvPicPr>
                  <pic:blipFill>
                    <a:blip r:embed="rId9"/>
                    <a:stretch>
                      <a:fillRect/>
                    </a:stretch>
                  </pic:blipFill>
                  <pic:spPr>
                    <a:xfrm>
                      <a:off x="0" y="0"/>
                      <a:ext cx="4476750" cy="4801870"/>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在要求的介质、温度等工作条件下，所有泵体、叶轮、冲洗冷却部件等泵结构接液的材质应耐腐蚀，保证使用不出现腐蚀情况。</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jc w:val="left"/>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每台泵应能安全、平稳运行，振动、噪声、轴承温度应</w:t>
      </w:r>
      <w:r>
        <w:rPr>
          <w:rFonts w:hint="eastAsia" w:ascii="Times New Roman" w:hAnsi="Times New Roman" w:cs="Times New Roman" w:eastAsiaTheme="minorEastAsia"/>
          <w:sz w:val="24"/>
          <w:highlight w:val="none"/>
          <w:lang w:val="en-US" w:eastAsia="zh-CN"/>
        </w:rPr>
        <w:t>满足</w:t>
      </w:r>
      <w:r>
        <w:rPr>
          <w:rFonts w:hint="default" w:ascii="Times New Roman" w:hAnsi="Times New Roman" w:cs="Times New Roman" w:eastAsiaTheme="minorEastAsia"/>
          <w:sz w:val="24"/>
          <w:highlight w:val="none"/>
          <w:lang w:val="en-US" w:eastAsia="zh-CN"/>
        </w:rPr>
        <w:t>GB/T 29529 《泵的噪声测量与评价方法》</w:t>
      </w:r>
      <w:r>
        <w:rPr>
          <w:rFonts w:hint="eastAsia" w:ascii="Times New Roman" w:hAnsi="Times New Roman" w:cs="Times New Roman" w:eastAsiaTheme="minorEastAsia"/>
          <w:sz w:val="24"/>
          <w:highlight w:val="none"/>
          <w:lang w:val="en-US" w:eastAsia="zh-CN"/>
        </w:rPr>
        <w:t>中第5部分和</w:t>
      </w:r>
      <w:r>
        <w:rPr>
          <w:rFonts w:hint="default" w:ascii="Times New Roman" w:hAnsi="Times New Roman" w:cs="Times New Roman" w:eastAsiaTheme="minorEastAsia"/>
          <w:sz w:val="24"/>
          <w:highlight w:val="none"/>
          <w:lang w:val="en-US" w:eastAsia="zh-CN"/>
        </w:rPr>
        <w:t>GB/T 29531《泵的振动测量与评价方法》</w:t>
      </w:r>
      <w:r>
        <w:rPr>
          <w:rFonts w:hint="eastAsia" w:ascii="Times New Roman" w:hAnsi="Times New Roman" w:cs="Times New Roman" w:eastAsiaTheme="minorEastAsia"/>
          <w:sz w:val="24"/>
          <w:highlight w:val="none"/>
          <w:lang w:val="en-US" w:eastAsia="zh-CN"/>
        </w:rPr>
        <w:t>中第6部分</w:t>
      </w:r>
      <w:r>
        <w:rPr>
          <w:rFonts w:hint="default" w:ascii="Times New Roman" w:hAnsi="Times New Roman" w:cs="Times New Roman" w:eastAsiaTheme="minorEastAsia"/>
          <w:sz w:val="24"/>
          <w:highlight w:val="none"/>
          <w:lang w:val="en-US" w:eastAsia="zh-CN"/>
        </w:rPr>
        <w:t>相关标准要求，</w:t>
      </w:r>
      <w:r>
        <w:rPr>
          <w:rFonts w:hint="eastAsia" w:ascii="Times New Roman" w:hAnsi="Times New Roman" w:cs="Times New Roman" w:eastAsiaTheme="minorEastAsia"/>
          <w:sz w:val="24"/>
          <w:highlight w:val="none"/>
          <w:lang w:val="en-US" w:eastAsia="zh-CN"/>
        </w:rPr>
        <w:t>满足</w:t>
      </w:r>
      <w:r>
        <w:rPr>
          <w:rFonts w:hint="default" w:ascii="Times New Roman" w:hAnsi="Times New Roman" w:cs="Times New Roman" w:eastAsiaTheme="minorEastAsia"/>
          <w:sz w:val="24"/>
          <w:highlight w:val="none"/>
          <w:lang w:val="en-US" w:eastAsia="zh-CN"/>
        </w:rPr>
        <w:t>QBZH 11104.14-2021《中国境内海上油气田通用技术规格书-离心泵规格书 》</w:t>
      </w:r>
      <w:r>
        <w:rPr>
          <w:rFonts w:hint="eastAsia" w:ascii="Times New Roman" w:hAnsi="Times New Roman" w:cs="Times New Roman" w:eastAsiaTheme="minorEastAsia"/>
          <w:sz w:val="24"/>
          <w:highlight w:val="none"/>
          <w:lang w:val="en-US" w:eastAsia="zh-CN"/>
        </w:rPr>
        <w:t>中第4部分</w:t>
      </w:r>
      <w:r>
        <w:rPr>
          <w:rFonts w:hint="default" w:ascii="Times New Roman" w:hAnsi="Times New Roman" w:cs="Times New Roman" w:eastAsiaTheme="minorEastAsia"/>
          <w:sz w:val="24"/>
          <w:highlight w:val="none"/>
          <w:lang w:val="en-US" w:eastAsia="zh-CN"/>
        </w:rPr>
        <w:t>要求，其中振动级别不得低于B。</w:t>
      </w:r>
    </w:p>
    <w:p>
      <w:pPr>
        <w:ind w:left="960" w:hanging="960" w:hangingChars="4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 xml:space="preserve">           泵的噪声测量方法需满足标准【《泵的噪声测量与评价方法》GB/T 29529中第5.2条。】</w:t>
      </w:r>
    </w:p>
    <w:p>
      <w:pPr>
        <w:ind w:left="916" w:leftChars="436" w:firstLine="0" w:firstLineChars="0"/>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以下为引用标准中所列重要参数，纳入评议范围：</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960" w:hanging="960" w:hangingChars="400"/>
        <w:textAlignment w:val="auto"/>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sz w:val="24"/>
          <w:highlight w:val="none"/>
          <w:lang w:val="en-US" w:eastAsia="zh-CN"/>
        </w:rPr>
        <w:t xml:space="preserve"> </w:t>
      </w:r>
      <w:r>
        <w:rPr>
          <w:rFonts w:hint="eastAsia" w:ascii="Times New Roman" w:hAnsi="Times New Roman" w:cs="Times New Roman" w:eastAsiaTheme="minorEastAsia"/>
          <w:kern w:val="0"/>
          <w:sz w:val="24"/>
          <w:szCs w:val="21"/>
          <w:highlight w:val="none"/>
          <w:lang w:val="en-US" w:eastAsia="zh-CN" w:bidi="ar-SA"/>
        </w:rPr>
        <w:t xml:space="preserve"> </w:t>
      </w:r>
      <w:r>
        <w:rPr>
          <w:rFonts w:hint="eastAsia" w:ascii="Times New Roman" w:hAnsi="Times New Roman" w:cs="Times New Roman"/>
          <w:kern w:val="0"/>
          <w:sz w:val="24"/>
          <w:szCs w:val="21"/>
          <w:highlight w:val="none"/>
          <w:lang w:val="en-US" w:eastAsia="zh-CN" w:bidi="ar-SA"/>
        </w:rPr>
        <w:t xml:space="preserve">   </w:t>
      </w:r>
      <w:r>
        <w:rPr>
          <w:rFonts w:hint="eastAsia" w:ascii="Times New Roman" w:hAnsi="Times New Roman" w:cs="Times New Roman" w:eastAsiaTheme="minorEastAsia"/>
          <w:kern w:val="0"/>
          <w:sz w:val="24"/>
          <w:szCs w:val="21"/>
          <w:highlight w:val="none"/>
          <w:lang w:val="en-US" w:eastAsia="zh-CN" w:bidi="ar-SA"/>
        </w:rPr>
        <w:t xml:space="preserve">      </w:t>
      </w:r>
      <w:r>
        <w:rPr>
          <w:rFonts w:hint="eastAsia" w:ascii="Times New Roman" w:hAnsi="Times New Roman" w:cs="Times New Roman" w:eastAsiaTheme="minorEastAsia"/>
          <w:sz w:val="24"/>
          <w:highlight w:val="none"/>
          <w:lang w:val="en-US" w:eastAsia="zh-CN"/>
        </w:rPr>
        <w:t>5.2 每次测量前后，应当用准确度校准±0.3dB声校准器在测试的频率范围内的一个或多个频率上对整个测量系统进行校准。声校准器和测量系统应当经过计量检定合格且在检定有效期内。</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960" w:hanging="960" w:hangingChars="400"/>
        <w:textAlignment w:val="auto"/>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 xml:space="preserve">           泵的振动测量方法需满足标准【</w:t>
      </w:r>
      <w:r>
        <w:rPr>
          <w:rFonts w:hint="default" w:ascii="Times New Roman" w:hAnsi="Times New Roman" w:cs="Times New Roman" w:eastAsiaTheme="minorEastAsia"/>
          <w:sz w:val="24"/>
          <w:highlight w:val="none"/>
          <w:lang w:val="en-US" w:eastAsia="zh-CN"/>
        </w:rPr>
        <w:t>《泵的振动测量与评价方法》GB/T 29531</w:t>
      </w:r>
      <w:r>
        <w:rPr>
          <w:rFonts w:hint="eastAsia" w:ascii="Times New Roman" w:hAnsi="Times New Roman" w:cs="Times New Roman" w:eastAsiaTheme="minorEastAsia"/>
          <w:sz w:val="24"/>
          <w:highlight w:val="none"/>
          <w:lang w:val="en-US" w:eastAsia="zh-CN"/>
        </w:rPr>
        <w:t>中第6.3条。】</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960" w:firstLineChars="400"/>
        <w:textAlignment w:val="auto"/>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以下为引用标准中所列重要参数，纳入评议范围：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3455035" cy="4221480"/>
            <wp:effectExtent l="0" t="0" r="12065" b="7620"/>
            <wp:docPr id="3" name="图片 3" descr="4DE91055-DF27-4157-955B-4E2132FEA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DE91055-DF27-4157-955B-4E2132FEAB60"/>
                    <pic:cNvPicPr>
                      <a:picLocks noChangeAspect="1"/>
                    </pic:cNvPicPr>
                  </pic:nvPicPr>
                  <pic:blipFill>
                    <a:blip r:embed="rId10"/>
                    <a:stretch>
                      <a:fillRect/>
                    </a:stretch>
                  </pic:blipFill>
                  <pic:spPr>
                    <a:xfrm>
                      <a:off x="0" y="0"/>
                      <a:ext cx="3455035" cy="4221480"/>
                    </a:xfrm>
                    <a:prstGeom prst="rect">
                      <a:avLst/>
                    </a:prstGeom>
                  </pic:spPr>
                </pic:pic>
              </a:graphicData>
            </a:graphic>
          </wp:inline>
        </w:drawing>
      </w:r>
    </w:p>
    <w:p>
      <w:pPr>
        <w:pStyle w:val="20"/>
        <w:ind w:left="916" w:leftChars="436" w:firstLine="480" w:firstLineChars="200"/>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泵的振动要求需满足标准【</w:t>
      </w:r>
      <w:r>
        <w:rPr>
          <w:rFonts w:hint="default" w:ascii="Times New Roman" w:hAnsi="Times New Roman" w:cs="Times New Roman" w:eastAsiaTheme="minorEastAsia"/>
          <w:sz w:val="24"/>
          <w:highlight w:val="none"/>
          <w:lang w:val="en-US" w:eastAsia="zh-CN"/>
        </w:rPr>
        <w:t>《中国境内海上油气田通用技术规格书-离心泵规格书 》QBZH 11104.14-2021</w:t>
      </w:r>
      <w:r>
        <w:rPr>
          <w:rFonts w:hint="eastAsia" w:ascii="Times New Roman" w:hAnsi="Times New Roman" w:cs="Times New Roman" w:eastAsiaTheme="minorEastAsia"/>
          <w:sz w:val="24"/>
          <w:highlight w:val="none"/>
          <w:lang w:val="en-US" w:eastAsia="zh-CN"/>
        </w:rPr>
        <w:t>中第4.2.5条。】</w:t>
      </w:r>
    </w:p>
    <w:p>
      <w:pPr>
        <w:pStyle w:val="20"/>
        <w:ind w:left="916" w:leftChars="436" w:firstLine="480" w:firstLineChars="200"/>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以下为引用标准中所列重要参数，纳入评议范围：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3310255" cy="3218815"/>
            <wp:effectExtent l="0" t="0" r="4445" b="635"/>
            <wp:docPr id="7" name="图片 7" descr="30F3944C08584e3eB21795096ECA8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F3944C08584e3eB21795096ECA8D8C"/>
                    <pic:cNvPicPr>
                      <a:picLocks noChangeAspect="1"/>
                    </pic:cNvPicPr>
                  </pic:nvPicPr>
                  <pic:blipFill>
                    <a:blip r:embed="rId11"/>
                    <a:stretch>
                      <a:fillRect/>
                    </a:stretch>
                  </pic:blipFill>
                  <pic:spPr>
                    <a:xfrm>
                      <a:off x="0" y="0"/>
                      <a:ext cx="3310255" cy="321881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泵的流量、扬程、材质应满足数据表中对应的要求</w:t>
      </w:r>
      <w:r>
        <w:rPr>
          <w:rFonts w:hint="eastAsia" w:ascii="Times New Roman" w:hAnsi="Times New Roman" w:cs="Times New Roman" w:eastAsiaTheme="minorEastAsia"/>
          <w:sz w:val="24"/>
          <w:highlight w:val="none"/>
          <w:lang w:val="en-US" w:eastAsia="zh-CN"/>
        </w:rPr>
        <w:t>，卖方应在投标文件中补充完整买方提供的数据表。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应根据规定的材料等级</w:t>
      </w:r>
      <w:r>
        <w:rPr>
          <w:rFonts w:hint="eastAsia" w:ascii="Times New Roman" w:hAnsi="Times New Roman" w:cs="Times New Roman" w:eastAsiaTheme="minorEastAsia"/>
          <w:sz w:val="24"/>
          <w:highlight w:val="none"/>
          <w:lang w:val="en-US" w:eastAsia="zh-CN"/>
        </w:rPr>
        <w:t>、</w:t>
      </w:r>
      <w:r>
        <w:rPr>
          <w:rFonts w:hint="default" w:ascii="Times New Roman" w:hAnsi="Times New Roman" w:cs="Times New Roman" w:eastAsiaTheme="minorEastAsia"/>
          <w:sz w:val="24"/>
          <w:highlight w:val="none"/>
          <w:lang w:val="en-US" w:eastAsia="zh-CN"/>
        </w:rPr>
        <w:t>规定的操作条件负责最终的材料选择，并在数据表上标明主要零部件（例如：筒体/端盖/壳体、叶轮、轴、口环、平衡鼓等）的具体牌号。</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铸件要求及其质量控制应按照API610规定，若铸件质量存在问题需要修复，铸件的修复方法应提交</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批准。</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泵的效率应满足</w:t>
      </w:r>
      <w:r>
        <w:rPr>
          <w:rFonts w:hint="eastAsia" w:ascii="Times New Roman" w:hAnsi="Times New Roman" w:cs="Times New Roman" w:eastAsiaTheme="minorEastAsia"/>
          <w:sz w:val="24"/>
          <w:highlight w:val="none"/>
          <w:lang w:val="en-US" w:eastAsia="zh-CN"/>
        </w:rPr>
        <w:t>标准【</w:t>
      </w:r>
      <w:r>
        <w:rPr>
          <w:rFonts w:hint="default" w:ascii="Times New Roman" w:hAnsi="Times New Roman" w:cs="Times New Roman" w:eastAsiaTheme="minorEastAsia"/>
          <w:sz w:val="24"/>
          <w:highlight w:val="none"/>
          <w:lang w:val="en-US" w:eastAsia="zh-CN"/>
        </w:rPr>
        <w:t>《离心泵效率》GB/T13007</w:t>
      </w:r>
      <w:r>
        <w:rPr>
          <w:rFonts w:hint="eastAsia" w:ascii="Times New Roman" w:hAnsi="Times New Roman" w:cs="Times New Roman" w:eastAsiaTheme="minorEastAsia"/>
          <w:sz w:val="24"/>
          <w:highlight w:val="none"/>
          <w:lang w:val="en-US" w:eastAsia="zh-CN"/>
        </w:rPr>
        <w:t>中第5部分</w:t>
      </w:r>
      <w:r>
        <w:rPr>
          <w:rFonts w:hint="default" w:ascii="Times New Roman" w:hAnsi="Times New Roman" w:cs="Times New Roman" w:eastAsiaTheme="minorEastAsia"/>
          <w:sz w:val="24"/>
          <w:highlight w:val="none"/>
          <w:lang w:val="en-US" w:eastAsia="zh-CN"/>
        </w:rPr>
        <w:t>的要求</w:t>
      </w:r>
      <w:r>
        <w:rPr>
          <w:rFonts w:hint="eastAsia" w:ascii="Times New Roman" w:hAnsi="Times New Roman" w:cs="Times New Roman" w:eastAsiaTheme="minorEastAsia"/>
          <w:sz w:val="24"/>
          <w:highlight w:val="none"/>
          <w:lang w:val="en-US"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firstLine="480" w:firstLine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以下为引用标中所列重要参数，纳入评议范围：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4228465" cy="2208530"/>
            <wp:effectExtent l="0" t="0" r="635" b="1270"/>
            <wp:docPr id="8" name="图片 8" descr="4CDC6806-B7D8-46c0-8FA5-921D0538E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CDC6806-B7D8-46c0-8FA5-921D0538E8DC"/>
                    <pic:cNvPicPr>
                      <a:picLocks noChangeAspect="1"/>
                    </pic:cNvPicPr>
                  </pic:nvPicPr>
                  <pic:blipFill>
                    <a:blip r:embed="rId12"/>
                    <a:stretch>
                      <a:fillRect/>
                    </a:stretch>
                  </pic:blipFill>
                  <pic:spPr>
                    <a:xfrm>
                      <a:off x="0" y="0"/>
                      <a:ext cx="4228465" cy="2208530"/>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从泵的最小连续稳定流量至额定点流量范围内，NPSHa都应大于NPSHr至少10%以上，且不得小于1m</w:t>
      </w:r>
      <w:r>
        <w:rPr>
          <w:rFonts w:hint="eastAsia" w:ascii="Times New Roman" w:hAnsi="Times New Roman" w:cs="Times New Roman" w:eastAsiaTheme="minorEastAsia"/>
          <w:sz w:val="24"/>
          <w:highlight w:val="none"/>
          <w:lang w:val="en-US" w:eastAsia="zh-CN"/>
        </w:rPr>
        <w:t>；</w:t>
      </w:r>
      <w:r>
        <w:rPr>
          <w:rFonts w:hint="default" w:ascii="Times New Roman" w:hAnsi="Times New Roman" w:cs="Times New Roman" w:eastAsiaTheme="minorEastAsia"/>
          <w:sz w:val="24"/>
          <w:highlight w:val="none"/>
          <w:lang w:val="en-US" w:eastAsia="zh-CN"/>
        </w:rPr>
        <w:t>当泵的吸入口压力为负压时，NPSHa应大于NPSHr至少2m。</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所选泵的最佳效率点流量宜在正常流量和额定流量之间，正常流量应在最佳效率点流量的70%~100%范围之间。</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泵的选型应具备，在更大直径叶轮或不同的水</w:t>
      </w:r>
      <w:r>
        <w:rPr>
          <w:rFonts w:hint="eastAsia" w:ascii="Times New Roman" w:hAnsi="Times New Roman" w:cs="Times New Roman" w:eastAsiaTheme="minorEastAsia"/>
          <w:sz w:val="24"/>
          <w:highlight w:val="none"/>
          <w:lang w:val="en-US" w:eastAsia="zh-CN"/>
        </w:rPr>
        <w:t>力</w:t>
      </w:r>
      <w:r>
        <w:rPr>
          <w:rFonts w:hint="default" w:ascii="Times New Roman" w:hAnsi="Times New Roman" w:cs="Times New Roman" w:eastAsiaTheme="minorEastAsia"/>
          <w:sz w:val="24"/>
          <w:highlight w:val="none"/>
          <w:lang w:val="en-US" w:eastAsia="zh-CN"/>
        </w:rPr>
        <w:t>设计的叶轮之后，在额定工况下泵的扬程至少升高5%。</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泵的结构设计应满足在不拆除泵进、出口管线的情况下，方便抽出转子或内壳体。</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泵叶轮在轴上采用每个叶轮单独固定，以防止叶轮轴向移动。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转子的每一个主要转动部件或整个转子做动、静平衡试验，静平衡精度等级为G6.3，动平衡精度等级为G2.5。</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泵的压力泵壳，包括吸入室，应按</w:t>
      </w:r>
      <w:r>
        <w:rPr>
          <w:rFonts w:hint="eastAsia" w:ascii="Times New Roman" w:hAnsi="Times New Roman" w:cs="Times New Roman" w:eastAsiaTheme="minorEastAsia"/>
          <w:sz w:val="24"/>
          <w:highlight w:val="none"/>
          <w:lang w:val="en-US" w:eastAsia="zh-CN"/>
        </w:rPr>
        <w:t>低温精馏塔设计</w:t>
      </w:r>
      <w:r>
        <w:rPr>
          <w:rFonts w:hint="default" w:ascii="Times New Roman" w:hAnsi="Times New Roman" w:cs="Times New Roman" w:eastAsiaTheme="minorEastAsia"/>
          <w:sz w:val="24"/>
          <w:highlight w:val="none"/>
          <w:lang w:val="en-US" w:eastAsia="zh-CN"/>
        </w:rPr>
        <w:t>压力</w:t>
      </w:r>
      <w:r>
        <w:rPr>
          <w:rFonts w:hint="eastAsia" w:ascii="Times New Roman" w:hAnsi="Times New Roman" w:cs="Times New Roman" w:eastAsiaTheme="minorEastAsia"/>
          <w:sz w:val="24"/>
          <w:highlight w:val="none"/>
          <w:lang w:val="en-US" w:eastAsia="zh-CN"/>
        </w:rPr>
        <w:t>8.235MPaG</w:t>
      </w:r>
      <w:r>
        <w:rPr>
          <w:rFonts w:hint="default" w:ascii="Times New Roman" w:hAnsi="Times New Roman" w:cs="Times New Roman" w:eastAsiaTheme="minorEastAsia"/>
          <w:sz w:val="24"/>
          <w:highlight w:val="none"/>
          <w:lang w:val="en-US" w:eastAsia="zh-CN"/>
        </w:rPr>
        <w:t>设计和进行压力试验</w:t>
      </w:r>
      <w:r>
        <w:rPr>
          <w:rFonts w:hint="eastAsia" w:ascii="Times New Roman" w:hAnsi="Times New Roman" w:cs="Times New Roman" w:eastAsiaTheme="minorEastAsia"/>
          <w:sz w:val="24"/>
          <w:highlight w:val="none"/>
          <w:lang w:val="en-US" w:eastAsia="zh-CN"/>
        </w:rPr>
        <w:t>，水压试验压力为设计压力的1.25倍</w:t>
      </w:r>
      <w:r>
        <w:rPr>
          <w:rFonts w:hint="default" w:ascii="Times New Roman" w:hAnsi="Times New Roman" w:cs="Times New Roman" w:eastAsiaTheme="minorEastAsia"/>
          <w:sz w:val="24"/>
          <w:highlight w:val="none"/>
          <w:lang w:val="en-US" w:eastAsia="zh-CN"/>
        </w:rPr>
        <w:t>。</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轴承和轴承箱应符合API610第6.10条规定，轴承型式应按照API610表10确定。当泵组采用自润滑时，泵轴承箱体应安装油位的油窗和自动补油油杯。泵轴承箱上应按API610标准要求，预留用于油雾润滑的油雾接口、配套堵头。</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bookmarkStart w:id="8" w:name="OLE_LINK1"/>
      <w:r>
        <w:rPr>
          <w:rFonts w:hint="eastAsia" w:ascii="Times New Roman" w:hAnsi="Times New Roman" w:cs="Times New Roman" w:eastAsiaTheme="minorEastAsia"/>
          <w:sz w:val="24"/>
          <w:highlight w:val="none"/>
          <w:lang w:val="en-US" w:eastAsia="zh-CN"/>
        </w:rPr>
        <w:t>★卖方承诺</w:t>
      </w:r>
      <w:bookmarkEnd w:id="8"/>
      <w:r>
        <w:rPr>
          <w:rFonts w:hint="default" w:ascii="Times New Roman" w:hAnsi="Times New Roman" w:cs="Times New Roman" w:eastAsiaTheme="minorEastAsia"/>
          <w:sz w:val="24"/>
          <w:highlight w:val="none"/>
          <w:lang w:val="en-US" w:eastAsia="zh-CN"/>
        </w:rPr>
        <w:t>泵组采用整体联合底座，联合底座应为具有足够的结构刚性的重型底座，设有排液面板、集液槽、吊耳等。底座范围内的所有设备及附属管线（包括冷却水系统、密封系统、各支管、电气仪表接线及接线盒）都应完全预制安装完毕，所有与用户接口均匀法兰形式接至底座边缘。底座带有G1〞的接口供集中排凝</w:t>
      </w:r>
      <w:r>
        <w:rPr>
          <w:rFonts w:hint="eastAsia" w:ascii="Times New Roman" w:hAnsi="Times New Roman" w:cs="Times New Roman" w:eastAsiaTheme="minorEastAsia"/>
          <w:sz w:val="24"/>
          <w:highlight w:val="none"/>
          <w:lang w:val="en-US" w:eastAsia="zh-CN"/>
        </w:rPr>
        <w:t>；【泵组成橇需满足标准</w:t>
      </w:r>
      <w:r>
        <w:rPr>
          <w:rFonts w:hint="default" w:ascii="Times New Roman" w:hAnsi="Times New Roman" w:cs="Times New Roman" w:eastAsiaTheme="minorEastAsia"/>
          <w:sz w:val="24"/>
          <w:highlight w:val="none"/>
          <w:lang w:val="en-US" w:eastAsia="zh-CN"/>
        </w:rPr>
        <w:t xml:space="preserve">《中国境内海上油气田通用技术规格书-成橇设备》QBZH 11104.01-2021 </w:t>
      </w:r>
      <w:r>
        <w:rPr>
          <w:rFonts w:hint="eastAsia" w:ascii="Times New Roman" w:hAnsi="Times New Roman" w:cs="Times New Roman" w:eastAsiaTheme="minorEastAsia"/>
          <w:sz w:val="24"/>
          <w:highlight w:val="none"/>
          <w:lang w:val="en-US" w:eastAsia="zh-CN"/>
        </w:rPr>
        <w:t>中第4.3、4.5部分要求。】</w:t>
      </w:r>
    </w:p>
    <w:p>
      <w:pPr>
        <w:rPr>
          <w:rFonts w:hint="default"/>
          <w:highlight w:val="none"/>
          <w:lang w:val="en-US" w:eastAsia="zh-CN"/>
        </w:rPr>
      </w:pPr>
      <w:r>
        <w:rPr>
          <w:rFonts w:hint="eastAsia" w:ascii="Times New Roman" w:hAnsi="Times New Roman" w:cs="Times New Roman"/>
          <w:sz w:val="24"/>
          <w:highlight w:val="none"/>
          <w:lang w:val="en-US" w:eastAsia="zh-CN"/>
        </w:rPr>
        <w:t xml:space="preserve">        以下为引用标准中所列重要参数，纳入评议范围：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3574415" cy="3574415"/>
            <wp:effectExtent l="0" t="0" r="6985" b="6985"/>
            <wp:docPr id="9" name="图片 9" descr="1AAB2C4F-E2DA-495b-A39B-B160142F6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AAB2C4F-E2DA-495b-A39B-B160142F65F2"/>
                    <pic:cNvPicPr>
                      <a:picLocks noChangeAspect="1"/>
                    </pic:cNvPicPr>
                  </pic:nvPicPr>
                  <pic:blipFill>
                    <a:blip r:embed="rId13"/>
                    <a:stretch>
                      <a:fillRect/>
                    </a:stretch>
                  </pic:blipFill>
                  <pic:spPr>
                    <a:xfrm>
                      <a:off x="0" y="0"/>
                      <a:ext cx="3574415" cy="3574415"/>
                    </a:xfrm>
                    <a:prstGeom prst="rect">
                      <a:avLst/>
                    </a:prstGeom>
                  </pic:spPr>
                </pic:pic>
              </a:graphicData>
            </a:graphic>
          </wp:inline>
        </w:drawing>
      </w:r>
    </w:p>
    <w:p>
      <w:pPr>
        <w:pStyle w:val="20"/>
        <w:jc w:val="center"/>
        <w:rPr>
          <w:rFonts w:hint="default"/>
          <w:highlight w:val="none"/>
          <w:lang w:val="en-US" w:eastAsia="zh-CN"/>
        </w:rPr>
      </w:pPr>
      <w:r>
        <w:rPr>
          <w:rFonts w:hint="default"/>
          <w:highlight w:val="none"/>
          <w:lang w:val="en-US" w:eastAsia="zh-CN"/>
        </w:rPr>
        <w:drawing>
          <wp:inline distT="0" distB="0" distL="114300" distR="114300">
            <wp:extent cx="3001010" cy="3159125"/>
            <wp:effectExtent l="0" t="0" r="8890" b="3175"/>
            <wp:docPr id="10" name="图片 10" descr="80CA51FB-FFCC-461b-8814-928C037A3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CA51FB-FFCC-461b-8814-928C037A39BB"/>
                    <pic:cNvPicPr>
                      <a:picLocks noChangeAspect="1"/>
                    </pic:cNvPicPr>
                  </pic:nvPicPr>
                  <pic:blipFill>
                    <a:blip r:embed="rId14"/>
                    <a:stretch>
                      <a:fillRect/>
                    </a:stretch>
                  </pic:blipFill>
                  <pic:spPr>
                    <a:xfrm>
                      <a:off x="0" y="0"/>
                      <a:ext cx="3001010" cy="3159125"/>
                    </a:xfrm>
                    <a:prstGeom prst="rect">
                      <a:avLst/>
                    </a:prstGeom>
                  </pic:spPr>
                </pic:pic>
              </a:graphicData>
            </a:graphic>
          </wp:inline>
        </w:drawing>
      </w:r>
    </w:p>
    <w:p>
      <w:pPr>
        <w:jc w:val="center"/>
        <w:rPr>
          <w:rFonts w:hint="default"/>
          <w:highlight w:val="none"/>
          <w:lang w:val="en-US" w:eastAsia="zh-CN"/>
        </w:rPr>
      </w:pPr>
      <w:r>
        <w:rPr>
          <w:rFonts w:hint="default"/>
          <w:highlight w:val="none"/>
          <w:lang w:val="en-US" w:eastAsia="zh-CN"/>
        </w:rPr>
        <w:drawing>
          <wp:inline distT="0" distB="0" distL="114300" distR="114300">
            <wp:extent cx="3622675" cy="2350135"/>
            <wp:effectExtent l="0" t="0" r="15875" b="12065"/>
            <wp:docPr id="11" name="图片 11" descr="8B46D398-B68F-4a4e-A7D4-6C095750E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B46D398-B68F-4a4e-A7D4-6C095750EC46"/>
                    <pic:cNvPicPr>
                      <a:picLocks noChangeAspect="1"/>
                    </pic:cNvPicPr>
                  </pic:nvPicPr>
                  <pic:blipFill>
                    <a:blip r:embed="rId15"/>
                    <a:stretch>
                      <a:fillRect/>
                    </a:stretch>
                  </pic:blipFill>
                  <pic:spPr>
                    <a:xfrm>
                      <a:off x="0" y="0"/>
                      <a:ext cx="3622675" cy="2350135"/>
                    </a:xfrm>
                    <a:prstGeom prst="rect">
                      <a:avLst/>
                    </a:prstGeom>
                  </pic:spPr>
                </pic:pic>
              </a:graphicData>
            </a:graphic>
          </wp:inline>
        </w:drawing>
      </w:r>
    </w:p>
    <w:p>
      <w:pPr>
        <w:pStyle w:val="20"/>
        <w:jc w:val="center"/>
        <w:rPr>
          <w:rFonts w:hint="default"/>
          <w:highlight w:val="none"/>
          <w:lang w:val="en-US" w:eastAsia="zh-CN"/>
        </w:rPr>
      </w:pPr>
      <w:r>
        <w:rPr>
          <w:rFonts w:hint="default"/>
          <w:highlight w:val="none"/>
          <w:lang w:val="en-US" w:eastAsia="zh-CN"/>
        </w:rPr>
        <w:drawing>
          <wp:inline distT="0" distB="0" distL="114300" distR="114300">
            <wp:extent cx="3600450" cy="4142105"/>
            <wp:effectExtent l="0" t="0" r="0" b="10795"/>
            <wp:docPr id="12" name="图片 12" descr="58620911-0C63-4043-AA91-873309C51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8620911-0C63-4043-AA91-873309C516B0"/>
                    <pic:cNvPicPr>
                      <a:picLocks noChangeAspect="1"/>
                    </pic:cNvPicPr>
                  </pic:nvPicPr>
                  <pic:blipFill>
                    <a:blip r:embed="rId16"/>
                    <a:stretch>
                      <a:fillRect/>
                    </a:stretch>
                  </pic:blipFill>
                  <pic:spPr>
                    <a:xfrm>
                      <a:off x="0" y="0"/>
                      <a:ext cx="3600450" cy="414210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泵组辅助管道应符合API610相关条款的规定，在制造厂供货范围内如含压力管道，制造厂必须按照压力管道的相关国家标准进行设计、制造、安装和检验。泵组内所有供货范围内的冷却水、密封冲洗、放空、排凝和其他辅助管线，包括所有安装附件如仪表、阀门等，应完全配好，并彻底清洗和经压力试验后，整齐的安装在泵上或在泵的底座范围内。</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泵橇内的管道和设备应设计和布置，要易于检修和拆卸，阀门操作位置、仪表监测位置、设备检修位置、法兰连接位置等布置应易于接近。所有与用户接口均应为法兰连接，且提供配对法兰、垫片和螺栓。</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泵橇内现场安装的所有就地仪表、一次检测元件、一次发讯元件、就地盘及盘上安装仪表及其全部安装材料应</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成套供货。现场安装的所有就地仪表和接线箱应满足泵组所在防爆区域的要求，现场仪表的防爆等级不低于Exd IIBT4，防护等级</w:t>
      </w:r>
      <w:r>
        <w:rPr>
          <w:rFonts w:hint="eastAsia" w:ascii="Times New Roman" w:hAnsi="Times New Roman" w:cs="Times New Roman" w:eastAsiaTheme="minorEastAsia"/>
          <w:sz w:val="24"/>
          <w:highlight w:val="none"/>
          <w:lang w:val="en-US" w:eastAsia="zh-CN"/>
        </w:rPr>
        <w:t>为IP56或</w:t>
      </w:r>
      <w:r>
        <w:rPr>
          <w:rFonts w:hint="default" w:ascii="Times New Roman" w:hAnsi="Times New Roman" w:cs="Times New Roman" w:eastAsiaTheme="minorEastAsia"/>
          <w:sz w:val="24"/>
          <w:highlight w:val="none"/>
          <w:lang w:val="en-US" w:eastAsia="zh-CN"/>
        </w:rPr>
        <w:t>IP</w:t>
      </w:r>
      <w:r>
        <w:rPr>
          <w:rFonts w:hint="eastAsia" w:ascii="Times New Roman" w:hAnsi="Times New Roman" w:cs="Times New Roman" w:eastAsiaTheme="minorEastAsia"/>
          <w:sz w:val="24"/>
          <w:highlight w:val="none"/>
          <w:lang w:val="en-US" w:eastAsia="zh-CN"/>
        </w:rPr>
        <w:t>6</w:t>
      </w:r>
      <w:r>
        <w:rPr>
          <w:rFonts w:hint="default" w:ascii="Times New Roman" w:hAnsi="Times New Roman" w:cs="Times New Roman" w:eastAsiaTheme="minorEastAsia"/>
          <w:sz w:val="24"/>
          <w:highlight w:val="none"/>
          <w:lang w:val="en-US" w:eastAsia="zh-CN"/>
        </w:rPr>
        <w:t>6，变送器（压力、流量、液位等）为智能型，带HART协议和液晶显示，变送器外壳为316SS，带不锈钢铭牌。</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泵组内现场仪表如需远传信号至LCP或控制室，应设置现场接线箱、仪表信号首先接入现场接线箱，从现场仪表至接线箱的电缆、电缆保护管由</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供货。接线箱及接线箱进出线防爆格兰由</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供货，从泵组接线箱到LCP或控制室的仪表电缆由</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负责。</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泵的进出口需按照</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要求，配备变径接头、配对法兰、垫片及螺栓紧固件</w:t>
      </w:r>
      <w:r>
        <w:rPr>
          <w:rFonts w:hint="eastAsia" w:ascii="Times New Roman" w:hAnsi="Times New Roman" w:cs="Times New Roman" w:eastAsiaTheme="minorEastAsia"/>
          <w:sz w:val="24"/>
          <w:highlight w:val="none"/>
          <w:lang w:val="en-US" w:eastAsia="zh-CN"/>
        </w:rPr>
        <w:t>，本设备进出口配对法兰及变径需满足标准【《管法兰和法兰管件》</w:t>
      </w:r>
      <w:r>
        <w:rPr>
          <w:rFonts w:hint="default" w:ascii="Times New Roman" w:hAnsi="Times New Roman" w:cs="Times New Roman" w:eastAsiaTheme="minorEastAsia"/>
          <w:sz w:val="24"/>
          <w:highlight w:val="none"/>
          <w:lang w:val="en-US" w:eastAsia="zh-CN"/>
        </w:rPr>
        <w:t>ASME B16.5</w:t>
      </w:r>
      <w:r>
        <w:rPr>
          <w:rFonts w:hint="eastAsia" w:ascii="Times New Roman" w:hAnsi="Times New Roman" w:cs="Times New Roman" w:eastAsiaTheme="minorEastAsia"/>
          <w:sz w:val="24"/>
          <w:highlight w:val="none"/>
          <w:lang w:val="en-US" w:eastAsia="zh-CN"/>
        </w:rPr>
        <w:t>中第5、6中材料和尺寸的要求</w:t>
      </w:r>
      <w:r>
        <w:rPr>
          <w:rFonts w:hint="default" w:ascii="Times New Roman" w:hAnsi="Times New Roman" w:cs="Times New Roman" w:eastAsiaTheme="minorEastAsia"/>
          <w:sz w:val="24"/>
          <w:highlight w:val="none"/>
          <w:lang w:val="en-US" w:eastAsia="zh-CN"/>
        </w:rPr>
        <w:t>。</w:t>
      </w:r>
      <w:r>
        <w:rPr>
          <w:rFonts w:hint="eastAsia" w:ascii="Times New Roman" w:hAnsi="Times New Roman" w:cs="Times New Roman" w:eastAsiaTheme="minorEastAsia"/>
          <w:sz w:val="24"/>
          <w:highlight w:val="none"/>
          <w:lang w:val="en-US"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jc w:val="both"/>
        <w:textAlignment w:val="auto"/>
        <w:rPr>
          <w:rFonts w:hint="default"/>
          <w:highlight w:val="none"/>
          <w:lang w:val="en-US" w:eastAsia="zh-CN"/>
        </w:rPr>
      </w:pPr>
      <w:r>
        <w:rPr>
          <w:rFonts w:hint="eastAsia"/>
          <w:highlight w:val="none"/>
          <w:lang w:val="en-US" w:eastAsia="zh-CN"/>
        </w:rPr>
        <w:t xml:space="preserve">     </w:t>
      </w:r>
      <w:r>
        <w:rPr>
          <w:rFonts w:hint="eastAsia" w:ascii="Times New Roman" w:hAnsi="Times New Roman" w:eastAsia="宋体" w:cs="Times New Roman"/>
          <w:kern w:val="0"/>
          <w:sz w:val="24"/>
          <w:highlight w:val="none"/>
          <w:lang w:val="en-US" w:eastAsia="zh-CN"/>
        </w:rPr>
        <w:t>以下为引用标准中所列重要参数，纳入评议范围：</w:t>
      </w:r>
    </w:p>
    <w:p>
      <w:pPr>
        <w:rPr>
          <w:rFonts w:hint="default"/>
          <w:highlight w:val="none"/>
          <w:lang w:val="en-US" w:eastAsia="zh-CN"/>
        </w:rPr>
      </w:pPr>
    </w:p>
    <w:p>
      <w:pPr>
        <w:jc w:val="center"/>
        <w:rPr>
          <w:rFonts w:hint="default"/>
          <w:highlight w:val="none"/>
          <w:lang w:val="en-US" w:eastAsia="zh-CN"/>
        </w:rPr>
      </w:pPr>
      <w:r>
        <w:rPr>
          <w:rFonts w:hint="default"/>
          <w:highlight w:val="none"/>
          <w:lang w:val="en-US" w:eastAsia="zh-CN"/>
        </w:rPr>
        <w:drawing>
          <wp:inline distT="0" distB="0" distL="114300" distR="114300">
            <wp:extent cx="5022850" cy="7233920"/>
            <wp:effectExtent l="0" t="0" r="6350" b="5080"/>
            <wp:docPr id="13" name="图片 13" descr="6CCC775F-A7CC-4be3-BF91-C9535EED9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CCC775F-A7CC-4be3-BF91-C9535EED95AE"/>
                    <pic:cNvPicPr>
                      <a:picLocks noChangeAspect="1"/>
                    </pic:cNvPicPr>
                  </pic:nvPicPr>
                  <pic:blipFill>
                    <a:blip r:embed="rId17"/>
                    <a:stretch>
                      <a:fillRect/>
                    </a:stretch>
                  </pic:blipFill>
                  <pic:spPr>
                    <a:xfrm>
                      <a:off x="0" y="0"/>
                      <a:ext cx="5022850" cy="7233920"/>
                    </a:xfrm>
                    <a:prstGeom prst="rect">
                      <a:avLst/>
                    </a:prstGeom>
                  </pic:spPr>
                </pic:pic>
              </a:graphicData>
            </a:graphic>
          </wp:inline>
        </w:drawing>
      </w:r>
    </w:p>
    <w:p>
      <w:pPr>
        <w:pStyle w:val="20"/>
        <w:rPr>
          <w:rFonts w:hint="default"/>
          <w:highlight w:val="none"/>
          <w:lang w:val="en-US" w:eastAsia="zh-CN"/>
        </w:rPr>
      </w:pPr>
      <w:r>
        <w:rPr>
          <w:rFonts w:hint="default"/>
          <w:highlight w:val="none"/>
          <w:lang w:val="en-US" w:eastAsia="zh-CN"/>
        </w:rPr>
        <w:drawing>
          <wp:inline distT="0" distB="0" distL="114300" distR="114300">
            <wp:extent cx="4858385" cy="5846445"/>
            <wp:effectExtent l="0" t="0" r="18415" b="1905"/>
            <wp:docPr id="14" name="图片 14" descr="52653C6D-8759-4880-B38B-C2221483C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2653C6D-8759-4880-B38B-C2221483C969"/>
                    <pic:cNvPicPr>
                      <a:picLocks noChangeAspect="1"/>
                    </pic:cNvPicPr>
                  </pic:nvPicPr>
                  <pic:blipFill>
                    <a:blip r:embed="rId18"/>
                    <a:stretch>
                      <a:fillRect/>
                    </a:stretch>
                  </pic:blipFill>
                  <pic:spPr>
                    <a:xfrm>
                      <a:off x="0" y="0"/>
                      <a:ext cx="4858385" cy="5846445"/>
                    </a:xfrm>
                    <a:prstGeom prst="rect">
                      <a:avLst/>
                    </a:prstGeom>
                  </pic:spPr>
                </pic:pic>
              </a:graphicData>
            </a:graphic>
          </wp:inline>
        </w:drawing>
      </w:r>
    </w:p>
    <w:p>
      <w:pPr>
        <w:jc w:val="center"/>
        <w:rPr>
          <w:rFonts w:hint="default"/>
          <w:highlight w:val="none"/>
          <w:lang w:val="en-US" w:eastAsia="zh-CN"/>
        </w:rPr>
      </w:pPr>
      <w:r>
        <w:rPr>
          <w:rFonts w:hint="default"/>
          <w:highlight w:val="none"/>
          <w:lang w:val="en-US" w:eastAsia="zh-CN"/>
        </w:rPr>
        <w:drawing>
          <wp:inline distT="0" distB="0" distL="114300" distR="114300">
            <wp:extent cx="4808220" cy="5225415"/>
            <wp:effectExtent l="0" t="0" r="11430" b="13335"/>
            <wp:docPr id="15" name="图片 15" descr="0E070F04-4A67-401f-A862-D3175C6EF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070F04-4A67-401f-A862-D3175C6EF976"/>
                    <pic:cNvPicPr>
                      <a:picLocks noChangeAspect="1"/>
                    </pic:cNvPicPr>
                  </pic:nvPicPr>
                  <pic:blipFill>
                    <a:blip r:embed="rId19"/>
                    <a:stretch>
                      <a:fillRect/>
                    </a:stretch>
                  </pic:blipFill>
                  <pic:spPr>
                    <a:xfrm>
                      <a:off x="0" y="0"/>
                      <a:ext cx="4808220" cy="522541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泵组应具有足够的刚性，泵进、出口至少在API610标准规定值的3倍管口允许的力和力矩条件下，安全可靠的操作。</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泵要求带底座（材质为Q235B），配置2套接地端子（材质为316SS），底座上按</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要求设置排液口，底座要求配置满足吊装要求的吊耳。</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组内各部件，例如：泵、电机之间的联结采用带中间加长段的弹性膜片式联轴器，以满足不拆卸主电机和泵进出口管路的情况下，对泵轴承或机封进行拆装维护、检修或更换。联轴器的设计、制造和安装应参照API的要求，联轴器应配置开启式无火花型防护罩，该护罩应有足够刚度，以保证不会因正常体重90kg施加于其上而发生挠性变形。</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★卖方承诺轴封选用双端面机械密封，</w:t>
      </w:r>
      <w:r>
        <w:rPr>
          <w:rFonts w:hint="default" w:ascii="Times New Roman" w:hAnsi="Times New Roman" w:cs="Times New Roman" w:eastAsiaTheme="minorEastAsia"/>
          <w:sz w:val="24"/>
          <w:highlight w:val="none"/>
          <w:lang w:val="en-US" w:eastAsia="zh-CN"/>
        </w:rPr>
        <w:t>机封需按耐介质腐蚀要求选用双相钢或316L不锈钢等材质，动环静环选用碳化硅，辅助密封件选用氟橡胶；同一批泵的机封需选择</w:t>
      </w:r>
      <w:r>
        <w:rPr>
          <w:rFonts w:hint="eastAsia" w:ascii="Times New Roman" w:hAnsi="Times New Roman" w:cs="Times New Roman" w:eastAsiaTheme="minorEastAsia"/>
          <w:sz w:val="24"/>
          <w:highlight w:val="none"/>
          <w:lang w:val="en-US" w:eastAsia="zh-CN"/>
        </w:rPr>
        <w:t>等同或相当于</w:t>
      </w:r>
      <w:r>
        <w:rPr>
          <w:rFonts w:hint="default" w:ascii="Times New Roman" w:hAnsi="Times New Roman" w:cs="Times New Roman" w:eastAsiaTheme="minorEastAsia"/>
          <w:sz w:val="24"/>
          <w:highlight w:val="none"/>
          <w:lang w:val="en-US" w:eastAsia="zh-CN"/>
        </w:rPr>
        <w:t>以下品牌中的一种且只能同一种品牌供货：约翰克兰（John Crane），博格曼（Burgmann）、克隆（colossus）。</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应根据泵输送介质的特性选择适宜的密封及系统，保证密封的使用寿命和有效控制密封泄漏量。所有机封应为集装式，泵的设计应能保证拆装密封时不用移动驱动装置及管线，机械密封的密封腔、端盖及泵轴全跳动量不大于0.125mm，密封端面跳动量不大于0.5μm。在固定的操作条件下，密封及系统预期连续运转周期不小于25000h。</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优先采用认证试验过的密封。密封系统及支撑应由密封制造厂提供，由泵厂负责安装在泵的底座上，并以法兰型式和用户管道连接。</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密封制造厂应对密封承压件进行液压试验，试验压力不小于密封腔最高允许工作压力1.5倍，至少维持30min，切勿泄露，并提供相关报告。</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宋体" w:hAnsi="宋体" w:eastAsia="宋体" w:cs="宋体"/>
          <w:sz w:val="24"/>
          <w:highlight w:val="none"/>
          <w:lang w:val="en-US" w:eastAsia="zh-CN"/>
        </w:rPr>
        <w:t>★卖方承诺</w:t>
      </w:r>
      <w:r>
        <w:rPr>
          <w:rFonts w:hint="default" w:ascii="Times New Roman" w:hAnsi="Times New Roman" w:cs="Times New Roman" w:eastAsiaTheme="minorEastAsia"/>
          <w:sz w:val="24"/>
          <w:highlight w:val="none"/>
          <w:lang w:val="en-US" w:eastAsia="zh-CN"/>
        </w:rPr>
        <w:t>同一批泵的轴承需</w:t>
      </w:r>
      <w:r>
        <w:rPr>
          <w:rFonts w:hint="eastAsia" w:ascii="Times New Roman" w:hAnsi="Times New Roman" w:cs="Times New Roman" w:eastAsiaTheme="minorEastAsia"/>
          <w:sz w:val="24"/>
          <w:highlight w:val="none"/>
          <w:lang w:val="en-US" w:eastAsia="zh-CN"/>
        </w:rPr>
        <w:t>选择等同或相当于</w:t>
      </w:r>
      <w:r>
        <w:rPr>
          <w:rFonts w:hint="default" w:ascii="Times New Roman" w:hAnsi="Times New Roman" w:cs="Times New Roman" w:eastAsiaTheme="minorEastAsia"/>
          <w:sz w:val="24"/>
          <w:highlight w:val="none"/>
          <w:lang w:val="en-US" w:eastAsia="zh-CN"/>
        </w:rPr>
        <w:t>以下品牌中的一种且只能同一种品牌供货：SKF、NSK、FAG。</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泵体与电机需配带符合要求的吊环。</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宋体" w:hAnsi="宋体" w:eastAsia="宋体" w:cs="宋体"/>
          <w:sz w:val="24"/>
          <w:highlight w:val="none"/>
          <w:lang w:val="en-US" w:eastAsia="zh-CN"/>
        </w:rPr>
        <w:t>★</w:t>
      </w: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提供的</w:t>
      </w:r>
      <w:r>
        <w:rPr>
          <w:rFonts w:hint="eastAsia" w:ascii="Times New Roman" w:hAnsi="Times New Roman" w:cs="Times New Roman" w:eastAsiaTheme="minorEastAsia"/>
          <w:sz w:val="24"/>
          <w:highlight w:val="none"/>
          <w:lang w:val="en-US" w:eastAsia="zh-CN"/>
        </w:rPr>
        <w:t>防爆</w:t>
      </w:r>
      <w:r>
        <w:rPr>
          <w:rFonts w:hint="default" w:ascii="Times New Roman" w:hAnsi="Times New Roman" w:cs="Times New Roman" w:eastAsiaTheme="minorEastAsia"/>
          <w:sz w:val="24"/>
          <w:highlight w:val="none"/>
          <w:lang w:val="en-US" w:eastAsia="zh-CN"/>
        </w:rPr>
        <w:t>电机应适用于海洋环境</w:t>
      </w:r>
      <w:r>
        <w:rPr>
          <w:rFonts w:hint="eastAsia" w:ascii="Times New Roman" w:hAnsi="Times New Roman" w:cs="Times New Roman" w:eastAsiaTheme="minorEastAsia"/>
          <w:sz w:val="24"/>
          <w:highlight w:val="none"/>
          <w:lang w:val="en-US" w:eastAsia="zh-CN"/>
        </w:rPr>
        <w:t>，并</w:t>
      </w:r>
      <w:r>
        <w:rPr>
          <w:rFonts w:hint="default" w:ascii="Times New Roman" w:hAnsi="Times New Roman" w:cs="Times New Roman" w:eastAsiaTheme="minorEastAsia"/>
          <w:sz w:val="24"/>
          <w:highlight w:val="none"/>
          <w:lang w:val="en-US" w:eastAsia="zh-CN"/>
        </w:rPr>
        <w:t>由授权认证机构之一（ABS、DNV、BV</w:t>
      </w:r>
      <w:r>
        <w:rPr>
          <w:rFonts w:hint="eastAsia" w:ascii="Times New Roman" w:hAnsi="Times New Roman" w:cs="Times New Roman" w:eastAsiaTheme="minorEastAsia"/>
          <w:sz w:val="24"/>
          <w:highlight w:val="none"/>
          <w:lang w:val="en-US" w:eastAsia="zh-CN"/>
        </w:rPr>
        <w:t>或</w:t>
      </w:r>
      <w:r>
        <w:rPr>
          <w:rFonts w:hint="default" w:ascii="Times New Roman" w:hAnsi="Times New Roman" w:cs="Times New Roman" w:eastAsiaTheme="minorEastAsia"/>
          <w:sz w:val="24"/>
          <w:highlight w:val="none"/>
          <w:lang w:val="en-US" w:eastAsia="zh-CN"/>
        </w:rPr>
        <w:t>CCS</w:t>
      </w:r>
      <w:r>
        <w:rPr>
          <w:rFonts w:hint="eastAsia" w:ascii="Times New Roman" w:hAnsi="Times New Roman" w:cs="Times New Roman" w:eastAsiaTheme="minorEastAsia"/>
          <w:sz w:val="24"/>
          <w:highlight w:val="none"/>
          <w:lang w:val="en-US" w:eastAsia="zh-CN"/>
        </w:rPr>
        <w:t>，其一即可</w:t>
      </w:r>
      <w:r>
        <w:rPr>
          <w:rFonts w:hint="default" w:ascii="Times New Roman" w:hAnsi="Times New Roman" w:cs="Times New Roman" w:eastAsiaTheme="minorEastAsia"/>
          <w:sz w:val="24"/>
          <w:highlight w:val="none"/>
          <w:lang w:val="en-US" w:eastAsia="zh-CN"/>
        </w:rPr>
        <w:t>）颁发的</w:t>
      </w:r>
      <w:r>
        <w:rPr>
          <w:rFonts w:hint="eastAsia" w:ascii="Times New Roman" w:hAnsi="Times New Roman" w:cs="Times New Roman" w:eastAsiaTheme="minorEastAsia"/>
          <w:sz w:val="24"/>
          <w:highlight w:val="none"/>
          <w:lang w:val="en-US" w:eastAsia="zh-CN"/>
        </w:rPr>
        <w:t>B类</w:t>
      </w:r>
      <w:r>
        <w:rPr>
          <w:rFonts w:hint="default" w:ascii="Times New Roman" w:hAnsi="Times New Roman" w:cs="Times New Roman" w:eastAsiaTheme="minorEastAsia"/>
          <w:sz w:val="24"/>
          <w:highlight w:val="none"/>
          <w:lang w:val="en-US" w:eastAsia="zh-CN"/>
        </w:rPr>
        <w:t>证书</w:t>
      </w:r>
      <w:r>
        <w:rPr>
          <w:rFonts w:hint="eastAsia" w:ascii="Times New Roman" w:hAnsi="Times New Roman" w:cs="Times New Roman" w:eastAsiaTheme="minorEastAsia"/>
          <w:sz w:val="24"/>
          <w:highlight w:val="none"/>
          <w:lang w:val="en-US" w:eastAsia="zh-CN"/>
        </w:rPr>
        <w:t>，并于交货后30日内提供</w:t>
      </w:r>
      <w:r>
        <w:rPr>
          <w:rFonts w:hint="default" w:ascii="Times New Roman" w:hAnsi="Times New Roman" w:cs="Times New Roman" w:eastAsiaTheme="minorEastAsia"/>
          <w:sz w:val="24"/>
          <w:highlight w:val="none"/>
          <w:lang w:val="en-US" w:eastAsia="zh-CN"/>
        </w:rPr>
        <w:t>。</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电动机应符合</w:t>
      </w:r>
      <w:r>
        <w:rPr>
          <w:rFonts w:hint="default" w:ascii="Times New Roman" w:hAnsi="Times New Roman" w:cs="Times New Roman" w:eastAsiaTheme="minorEastAsia"/>
          <w:sz w:val="24"/>
          <w:highlight w:val="none"/>
          <w:lang w:val="en-US" w:eastAsia="zh-CN"/>
        </w:rPr>
        <w:fldChar w:fldCharType="begin"/>
      </w:r>
      <w:r>
        <w:rPr>
          <w:rFonts w:hint="default" w:ascii="Times New Roman" w:hAnsi="Times New Roman" w:cs="Times New Roman" w:eastAsiaTheme="minorEastAsia"/>
          <w:sz w:val="24"/>
          <w:highlight w:val="none"/>
          <w:lang w:val="en-US" w:eastAsia="zh-CN"/>
        </w:rPr>
        <w:instrText xml:space="preserve"> HYPERLINK "http://www.baidu.com/link?url=D-e6P1PSaIWwUFPE3TakJ7h-Mf-1vqEP6eBy7WM08iZ7dZkwbLNVQtfLcgb44xxmqa1hoN_pDU9WGmF1JE6siF3pnvoSZNEqicYFiUOFgsojfHHjSCWaJRBXaKSvzV9F" \t "https://www.baidu.com/_blank" </w:instrText>
      </w:r>
      <w:r>
        <w:rPr>
          <w:rFonts w:hint="default" w:ascii="Times New Roman" w:hAnsi="Times New Roman" w:cs="Times New Roman" w:eastAsiaTheme="minorEastAsia"/>
          <w:sz w:val="24"/>
          <w:highlight w:val="none"/>
          <w:lang w:val="en-US" w:eastAsia="zh-CN"/>
        </w:rPr>
        <w:fldChar w:fldCharType="separate"/>
      </w:r>
      <w:r>
        <w:rPr>
          <w:rFonts w:hint="default" w:ascii="Times New Roman" w:hAnsi="Times New Roman" w:cs="Times New Roman" w:eastAsiaTheme="minorEastAsia"/>
          <w:sz w:val="24"/>
          <w:highlight w:val="none"/>
          <w:lang w:val="en-US" w:eastAsia="zh-CN"/>
        </w:rPr>
        <w:t>低压鼠笼式电动机技术标准</w:t>
      </w:r>
      <w:r>
        <w:rPr>
          <w:rFonts w:hint="default" w:ascii="Times New Roman" w:hAnsi="Times New Roman" w:cs="Times New Roman" w:eastAsiaTheme="minorEastAsia"/>
          <w:sz w:val="24"/>
          <w:highlight w:val="none"/>
          <w:lang w:val="en-US" w:eastAsia="zh-CN"/>
        </w:rPr>
        <w:fldChar w:fldCharType="end"/>
      </w:r>
      <w:r>
        <w:rPr>
          <w:rFonts w:hint="default" w:ascii="Times New Roman" w:hAnsi="Times New Roman" w:cs="Times New Roman" w:eastAsiaTheme="minorEastAsia"/>
          <w:sz w:val="24"/>
          <w:highlight w:val="none"/>
          <w:lang w:val="en-US" w:eastAsia="zh-CN"/>
        </w:rPr>
        <w:t>的要求。主驱动电机功率选择，应考虑各种传动损失以及泵效率的合理偏差范围，至少为泵额定工况下轴功率的1.1倍。</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应按</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要求设计电机接线口的尺寸与朝向。</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除非另有规定，泵组供货范围内使用的电动机能效应不低于GB18613标准最新版中</w:t>
      </w:r>
      <w:r>
        <w:rPr>
          <w:rFonts w:hint="eastAsia" w:ascii="Times New Roman" w:hAnsi="Times New Roman" w:cs="Times New Roman" w:eastAsiaTheme="minorEastAsia"/>
          <w:sz w:val="24"/>
          <w:highlight w:val="none"/>
          <w:lang w:val="en-US" w:eastAsia="zh-CN"/>
        </w:rPr>
        <w:t>第4部分1</w:t>
      </w:r>
      <w:r>
        <w:rPr>
          <w:rFonts w:hint="default" w:ascii="Times New Roman" w:hAnsi="Times New Roman" w:cs="Times New Roman" w:eastAsiaTheme="minorEastAsia"/>
          <w:sz w:val="24"/>
          <w:highlight w:val="none"/>
          <w:lang w:val="en-US" w:eastAsia="zh-CN"/>
        </w:rPr>
        <w:t>级能效要求的限定值，并提供相应能效标识。</w:t>
      </w:r>
      <w:r>
        <w:rPr>
          <w:rFonts w:hint="eastAsia" w:ascii="Times New Roman" w:hAnsi="Times New Roman" w:cs="Times New Roman" w:eastAsiaTheme="minorEastAsia"/>
          <w:sz w:val="24"/>
          <w:highlight w:val="none"/>
          <w:lang w:val="en-US" w:eastAsia="zh-CN"/>
        </w:rPr>
        <w:t>本泵组中电机能效等级需满足标准【《电动机能效限定值及能效等级》</w:t>
      </w:r>
      <w:r>
        <w:rPr>
          <w:rFonts w:hint="default" w:ascii="Times New Roman" w:hAnsi="Times New Roman" w:cs="Times New Roman" w:eastAsiaTheme="minorEastAsia"/>
          <w:sz w:val="24"/>
          <w:highlight w:val="none"/>
          <w:lang w:val="en-US" w:eastAsia="zh-CN"/>
        </w:rPr>
        <w:t>GB18613</w:t>
      </w:r>
      <w:r>
        <w:rPr>
          <w:rFonts w:hint="eastAsia" w:ascii="Times New Roman" w:hAnsi="Times New Roman" w:cs="Times New Roman" w:eastAsiaTheme="minorEastAsia"/>
          <w:sz w:val="24"/>
          <w:highlight w:val="none"/>
          <w:lang w:val="en-US" w:eastAsia="zh-CN"/>
        </w:rPr>
        <w:t>中第4部分。】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firstLine="480" w:firstLineChars="200"/>
        <w:jc w:val="both"/>
        <w:textAlignment w:val="auto"/>
        <w:rPr>
          <w:rFonts w:hint="default"/>
          <w:highlight w:val="none"/>
          <w:lang w:val="en-US" w:eastAsia="zh-CN"/>
        </w:rPr>
      </w:pPr>
      <w:r>
        <w:rPr>
          <w:rFonts w:hint="eastAsia" w:ascii="Times New Roman" w:hAnsi="Times New Roman" w:eastAsia="宋体" w:cs="Times New Roman"/>
          <w:kern w:val="0"/>
          <w:sz w:val="24"/>
          <w:highlight w:val="none"/>
          <w:lang w:val="en-US" w:eastAsia="zh-CN"/>
        </w:rPr>
        <w:t>以下为引用标准中所列重要参数，纳入评议范围：</w:t>
      </w:r>
    </w:p>
    <w:p>
      <w:pPr>
        <w:rPr>
          <w:rFonts w:hint="default" w:ascii="Times New Roman" w:hAnsi="Times New Roman" w:cs="Times New Roman" w:eastAsiaTheme="minorEastAsia"/>
          <w:sz w:val="24"/>
          <w:highlight w:val="none"/>
          <w:lang w:val="en-US" w:eastAsia="zh-CN"/>
        </w:rPr>
      </w:pPr>
    </w:p>
    <w:p>
      <w:pPr>
        <w:pStyle w:val="20"/>
        <w:jc w:val="center"/>
        <w:rPr>
          <w:rFonts w:hint="default"/>
          <w:highlight w:val="none"/>
          <w:lang w:val="en-US" w:eastAsia="zh-CN"/>
        </w:rPr>
      </w:pPr>
      <w:r>
        <w:rPr>
          <w:rFonts w:hint="default"/>
          <w:highlight w:val="none"/>
          <w:lang w:val="en-US" w:eastAsia="zh-CN"/>
        </w:rPr>
        <w:drawing>
          <wp:inline distT="0" distB="0" distL="114300" distR="114300">
            <wp:extent cx="4594860" cy="6097905"/>
            <wp:effectExtent l="0" t="0" r="15240" b="17145"/>
            <wp:docPr id="16" name="图片 16" descr="53F3A1E3-F25A-4776-9EF3-6BD3AD6A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3F3A1E3-F25A-4776-9EF3-6BD3AD6A6850"/>
                    <pic:cNvPicPr>
                      <a:picLocks noChangeAspect="1"/>
                    </pic:cNvPicPr>
                  </pic:nvPicPr>
                  <pic:blipFill>
                    <a:blip r:embed="rId20"/>
                    <a:stretch>
                      <a:fillRect/>
                    </a:stretch>
                  </pic:blipFill>
                  <pic:spPr>
                    <a:xfrm>
                      <a:off x="0" y="0"/>
                      <a:ext cx="4594860" cy="609790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除非另有规定，电机功率≥220kW时，采用高压电机（电压等级为10kV）。电机功率≥5kW需配备防潮空间加热器，加热时，其表面温度不超过200℃。</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主电机电源、加热器电源、定子测温需配单独接线盒。</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宋体" w:hAnsi="宋体" w:eastAsia="宋体" w:cs="宋体"/>
          <w:sz w:val="24"/>
          <w:highlight w:val="none"/>
          <w:lang w:val="en-US" w:eastAsia="zh-CN"/>
        </w:rPr>
        <w:t>★卖方承诺</w:t>
      </w:r>
      <w:r>
        <w:rPr>
          <w:rFonts w:hint="default" w:ascii="Times New Roman" w:hAnsi="Times New Roman" w:cs="Times New Roman" w:eastAsiaTheme="minorEastAsia"/>
          <w:sz w:val="24"/>
          <w:highlight w:val="none"/>
          <w:lang w:val="en-US" w:eastAsia="zh-CN"/>
        </w:rPr>
        <w:t>电机至少为F</w:t>
      </w:r>
      <w:r>
        <w:rPr>
          <w:rFonts w:hint="eastAsia" w:ascii="Times New Roman" w:hAnsi="Times New Roman" w:cs="Times New Roman" w:eastAsiaTheme="minorEastAsia"/>
          <w:sz w:val="24"/>
          <w:highlight w:val="none"/>
          <w:lang w:val="en-US" w:eastAsia="zh-CN"/>
        </w:rPr>
        <w:t>级</w:t>
      </w:r>
      <w:r>
        <w:rPr>
          <w:rFonts w:hint="default" w:ascii="Times New Roman" w:hAnsi="Times New Roman" w:cs="Times New Roman" w:eastAsiaTheme="minorEastAsia"/>
          <w:sz w:val="24"/>
          <w:highlight w:val="none"/>
          <w:lang w:val="en-US" w:eastAsia="zh-CN"/>
        </w:rPr>
        <w:t>绝缘，温升为B级，主体防护等级</w:t>
      </w:r>
      <w:r>
        <w:rPr>
          <w:rFonts w:hint="eastAsia" w:ascii="Times New Roman" w:hAnsi="Times New Roman" w:cs="Times New Roman" w:eastAsiaTheme="minorEastAsia"/>
          <w:sz w:val="24"/>
          <w:highlight w:val="none"/>
          <w:lang w:val="en-US" w:eastAsia="zh-CN"/>
        </w:rPr>
        <w:t>为IP56或</w:t>
      </w:r>
      <w:r>
        <w:rPr>
          <w:rFonts w:hint="default" w:ascii="Times New Roman" w:hAnsi="Times New Roman" w:cs="Times New Roman" w:eastAsiaTheme="minorEastAsia"/>
          <w:sz w:val="24"/>
          <w:highlight w:val="none"/>
          <w:lang w:val="en-US" w:eastAsia="zh-CN"/>
        </w:rPr>
        <w:t>IP</w:t>
      </w:r>
      <w:r>
        <w:rPr>
          <w:rFonts w:hint="eastAsia" w:ascii="Times New Roman" w:hAnsi="Times New Roman" w:cs="Times New Roman" w:eastAsiaTheme="minorEastAsia"/>
          <w:sz w:val="24"/>
          <w:highlight w:val="none"/>
          <w:lang w:val="en-US" w:eastAsia="zh-CN"/>
        </w:rPr>
        <w:t>6</w:t>
      </w:r>
      <w:r>
        <w:rPr>
          <w:rFonts w:hint="default" w:ascii="Times New Roman" w:hAnsi="Times New Roman" w:cs="Times New Roman" w:eastAsiaTheme="minorEastAsia"/>
          <w:sz w:val="24"/>
          <w:highlight w:val="none"/>
          <w:lang w:val="en-US" w:eastAsia="zh-CN"/>
        </w:rPr>
        <w:t>6，接线盒防护等级</w:t>
      </w:r>
      <w:r>
        <w:rPr>
          <w:rFonts w:hint="eastAsia" w:ascii="Times New Roman" w:hAnsi="Times New Roman" w:cs="Times New Roman" w:eastAsiaTheme="minorEastAsia"/>
          <w:sz w:val="24"/>
          <w:highlight w:val="none"/>
          <w:lang w:val="en-US" w:eastAsia="zh-CN"/>
        </w:rPr>
        <w:t>为IP56或</w:t>
      </w:r>
      <w:r>
        <w:rPr>
          <w:rFonts w:hint="default" w:ascii="Times New Roman" w:hAnsi="Times New Roman" w:cs="Times New Roman" w:eastAsiaTheme="minorEastAsia"/>
          <w:sz w:val="24"/>
          <w:highlight w:val="none"/>
          <w:lang w:val="en-US" w:eastAsia="zh-CN"/>
        </w:rPr>
        <w:t>IP</w:t>
      </w:r>
      <w:r>
        <w:rPr>
          <w:rFonts w:hint="eastAsia" w:ascii="Times New Roman" w:hAnsi="Times New Roman" w:cs="Times New Roman" w:eastAsiaTheme="minorEastAsia"/>
          <w:sz w:val="24"/>
          <w:highlight w:val="none"/>
          <w:lang w:val="en-US" w:eastAsia="zh-CN"/>
        </w:rPr>
        <w:t>6</w:t>
      </w:r>
      <w:r>
        <w:rPr>
          <w:rFonts w:hint="default" w:ascii="Times New Roman" w:hAnsi="Times New Roman" w:cs="Times New Roman" w:eastAsiaTheme="minorEastAsia"/>
          <w:sz w:val="24"/>
          <w:highlight w:val="none"/>
          <w:lang w:val="en-US" w:eastAsia="zh-CN"/>
        </w:rPr>
        <w:t>6。</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eastAsia="zh-CN"/>
        </w:rPr>
      </w:pPr>
      <w:r>
        <w:rPr>
          <w:rFonts w:hint="eastAsia" w:ascii="Times New Roman" w:hAnsi="Times New Roman" w:cs="Times New Roman" w:eastAsiaTheme="minorEastAsia"/>
          <w:sz w:val="24"/>
          <w:highlight w:val="none"/>
          <w:lang w:val="en-US" w:eastAsia="zh-CN"/>
        </w:rPr>
        <w:t>泵橇内</w:t>
      </w:r>
      <w:r>
        <w:rPr>
          <w:rFonts w:hint="default" w:ascii="Times New Roman" w:hAnsi="Times New Roman" w:cs="Times New Roman" w:eastAsiaTheme="minorEastAsia"/>
          <w:sz w:val="24"/>
          <w:highlight w:val="none"/>
          <w:lang w:eastAsia="zh-CN"/>
        </w:rPr>
        <w:t>使用的电缆要求为船用铠装（阻燃）电缆，适用于海洋石油平台特殊环境条件，阻燃等级达到IEC60332-3规定的成束燃烧A类水平，具备低烟无卤、低毒、耐油、抗电磁干扰等特殊性能，能承受一定的机械外力的作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eastAsia="zh-CN"/>
        </w:rPr>
        <w:t>泵组配带所需的双密封型铠装电缆接线防爆填料函和堵头，防爆等级Exd IIB T4，防护等级IP56，材质为</w:t>
      </w:r>
      <w:r>
        <w:rPr>
          <w:rFonts w:hint="eastAsia" w:ascii="Times New Roman" w:hAnsi="Times New Roman" w:cs="Times New Roman" w:eastAsiaTheme="minorEastAsia"/>
          <w:sz w:val="24"/>
          <w:highlight w:val="none"/>
          <w:lang w:val="en-US" w:eastAsia="zh-CN"/>
        </w:rPr>
        <w:t>不锈钢316</w:t>
      </w:r>
      <w:r>
        <w:rPr>
          <w:rFonts w:hint="default" w:ascii="Times New Roman" w:hAnsi="Times New Roman" w:cs="Times New Roman" w:eastAsiaTheme="minorEastAsia"/>
          <w:sz w:val="24"/>
          <w:highlight w:val="none"/>
          <w:lang w:eastAsia="zh-CN"/>
        </w:rPr>
        <w:t>。</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泵与电机配带铭牌、位号牌、转动标识，材质均为</w:t>
      </w:r>
      <w:r>
        <w:rPr>
          <w:rFonts w:hint="eastAsia" w:ascii="Times New Roman" w:hAnsi="Times New Roman" w:cs="Times New Roman" w:eastAsiaTheme="minorEastAsia"/>
          <w:sz w:val="24"/>
          <w:highlight w:val="none"/>
          <w:lang w:val="en-US" w:eastAsia="zh-CN"/>
        </w:rPr>
        <w:t>不锈钢</w:t>
      </w:r>
      <w:r>
        <w:rPr>
          <w:rFonts w:hint="default" w:ascii="Times New Roman" w:hAnsi="Times New Roman" w:cs="Times New Roman" w:eastAsiaTheme="minorEastAsia"/>
          <w:sz w:val="24"/>
          <w:highlight w:val="none"/>
          <w:lang w:val="en-US" w:eastAsia="zh-CN"/>
        </w:rPr>
        <w:t>316</w:t>
      </w:r>
      <w:r>
        <w:rPr>
          <w:rFonts w:hint="eastAsia" w:ascii="Times New Roman" w:hAnsi="Times New Roman" w:cs="Times New Roman" w:eastAsiaTheme="minorEastAsia"/>
          <w:sz w:val="24"/>
          <w:highlight w:val="none"/>
          <w:lang w:val="en-US" w:eastAsia="zh-CN"/>
        </w:rPr>
        <w:t>L</w:t>
      </w:r>
      <w:r>
        <w:rPr>
          <w:rFonts w:hint="default" w:ascii="Times New Roman" w:hAnsi="Times New Roman" w:cs="Times New Roman" w:eastAsiaTheme="minorEastAsia"/>
          <w:sz w:val="24"/>
          <w:highlight w:val="none"/>
          <w:lang w:val="en-US" w:eastAsia="zh-CN"/>
        </w:rPr>
        <w:t>，信息按</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要求制作。</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泵出厂前或到货后应充满泵润滑油和电机润滑脂，保证泵长周期稳定运行。</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提供每台泵</w:t>
      </w:r>
      <w:r>
        <w:rPr>
          <w:rFonts w:hint="eastAsia" w:ascii="Times New Roman" w:hAnsi="Times New Roman" w:cs="Times New Roman" w:eastAsiaTheme="minorEastAsia"/>
          <w:sz w:val="24"/>
          <w:highlight w:val="none"/>
          <w:lang w:val="en-US" w:eastAsia="zh-CN"/>
        </w:rPr>
        <w:t>橇</w:t>
      </w:r>
      <w:r>
        <w:rPr>
          <w:rFonts w:hint="default" w:ascii="Times New Roman" w:hAnsi="Times New Roman" w:cs="Times New Roman" w:eastAsiaTheme="minorEastAsia"/>
          <w:sz w:val="24"/>
          <w:highlight w:val="none"/>
          <w:lang w:val="en-US" w:eastAsia="zh-CN"/>
        </w:rPr>
        <w:t>的船级社海上固定设施产品检验</w:t>
      </w:r>
      <w:r>
        <w:rPr>
          <w:rFonts w:hint="eastAsia" w:ascii="Times New Roman" w:hAnsi="Times New Roman" w:cs="Times New Roman" w:eastAsiaTheme="minorEastAsia"/>
          <w:sz w:val="24"/>
          <w:highlight w:val="none"/>
          <w:lang w:val="en-US" w:eastAsia="zh-CN"/>
        </w:rPr>
        <w:t>B类</w:t>
      </w:r>
      <w:r>
        <w:rPr>
          <w:rFonts w:hint="default" w:ascii="Times New Roman" w:hAnsi="Times New Roman" w:cs="Times New Roman" w:eastAsiaTheme="minorEastAsia"/>
          <w:sz w:val="24"/>
          <w:highlight w:val="none"/>
          <w:lang w:val="en-US" w:eastAsia="zh-CN"/>
        </w:rPr>
        <w:t>证书，船级社检验机构ABS、DNV、BV或CCS</w:t>
      </w:r>
      <w:r>
        <w:rPr>
          <w:rFonts w:hint="eastAsia" w:ascii="Times New Roman" w:hAnsi="Times New Roman" w:cs="Times New Roman" w:eastAsiaTheme="minorEastAsia"/>
          <w:sz w:val="24"/>
          <w:highlight w:val="none"/>
          <w:lang w:val="en-US" w:eastAsia="zh-CN"/>
        </w:rPr>
        <w:t>，其一即可，并于泵橇交货后30日内提供。</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提供泵材质质量检验证明。</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本文件中未约束的其他要求详见泵和电机的规格书。</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w:t>
      </w:r>
      <w:r>
        <w:rPr>
          <w:rFonts w:hint="default" w:ascii="Times New Roman" w:hAnsi="Times New Roman" w:cs="Times New Roman" w:eastAsiaTheme="minorEastAsia"/>
          <w:sz w:val="24"/>
          <w:highlight w:val="none"/>
          <w:lang w:eastAsia="zh-CN"/>
        </w:rPr>
        <w:t>底座为型钢焊接，底座按</w:t>
      </w:r>
      <w:r>
        <w:rPr>
          <w:rFonts w:hint="eastAsia" w:ascii="Times New Roman" w:hAnsi="Times New Roman" w:cs="Times New Roman" w:eastAsiaTheme="minorEastAsia"/>
          <w:sz w:val="24"/>
          <w:highlight w:val="none"/>
          <w:lang w:eastAsia="zh-CN"/>
        </w:rPr>
        <w:t>卖方</w:t>
      </w:r>
      <w:r>
        <w:rPr>
          <w:rFonts w:hint="default" w:ascii="Times New Roman" w:hAnsi="Times New Roman" w:cs="Times New Roman" w:eastAsiaTheme="minorEastAsia"/>
          <w:sz w:val="24"/>
          <w:highlight w:val="none"/>
          <w:lang w:eastAsia="zh-CN"/>
        </w:rPr>
        <w:t>要求设置挡水板（</w:t>
      </w:r>
      <w:r>
        <w:rPr>
          <w:rFonts w:hint="default" w:ascii="Times New Roman" w:hAnsi="Times New Roman" w:cs="Times New Roman" w:eastAsiaTheme="minorEastAsia"/>
          <w:sz w:val="24"/>
          <w:highlight w:val="none"/>
          <w:lang w:val="en-US" w:eastAsia="zh-CN"/>
        </w:rPr>
        <w:t>围堰</w:t>
      </w:r>
      <w:r>
        <w:rPr>
          <w:rFonts w:hint="default" w:ascii="Times New Roman" w:hAnsi="Times New Roman" w:cs="Times New Roman" w:eastAsiaTheme="minorEastAsia"/>
          <w:sz w:val="24"/>
          <w:highlight w:val="none"/>
          <w:lang w:eastAsia="zh-CN"/>
        </w:rPr>
        <w:t>）和地漏，带</w:t>
      </w:r>
      <w:r>
        <w:rPr>
          <w:rFonts w:hint="default" w:ascii="Times New Roman" w:hAnsi="Times New Roman" w:cs="Times New Roman" w:eastAsiaTheme="minorEastAsia"/>
          <w:sz w:val="24"/>
          <w:highlight w:val="none"/>
          <w:lang w:val="en-US" w:eastAsia="zh-CN"/>
        </w:rPr>
        <w:t>法兰式排污口</w:t>
      </w:r>
      <w:r>
        <w:rPr>
          <w:rFonts w:hint="default" w:ascii="Times New Roman" w:hAnsi="Times New Roman" w:cs="Times New Roman" w:eastAsiaTheme="minorEastAsia"/>
          <w:sz w:val="24"/>
          <w:highlight w:val="none"/>
          <w:lang w:eastAsia="zh-CN"/>
        </w:rPr>
        <w:t>和吊耳；所有钢材必须具有生产厂出具的质量检验证明书，钢材表面不允许存在裂纹、接吧、折叠、气泡和夹杂；</w:t>
      </w:r>
      <w:r>
        <w:rPr>
          <w:rFonts w:hint="default" w:ascii="Times New Roman" w:hAnsi="Times New Roman" w:cs="Times New Roman" w:eastAsiaTheme="minorEastAsia"/>
          <w:sz w:val="24"/>
          <w:highlight w:val="none"/>
          <w:lang w:val="en-US" w:eastAsia="zh-CN"/>
        </w:rPr>
        <w:t>构件在组装时必须清除被焊部位30～50mm范围内的黄锈、熔渣、污垢和水分等，重要构件的焊缝部位的清理应使用砂轮打磨直至呈现出金属光泽。</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电机与底座的油漆防腐涂装设计与施工应遵循附件规格书涂装要求；涂装前，应对外表面清洁，去除油脂，经过喷砂处理，达到Sa2.5级，喷砂后4小时内涂底漆，否则涂车间底漆；涂装前，应对表面结构缺陷进行检查，磨圆和平整锐边、角落、点焊缝等，打磨电焊飞溅、火焰气割自由边等；油漆均需采用海洋漆，不允许两种及以上品牌混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填料函规格由</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按照电缆参数信息选型，并按有20％余量提供备用件，不少于1套，备用开孔带</w:t>
      </w:r>
      <w:r>
        <w:rPr>
          <w:rFonts w:hint="eastAsia" w:ascii="Times New Roman" w:hAnsi="Times New Roman" w:cs="Times New Roman" w:eastAsiaTheme="minorEastAsia"/>
          <w:sz w:val="24"/>
          <w:highlight w:val="none"/>
          <w:lang w:val="en-US" w:eastAsia="zh-CN"/>
        </w:rPr>
        <w:t>不锈钢316</w:t>
      </w:r>
      <w:r>
        <w:rPr>
          <w:rFonts w:hint="default" w:ascii="Times New Roman" w:hAnsi="Times New Roman" w:cs="Times New Roman" w:eastAsiaTheme="minorEastAsia"/>
          <w:sz w:val="24"/>
          <w:highlight w:val="none"/>
          <w:lang w:val="en-US" w:eastAsia="zh-CN"/>
        </w:rPr>
        <w:t>防爆堵头。</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需完成泵进出口</w:t>
      </w:r>
      <w:r>
        <w:rPr>
          <w:rFonts w:hint="eastAsia" w:ascii="Times New Roman" w:hAnsi="Times New Roman" w:cs="Times New Roman" w:eastAsiaTheme="minorEastAsia"/>
          <w:sz w:val="24"/>
          <w:highlight w:val="none"/>
          <w:lang w:val="en-US" w:eastAsia="zh-CN"/>
        </w:rPr>
        <w:t>配对</w:t>
      </w:r>
      <w:r>
        <w:rPr>
          <w:rFonts w:hint="default" w:ascii="Times New Roman" w:hAnsi="Times New Roman" w:cs="Times New Roman" w:eastAsiaTheme="minorEastAsia"/>
          <w:sz w:val="24"/>
          <w:highlight w:val="none"/>
          <w:lang w:val="en-US" w:eastAsia="zh-CN"/>
        </w:rPr>
        <w:t>法兰的跨接及防静电接地设计和现场安装工作，跨接材料采用BVR-16多股铜芯软导线；完成电机的良好接地工作。</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防爆电机的铭牌上必须有防爆标志信息，信息（包含证号、取证日期等）必须跟证书保持一致。</w:t>
      </w:r>
    </w:p>
    <w:p>
      <w:pPr>
        <w:pStyle w:val="10"/>
        <w:numPr>
          <w:ilvl w:val="0"/>
          <w:numId w:val="8"/>
        </w:numPr>
        <w:spacing w:line="300" w:lineRule="auto"/>
        <w:ind w:left="900" w:leftChars="200" w:hanging="480" w:hangingChars="200"/>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完成泵的现场安装、调试、培训等相关服务，现场服务地点（包括海上平台）由</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指定。</w:t>
      </w:r>
    </w:p>
    <w:p>
      <w:pPr>
        <w:pStyle w:val="10"/>
        <w:numPr>
          <w:ilvl w:val="0"/>
          <w:numId w:val="8"/>
        </w:numPr>
        <w:spacing w:line="300" w:lineRule="auto"/>
        <w:ind w:left="900" w:leftChars="200" w:hanging="480" w:hangingChars="200"/>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供货周期：双方签订合同后，</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须在</w:t>
      </w:r>
      <w:r>
        <w:rPr>
          <w:rFonts w:hint="eastAsia" w:ascii="Times New Roman" w:hAnsi="Times New Roman" w:cs="Times New Roman" w:eastAsiaTheme="minorEastAsia"/>
          <w:sz w:val="24"/>
          <w:highlight w:val="none"/>
          <w:lang w:val="en-US" w:eastAsia="zh-CN"/>
        </w:rPr>
        <w:t>120</w:t>
      </w:r>
      <w:r>
        <w:rPr>
          <w:rFonts w:hint="default" w:ascii="Times New Roman" w:hAnsi="Times New Roman" w:cs="Times New Roman" w:eastAsiaTheme="minorEastAsia"/>
          <w:sz w:val="24"/>
          <w:highlight w:val="none"/>
          <w:lang w:val="en-US" w:eastAsia="zh-CN"/>
        </w:rPr>
        <w:t>天内完成</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签署合格的产品出厂验收试验程序（FAT）并将订单上所有产品运至</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要求交货点。</w:t>
      </w:r>
    </w:p>
    <w:p>
      <w:pPr>
        <w:pStyle w:val="10"/>
        <w:numPr>
          <w:ilvl w:val="0"/>
          <w:numId w:val="8"/>
        </w:numPr>
        <w:spacing w:line="300" w:lineRule="auto"/>
        <w:ind w:left="900" w:leftChars="200" w:hanging="480" w:hangingChars="200"/>
        <w:rPr>
          <w:rFonts w:hint="default" w:asciiTheme="minorHAnsi" w:hAnsiTheme="minorHAnsi" w:eastAsiaTheme="minorEastAsia"/>
          <w:sz w:val="22"/>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遵守招标文件和所有随附文件的规定并不能免除</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对设备和材料的责任，</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提供的设备和材料应符合规定的使用条件以及原产地有效的任何未列出的健康和安全规范。</w:t>
      </w:r>
    </w:p>
    <w:p>
      <w:pPr>
        <w:keepNext w:val="0"/>
        <w:keepLines w:val="0"/>
        <w:pageBreakBefore w:val="0"/>
        <w:widowControl w:val="0"/>
        <w:kinsoku/>
        <w:wordWrap w:val="0"/>
        <w:overflowPunct/>
        <w:topLinePunct/>
        <w:autoSpaceDE/>
        <w:autoSpaceDN/>
        <w:bidi w:val="0"/>
        <w:adjustRightInd w:val="0"/>
        <w:snapToGrid w:val="0"/>
        <w:spacing w:before="313" w:beforeLines="100" w:line="360" w:lineRule="auto"/>
        <w:ind w:firstLine="562" w:firstLineChars="200"/>
        <w:jc w:val="both"/>
        <w:textAlignment w:val="auto"/>
        <w:outlineLvl w:val="1"/>
        <w:rPr>
          <w:rFonts w:hint="eastAsia" w:ascii="Times New Roman" w:hAnsi="Times New Roman" w:eastAsia="宋体" w:cs="Times New Roman"/>
          <w:b/>
          <w:bCs/>
          <w:color w:val="auto"/>
          <w:kern w:val="0"/>
          <w:sz w:val="28"/>
          <w:szCs w:val="28"/>
          <w:highlight w:val="none"/>
          <w:lang w:val="en-US" w:eastAsia="zh-CN" w:bidi="ar-SA"/>
        </w:rPr>
      </w:pPr>
      <w:r>
        <w:rPr>
          <w:rFonts w:hint="eastAsia" w:ascii="Times New Roman" w:hAnsi="Times New Roman" w:eastAsia="宋体" w:cs="Times New Roman"/>
          <w:b/>
          <w:bCs/>
          <w:color w:val="auto"/>
          <w:kern w:val="0"/>
          <w:sz w:val="28"/>
          <w:szCs w:val="28"/>
          <w:highlight w:val="none"/>
          <w:lang w:val="en-US" w:eastAsia="zh-CN" w:bidi="ar-SA"/>
        </w:rPr>
        <w:t>2</w:t>
      </w:r>
      <w:r>
        <w:rPr>
          <w:rFonts w:hint="default" w:ascii="Times New Roman" w:hAnsi="Times New Roman" w:eastAsia="宋体" w:cs="Times New Roman"/>
          <w:b/>
          <w:bCs/>
          <w:color w:val="auto"/>
          <w:kern w:val="0"/>
          <w:sz w:val="28"/>
          <w:szCs w:val="28"/>
          <w:highlight w:val="none"/>
          <w:lang w:val="en-US" w:eastAsia="en-US" w:bidi="ar-SA"/>
        </w:rPr>
        <w:t xml:space="preserve">. </w:t>
      </w:r>
      <w:r>
        <w:rPr>
          <w:rFonts w:hint="eastAsia" w:ascii="Times New Roman" w:hAnsi="Times New Roman" w:eastAsia="宋体" w:cs="Times New Roman"/>
          <w:b/>
          <w:bCs/>
          <w:color w:val="auto"/>
          <w:kern w:val="0"/>
          <w:sz w:val="28"/>
          <w:szCs w:val="28"/>
          <w:highlight w:val="none"/>
          <w:lang w:val="en-US" w:eastAsia="zh-CN" w:bidi="ar-SA"/>
        </w:rPr>
        <w:t>供货范围</w:t>
      </w:r>
    </w:p>
    <w:p>
      <w:pPr>
        <w:spacing w:line="360" w:lineRule="auto"/>
        <w:ind w:firstLine="480" w:firstLineChars="200"/>
        <w:jc w:val="left"/>
        <w:rPr>
          <w:rFonts w:hint="default"/>
          <w:highlight w:val="none"/>
          <w:lang w:val="en-US" w:eastAsia="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1  低温精馏回流泵橇需求表</w:t>
      </w:r>
    </w:p>
    <w:tbl>
      <w:tblPr>
        <w:tblStyle w:val="23"/>
        <w:tblpPr w:leftFromText="180" w:rightFromText="180" w:vertAnchor="text" w:horzAnchor="page" w:tblpX="2341" w:tblpY="463"/>
        <w:tblOverlap w:val="never"/>
        <w:tblW w:w="46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609"/>
        <w:gridCol w:w="3628"/>
        <w:gridCol w:w="625"/>
        <w:gridCol w:w="49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2"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序号</w:t>
            </w:r>
          </w:p>
        </w:tc>
        <w:tc>
          <w:tcPr>
            <w:tcW w:w="1017"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物资名称</w:t>
            </w:r>
          </w:p>
        </w:tc>
        <w:tc>
          <w:tcPr>
            <w:tcW w:w="2294"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rPr>
              <w:t>规格</w:t>
            </w:r>
            <w:r>
              <w:rPr>
                <w:rFonts w:hint="eastAsia" w:ascii="宋体" w:hAnsi="宋体" w:eastAsia="宋体" w:cs="宋体"/>
                <w:spacing w:val="0"/>
                <w:sz w:val="21"/>
                <w:szCs w:val="21"/>
                <w:highlight w:val="none"/>
                <w:lang w:val="en-US" w:eastAsia="zh-CN"/>
              </w:rPr>
              <w:t>参数</w:t>
            </w:r>
          </w:p>
        </w:tc>
        <w:tc>
          <w:tcPr>
            <w:tcW w:w="395"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数量</w:t>
            </w:r>
          </w:p>
        </w:tc>
        <w:tc>
          <w:tcPr>
            <w:tcW w:w="315"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单位</w:t>
            </w:r>
          </w:p>
        </w:tc>
        <w:tc>
          <w:tcPr>
            <w:tcW w:w="694"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低温精馏回流</w:t>
            </w:r>
            <w:r>
              <w:rPr>
                <w:rFonts w:hint="default" w:ascii="Times New Roman" w:hAnsi="Times New Roman" w:eastAsia="宋体" w:cs="Times New Roman"/>
                <w:i w:val="0"/>
                <w:iCs w:val="0"/>
                <w:color w:val="000000"/>
                <w:kern w:val="0"/>
                <w:sz w:val="21"/>
                <w:szCs w:val="21"/>
                <w:highlight w:val="none"/>
                <w:u w:val="none"/>
                <w:lang w:val="en-US" w:eastAsia="zh-CN" w:bidi="ar"/>
              </w:rPr>
              <w:t>泵</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介质：液体CO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eastAsia" w:ascii="Times New Roman" w:hAnsi="Times New Roman" w:eastAsia="宋体" w:cs="Times New Roman"/>
                <w:i w:val="0"/>
                <w:iCs w:val="0"/>
                <w:color w:val="000000"/>
                <w:kern w:val="0"/>
                <w:sz w:val="21"/>
                <w:szCs w:val="21"/>
                <w:highlight w:val="none"/>
                <w:u w:val="none"/>
                <w:vertAlign w:val="baseline"/>
                <w:lang w:val="en-US" w:eastAsia="zh-CN" w:bidi="ar"/>
              </w:rPr>
              <w:t>/甲烷；泵设计压力：8.235MPaG；设计温度：-55℃；</w:t>
            </w:r>
            <w:r>
              <w:rPr>
                <w:rFonts w:hint="default" w:ascii="Times New Roman" w:hAnsi="Times New Roman" w:eastAsia="宋体" w:cs="Times New Roman"/>
                <w:i w:val="0"/>
                <w:iCs w:val="0"/>
                <w:color w:val="000000"/>
                <w:kern w:val="0"/>
                <w:sz w:val="21"/>
                <w:szCs w:val="21"/>
                <w:highlight w:val="none"/>
                <w:u w:val="none"/>
                <w:vertAlign w:val="baseline"/>
                <w:lang w:val="en-US" w:eastAsia="zh-CN" w:bidi="ar"/>
              </w:rPr>
              <w:t>操作</w:t>
            </w:r>
            <w:r>
              <w:rPr>
                <w:rFonts w:hint="default" w:ascii="Times New Roman" w:hAnsi="Times New Roman" w:eastAsia="宋体" w:cs="Times New Roman"/>
                <w:i w:val="0"/>
                <w:iCs w:val="0"/>
                <w:color w:val="000000"/>
                <w:kern w:val="0"/>
                <w:sz w:val="21"/>
                <w:szCs w:val="21"/>
                <w:highlight w:val="none"/>
                <w:u w:val="none"/>
                <w:lang w:val="en-US" w:eastAsia="zh-CN" w:bidi="ar"/>
              </w:rPr>
              <w:t>温度：-</w:t>
            </w:r>
            <w:r>
              <w:rPr>
                <w:rFonts w:hint="eastAsia" w:ascii="Times New Roman" w:hAnsi="Times New Roman" w:eastAsia="宋体" w:cs="Times New Roman"/>
                <w:i w:val="0"/>
                <w:iCs w:val="0"/>
                <w:color w:val="000000"/>
                <w:kern w:val="0"/>
                <w:sz w:val="21"/>
                <w:szCs w:val="21"/>
                <w:highlight w:val="none"/>
                <w:u w:val="none"/>
                <w:lang w:val="en-US" w:eastAsia="zh-CN" w:bidi="ar"/>
              </w:rPr>
              <w:t>42</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ascii="Times New Roman" w:hAnsi="Times New Roman" w:eastAsia="宋体" w:cs="Times New Roman"/>
                <w:i w:val="0"/>
                <w:iCs w:val="0"/>
                <w:color w:val="000000"/>
                <w:kern w:val="0"/>
                <w:sz w:val="21"/>
                <w:szCs w:val="21"/>
                <w:highlight w:val="none"/>
                <w:u w:val="none"/>
                <w:lang w:val="en-US" w:eastAsia="zh-CN" w:bidi="ar"/>
              </w:rPr>
              <w:t>额定</w:t>
            </w:r>
            <w:r>
              <w:rPr>
                <w:rFonts w:hint="default" w:ascii="Times New Roman" w:hAnsi="Times New Roman" w:eastAsia="宋体" w:cs="Times New Roman"/>
                <w:i w:val="0"/>
                <w:iCs w:val="0"/>
                <w:color w:val="000000"/>
                <w:kern w:val="0"/>
                <w:sz w:val="21"/>
                <w:szCs w:val="21"/>
                <w:highlight w:val="none"/>
                <w:u w:val="none"/>
                <w:lang w:val="en-US" w:eastAsia="zh-CN" w:bidi="ar"/>
              </w:rPr>
              <w:t>流量：</w:t>
            </w:r>
            <w:r>
              <w:rPr>
                <w:rFonts w:hint="eastAsia" w:ascii="Times New Roman" w:hAnsi="Times New Roman" w:eastAsia="宋体" w:cs="Times New Roman"/>
                <w:i w:val="0"/>
                <w:iCs w:val="0"/>
                <w:color w:val="000000"/>
                <w:kern w:val="0"/>
                <w:sz w:val="21"/>
                <w:szCs w:val="21"/>
                <w:highlight w:val="none"/>
                <w:u w:val="none"/>
                <w:lang w:val="en-US" w:eastAsia="zh-CN" w:bidi="ar"/>
              </w:rPr>
              <w:t>20</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m³/h ；泵</w:t>
            </w:r>
            <w:r>
              <w:rPr>
                <w:rFonts w:hint="eastAsia" w:ascii="Times New Roman" w:hAnsi="Times New Roman" w:eastAsia="宋体" w:cs="Times New Roman"/>
                <w:i w:val="0"/>
                <w:iCs w:val="0"/>
                <w:color w:val="000000"/>
                <w:kern w:val="0"/>
                <w:sz w:val="21"/>
                <w:szCs w:val="21"/>
                <w:highlight w:val="none"/>
                <w:u w:val="none"/>
                <w:lang w:val="en-US" w:eastAsia="zh-CN" w:bidi="ar"/>
              </w:rPr>
              <w:t>入</w:t>
            </w:r>
            <w:r>
              <w:rPr>
                <w:rFonts w:hint="default" w:ascii="Times New Roman" w:hAnsi="Times New Roman" w:eastAsia="宋体" w:cs="Times New Roman"/>
                <w:i w:val="0"/>
                <w:iCs w:val="0"/>
                <w:color w:val="000000"/>
                <w:kern w:val="0"/>
                <w:sz w:val="21"/>
                <w:szCs w:val="21"/>
                <w:highlight w:val="none"/>
                <w:u w:val="none"/>
                <w:lang w:val="en-US" w:eastAsia="zh-CN" w:bidi="ar"/>
              </w:rPr>
              <w:t>口压力：3.5MPaG；泵</w:t>
            </w:r>
            <w:r>
              <w:rPr>
                <w:rFonts w:hint="eastAsia" w:ascii="Times New Roman" w:hAnsi="Times New Roman" w:eastAsia="宋体" w:cs="Times New Roman"/>
                <w:i w:val="0"/>
                <w:iCs w:val="0"/>
                <w:color w:val="000000"/>
                <w:kern w:val="0"/>
                <w:sz w:val="21"/>
                <w:szCs w:val="21"/>
                <w:highlight w:val="none"/>
                <w:u w:val="none"/>
                <w:lang w:val="en-US" w:eastAsia="zh-CN" w:bidi="ar"/>
              </w:rPr>
              <w:t>扬程：30m；材质：A-7（API610）</w:t>
            </w:r>
          </w:p>
        </w:tc>
        <w:tc>
          <w:tcPr>
            <w:tcW w:w="395"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rPr>
            </w:pP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315"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台</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泵型式为OH2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主电机</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船用隔爆型，防护等级：IP56，一级能效</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台</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配套回流泵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3</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集装式机械密封及密封冲洗系统</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4</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带无火花护罩的膜片</w:t>
            </w:r>
            <w:r>
              <w:rPr>
                <w:rFonts w:hint="default" w:ascii="Times New Roman" w:hAnsi="Times New Roman" w:eastAsia="宋体" w:cs="Times New Roman"/>
                <w:i w:val="0"/>
                <w:iCs w:val="0"/>
                <w:color w:val="000000"/>
                <w:kern w:val="0"/>
                <w:sz w:val="21"/>
                <w:szCs w:val="21"/>
                <w:highlight w:val="none"/>
                <w:u w:val="none"/>
                <w:lang w:val="en-US" w:eastAsia="zh-CN" w:bidi="ar"/>
              </w:rPr>
              <w:t>联轴器</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件</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重载型钢焊接</w:t>
            </w:r>
            <w:r>
              <w:rPr>
                <w:rFonts w:hint="default" w:ascii="Times New Roman" w:hAnsi="Times New Roman" w:eastAsia="宋体" w:cs="Times New Roman"/>
                <w:i w:val="0"/>
                <w:iCs w:val="0"/>
                <w:color w:val="000000"/>
                <w:kern w:val="0"/>
                <w:sz w:val="21"/>
                <w:szCs w:val="21"/>
                <w:highlight w:val="none"/>
                <w:u w:val="none"/>
                <w:lang w:val="en-US" w:eastAsia="zh-CN" w:bidi="ar"/>
              </w:rPr>
              <w:t>泵橇底座</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材质：Q235B</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6</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泵</w:t>
            </w:r>
            <w:r>
              <w:rPr>
                <w:rFonts w:hint="eastAsia" w:ascii="Times New Roman" w:hAnsi="Times New Roman" w:eastAsia="宋体" w:cs="Times New Roman"/>
                <w:i w:val="0"/>
                <w:iCs w:val="0"/>
                <w:color w:val="000000"/>
                <w:kern w:val="0"/>
                <w:sz w:val="21"/>
                <w:szCs w:val="21"/>
                <w:highlight w:val="none"/>
                <w:u w:val="none"/>
                <w:lang w:val="en-US" w:eastAsia="zh-CN" w:bidi="ar"/>
              </w:rPr>
              <w:t>橇</w:t>
            </w:r>
            <w:r>
              <w:rPr>
                <w:rFonts w:hint="default" w:ascii="Times New Roman" w:hAnsi="Times New Roman" w:eastAsia="宋体" w:cs="Times New Roman"/>
                <w:i w:val="0"/>
                <w:iCs w:val="0"/>
                <w:color w:val="000000"/>
                <w:kern w:val="0"/>
                <w:sz w:val="21"/>
                <w:szCs w:val="21"/>
                <w:highlight w:val="none"/>
                <w:u w:val="none"/>
                <w:lang w:val="en-US" w:eastAsia="zh-CN" w:bidi="ar"/>
              </w:rPr>
              <w:t>就地仪表、仪表架、接线盒</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泵橇范围内，带电缆引入格兰、压盖，以接线盒出现端子为界。</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7</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所有与用户连接的法兰及</w:t>
            </w:r>
            <w:r>
              <w:rPr>
                <w:rFonts w:hint="eastAsia" w:ascii="Times New Roman" w:hAnsi="Times New Roman" w:eastAsia="宋体" w:cs="Times New Roman"/>
                <w:i w:val="0"/>
                <w:iCs w:val="0"/>
                <w:color w:val="000000"/>
                <w:kern w:val="0"/>
                <w:sz w:val="21"/>
                <w:szCs w:val="21"/>
                <w:highlight w:val="none"/>
                <w:u w:val="none"/>
                <w:lang w:val="en-US" w:eastAsia="zh-CN" w:bidi="ar"/>
              </w:rPr>
              <w:t>配对</w:t>
            </w:r>
            <w:r>
              <w:rPr>
                <w:rFonts w:hint="default" w:ascii="Times New Roman" w:hAnsi="Times New Roman" w:eastAsia="宋体" w:cs="Times New Roman"/>
                <w:i w:val="0"/>
                <w:iCs w:val="0"/>
                <w:color w:val="000000"/>
                <w:kern w:val="0"/>
                <w:sz w:val="21"/>
                <w:szCs w:val="21"/>
                <w:highlight w:val="none"/>
                <w:u w:val="none"/>
                <w:lang w:val="en-US" w:eastAsia="zh-CN" w:bidi="ar"/>
              </w:rPr>
              <w:t>法兰、螺栓螺母、垫片等</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8</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底座范围内的所有冷却水、润滑由、密封冲洗及泵排液管线</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9</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专用拆装工具</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开工备件</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泵用的所有垫片和O型圈、机封、轴承等。</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bl>
    <w:p>
      <w:pPr>
        <w:rPr>
          <w:rFonts w:hint="default"/>
          <w:highlight w:val="none"/>
          <w:lang w:val="en-US" w:eastAsia="zh-CN"/>
        </w:rPr>
      </w:pPr>
    </w:p>
    <w:p>
      <w:pPr>
        <w:spacing w:line="360" w:lineRule="auto"/>
        <w:ind w:firstLine="480" w:firstLineChars="200"/>
        <w:jc w:val="left"/>
        <w:rPr>
          <w:rFonts w:hint="default"/>
          <w:highlight w:val="none"/>
          <w:lang w:val="en-US" w:eastAsia="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2  低温精馏回流泵橇备品备件清单（含在总价内）</w:t>
      </w:r>
    </w:p>
    <w:tbl>
      <w:tblPr>
        <w:tblStyle w:val="23"/>
        <w:tblW w:w="0" w:type="auto"/>
        <w:tblInd w:w="5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294"/>
        <w:gridCol w:w="184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序号</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名称</w:t>
            </w:r>
          </w:p>
        </w:tc>
        <w:tc>
          <w:tcPr>
            <w:tcW w:w="1842"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数量</w:t>
            </w:r>
          </w:p>
        </w:tc>
        <w:tc>
          <w:tcPr>
            <w:tcW w:w="2131"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集装式机械密封</w:t>
            </w:r>
          </w:p>
        </w:tc>
        <w:tc>
          <w:tcPr>
            <w:tcW w:w="1842"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2台套</w:t>
            </w:r>
          </w:p>
        </w:tc>
        <w:tc>
          <w:tcPr>
            <w:tcW w:w="2131"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2台泵各一台套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机封压盖垫片、轴套垫或O型圈</w:t>
            </w:r>
          </w:p>
        </w:tc>
        <w:tc>
          <w:tcPr>
            <w:tcW w:w="1842"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2台套</w:t>
            </w:r>
          </w:p>
        </w:tc>
        <w:tc>
          <w:tcPr>
            <w:tcW w:w="2131"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2台泵各一台套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泵用O型圈垫片、泵盖垫</w:t>
            </w:r>
          </w:p>
        </w:tc>
        <w:tc>
          <w:tcPr>
            <w:tcW w:w="1842"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2台套</w:t>
            </w:r>
          </w:p>
        </w:tc>
        <w:tc>
          <w:tcPr>
            <w:tcW w:w="2131"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2台泵各一台套</w:t>
            </w:r>
          </w:p>
        </w:tc>
      </w:tr>
    </w:tbl>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六、检测和试验</w:t>
      </w:r>
    </w:p>
    <w:p>
      <w:pPr>
        <w:pStyle w:val="10"/>
        <w:spacing w:line="300" w:lineRule="auto"/>
        <w:ind w:left="220" w:right="125" w:firstLine="480"/>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泵的生产建造和出厂检验需</w:t>
      </w:r>
      <w:r>
        <w:rPr>
          <w:rFonts w:asciiTheme="minorEastAsia" w:hAnsiTheme="minorEastAsia" w:eastAsiaTheme="minorEastAsia"/>
          <w:sz w:val="24"/>
          <w:highlight w:val="none"/>
          <w:lang w:eastAsia="zh-CN"/>
        </w:rPr>
        <w:t>采用公认的或已颁布的标准检验方法</w:t>
      </w:r>
      <w:r>
        <w:rPr>
          <w:rFonts w:hint="eastAsia" w:asciiTheme="minorEastAsia" w:hAnsiTheme="minorEastAsia" w:eastAsiaTheme="minorEastAsia"/>
          <w:sz w:val="24"/>
          <w:highlight w:val="none"/>
          <w:lang w:eastAsia="zh-CN"/>
        </w:rPr>
        <w:t>，泵厂家需要向卖方提供生产建造、试验检验和出厂检验等相关资料文件。</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卖方应对泵的主要零件如：外筒体（壳体）、端盖、叶轮、轴、平衡鼓盘、端盖螺栓和螺母等，进行材料的机械性能或化学成分分析，并出具报告。</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泵承压部件应做静压试验，结果应符合相关标准要求。</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推荐的泵的无损探伤项目：</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default"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表6.1 无损探伤项目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7"/>
        <w:gridCol w:w="1018"/>
        <w:gridCol w:w="1099"/>
        <w:gridCol w:w="115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项目</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磁粉MT</w:t>
            </w: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着色PT</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超声波UT</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射线RT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外筒体（壳体）/端盖</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外筒体管口焊缝（如需要）</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叶轮</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轴</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端盖螺栓</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端盖螺母</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平衡盘、平衡板（如需要）</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 xml:space="preserve">Y </w:t>
            </w: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滑动轴承</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Theme="minorEastAsia" w:hAnsiTheme="minorEastAsia" w:eastAsiaTheme="minorEastAsia"/>
          <w:sz w:val="24"/>
          <w:highlight w:val="none"/>
          <w:lang w:val="en-US" w:eastAsia="zh-CN"/>
        </w:rPr>
      </w:pP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主要的工厂试验内容如下：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1"/>
          <w:szCs w:val="21"/>
          <w:highlight w:val="none"/>
          <w:lang w:val="en-US" w:eastAsia="zh-CN"/>
        </w:rPr>
        <w:t>表6.2 工厂试验项目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687"/>
        <w:gridCol w:w="1619"/>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试验项目</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见证试验</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非见证试验</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水压试验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性能试验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NPSH试验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机械运转试验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试验后的拆装检查</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Theme="minorEastAsia" w:hAnsiTheme="minorEastAsia" w:eastAsiaTheme="minorEastAsia"/>
          <w:sz w:val="24"/>
          <w:highlight w:val="none"/>
          <w:lang w:eastAsia="zh-CN"/>
        </w:rPr>
      </w:pP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泵应在工厂做原速（操作转速）性能试验，电机可采用工厂试验电机。若采用降速试验方案，需要得到卖方的认可。</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性能试验包括连续一小时运行的机械检测，机械检测应在轴承温度基本稳定后再进行。</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当NPSHa和NPSHr的差值小于1.0m或买方有需求时，应进行NPSHr试验。</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泵在性能试验合格后，出厂前应使用合同电机、合同轴承、合同密封、合同联轴器等进行不少于四小时的整套机组的机械运转试验。</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买方在进行泵组试验之前，应提交详细的试验方案供卖方审核同意。</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imes New Roman" w:hAnsi="Times New Roman" w:cs="Times New Roman" w:eastAsiaTheme="minorEastAsia"/>
          <w:sz w:val="24"/>
          <w:highlight w:val="none"/>
          <w:lang w:val="en-US" w:eastAsia="zh-CN"/>
        </w:rPr>
        <w:t>★卖方承诺</w:t>
      </w:r>
      <w:r>
        <w:rPr>
          <w:rFonts w:hint="eastAsia" w:asciiTheme="minorEastAsia" w:hAnsiTheme="minorEastAsia" w:eastAsiaTheme="minorEastAsia"/>
          <w:sz w:val="24"/>
          <w:highlight w:val="none"/>
          <w:lang w:val="en-US" w:eastAsia="zh-CN"/>
        </w:rPr>
        <w:t>电机在出厂前应在电机制造厂进行运转试验和型式试验，对本设备电动机运转试验方法需满足标准【《三相异步电动机试验方法》GB/T1032中第9部分。】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firstLine="720" w:firstLineChars="300"/>
        <w:jc w:val="both"/>
        <w:textAlignment w:val="auto"/>
        <w:rPr>
          <w:rFonts w:hint="eastAsia"/>
          <w:highlight w:val="none"/>
          <w:lang w:eastAsia="zh-CN"/>
        </w:rPr>
      </w:pPr>
      <w:r>
        <w:rPr>
          <w:rFonts w:hint="eastAsia" w:ascii="Times New Roman" w:hAnsi="Times New Roman" w:eastAsia="宋体" w:cs="Times New Roman"/>
          <w:kern w:val="0"/>
          <w:sz w:val="24"/>
          <w:highlight w:val="none"/>
          <w:lang w:val="en-US" w:eastAsia="zh-CN"/>
        </w:rPr>
        <w:t>以下为引用标准中所列重要参数，纳入评议范围：</w:t>
      </w:r>
    </w:p>
    <w:p>
      <w:pPr>
        <w:jc w:val="center"/>
        <w:rPr>
          <w:rFonts w:hint="eastAsia"/>
          <w:highlight w:val="none"/>
          <w:lang w:eastAsia="zh-CN"/>
        </w:rPr>
      </w:pPr>
      <w:r>
        <w:rPr>
          <w:rFonts w:hint="eastAsia"/>
          <w:highlight w:val="none"/>
          <w:lang w:eastAsia="zh-CN"/>
        </w:rPr>
        <w:drawing>
          <wp:inline distT="0" distB="0" distL="114300" distR="114300">
            <wp:extent cx="4550410" cy="5053330"/>
            <wp:effectExtent l="0" t="0" r="2540" b="13970"/>
            <wp:docPr id="17" name="图片 17" descr="690C0F66-CC57-4c9e-8579-31E440F0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90C0F66-CC57-4c9e-8579-31E440F09793"/>
                    <pic:cNvPicPr>
                      <a:picLocks noChangeAspect="1"/>
                    </pic:cNvPicPr>
                  </pic:nvPicPr>
                  <pic:blipFill>
                    <a:blip r:embed="rId21"/>
                    <a:stretch>
                      <a:fillRect/>
                    </a:stretch>
                  </pic:blipFill>
                  <pic:spPr>
                    <a:xfrm>
                      <a:off x="0" y="0"/>
                      <a:ext cx="4550410" cy="5053330"/>
                    </a:xfrm>
                    <a:prstGeom prst="rect">
                      <a:avLst/>
                    </a:prstGeom>
                  </pic:spPr>
                </pic:pic>
              </a:graphicData>
            </a:graphic>
          </wp:inline>
        </w:drawing>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性能试验时达到如下要求：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1"/>
          <w:szCs w:val="21"/>
          <w:highlight w:val="none"/>
          <w:lang w:val="en-US" w:eastAsia="zh-CN"/>
        </w:rPr>
        <w:t>表6.3 性能试验控制指标</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168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项目</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单位</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径向轴承温度</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推力轴承温度</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泵噪声</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dB(A)</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泵振动</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mm/s</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轴位移</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mm</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≯±0.5</w:t>
            </w: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Theme="minorEastAsia" w:hAnsiTheme="minorEastAsia" w:eastAsiaTheme="minorEastAsia"/>
          <w:sz w:val="24"/>
          <w:highlight w:val="none"/>
          <w:lang w:eastAsia="zh-CN"/>
        </w:rPr>
      </w:pP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泵建造过程中厂家向卖方提前提供检验和试验计划（ITP）和出厂验收试验程序（FAT）；</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泵出厂前，</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需要根据生产、试验条件与货期情况申请</w:t>
      </w:r>
      <w:r>
        <w:rPr>
          <w:rFonts w:hint="eastAsia" w:asciiTheme="minorEastAsia" w:hAnsiTheme="minorEastAsia" w:eastAsiaTheme="minorEastAsia"/>
          <w:sz w:val="24"/>
          <w:highlight w:val="none"/>
          <w:lang w:val="en-US" w:eastAsia="zh-CN"/>
        </w:rPr>
        <w:t>买方</w:t>
      </w:r>
      <w:r>
        <w:rPr>
          <w:rFonts w:hint="eastAsia" w:asciiTheme="minorEastAsia" w:hAnsiTheme="minorEastAsia" w:eastAsiaTheme="minorEastAsia"/>
          <w:sz w:val="24"/>
          <w:highlight w:val="none"/>
          <w:lang w:eastAsia="zh-CN"/>
        </w:rPr>
        <w:t>到现场对泵进行生产过程检验与出厂检验，经</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方检验合格后，方可出厂发货。</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七、标识、包装和运输</w:t>
      </w:r>
    </w:p>
    <w:p>
      <w:pPr>
        <w:spacing w:line="300" w:lineRule="auto"/>
        <w:ind w:firstLine="480" w:firstLineChars="200"/>
        <w:rPr>
          <w:rFonts w:asciiTheme="minorEastAsia" w:hAnsiTheme="minorEastAsia"/>
          <w:bCs/>
          <w:sz w:val="24"/>
          <w:highlight w:val="none"/>
          <w:lang w:eastAsia="zh-CN"/>
        </w:rPr>
      </w:pPr>
      <w:bookmarkStart w:id="9" w:name="_Toc483236636"/>
      <w:r>
        <w:rPr>
          <w:rFonts w:asciiTheme="minorEastAsia" w:hAnsiTheme="minorEastAsia"/>
          <w:bCs/>
          <w:sz w:val="24"/>
          <w:highlight w:val="none"/>
          <w:lang w:eastAsia="zh-CN"/>
        </w:rPr>
        <w:t>1</w:t>
      </w:r>
      <w:r>
        <w:rPr>
          <w:rFonts w:hint="eastAsia" w:asciiTheme="minorEastAsia" w:hAnsiTheme="minorEastAsia"/>
          <w:bCs/>
          <w:sz w:val="24"/>
          <w:highlight w:val="none"/>
          <w:lang w:eastAsia="zh-CN"/>
        </w:rPr>
        <w:t>、包装</w:t>
      </w:r>
      <w:bookmarkEnd w:id="9"/>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泵组的装运工作应在检查和试验验收合格后，经买方同意，方可进行。</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应按设备及其辅机将在现场没有任何保护的情况下储存至少6个月考虑，泵组内表面涂一层与润滑油相容的溶性油防锈剂。暴露的轴和联轴器应用防水的塑料涂蜡织物或气相腐蚀抑制剂纸包裹，接缝处应用防油胶带密封住，对所有零部件进行清洁、防锈和妥善的保护处理。所有的开口法兰开口陪着一个至少</w:t>
      </w:r>
      <w:r>
        <w:rPr>
          <w:rFonts w:hint="default" w:ascii="Times New Roman" w:hAnsi="Times New Roman" w:cs="Times New Roman"/>
          <w:sz w:val="24"/>
          <w:szCs w:val="24"/>
          <w:highlight w:val="none"/>
          <w:lang w:val="en-US" w:eastAsia="zh-CN"/>
        </w:rPr>
        <w:t>2~3mm</w:t>
      </w:r>
      <w:r>
        <w:rPr>
          <w:rFonts w:hint="eastAsia" w:asciiTheme="minorEastAsia" w:hAnsiTheme="minorEastAsia"/>
          <w:sz w:val="24"/>
          <w:szCs w:val="24"/>
          <w:highlight w:val="none"/>
          <w:lang w:val="en-US" w:eastAsia="zh-CN"/>
        </w:rPr>
        <w:t>厚度的金属板，并带有橡胶垫和至少2个配该法兰螺栓孔直径的螺栓，所有螺纹孔用堵头堵上，所有设备和材料都应妥善包装，可靠固定，产生费用由卖方承担。</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除合同另有规定外，卖方提供的设备应按标准保护措施进行包装，这类包装应适应于远距离运输、防潮、防震、防锈和防野蛮装卸，以确保货物安全无损运抵指定现场。</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每个包装箱内应附两份详细的装箱单，一份在箱子外，一份在箱子内，外面的需要有防湿措施。</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所附专用工具和备品、备件如数量不多时，允许与设备放在同一包装箱内，但必须加以特别保护，防止损伤和锈蚀，并在包装外标明。</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不用包装箱包装的货物，也应作必要的包装保护，防止运输过程中的碰撞损坏。</w:t>
      </w:r>
    </w:p>
    <w:p>
      <w:pPr>
        <w:spacing w:line="300" w:lineRule="auto"/>
        <w:ind w:firstLine="480" w:firstLineChars="200"/>
        <w:rPr>
          <w:rFonts w:asciiTheme="minorEastAsia" w:hAnsiTheme="minorEastAsia"/>
          <w:bCs/>
          <w:sz w:val="24"/>
          <w:highlight w:val="none"/>
        </w:rPr>
      </w:pPr>
      <w:bookmarkStart w:id="10" w:name="_Toc483236637"/>
      <w:r>
        <w:rPr>
          <w:rFonts w:hint="eastAsia" w:asciiTheme="minorEastAsia" w:hAnsiTheme="minorEastAsia"/>
          <w:bCs/>
          <w:sz w:val="24"/>
          <w:highlight w:val="none"/>
        </w:rPr>
        <w:t>2、运输</w:t>
      </w:r>
      <w:r>
        <w:rPr>
          <w:rFonts w:asciiTheme="minorEastAsia" w:hAnsiTheme="minorEastAsia"/>
          <w:bCs/>
          <w:sz w:val="24"/>
          <w:highlight w:val="none"/>
        </w:rPr>
        <w:t>要求</w:t>
      </w:r>
      <w:bookmarkEnd w:id="10"/>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卖方负责设备从卖方工厂到买方指定地点现场的运输工作。</w:t>
      </w:r>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在预制/制造大尺寸货物时，卖方应从有关管理机关取得铁路和公路运输的尺寸限制，货物尺寸应符合相关规定，以保证货物顺利抵达目的地。</w:t>
      </w:r>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每个货物集装箱、板条箱、包装箱都必须在上面或侧面用油漆或其它方式刷上清晰可读的运输防护标志，如防水、防晒、不准倒置等标志。需标识吊装重心，并在装卸时严格遵守相关要求。</w:t>
      </w:r>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设备运输到现场应完好，满足立刻安装条件。</w:t>
      </w:r>
    </w:p>
    <w:p>
      <w:pPr>
        <w:pStyle w:val="55"/>
        <w:numPr>
          <w:ilvl w:val="0"/>
          <w:numId w:val="12"/>
        </w:numPr>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技术文件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cs="Times New Roman"/>
          <w:sz w:val="24"/>
          <w:szCs w:val="21"/>
          <w:highlight w:val="none"/>
          <w:lang w:val="en-US" w:eastAsia="zh-CN"/>
        </w:rPr>
      </w:pPr>
      <w:r>
        <w:rPr>
          <w:rFonts w:hint="eastAsia" w:ascii="Times New Roman" w:hAnsi="Times New Roman" w:cs="Times New Roman"/>
          <w:sz w:val="24"/>
          <w:szCs w:val="21"/>
          <w:highlight w:val="none"/>
          <w:lang w:val="en-US" w:eastAsia="zh-CN"/>
        </w:rPr>
        <w:t>卖方在交货后30日内需向买方单独交付产品完工资料（不随设备发）的纸质版原件与电子扫描件，卖</w:t>
      </w:r>
      <w:r>
        <w:rPr>
          <w:rFonts w:hint="eastAsia" w:ascii="Times New Roman" w:hAnsi="Times New Roman" w:cs="Times New Roman"/>
          <w:sz w:val="24"/>
          <w:szCs w:val="21"/>
          <w:highlight w:val="none"/>
          <w:lang w:eastAsia="zh-CN"/>
        </w:rPr>
        <w:t>方应提供</w:t>
      </w:r>
      <w:r>
        <w:rPr>
          <w:rFonts w:hint="eastAsia" w:ascii="Times New Roman" w:hAnsi="Times New Roman" w:cs="Times New Roman"/>
          <w:sz w:val="24"/>
          <w:szCs w:val="21"/>
          <w:highlight w:val="none"/>
          <w:lang w:val="en-US" w:eastAsia="zh-CN"/>
        </w:rPr>
        <w:t>完整的</w:t>
      </w:r>
      <w:r>
        <w:rPr>
          <w:rFonts w:hint="eastAsia" w:ascii="Times New Roman" w:hAnsi="Times New Roman" w:cs="Times New Roman"/>
          <w:sz w:val="24"/>
          <w:szCs w:val="21"/>
          <w:highlight w:val="none"/>
          <w:lang w:eastAsia="zh-CN"/>
        </w:rPr>
        <w:t>完工文件</w:t>
      </w:r>
      <w:r>
        <w:rPr>
          <w:rFonts w:hint="eastAsia" w:ascii="Times New Roman" w:hAnsi="Times New Roman" w:cs="Times New Roman"/>
          <w:sz w:val="24"/>
          <w:szCs w:val="21"/>
          <w:highlight w:val="none"/>
          <w:lang w:val="en-US" w:eastAsia="zh-CN"/>
        </w:rPr>
        <w:t>至少为</w:t>
      </w:r>
      <w:r>
        <w:rPr>
          <w:rFonts w:hint="eastAsia" w:ascii="Times New Roman" w:hAnsi="Times New Roman" w:cs="Times New Roman"/>
          <w:sz w:val="24"/>
          <w:szCs w:val="21"/>
          <w:highlight w:val="none"/>
          <w:lang w:eastAsia="zh-CN"/>
        </w:rPr>
        <w:t>纸质版</w:t>
      </w:r>
      <w:r>
        <w:rPr>
          <w:rFonts w:hint="eastAsia" w:ascii="Times New Roman" w:hAnsi="Times New Roman" w:cs="Times New Roman"/>
          <w:sz w:val="24"/>
          <w:szCs w:val="21"/>
          <w:highlight w:val="none"/>
          <w:lang w:val="en-US" w:eastAsia="zh-CN"/>
        </w:rPr>
        <w:t>5套（</w:t>
      </w:r>
      <w:r>
        <w:rPr>
          <w:rFonts w:ascii="Times New Roman" w:hAnsi="Times New Roman" w:cs="Times New Roman"/>
          <w:sz w:val="24"/>
          <w:szCs w:val="21"/>
          <w:highlight w:val="none"/>
          <w:lang w:eastAsia="zh-CN"/>
        </w:rPr>
        <w:t>1</w:t>
      </w:r>
      <w:r>
        <w:rPr>
          <w:rFonts w:hint="eastAsia" w:ascii="Times New Roman" w:hAnsi="Times New Roman" w:cs="Times New Roman"/>
          <w:sz w:val="24"/>
          <w:szCs w:val="21"/>
          <w:highlight w:val="none"/>
          <w:lang w:eastAsia="zh-CN"/>
        </w:rPr>
        <w:t>正本、</w:t>
      </w:r>
      <w:r>
        <w:rPr>
          <w:rFonts w:ascii="Times New Roman" w:hAnsi="Times New Roman" w:cs="Times New Roman"/>
          <w:sz w:val="24"/>
          <w:szCs w:val="21"/>
          <w:highlight w:val="none"/>
          <w:lang w:eastAsia="zh-CN"/>
        </w:rPr>
        <w:t>4</w:t>
      </w:r>
      <w:r>
        <w:rPr>
          <w:rFonts w:hint="eastAsia" w:ascii="Times New Roman" w:hAnsi="Times New Roman" w:cs="Times New Roman"/>
          <w:sz w:val="24"/>
          <w:szCs w:val="21"/>
          <w:highlight w:val="none"/>
          <w:lang w:eastAsia="zh-CN"/>
        </w:rPr>
        <w:t>副本</w:t>
      </w:r>
      <w:r>
        <w:rPr>
          <w:rFonts w:hint="eastAsia" w:ascii="Times New Roman" w:hAnsi="Times New Roman" w:cs="Times New Roman"/>
          <w:sz w:val="24"/>
          <w:szCs w:val="21"/>
          <w:highlight w:val="none"/>
          <w:lang w:val="en-US" w:eastAsia="zh-CN"/>
        </w:rPr>
        <w:t>）</w:t>
      </w:r>
      <w:r>
        <w:rPr>
          <w:rFonts w:hint="eastAsia" w:ascii="Times New Roman" w:hAnsi="Times New Roman" w:cs="Times New Roman"/>
          <w:sz w:val="24"/>
          <w:szCs w:val="21"/>
          <w:highlight w:val="none"/>
          <w:lang w:eastAsia="zh-CN"/>
        </w:rPr>
        <w:t>、电子版</w:t>
      </w:r>
      <w:r>
        <w:rPr>
          <w:rFonts w:ascii="Times New Roman" w:hAnsi="Times New Roman" w:cs="Times New Roman"/>
          <w:sz w:val="24"/>
          <w:szCs w:val="21"/>
          <w:highlight w:val="none"/>
          <w:lang w:eastAsia="zh-CN"/>
        </w:rPr>
        <w:t>5</w:t>
      </w:r>
      <w:r>
        <w:rPr>
          <w:rFonts w:hint="eastAsia" w:ascii="Times New Roman" w:hAnsi="Times New Roman" w:cs="Times New Roman"/>
          <w:sz w:val="24"/>
          <w:szCs w:val="21"/>
          <w:highlight w:val="none"/>
          <w:lang w:eastAsia="zh-CN"/>
        </w:rPr>
        <w:t>套，</w:t>
      </w:r>
      <w:r>
        <w:rPr>
          <w:rFonts w:hint="eastAsia" w:ascii="Times New Roman" w:hAnsi="Times New Roman" w:cs="Times New Roman"/>
          <w:sz w:val="24"/>
          <w:szCs w:val="21"/>
          <w:highlight w:val="none"/>
          <w:lang w:val="en-US" w:eastAsia="zh-CN"/>
        </w:rPr>
        <w:t>完工资料满足EDIS要求。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cs="Times New Roman"/>
          <w:sz w:val="24"/>
          <w:szCs w:val="21"/>
          <w:highlight w:val="none"/>
          <w:lang w:val="en-US" w:eastAsia="zh-CN"/>
        </w:rPr>
      </w:pPr>
      <w:r>
        <w:rPr>
          <w:rFonts w:hint="eastAsia" w:ascii="Times New Roman" w:hAnsi="Times New Roman" w:cs="Times New Roman"/>
          <w:sz w:val="24"/>
          <w:szCs w:val="21"/>
          <w:highlight w:val="none"/>
          <w:lang w:val="en-US" w:eastAsia="zh-CN"/>
        </w:rPr>
        <w:t>除上述要求外，签订合同后，卖方需按买方要求的时间节点提供包括但不限于以下文件：</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卖方按照买方提供的</w:t>
      </w:r>
      <w:r>
        <w:rPr>
          <w:rFonts w:hint="eastAsia" w:asciiTheme="minorEastAsia" w:hAnsiTheme="minorEastAsia" w:eastAsiaTheme="minorEastAsia"/>
          <w:sz w:val="24"/>
          <w:highlight w:val="none"/>
          <w:lang w:eastAsia="zh-CN"/>
        </w:rPr>
        <w:t>泵数据表，补充</w:t>
      </w:r>
      <w:r>
        <w:rPr>
          <w:rFonts w:hint="eastAsia" w:asciiTheme="minorEastAsia" w:hAnsiTheme="minorEastAsia" w:eastAsiaTheme="minorEastAsia"/>
          <w:sz w:val="24"/>
          <w:highlight w:val="none"/>
          <w:lang w:val="en-US" w:eastAsia="zh-CN"/>
        </w:rPr>
        <w:t>完整</w:t>
      </w:r>
      <w:r>
        <w:rPr>
          <w:rFonts w:hint="eastAsia" w:asciiTheme="minorEastAsia" w:hAnsiTheme="minorEastAsia" w:eastAsiaTheme="minorEastAsia"/>
          <w:sz w:val="24"/>
          <w:highlight w:val="none"/>
          <w:lang w:eastAsia="zh-CN"/>
        </w:rPr>
        <w:t>数据表中</w:t>
      </w:r>
      <w:r>
        <w:rPr>
          <w:rFonts w:hint="eastAsia" w:asciiTheme="minorEastAsia" w:hAnsiTheme="minorEastAsia" w:eastAsiaTheme="minorEastAsia"/>
          <w:sz w:val="24"/>
          <w:highlight w:val="none"/>
          <w:lang w:val="en-US" w:eastAsia="zh-CN"/>
        </w:rPr>
        <w:t>的</w:t>
      </w:r>
      <w:r>
        <w:rPr>
          <w:rFonts w:hint="eastAsia" w:asciiTheme="minorEastAsia" w:hAnsiTheme="minorEastAsia" w:eastAsiaTheme="minorEastAsia"/>
          <w:sz w:val="24"/>
          <w:highlight w:val="none"/>
          <w:lang w:eastAsia="zh-CN"/>
        </w:rPr>
        <w:t>厂家资料</w:t>
      </w:r>
      <w:r>
        <w:rPr>
          <w:rFonts w:hint="eastAsia" w:asciiTheme="minorEastAsia" w:hAnsiTheme="minorEastAsia" w:eastAsiaTheme="minorEastAsia"/>
          <w:sz w:val="24"/>
          <w:highlight w:val="none"/>
          <w:lang w:val="en-US" w:eastAsia="zh-CN"/>
        </w:rPr>
        <w:t>等其他要求</w:t>
      </w:r>
      <w:r>
        <w:rPr>
          <w:rFonts w:hint="eastAsia" w:asciiTheme="minorEastAsia" w:hAnsiTheme="minorEastAsia" w:eastAsiaTheme="minorEastAsia"/>
          <w:sz w:val="24"/>
          <w:highlight w:val="none"/>
          <w:lang w:eastAsia="zh-CN"/>
        </w:rPr>
        <w:t xml:space="preserve">； </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签订</w:t>
      </w:r>
      <w:r>
        <w:rPr>
          <w:rFonts w:hint="eastAsia" w:asciiTheme="minorEastAsia" w:hAnsiTheme="minorEastAsia" w:eastAsiaTheme="minorEastAsia"/>
          <w:sz w:val="24"/>
          <w:highlight w:val="none"/>
          <w:lang w:val="en-US" w:eastAsia="zh-CN"/>
        </w:rPr>
        <w:t>合同</w:t>
      </w:r>
      <w:r>
        <w:rPr>
          <w:rFonts w:hint="eastAsia" w:asciiTheme="minorEastAsia" w:hAnsiTheme="minorEastAsia" w:eastAsiaTheme="minorEastAsia"/>
          <w:sz w:val="24"/>
          <w:highlight w:val="none"/>
          <w:lang w:eastAsia="zh-CN"/>
        </w:rPr>
        <w:t>后，</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需提供生产计划安排与执行进度表，</w:t>
      </w:r>
      <w:r>
        <w:rPr>
          <w:rFonts w:hint="eastAsia" w:asciiTheme="minorEastAsia" w:hAnsiTheme="minorEastAsia" w:eastAsiaTheme="minorEastAsia"/>
          <w:sz w:val="24"/>
          <w:highlight w:val="none"/>
          <w:lang w:val="en-US" w:eastAsia="zh-CN"/>
        </w:rPr>
        <w:t>工作周报</w:t>
      </w:r>
      <w:r>
        <w:rPr>
          <w:rFonts w:hint="eastAsia" w:asciiTheme="minorEastAsia" w:hAnsiTheme="minorEastAsia" w:eastAsiaTheme="minorEastAsia"/>
          <w:sz w:val="24"/>
          <w:highlight w:val="none"/>
          <w:lang w:eastAsia="zh-CN"/>
        </w:rPr>
        <w:t>；</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w:t>
      </w:r>
      <w:r>
        <w:rPr>
          <w:rFonts w:hint="eastAsia" w:asciiTheme="minorEastAsia" w:hAnsiTheme="minorEastAsia" w:eastAsiaTheme="minorEastAsia"/>
          <w:sz w:val="24"/>
          <w:highlight w:val="none"/>
          <w:lang w:val="en-US" w:eastAsia="zh-CN"/>
        </w:rPr>
        <w:t>橇</w:t>
      </w:r>
      <w:r>
        <w:rPr>
          <w:rFonts w:hint="eastAsia" w:asciiTheme="minorEastAsia" w:hAnsiTheme="minorEastAsia" w:eastAsiaTheme="minorEastAsia"/>
          <w:sz w:val="24"/>
          <w:highlight w:val="none"/>
          <w:lang w:eastAsia="zh-CN"/>
        </w:rPr>
        <w:t>需要</w:t>
      </w:r>
      <w:r>
        <w:rPr>
          <w:rFonts w:hint="eastAsia" w:asciiTheme="minorEastAsia" w:hAnsiTheme="minorEastAsia" w:eastAsiaTheme="minorEastAsia"/>
          <w:sz w:val="24"/>
          <w:highlight w:val="none"/>
          <w:lang w:val="en-US" w:eastAsia="zh-CN"/>
        </w:rPr>
        <w:t>由买方指定的</w:t>
      </w:r>
      <w:r>
        <w:rPr>
          <w:rFonts w:hint="eastAsia" w:asciiTheme="minorEastAsia" w:hAnsiTheme="minorEastAsia" w:eastAsiaTheme="minorEastAsia"/>
          <w:sz w:val="24"/>
          <w:highlight w:val="none"/>
          <w:lang w:eastAsia="zh-CN"/>
        </w:rPr>
        <w:t>船级社</w:t>
      </w:r>
      <w:r>
        <w:rPr>
          <w:rFonts w:hint="eastAsia" w:asciiTheme="minorEastAsia" w:hAnsiTheme="minorEastAsia" w:eastAsiaTheme="minorEastAsia"/>
          <w:sz w:val="24"/>
          <w:highlight w:val="none"/>
          <w:lang w:val="en-US" w:eastAsia="zh-CN"/>
        </w:rPr>
        <w:t>进行</w:t>
      </w:r>
      <w:r>
        <w:rPr>
          <w:rFonts w:hint="eastAsia" w:asciiTheme="minorEastAsia" w:hAnsiTheme="minorEastAsia" w:eastAsiaTheme="minorEastAsia"/>
          <w:sz w:val="24"/>
          <w:highlight w:val="none"/>
          <w:lang w:eastAsia="zh-CN"/>
        </w:rPr>
        <w:t>第三方检验（</w:t>
      </w:r>
      <w:r>
        <w:rPr>
          <w:rFonts w:hint="default" w:ascii="Times New Roman" w:hAnsi="Times New Roman" w:cs="Times New Roman" w:eastAsiaTheme="minorEastAsia"/>
          <w:sz w:val="24"/>
          <w:highlight w:val="none"/>
          <w:lang w:val="en-US" w:eastAsia="zh-CN"/>
        </w:rPr>
        <w:t>ABS、DNV、BV或CCS</w:t>
      </w:r>
      <w:r>
        <w:rPr>
          <w:rFonts w:hint="eastAsia" w:ascii="Times New Roman" w:hAnsi="Times New Roman" w:cs="Times New Roman" w:eastAsiaTheme="minorEastAsia"/>
          <w:sz w:val="24"/>
          <w:highlight w:val="none"/>
          <w:lang w:val="en-US" w:eastAsia="zh-CN"/>
        </w:rPr>
        <w:t>，其一即可</w:t>
      </w:r>
      <w:r>
        <w:rPr>
          <w:rFonts w:hint="eastAsia" w:asciiTheme="minorEastAsia" w:hAnsiTheme="minorEastAsia" w:eastAsiaTheme="minorEastAsia"/>
          <w:sz w:val="24"/>
          <w:highlight w:val="none"/>
          <w:lang w:eastAsia="zh-CN"/>
        </w:rPr>
        <w:t>），并提供船级社检验认证证书；</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泵发货前，</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需要向</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方单独递交出厂验收资料（不随泵发）的纸质版原件与电子扫描件，包括出厂合格证书（产品质量合格证书）、材质证明（材质化验报告）、泵安装与操作使用说明书（含用润滑油型号）、船级社检验认证证书、</w:t>
      </w:r>
      <w:r>
        <w:rPr>
          <w:rFonts w:hint="eastAsia" w:asciiTheme="minorEastAsia" w:hAnsiTheme="minorEastAsia" w:eastAsiaTheme="minorEastAsia"/>
          <w:sz w:val="24"/>
          <w:highlight w:val="none"/>
          <w:lang w:val="en-US" w:eastAsia="zh-CN"/>
        </w:rPr>
        <w:t>防爆证书、</w:t>
      </w:r>
      <w:r>
        <w:rPr>
          <w:rFonts w:hint="eastAsia" w:asciiTheme="minorEastAsia" w:hAnsiTheme="minorEastAsia" w:eastAsiaTheme="minorEastAsia"/>
          <w:sz w:val="24"/>
          <w:highlight w:val="none"/>
          <w:lang w:eastAsia="zh-CN"/>
        </w:rPr>
        <w:t>防护证书、发货清单等；</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所有递交文件应满足“二、需求一览表”中“2.2供货界面”的要求；</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在</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方对泵出厂检验和对</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应递交的文件检验均合格后，</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经</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方确认方可发货，提供发货信息和包装、装车照片。</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九、技术服务与售后服务</w:t>
      </w:r>
    </w:p>
    <w:p>
      <w:pPr>
        <w:spacing w:line="300" w:lineRule="auto"/>
        <w:ind w:firstLine="480" w:firstLineChars="200"/>
        <w:rPr>
          <w:rFonts w:asciiTheme="minorEastAsia" w:hAnsiTheme="minorEastAsia"/>
          <w:bCs/>
          <w:sz w:val="24"/>
          <w:highlight w:val="none"/>
        </w:rPr>
      </w:pPr>
      <w:bookmarkStart w:id="11" w:name="_Toc449539363"/>
      <w:bookmarkStart w:id="12" w:name="_Toc483236638"/>
      <w:bookmarkStart w:id="13" w:name="_Toc479169661"/>
      <w:bookmarkStart w:id="14" w:name="_Toc479169925"/>
      <w:bookmarkStart w:id="15" w:name="_Toc448326381"/>
      <w:bookmarkStart w:id="16" w:name="_Toc479149504"/>
      <w:r>
        <w:rPr>
          <w:rFonts w:asciiTheme="minorEastAsia" w:hAnsiTheme="minorEastAsia"/>
          <w:bCs/>
          <w:sz w:val="24"/>
          <w:highlight w:val="none"/>
        </w:rPr>
        <w:t>1</w:t>
      </w:r>
      <w:r>
        <w:rPr>
          <w:rFonts w:hint="eastAsia" w:asciiTheme="minorEastAsia" w:hAnsiTheme="minorEastAsia"/>
          <w:bCs/>
          <w:sz w:val="24"/>
          <w:highlight w:val="none"/>
        </w:rPr>
        <w:t>、技术服务</w:t>
      </w:r>
      <w:bookmarkEnd w:id="11"/>
      <w:bookmarkEnd w:id="12"/>
      <w:bookmarkEnd w:id="13"/>
      <w:bookmarkEnd w:id="14"/>
      <w:bookmarkEnd w:id="15"/>
      <w:bookmarkEnd w:id="16"/>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卖方应提供现场调试安装需要的特殊工具和消耗品，对提供的所有设备（包括分包商提供的配套件）的安装、调试和开车提供免费技术指导。</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当买方通知卖方要投产运行时，卖方应派有经验的工程师进行现场服务，提供必要的技术支持，并监督试运和运行工作。并向买方提供预定工程师的简历以征得卖方认可，买方有权否决卖方所派人员，指定替换人员。</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卖方有责任赔偿由于服务人员履行职责期间疏忽大意而造成人员及设备的损失费用。</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服务人员在现场有以下责任和义务（但不限于如下）：①设备到达现场后的开箱检查及验收工作；②指导装配安装工作；③指导检查安装找正工作；④指导泵组仪表的调试工作；⑤指导、判断泵组是否具备开车条件；⑥指导泵组的调试及试车工作。</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泵组在现场安装、调试、试车过程中，卖方服务人员应在现场提供技术支持，在买方没有最终书面签字确认服务结束之前，卖方服务人员不得擅自离开。</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调试过程中技术服务的费用由卖方承担。</w:t>
      </w:r>
    </w:p>
    <w:p>
      <w:pPr>
        <w:keepNext w:val="0"/>
        <w:keepLines w:val="0"/>
        <w:pageBreakBefore w:val="0"/>
        <w:kinsoku/>
        <w:wordWrap/>
        <w:overflowPunct/>
        <w:topLinePunct w:val="0"/>
        <w:autoSpaceDE/>
        <w:autoSpaceDN/>
        <w:bidi w:val="0"/>
        <w:adjustRightInd/>
        <w:snapToGrid/>
        <w:spacing w:line="300" w:lineRule="auto"/>
        <w:ind w:left="1020" w:leftChars="200" w:hanging="600" w:hangingChars="250"/>
        <w:jc w:val="both"/>
        <w:textAlignment w:val="auto"/>
        <w:rPr>
          <w:rFonts w:asciiTheme="minorEastAsia" w:hAnsiTheme="minorEastAsia"/>
          <w:bCs/>
          <w:sz w:val="24"/>
          <w:highlight w:val="none"/>
        </w:rPr>
      </w:pPr>
      <w:bookmarkStart w:id="17" w:name="_Toc449539365"/>
      <w:bookmarkStart w:id="18" w:name="_Toc448326385"/>
      <w:bookmarkStart w:id="19" w:name="_Toc479169663"/>
      <w:bookmarkStart w:id="20" w:name="_Toc479149506"/>
      <w:bookmarkStart w:id="21" w:name="_Toc479169927"/>
      <w:bookmarkStart w:id="22" w:name="_Toc483236639"/>
      <w:r>
        <w:rPr>
          <w:rFonts w:asciiTheme="minorEastAsia" w:hAnsiTheme="minorEastAsia"/>
          <w:bCs/>
          <w:sz w:val="24"/>
          <w:highlight w:val="none"/>
        </w:rPr>
        <w:t>2</w:t>
      </w:r>
      <w:r>
        <w:rPr>
          <w:rFonts w:hint="eastAsia" w:asciiTheme="minorEastAsia" w:hAnsiTheme="minorEastAsia"/>
          <w:bCs/>
          <w:sz w:val="24"/>
          <w:highlight w:val="none"/>
        </w:rPr>
        <w:t>、售后服务</w:t>
      </w:r>
      <w:bookmarkEnd w:id="17"/>
      <w:bookmarkEnd w:id="18"/>
      <w:bookmarkEnd w:id="19"/>
      <w:bookmarkEnd w:id="20"/>
      <w:bookmarkEnd w:id="21"/>
      <w:bookmarkEnd w:id="22"/>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卖方在货物清关和商检过程中，依据国家的有关规定和买方的要求，提供货物单据、证明材料等文件，配合买方办理通关商检。</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卖方在中华人民共和国境内常设服务机构，应昼夜24小时提供足够的备品、备件和技术服务。</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当设备出现故障或不能满足买方要求时，卖方应按买方要求排除故障，直到买方满意为止。</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在保修期内，当设备需要维修或更换部件时，在买方的要求下，卖方应派有经验的工程师到现场进行技术支持。</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当买方需要供货商提供服务时，卖方在获得信息后应在12小时内作出答复，(如必要)在24小时内派服务工程师到现场。确需国外派员时不超过5天。</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在质保期内，卖方负责对买方提出的质量异疑做出书面明确答复。确属质量问题时，卖方应及时采取保护措施且负责免费更换。并相应延长其保质期。</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在合同规定的质保期内，因卖方原因导致的产品损坏，卖方负全责。</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产品寿命期内，卖方应确保所有零备件的供应。</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卖方对零备件的供应，国内调配时间不超过48小时，国外调配时间不超过20天。</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十、质量保证</w:t>
      </w:r>
    </w:p>
    <w:bookmarkEnd w:id="5"/>
    <w:bookmarkEnd w:id="6"/>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bookmarkStart w:id="23" w:name="_Toc13248931"/>
      <w:bookmarkStart w:id="24" w:name="_Toc13249328"/>
      <w:r>
        <w:rPr>
          <w:rFonts w:hint="eastAsia" w:asciiTheme="minorEastAsia" w:hAnsiTheme="minorEastAsia"/>
          <w:sz w:val="24"/>
          <w:szCs w:val="24"/>
          <w:highlight w:val="none"/>
          <w:lang w:val="en-US" w:eastAsia="zh-CN"/>
        </w:rPr>
        <w:t>卖方应保证所供设备设计满足业主所提供的工艺参数的要求，并对所提供的设备负全面技术责任。</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卖方为买方提供所选用的设计方案，并回答买方提出的有关问题，提供有关技术资料。</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负责指导设备的安装、投产、现场性能测试、现场服务。泵组保证质量，泵体设计寿命20年以上，泵组在正常维护前提下连续运转不低于25000小时，机械密封的保证使用寿命为25000小时，轴承的保证使用寿命为25000小时，卖方承诺泵到现场免于解体。按双方确定的验收标准，达到要求后，移交业主管理。</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应保证：在现场验收后12个月质保期和保修期内，设备的设计制造不存在任何缺陷，如在保证期内发现设备有任何不良性能或出现缺陷，卖方应保证给予必要的变更、维修和更换，上述一切费用连同现场劳务费用均应由卖方承担。</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保证期应持续至设备正式投产之日算起12个月。</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在质保期内，如因产品有问题造成停机或无法投用，质保期期限将相应延长，延长计算方法为：由于卖方原因引起的停机或无法投用，每次凡是超过一天的，质保期便按照停机或无法投用的时间作相应的延长；</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卖方对本技术规格书的确认，卖方应对本招标文件的技术条款逐条作出响应和说明，并填写技术条款偏差表，对每一项，卖方必须在适当的框内画上记号，没有说明或不回答的条款将被视为确认。</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十一</w:t>
      </w:r>
      <w:r>
        <w:rPr>
          <w:rFonts w:cs="Times New Roman" w:asciiTheme="minorEastAsia" w:hAnsiTheme="minorEastAsia" w:eastAsiaTheme="minorEastAsia"/>
          <w:bCs/>
          <w:color w:val="auto"/>
          <w:sz w:val="32"/>
          <w:szCs w:val="32"/>
          <w:highlight w:val="none"/>
        </w:rPr>
        <w:t>、</w:t>
      </w:r>
      <w:r>
        <w:rPr>
          <w:rFonts w:hint="eastAsia" w:cs="Times New Roman" w:asciiTheme="minorEastAsia" w:hAnsiTheme="minorEastAsia" w:eastAsiaTheme="minorEastAsia"/>
          <w:bCs/>
          <w:color w:val="auto"/>
          <w:sz w:val="32"/>
          <w:szCs w:val="32"/>
          <w:highlight w:val="none"/>
        </w:rPr>
        <w:t>其他</w:t>
      </w:r>
      <w:r>
        <w:rPr>
          <w:rFonts w:cs="Times New Roman" w:asciiTheme="minorEastAsia" w:hAnsiTheme="minorEastAsia" w:eastAsiaTheme="minorEastAsia"/>
          <w:bCs/>
          <w:color w:val="auto"/>
          <w:sz w:val="32"/>
          <w:szCs w:val="32"/>
          <w:highlight w:val="none"/>
        </w:rPr>
        <w:t>要求</w:t>
      </w:r>
      <w:bookmarkEnd w:id="23"/>
      <w:bookmarkEnd w:id="24"/>
    </w:p>
    <w:p>
      <w:pPr>
        <w:pStyle w:val="10"/>
        <w:numPr>
          <w:ilvl w:val="0"/>
          <w:numId w:val="17"/>
        </w:numPr>
        <w:spacing w:line="300" w:lineRule="auto"/>
        <w:ind w:right="122" w:firstLineChars="0"/>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付款方式：银行电汇。</w:t>
      </w:r>
    </w:p>
    <w:p>
      <w:pPr>
        <w:pStyle w:val="55"/>
        <w:spacing w:before="120" w:after="120" w:line="300" w:lineRule="auto"/>
        <w:outlineLvl w:val="0"/>
        <w:rPr>
          <w:rFonts w:hint="default" w:cs="Times New Roman" w:asciiTheme="minorEastAsia" w:hAnsiTheme="minorEastAsia" w:eastAsiaTheme="minorEastAsia"/>
          <w:bCs/>
          <w:color w:val="auto"/>
          <w:sz w:val="32"/>
          <w:szCs w:val="32"/>
          <w:highlight w:val="none"/>
          <w:lang w:val="en-US" w:eastAsia="zh-CN"/>
        </w:rPr>
      </w:pPr>
      <w:r>
        <w:rPr>
          <w:rFonts w:hint="eastAsia" w:cs="Times New Roman" w:asciiTheme="minorEastAsia" w:hAnsiTheme="minorEastAsia" w:eastAsiaTheme="minorEastAsia"/>
          <w:bCs/>
          <w:color w:val="auto"/>
          <w:sz w:val="32"/>
          <w:szCs w:val="32"/>
          <w:highlight w:val="none"/>
        </w:rPr>
        <w:t>附件：</w:t>
      </w:r>
      <w:r>
        <w:rPr>
          <w:rFonts w:hint="eastAsia" w:asciiTheme="minorEastAsia" w:hAnsiTheme="minorEastAsia" w:eastAsiaTheme="minorEastAsia" w:cstheme="minorBidi"/>
          <w:color w:val="auto"/>
          <w:kern w:val="0"/>
          <w:sz w:val="24"/>
          <w:szCs w:val="21"/>
          <w:highlight w:val="none"/>
          <w:lang w:val="en-US" w:eastAsia="zh-CN" w:bidi="ar-SA"/>
        </w:rPr>
        <w:t>引用标准、规格书和数据表</w:t>
      </w: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4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textAlignment w:val="auto"/>
        <w:outlineLvl w:val="9"/>
        <w:rPr>
          <w:rFonts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3： </w:t>
      </w:r>
      <w:r>
        <w:rPr>
          <w:rFonts w:hint="eastAsia" w:ascii="黑体" w:hAnsi="黑体" w:eastAsia="黑体"/>
          <w:b/>
          <w:bCs/>
          <w:color w:val="000000" w:themeColor="text1"/>
          <w:sz w:val="24"/>
          <w:szCs w:val="24"/>
          <w:highlight w:val="none"/>
          <w14:textFill>
            <w14:solidFill>
              <w14:schemeClr w14:val="tx1"/>
            </w14:solidFill>
          </w14:textFill>
        </w:rPr>
        <w:t>合同</w:t>
      </w:r>
      <w:r>
        <w:rPr>
          <w:rFonts w:ascii="黑体" w:hAnsi="黑体" w:eastAsia="黑体"/>
          <w:b/>
          <w:bCs/>
          <w:color w:val="000000" w:themeColor="text1"/>
          <w:sz w:val="24"/>
          <w:szCs w:val="24"/>
          <w:highlight w:val="none"/>
          <w14:textFill>
            <w14:solidFill>
              <w14:schemeClr w14:val="tx1"/>
            </w14:solidFill>
          </w14:textFill>
        </w:rPr>
        <w:t>文本</w:t>
      </w:r>
    </w:p>
    <w:p>
      <w:pPr>
        <w:spacing w:before="93" w:beforeLines="30" w:after="93" w:afterLines="30"/>
        <w:jc w:val="center"/>
        <w:rPr>
          <w:rFonts w:hAnsi="宋体"/>
          <w:b/>
          <w:bCs/>
          <w:sz w:val="36"/>
          <w:szCs w:val="36"/>
        </w:rPr>
      </w:pPr>
      <w:r>
        <w:rPr>
          <w:rFonts w:hint="eastAsia" w:hAnsi="宋体"/>
          <w:b/>
          <w:bCs/>
          <w:sz w:val="36"/>
          <w:szCs w:val="36"/>
        </w:rPr>
        <w:t>天津院低温精馏回流泵采购货物买卖合同</w:t>
      </w:r>
    </w:p>
    <w:p>
      <w:pPr>
        <w:spacing w:after="100" w:afterAutospacing="1"/>
        <w:jc w:val="center"/>
        <w:rPr>
          <w:rFonts w:hAnsi="宋体"/>
          <w:bCs/>
          <w:szCs w:val="21"/>
          <w:u w:val="single"/>
        </w:rPr>
      </w:pPr>
      <w:r>
        <w:rPr>
          <w:rFonts w:hint="eastAsia" w:hAnsi="宋体"/>
          <w:bCs/>
          <w:sz w:val="24"/>
        </w:rPr>
        <w:t xml:space="preserve">                                      </w:t>
      </w:r>
      <w:r>
        <w:rPr>
          <w:rFonts w:hint="eastAsia" w:hAnsi="宋体"/>
          <w:bCs/>
          <w:szCs w:val="21"/>
        </w:rPr>
        <w:t>合同编号：</w:t>
      </w:r>
      <w:r>
        <w:rPr>
          <w:szCs w:val="21"/>
          <w:u w:val="single"/>
        </w:rPr>
        <w:t xml:space="preserve"> </w:t>
      </w:r>
      <w:r>
        <w:rPr>
          <w:rFonts w:hint="eastAsia" w:hAnsi="宋体"/>
          <w:bCs/>
          <w:szCs w:val="21"/>
          <w:u w:val="single"/>
        </w:rPr>
        <w:t xml:space="preserve">  </w:t>
      </w:r>
    </w:p>
    <w:p>
      <w:pPr>
        <w:pStyle w:val="17"/>
        <w:spacing w:before="93" w:beforeLines="30" w:after="93" w:afterLines="30"/>
        <w:rPr>
          <w:sz w:val="24"/>
        </w:rPr>
      </w:pPr>
      <w:r>
        <w:rPr>
          <w:rFonts w:hint="eastAsia"/>
          <w:sz w:val="24"/>
        </w:rPr>
        <w:t>本货物买卖合同（以下称“合同”或“本合同”）由以下双方于【</w:t>
      </w:r>
      <w:r>
        <w:rPr>
          <w:rFonts w:hint="eastAsia"/>
          <w:i/>
          <w:sz w:val="24"/>
          <w:lang w:val="en-US" w:eastAsia="zh-CN"/>
        </w:rPr>
        <w:t xml:space="preserve"> </w:t>
      </w:r>
      <w:r>
        <w:rPr>
          <w:rFonts w:hint="eastAsia"/>
          <w:i/>
          <w:sz w:val="24"/>
        </w:rPr>
        <w:t xml:space="preserve">年 </w:t>
      </w:r>
      <w:r>
        <w:rPr>
          <w:rFonts w:hint="eastAsia"/>
          <w:i/>
          <w:sz w:val="24"/>
          <w:lang w:val="en-US" w:eastAsia="zh-CN"/>
        </w:rPr>
        <w:t xml:space="preserve"> </w:t>
      </w:r>
      <w:r>
        <w:rPr>
          <w:rFonts w:hint="eastAsia"/>
          <w:i/>
          <w:sz w:val="24"/>
        </w:rPr>
        <w:t xml:space="preserve">月 </w:t>
      </w:r>
      <w:r>
        <w:rPr>
          <w:rFonts w:hint="eastAsia"/>
          <w:sz w:val="24"/>
        </w:rPr>
        <w:t>】在【</w:t>
      </w:r>
      <w:r>
        <w:rPr>
          <w:rFonts w:hint="eastAsia"/>
          <w:sz w:val="24"/>
          <w:lang w:val="en-US" w:eastAsia="zh-CN"/>
        </w:rPr>
        <w:t>天津</w:t>
      </w:r>
      <w:r>
        <w:rPr>
          <w:rFonts w:hint="eastAsia"/>
          <w:sz w:val="24"/>
        </w:rPr>
        <w:t>】签署。</w:t>
      </w:r>
    </w:p>
    <w:p>
      <w:pPr>
        <w:pStyle w:val="17"/>
        <w:spacing w:before="93" w:beforeLines="30" w:after="93" w:afterLines="30"/>
        <w:rPr>
          <w:rFonts w:hAnsi="宋体"/>
          <w:sz w:val="24"/>
        </w:rPr>
      </w:pPr>
      <w:r>
        <w:rPr>
          <w:rFonts w:hint="eastAsia" w:hAnsi="宋体"/>
          <w:sz w:val="24"/>
        </w:rPr>
        <w:t xml:space="preserve">买    方：中海油天津化工研究设计院有限公司  </w:t>
      </w:r>
    </w:p>
    <w:p>
      <w:pPr>
        <w:pStyle w:val="17"/>
        <w:spacing w:before="93" w:beforeLines="30" w:after="93" w:afterLines="30"/>
        <w:rPr>
          <w:rFonts w:hAnsi="宋体"/>
          <w:sz w:val="24"/>
          <w:highlight w:val="none"/>
        </w:rPr>
      </w:pPr>
      <w:r>
        <w:rPr>
          <w:rFonts w:hint="eastAsia" w:hAnsi="宋体"/>
          <w:sz w:val="24"/>
        </w:rPr>
        <w:t xml:space="preserve">注册地址： </w:t>
      </w:r>
      <w:r>
        <w:rPr>
          <w:rFonts w:hint="eastAsia"/>
          <w:b w:val="0"/>
          <w:bCs/>
          <w:color w:val="auto"/>
          <w:sz w:val="24"/>
          <w:highlight w:val="none"/>
          <w:lang w:eastAsia="zh-CN"/>
        </w:rPr>
        <w:t>天津市红桥区丁字沽三号路85号</w:t>
      </w:r>
      <w:r>
        <w:rPr>
          <w:rFonts w:hint="eastAsia" w:hAnsi="宋体"/>
          <w:sz w:val="24"/>
          <w:highlight w:val="none"/>
        </w:rPr>
        <w:t xml:space="preserve">     </w:t>
      </w:r>
    </w:p>
    <w:p>
      <w:pPr>
        <w:pStyle w:val="17"/>
        <w:spacing w:before="93" w:beforeLines="30" w:after="93" w:afterLines="30"/>
        <w:rPr>
          <w:rFonts w:hAnsi="宋体"/>
          <w:sz w:val="24"/>
        </w:rPr>
      </w:pPr>
    </w:p>
    <w:p>
      <w:pPr>
        <w:pStyle w:val="17"/>
        <w:spacing w:before="93" w:beforeLines="30" w:after="93" w:afterLines="30"/>
        <w:rPr>
          <w:rFonts w:hAnsi="宋体"/>
          <w:sz w:val="24"/>
        </w:rPr>
      </w:pPr>
      <w:r>
        <w:rPr>
          <w:rFonts w:hint="eastAsia" w:hAnsi="宋体"/>
          <w:sz w:val="24"/>
        </w:rPr>
        <w:t xml:space="preserve">卖  方：      </w:t>
      </w:r>
    </w:p>
    <w:p>
      <w:pPr>
        <w:pStyle w:val="17"/>
        <w:spacing w:before="93" w:beforeLines="30" w:after="93" w:afterLines="30"/>
        <w:rPr>
          <w:rFonts w:hint="eastAsia" w:hAnsi="宋体"/>
          <w:sz w:val="24"/>
          <w:highlight w:val="none"/>
        </w:rPr>
      </w:pPr>
      <w:r>
        <w:rPr>
          <w:rFonts w:hint="eastAsia" w:hAnsi="宋体"/>
          <w:sz w:val="24"/>
          <w:highlight w:val="none"/>
        </w:rPr>
        <w:t xml:space="preserve">注册地址： </w:t>
      </w:r>
    </w:p>
    <w:p>
      <w:pPr>
        <w:pStyle w:val="17"/>
        <w:spacing w:before="93" w:beforeLines="30" w:after="93" w:afterLines="30"/>
        <w:rPr>
          <w:sz w:val="24"/>
        </w:rPr>
      </w:pPr>
      <w:r>
        <w:rPr>
          <w:rFonts w:hint="eastAsia" w:hAnsi="宋体"/>
          <w:sz w:val="24"/>
        </w:rPr>
        <w:t>根据《中华人民共和国民法典》及相关法律法规的规定，</w:t>
      </w:r>
      <w:r>
        <w:rPr>
          <w:rFonts w:hAnsi="宋体"/>
          <w:sz w:val="24"/>
        </w:rPr>
        <w:t>就</w:t>
      </w:r>
      <w:r>
        <w:rPr>
          <w:rFonts w:hint="eastAsia"/>
          <w:sz w:val="24"/>
        </w:rPr>
        <w:t>【</w:t>
      </w:r>
      <w:r>
        <w:rPr>
          <w:rFonts w:hint="eastAsia"/>
          <w:i/>
          <w:sz w:val="24"/>
        </w:rPr>
        <w:t>低温精馏回流泵采购</w:t>
      </w:r>
      <w:r>
        <w:rPr>
          <w:rFonts w:hint="eastAsia"/>
          <w:sz w:val="24"/>
        </w:rPr>
        <w:t>】</w:t>
      </w:r>
      <w:r>
        <w:rPr>
          <w:rFonts w:hint="eastAsia" w:hAnsi="宋体"/>
          <w:sz w:val="24"/>
        </w:rPr>
        <w:t>的采购和销售及</w:t>
      </w:r>
      <w:r>
        <w:rPr>
          <w:rFonts w:hAnsi="宋体"/>
          <w:sz w:val="24"/>
        </w:rPr>
        <w:t>相关事宜，</w:t>
      </w:r>
      <w:r>
        <w:rPr>
          <w:rFonts w:hint="eastAsia" w:hAnsi="宋体"/>
          <w:sz w:val="24"/>
        </w:rPr>
        <w:t>经协商一致，双方</w:t>
      </w:r>
      <w:r>
        <w:rPr>
          <w:rFonts w:hAnsi="宋体"/>
          <w:sz w:val="24"/>
        </w:rPr>
        <w:t>达成如下</w:t>
      </w:r>
      <w:r>
        <w:rPr>
          <w:rFonts w:hint="eastAsia" w:hAnsi="宋体"/>
          <w:sz w:val="24"/>
        </w:rPr>
        <w:t>合同条款，以兹共同遵守。</w:t>
      </w:r>
    </w:p>
    <w:p>
      <w:pPr>
        <w:pStyle w:val="18"/>
        <w:numPr>
          <w:ilvl w:val="0"/>
          <w:numId w:val="18"/>
        </w:numPr>
        <w:spacing w:before="93" w:beforeLines="30" w:after="93" w:afterLines="30" w:line="360" w:lineRule="auto"/>
        <w:ind w:left="851" w:hanging="851"/>
        <w:jc w:val="left"/>
        <w:rPr>
          <w:sz w:val="24"/>
        </w:rPr>
      </w:pPr>
      <w:bookmarkStart w:id="25" w:name="_Toc306354308"/>
      <w:r>
        <w:rPr>
          <w:sz w:val="24"/>
          <w:szCs w:val="24"/>
        </w:rPr>
        <w:t>合同标的</w:t>
      </w:r>
      <w:bookmarkEnd w:id="25"/>
    </w:p>
    <w:p>
      <w:pPr>
        <w:numPr>
          <w:ilvl w:val="0"/>
          <w:numId w:val="19"/>
        </w:numPr>
        <w:tabs>
          <w:tab w:val="left" w:pos="567"/>
          <w:tab w:val="clear" w:pos="2278"/>
        </w:tabs>
        <w:spacing w:before="93" w:beforeLines="30" w:after="93" w:afterLines="30" w:line="360" w:lineRule="auto"/>
        <w:ind w:left="567" w:hanging="567"/>
        <w:rPr>
          <w:rFonts w:hAnsi="宋体"/>
          <w:sz w:val="24"/>
        </w:rPr>
      </w:pPr>
      <w:bookmarkStart w:id="26" w:name="OLE_LINK18"/>
      <w:bookmarkStart w:id="27" w:name="OLE_LINK20"/>
      <w:bookmarkStart w:id="28" w:name="OLE_LINK21"/>
      <w:bookmarkStart w:id="29" w:name="OLE_LINK26"/>
      <w:bookmarkStart w:id="30" w:name="OLE_LINK23"/>
      <w:bookmarkStart w:id="31" w:name="OLE_LINK17"/>
      <w:bookmarkStart w:id="32" w:name="OLE_LINK14"/>
      <w:bookmarkStart w:id="33" w:name="OLE_LINK19"/>
      <w:bookmarkStart w:id="34" w:name="OLE_LINK22"/>
      <w:bookmarkStart w:id="35" w:name="OLE_LINK16"/>
      <w:bookmarkStart w:id="36" w:name="OLE_LINK13"/>
      <w:bookmarkStart w:id="37" w:name="OLE_LINK10"/>
      <w:bookmarkStart w:id="38" w:name="OLE_LINK24"/>
      <w:bookmarkStart w:id="39" w:name="OLE_LINK25"/>
      <w:bookmarkStart w:id="40" w:name="OLE_LINK15"/>
      <w:bookmarkStart w:id="41" w:name="OLE_LINK9"/>
      <w:r>
        <w:rPr>
          <w:rFonts w:hint="eastAsia"/>
          <w:sz w:val="24"/>
        </w:rPr>
        <w:t>卖方向买方供应的货物的名称、数量、型号、规格</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sz w:val="24"/>
        </w:rPr>
        <w:t>、单价、原产地等【详见本合同附件一】</w:t>
      </w:r>
      <w:r>
        <w:rPr>
          <w:rFonts w:hint="eastAsia"/>
          <w:sz w:val="24"/>
          <w:lang w:eastAsia="zh-CN"/>
        </w:rPr>
        <w:t>。</w:t>
      </w:r>
    </w:p>
    <w:p>
      <w:pPr>
        <w:numPr>
          <w:ilvl w:val="0"/>
          <w:numId w:val="19"/>
        </w:numPr>
        <w:tabs>
          <w:tab w:val="left" w:pos="567"/>
          <w:tab w:val="clear" w:pos="2278"/>
        </w:tabs>
        <w:spacing w:before="93" w:beforeLines="30" w:after="93" w:afterLines="30" w:line="360" w:lineRule="auto"/>
        <w:ind w:left="567" w:hanging="567"/>
        <w:rPr>
          <w:rFonts w:hAnsi="宋体"/>
          <w:sz w:val="24"/>
        </w:rPr>
      </w:pPr>
      <w:r>
        <w:rPr>
          <w:rFonts w:hint="eastAsia" w:hAnsi="宋体"/>
          <w:sz w:val="24"/>
        </w:rPr>
        <w:t>买方应根据本合同的规定向卖方购买货物，并支付合同总价，卖方应根据本合同的规定向买方出售、交付货物并提供与货物使用和安装相关的技术资料和技术服务。</w:t>
      </w:r>
    </w:p>
    <w:p>
      <w:pPr>
        <w:numPr>
          <w:ilvl w:val="0"/>
          <w:numId w:val="19"/>
        </w:numPr>
        <w:tabs>
          <w:tab w:val="left" w:pos="567"/>
          <w:tab w:val="clear" w:pos="2278"/>
        </w:tabs>
        <w:spacing w:before="93" w:beforeLines="30" w:after="93" w:afterLines="30" w:line="360" w:lineRule="auto"/>
        <w:ind w:left="567" w:hanging="567"/>
        <w:rPr>
          <w:rFonts w:hAnsi="宋体"/>
          <w:sz w:val="24"/>
        </w:rPr>
      </w:pPr>
      <w:r>
        <w:rPr>
          <w:rFonts w:hint="eastAsia" w:hAnsi="宋体"/>
          <w:sz w:val="24"/>
        </w:rPr>
        <w:t>货物</w:t>
      </w:r>
      <w:r>
        <w:rPr>
          <w:rFonts w:hAnsi="宋体"/>
          <w:sz w:val="24"/>
        </w:rPr>
        <w:t>将用于</w:t>
      </w:r>
      <w:r>
        <w:rPr>
          <w:rFonts w:hint="eastAsia" w:hAnsi="宋体"/>
          <w:sz w:val="24"/>
        </w:rPr>
        <w:t>【</w:t>
      </w:r>
      <w:r>
        <w:rPr>
          <w:rFonts w:hint="eastAsia" w:hAnsi="宋体"/>
          <w:sz w:val="24"/>
          <w:lang w:val="en-US" w:eastAsia="zh-CN"/>
        </w:rPr>
        <w:t>低温精馏回流泵采购</w:t>
      </w:r>
      <w:r>
        <w:rPr>
          <w:rFonts w:hint="eastAsia" w:hAnsi="宋体"/>
          <w:sz w:val="24"/>
        </w:rPr>
        <w:t>】</w:t>
      </w:r>
      <w:r>
        <w:rPr>
          <w:rFonts w:hAnsi="宋体"/>
          <w:sz w:val="24"/>
        </w:rPr>
        <w:t>。</w:t>
      </w:r>
    </w:p>
    <w:p>
      <w:pPr>
        <w:pStyle w:val="18"/>
        <w:numPr>
          <w:ilvl w:val="0"/>
          <w:numId w:val="18"/>
        </w:numPr>
        <w:spacing w:before="93" w:beforeLines="30" w:after="93" w:afterLines="30" w:line="360" w:lineRule="auto"/>
        <w:ind w:left="851" w:hanging="851"/>
        <w:jc w:val="left"/>
        <w:rPr>
          <w:sz w:val="24"/>
          <w:szCs w:val="24"/>
        </w:rPr>
      </w:pPr>
      <w:bookmarkStart w:id="42" w:name="_Toc306354309"/>
      <w:r>
        <w:rPr>
          <w:sz w:val="24"/>
          <w:szCs w:val="24"/>
        </w:rPr>
        <w:t>合同</w:t>
      </w:r>
      <w:r>
        <w:rPr>
          <w:rFonts w:hint="eastAsia"/>
          <w:sz w:val="24"/>
          <w:szCs w:val="24"/>
        </w:rPr>
        <w:t>总价</w:t>
      </w:r>
      <w:bookmarkEnd w:id="42"/>
    </w:p>
    <w:p>
      <w:pPr>
        <w:numPr>
          <w:ilvl w:val="0"/>
          <w:numId w:val="20"/>
        </w:numPr>
        <w:tabs>
          <w:tab w:val="left" w:pos="567"/>
          <w:tab w:val="clear" w:pos="840"/>
        </w:tabs>
        <w:spacing w:before="93" w:beforeLines="30" w:after="93" w:afterLines="30" w:line="360" w:lineRule="auto"/>
        <w:ind w:left="567" w:hanging="567"/>
        <w:rPr>
          <w:sz w:val="24"/>
        </w:rPr>
      </w:pPr>
      <w:r>
        <w:rPr>
          <w:rFonts w:hint="eastAsia"/>
          <w:sz w:val="24"/>
        </w:rPr>
        <w:t>双方经协商一致，最终确定合同总价为</w:t>
      </w:r>
      <w:r>
        <w:rPr>
          <w:sz w:val="24"/>
        </w:rPr>
        <w:t>【</w:t>
      </w:r>
      <w:r>
        <w:rPr>
          <w:rFonts w:hint="eastAsia"/>
          <w:i/>
          <w:sz w:val="24"/>
        </w:rPr>
        <w:t>RMB</w:t>
      </w:r>
      <w:r>
        <w:rPr>
          <w:sz w:val="24"/>
        </w:rPr>
        <w:t>】</w:t>
      </w:r>
      <w:r>
        <w:rPr>
          <w:rFonts w:hint="eastAsia"/>
          <w:sz w:val="24"/>
        </w:rPr>
        <w:t>【</w:t>
      </w:r>
      <w:r>
        <w:rPr>
          <w:rFonts w:hint="eastAsia"/>
          <w:i/>
          <w:sz w:val="24"/>
          <w:lang w:val="en-US" w:eastAsia="zh-CN"/>
        </w:rPr>
        <w:t>元</w:t>
      </w:r>
      <w:r>
        <w:rPr>
          <w:rFonts w:hint="eastAsia"/>
          <w:sz w:val="24"/>
        </w:rPr>
        <w:t>】</w:t>
      </w:r>
      <w:r>
        <w:rPr>
          <w:sz w:val="24"/>
        </w:rPr>
        <w:t>（大写：【</w:t>
      </w:r>
      <w:r>
        <w:rPr>
          <w:rFonts w:hint="eastAsia"/>
          <w:i/>
          <w:sz w:val="24"/>
        </w:rPr>
        <w:t>人民币</w:t>
      </w:r>
      <w:r>
        <w:rPr>
          <w:sz w:val="24"/>
        </w:rPr>
        <w:t>】</w:t>
      </w:r>
      <w:r>
        <w:rPr>
          <w:rFonts w:hint="eastAsia"/>
          <w:sz w:val="24"/>
        </w:rPr>
        <w:t>【】）。</w:t>
      </w:r>
      <w:bookmarkStart w:id="43" w:name="_Hlk41394068"/>
      <w:r>
        <w:rPr>
          <w:rFonts w:hint="eastAsia"/>
          <w:sz w:val="24"/>
        </w:rPr>
        <w:t>合同总价为含税（包括增值税）总金额。</w:t>
      </w:r>
      <w:r>
        <w:rPr>
          <w:rFonts w:hint="eastAsia" w:hAnsi="Garamond" w:cs="新宋体-18030"/>
          <w:sz w:val="24"/>
        </w:rPr>
        <w:t>其中，</w:t>
      </w:r>
      <w:r>
        <w:rPr>
          <w:rFonts w:hint="eastAsia"/>
          <w:sz w:val="24"/>
        </w:rPr>
        <w:t>不含增值税合同价款为</w:t>
      </w:r>
      <w:r>
        <w:rPr>
          <w:rFonts w:hint="eastAsia" w:hAnsi="宋体"/>
          <w:sz w:val="24"/>
        </w:rPr>
        <w:t>【</w:t>
      </w:r>
      <w:r>
        <w:rPr>
          <w:rFonts w:hAnsi="宋体"/>
          <w:i/>
          <w:sz w:val="24"/>
        </w:rPr>
        <w:t>RMB</w:t>
      </w:r>
      <w:r>
        <w:rPr>
          <w:rFonts w:hint="eastAsia" w:hAnsi="宋体"/>
          <w:sz w:val="24"/>
        </w:rPr>
        <w:t>】</w:t>
      </w:r>
      <w:r>
        <w:rPr>
          <w:rFonts w:hint="eastAsia"/>
          <w:sz w:val="24"/>
        </w:rPr>
        <w:t>【</w:t>
      </w:r>
      <w:r>
        <w:rPr>
          <w:rFonts w:hint="eastAsia"/>
          <w:i/>
          <w:sz w:val="24"/>
          <w:lang w:val="en-US" w:eastAsia="zh-CN"/>
        </w:rPr>
        <w:t>元</w:t>
      </w:r>
      <w:r>
        <w:rPr>
          <w:rFonts w:hint="eastAsia"/>
          <w:sz w:val="24"/>
        </w:rPr>
        <w:t>】</w:t>
      </w:r>
      <w:r>
        <w:rPr>
          <w:rFonts w:hint="eastAsia" w:hAnsi="宋体"/>
          <w:sz w:val="24"/>
        </w:rPr>
        <w:t>（大写：【</w:t>
      </w:r>
      <w:r>
        <w:rPr>
          <w:rFonts w:hint="eastAsia" w:hAnsi="宋体"/>
          <w:i/>
          <w:sz w:val="24"/>
        </w:rPr>
        <w:t>人民币</w:t>
      </w:r>
      <w:r>
        <w:rPr>
          <w:rFonts w:hint="eastAsia" w:hAnsi="宋体"/>
          <w:sz w:val="24"/>
        </w:rPr>
        <w:t>】【】），税款为【RMB】【元】（大写：【人民币】【】），</w:t>
      </w:r>
      <w:r>
        <w:rPr>
          <w:rFonts w:hint="eastAsia"/>
          <w:sz w:val="24"/>
        </w:rPr>
        <w:t>增值税税率为【</w:t>
      </w:r>
      <w:r>
        <w:rPr>
          <w:rFonts w:hint="eastAsia"/>
          <w:i/>
          <w:sz w:val="24"/>
        </w:rPr>
        <w:t>13</w:t>
      </w:r>
      <w:r>
        <w:rPr>
          <w:rFonts w:hint="eastAsia"/>
          <w:sz w:val="24"/>
        </w:rPr>
        <w:t>】</w:t>
      </w:r>
      <w:r>
        <w:rPr>
          <w:sz w:val="24"/>
        </w:rPr>
        <w:t>%</w:t>
      </w:r>
      <w:r>
        <w:rPr>
          <w:rFonts w:hint="eastAsia" w:hAnsi="宋体"/>
          <w:sz w:val="24"/>
        </w:rPr>
        <w:t>。</w:t>
      </w:r>
      <w:bookmarkEnd w:id="43"/>
      <w:r>
        <w:rPr>
          <w:rFonts w:hint="eastAsia"/>
          <w:sz w:val="24"/>
        </w:rPr>
        <w:t>合同总价的各分项价格和组成：【</w:t>
      </w:r>
      <w:r>
        <w:rPr>
          <w:rFonts w:hint="eastAsia"/>
          <w:i/>
          <w:sz w:val="24"/>
        </w:rPr>
        <w:t>详见本合同附件一</w:t>
      </w:r>
      <w:r>
        <w:rPr>
          <w:rFonts w:hint="eastAsia"/>
          <w:sz w:val="24"/>
        </w:rPr>
        <w:t>】。</w:t>
      </w:r>
    </w:p>
    <w:p>
      <w:pPr>
        <w:numPr>
          <w:ilvl w:val="0"/>
          <w:numId w:val="20"/>
        </w:numPr>
        <w:tabs>
          <w:tab w:val="left" w:pos="567"/>
          <w:tab w:val="clear" w:pos="840"/>
        </w:tabs>
        <w:spacing w:before="93" w:beforeLines="30" w:after="93" w:afterLines="30" w:line="360" w:lineRule="auto"/>
        <w:ind w:left="567" w:hanging="567"/>
        <w:rPr>
          <w:rFonts w:ascii="Arial" w:hAnsi="Arial" w:cs="Arial"/>
          <w:sz w:val="24"/>
        </w:rPr>
      </w:pPr>
      <w:r>
        <w:rPr>
          <w:rFonts w:hint="eastAsia"/>
          <w:sz w:val="24"/>
        </w:rPr>
        <w:t>合同总价系卖方交付全部货物，完成全部工作，完整履行本合同，买方应当支付的全部对价和报酬。合同总价为无条件最终封顶价格。除根据本合同规定因工作变更或国家增值税税率调整引起合同总价调整外，不受通货膨胀、利率、汇率、税费、成本及市场等因素变化的影响。合同总价包括货物成本、货物资料的费用；税费（包括关税、增值税等）；运输、储存、包装、维修、搬运、交付费用；管理费和利润；直接成本、间接成本、人力成本；技术服务费用；质保期费用；或有费用及合同没有列明但系为实现合同目的所必需的工作和服务的费用；</w:t>
      </w:r>
      <w:r>
        <w:rPr>
          <w:rFonts w:hint="eastAsia" w:ascii="Arial" w:hAnsi="Arial" w:cs="Arial"/>
          <w:sz w:val="24"/>
        </w:rPr>
        <w:t>卖方所有的风险、义务和责任，以及合同中明确说明由卖方承担的成本与费用</w:t>
      </w:r>
      <w:r>
        <w:rPr>
          <w:rFonts w:hint="eastAsia"/>
          <w:sz w:val="24"/>
        </w:rPr>
        <w:t>等。除买方同意某项费用属于额外的工作项目需另行支付费用外，买方不向卖方支付任何超出合同总价的</w:t>
      </w:r>
      <w:r>
        <w:rPr>
          <w:rFonts w:hint="eastAsia" w:ascii="Arial" w:hAnsi="Arial" w:cs="Arial"/>
          <w:sz w:val="24"/>
        </w:rPr>
        <w:t>款项。</w:t>
      </w:r>
      <w:r>
        <w:rPr>
          <w:rFonts w:hint="eastAsia"/>
          <w:sz w:val="24"/>
        </w:rPr>
        <w:t>为免疑义，如果增值税税率因国家增值税税率调整而发生变化，合同总价自动调整，但不含增值税的合同价款保持不变。</w:t>
      </w:r>
    </w:p>
    <w:p>
      <w:pPr>
        <w:numPr>
          <w:ilvl w:val="0"/>
          <w:numId w:val="20"/>
        </w:numPr>
        <w:tabs>
          <w:tab w:val="left" w:pos="567"/>
          <w:tab w:val="clear" w:pos="840"/>
        </w:tabs>
        <w:spacing w:before="93" w:beforeLines="30" w:after="93" w:afterLines="30" w:line="360" w:lineRule="auto"/>
        <w:ind w:left="567" w:hanging="567"/>
        <w:rPr>
          <w:sz w:val="24"/>
        </w:rPr>
      </w:pPr>
      <w:r>
        <w:rPr>
          <w:rFonts w:hint="eastAsia" w:ascii="Arial" w:hAnsi="Arial" w:cs="Arial"/>
          <w:sz w:val="24"/>
        </w:rPr>
        <w:t>双方应根据法律法规各自承担其应承担的与本合同有关的所有税费。</w:t>
      </w:r>
      <w:r>
        <w:rPr>
          <w:rFonts w:hint="eastAsia"/>
          <w:sz w:val="24"/>
        </w:rPr>
        <w:t>买方有权根据法律法规和本合同的规定从应支付给卖方的合同总价中扣除应由买方代扣、代缴的卖方应付税费，但应向卖方提供完税证明。</w:t>
      </w:r>
    </w:p>
    <w:p>
      <w:pPr>
        <w:pStyle w:val="18"/>
        <w:numPr>
          <w:ilvl w:val="0"/>
          <w:numId w:val="18"/>
        </w:numPr>
        <w:spacing w:before="93" w:beforeLines="30" w:after="93" w:afterLines="30" w:line="360" w:lineRule="auto"/>
        <w:ind w:left="709" w:hanging="709"/>
        <w:jc w:val="left"/>
        <w:rPr>
          <w:sz w:val="24"/>
          <w:szCs w:val="24"/>
        </w:rPr>
      </w:pPr>
      <w:r>
        <w:rPr>
          <w:rFonts w:hint="eastAsia"/>
          <w:sz w:val="24"/>
          <w:szCs w:val="24"/>
        </w:rPr>
        <w:t>付款</w:t>
      </w:r>
    </w:p>
    <w:p>
      <w:pPr>
        <w:numPr>
          <w:ilvl w:val="0"/>
          <w:numId w:val="21"/>
        </w:numPr>
        <w:tabs>
          <w:tab w:val="left" w:pos="567"/>
          <w:tab w:val="clear" w:pos="840"/>
        </w:tabs>
        <w:spacing w:before="93" w:beforeLines="30" w:after="93" w:afterLines="30" w:line="360" w:lineRule="auto"/>
        <w:ind w:left="567" w:hanging="567"/>
        <w:rPr>
          <w:sz w:val="24"/>
        </w:rPr>
      </w:pPr>
      <w:r>
        <w:rPr>
          <w:rFonts w:hint="eastAsia"/>
          <w:sz w:val="24"/>
        </w:rPr>
        <w:t>本合同项下的</w:t>
      </w:r>
      <w:r>
        <w:rPr>
          <w:color w:val="000000"/>
          <w:sz w:val="24"/>
        </w:rPr>
        <w:t>付款方式</w:t>
      </w:r>
      <w:r>
        <w:rPr>
          <w:rFonts w:hint="eastAsia"/>
          <w:color w:val="000000"/>
          <w:sz w:val="24"/>
        </w:rPr>
        <w:t>为</w:t>
      </w:r>
      <w:r>
        <w:rPr>
          <w:color w:val="000000"/>
          <w:sz w:val="24"/>
        </w:rPr>
        <w:t>：</w:t>
      </w:r>
      <w:r>
        <w:rPr>
          <w:rFonts w:hint="eastAsia"/>
          <w:color w:val="000000"/>
          <w:sz w:val="24"/>
        </w:rPr>
        <w:t>【银行电汇、银行承兑】。</w:t>
      </w:r>
    </w:p>
    <w:p>
      <w:pPr>
        <w:numPr>
          <w:ilvl w:val="0"/>
          <w:numId w:val="21"/>
        </w:numPr>
        <w:tabs>
          <w:tab w:val="left" w:pos="567"/>
        </w:tabs>
        <w:spacing w:before="93" w:beforeLines="30" w:after="93" w:afterLines="30" w:line="360" w:lineRule="auto"/>
        <w:ind w:left="567" w:hanging="567"/>
        <w:rPr>
          <w:color w:val="000000"/>
          <w:sz w:val="24"/>
        </w:rPr>
      </w:pPr>
      <w:r>
        <w:rPr>
          <w:rFonts w:hint="eastAsia"/>
          <w:color w:val="000000"/>
          <w:sz w:val="24"/>
        </w:rPr>
        <w:t>付款进度</w:t>
      </w:r>
    </w:p>
    <w:p>
      <w:pPr>
        <w:pStyle w:val="40"/>
        <w:numPr>
          <w:ilvl w:val="0"/>
          <w:numId w:val="22"/>
        </w:numPr>
        <w:tabs>
          <w:tab w:val="left" w:pos="567"/>
        </w:tabs>
        <w:spacing w:before="72" w:beforeLines="30" w:after="72" w:afterLines="30" w:line="360" w:lineRule="auto"/>
        <w:ind w:firstLineChars="0"/>
        <w:rPr>
          <w:sz w:val="24"/>
          <w:highlight w:val="none"/>
        </w:rPr>
      </w:pPr>
      <w:r>
        <w:rPr>
          <w:rFonts w:hint="eastAsia" w:asciiTheme="minorEastAsia" w:hAnsiTheme="minorEastAsia" w:eastAsiaTheme="minorEastAsia"/>
          <w:sz w:val="24"/>
        </w:rPr>
        <w:t>卖方在合同规定的期限内将货物运至交货地点，买方在收到货物外观验收合格</w:t>
      </w:r>
      <w:r>
        <w:rPr>
          <w:rFonts w:hint="eastAsia" w:asciiTheme="minorEastAsia" w:hAnsiTheme="minorEastAsia" w:eastAsiaTheme="minorEastAsia"/>
          <w:sz w:val="24"/>
          <w:highlight w:val="none"/>
        </w:rPr>
        <w:t>后</w:t>
      </w:r>
      <w:r>
        <w:rPr>
          <w:rFonts w:hint="eastAsia"/>
          <w:sz w:val="24"/>
          <w:highlight w:val="none"/>
        </w:rPr>
        <w:t>【</w:t>
      </w:r>
      <w:r>
        <w:rPr>
          <w:rFonts w:hint="eastAsia"/>
          <w:i/>
          <w:sz w:val="24"/>
          <w:highlight w:val="none"/>
          <w:lang w:val="en-US" w:eastAsia="zh-CN"/>
        </w:rPr>
        <w:t>45</w:t>
      </w:r>
      <w:r>
        <w:rPr>
          <w:rFonts w:hint="eastAsia"/>
          <w:sz w:val="24"/>
          <w:highlight w:val="none"/>
        </w:rPr>
        <w:t>】</w:t>
      </w:r>
      <w:r>
        <w:rPr>
          <w:rFonts w:hAnsi="宋体"/>
          <w:sz w:val="24"/>
          <w:highlight w:val="none"/>
        </w:rPr>
        <w:t>日内</w:t>
      </w: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买方</w:t>
      </w:r>
      <w:r>
        <w:rPr>
          <w:rFonts w:asciiTheme="minorEastAsia" w:hAnsiTheme="minorEastAsia" w:eastAsiaTheme="minorEastAsia"/>
          <w:sz w:val="24"/>
          <w:highlight w:val="none"/>
        </w:rPr>
        <w:t>支付</w:t>
      </w:r>
      <w:r>
        <w:rPr>
          <w:rFonts w:hint="eastAsia" w:asciiTheme="minorEastAsia" w:hAnsiTheme="minorEastAsia" w:eastAsiaTheme="minorEastAsia"/>
          <w:sz w:val="24"/>
          <w:highlight w:val="none"/>
        </w:rPr>
        <w:t>合同</w:t>
      </w:r>
      <w:r>
        <w:rPr>
          <w:rFonts w:asciiTheme="minorEastAsia" w:hAnsiTheme="minorEastAsia" w:eastAsiaTheme="minorEastAsia"/>
          <w:sz w:val="24"/>
          <w:highlight w:val="none"/>
        </w:rPr>
        <w:t>总价的</w:t>
      </w:r>
      <w:r>
        <w:rPr>
          <w:rFonts w:hint="eastAsia"/>
          <w:sz w:val="24"/>
          <w:highlight w:val="none"/>
        </w:rPr>
        <w:t>【</w:t>
      </w:r>
      <w:r>
        <w:rPr>
          <w:rFonts w:hint="eastAsia"/>
          <w:i/>
          <w:sz w:val="24"/>
          <w:highlight w:val="none"/>
          <w:lang w:val="en-US" w:eastAsia="zh-CN"/>
        </w:rPr>
        <w:t>97%</w:t>
      </w:r>
      <w:r>
        <w:rPr>
          <w:rFonts w:hint="eastAsia"/>
          <w:sz w:val="24"/>
          <w:highlight w:val="none"/>
        </w:rPr>
        <w:t>】</w:t>
      </w:r>
      <w:r>
        <w:rPr>
          <w:rFonts w:hAnsi="宋体"/>
          <w:sz w:val="24"/>
          <w:highlight w:val="none"/>
        </w:rPr>
        <w:t>，即</w:t>
      </w:r>
      <w:r>
        <w:rPr>
          <w:rFonts w:hint="eastAsia"/>
          <w:sz w:val="24"/>
          <w:highlight w:val="none"/>
        </w:rPr>
        <w:t>【</w:t>
      </w:r>
      <w:r>
        <w:rPr>
          <w:i/>
          <w:sz w:val="24"/>
          <w:highlight w:val="none"/>
        </w:rPr>
        <w:t>RMB</w:t>
      </w:r>
      <w:r>
        <w:rPr>
          <w:rFonts w:hint="eastAsia"/>
          <w:sz w:val="24"/>
          <w:highlight w:val="none"/>
        </w:rPr>
        <w:t>】【</w:t>
      </w:r>
      <w:r>
        <w:rPr>
          <w:rFonts w:hint="eastAsia"/>
          <w:i/>
          <w:sz w:val="24"/>
          <w:highlight w:val="none"/>
          <w:lang w:val="en-US" w:eastAsia="zh-CN"/>
        </w:rPr>
        <w:t>元</w:t>
      </w:r>
      <w:r>
        <w:rPr>
          <w:rFonts w:hint="eastAsia"/>
          <w:sz w:val="24"/>
          <w:highlight w:val="none"/>
        </w:rPr>
        <w:t>】（大写：【</w:t>
      </w:r>
      <w:r>
        <w:rPr>
          <w:rFonts w:hint="eastAsia"/>
          <w:i/>
          <w:sz w:val="24"/>
          <w:highlight w:val="none"/>
        </w:rPr>
        <w:t>人民币</w:t>
      </w:r>
      <w:r>
        <w:rPr>
          <w:rFonts w:hint="eastAsia"/>
          <w:sz w:val="24"/>
          <w:highlight w:val="none"/>
        </w:rPr>
        <w:t>】【】）</w:t>
      </w:r>
      <w:r>
        <w:rPr>
          <w:rFonts w:hAnsi="宋体"/>
          <w:sz w:val="24"/>
          <w:highlight w:val="none"/>
        </w:rPr>
        <w:t>。</w:t>
      </w:r>
      <w:r>
        <w:rPr>
          <w:rFonts w:hint="eastAsia" w:hAnsi="宋体"/>
          <w:sz w:val="24"/>
          <w:highlight w:val="none"/>
        </w:rPr>
        <w:t>如付款到期日为非工作日，则付款到期日顺延至下一个工作日。</w:t>
      </w:r>
    </w:p>
    <w:p>
      <w:pPr>
        <w:pStyle w:val="40"/>
        <w:numPr>
          <w:ilvl w:val="0"/>
          <w:numId w:val="22"/>
        </w:numPr>
        <w:tabs>
          <w:tab w:val="left" w:pos="567"/>
        </w:tabs>
        <w:spacing w:before="72" w:beforeLines="30" w:after="72" w:afterLines="30" w:line="360" w:lineRule="auto"/>
        <w:ind w:firstLineChars="0"/>
        <w:rPr>
          <w:i/>
          <w:sz w:val="24"/>
        </w:rPr>
      </w:pPr>
      <w:r>
        <w:rPr>
          <w:sz w:val="24"/>
          <w:highlight w:val="none"/>
        </w:rPr>
        <w:t>合同总价的</w:t>
      </w:r>
      <w:r>
        <w:rPr>
          <w:rFonts w:hint="eastAsia"/>
          <w:sz w:val="24"/>
          <w:highlight w:val="none"/>
        </w:rPr>
        <w:t>【</w:t>
      </w:r>
      <w:r>
        <w:rPr>
          <w:rFonts w:hint="eastAsia"/>
          <w:i/>
          <w:sz w:val="24"/>
          <w:highlight w:val="none"/>
          <w:lang w:val="en-US" w:eastAsia="zh-CN"/>
        </w:rPr>
        <w:t>3%</w:t>
      </w:r>
      <w:r>
        <w:rPr>
          <w:rFonts w:hint="eastAsia"/>
          <w:sz w:val="24"/>
          <w:highlight w:val="none"/>
        </w:rPr>
        <w:t>】，</w:t>
      </w:r>
      <w:r>
        <w:rPr>
          <w:sz w:val="24"/>
          <w:highlight w:val="none"/>
        </w:rPr>
        <w:t>即</w:t>
      </w:r>
      <w:r>
        <w:rPr>
          <w:rFonts w:hint="eastAsia"/>
          <w:sz w:val="24"/>
          <w:highlight w:val="none"/>
        </w:rPr>
        <w:t>【</w:t>
      </w:r>
      <w:r>
        <w:rPr>
          <w:i/>
          <w:sz w:val="24"/>
          <w:highlight w:val="none"/>
        </w:rPr>
        <w:t>RMB</w:t>
      </w:r>
      <w:r>
        <w:rPr>
          <w:rFonts w:hint="eastAsia"/>
          <w:sz w:val="24"/>
          <w:highlight w:val="none"/>
        </w:rPr>
        <w:t>】【</w:t>
      </w:r>
      <w:r>
        <w:rPr>
          <w:rFonts w:hint="eastAsia"/>
          <w:sz w:val="24"/>
          <w:highlight w:val="none"/>
          <w:lang w:val="en-US" w:eastAsia="zh-CN"/>
        </w:rPr>
        <w:t xml:space="preserve"> 元</w:t>
      </w:r>
      <w:r>
        <w:rPr>
          <w:rFonts w:hint="eastAsia"/>
          <w:sz w:val="24"/>
          <w:highlight w:val="none"/>
        </w:rPr>
        <w:t>】（大写：【</w:t>
      </w:r>
      <w:r>
        <w:rPr>
          <w:rFonts w:hint="eastAsia"/>
          <w:i/>
          <w:sz w:val="24"/>
          <w:highlight w:val="none"/>
        </w:rPr>
        <w:t>人民币</w:t>
      </w:r>
      <w:r>
        <w:rPr>
          <w:rFonts w:hint="eastAsia"/>
          <w:sz w:val="24"/>
          <w:highlight w:val="none"/>
        </w:rPr>
        <w:t>】【】）</w:t>
      </w:r>
      <w:r>
        <w:rPr>
          <w:sz w:val="24"/>
          <w:highlight w:val="none"/>
        </w:rPr>
        <w:t>作为质保金</w:t>
      </w:r>
      <w:r>
        <w:rPr>
          <w:rFonts w:hint="eastAsia"/>
          <w:sz w:val="24"/>
          <w:highlight w:val="none"/>
        </w:rPr>
        <w:t>。质保期结束且无任何质量问题，买方凭卖方开具的正式的合同金额3%的有效票据后【45】日内支付质保金</w:t>
      </w:r>
      <w:r>
        <w:rPr>
          <w:rFonts w:hint="eastAsia"/>
          <w:sz w:val="24"/>
        </w:rPr>
        <w:t>。如付款到期日为非工作日，则付款到期日顺延至下一个工作日。</w:t>
      </w:r>
    </w:p>
    <w:p>
      <w:pPr>
        <w:numPr>
          <w:ilvl w:val="0"/>
          <w:numId w:val="21"/>
        </w:numPr>
        <w:tabs>
          <w:tab w:val="left" w:pos="567"/>
        </w:tabs>
        <w:spacing w:before="93" w:beforeLines="30" w:after="93" w:afterLines="30" w:line="360" w:lineRule="auto"/>
        <w:ind w:left="567" w:hanging="567"/>
        <w:rPr>
          <w:color w:val="000000"/>
          <w:sz w:val="24"/>
        </w:rPr>
      </w:pPr>
      <w:bookmarkStart w:id="44" w:name="OLE_LINK91"/>
      <w:bookmarkStart w:id="45" w:name="OLE_LINK92"/>
      <w:r>
        <w:rPr>
          <w:rFonts w:hint="eastAsia"/>
          <w:color w:val="000000"/>
          <w:sz w:val="24"/>
        </w:rPr>
        <w:t>卖方应根据合同规定的付款条件和进度，提前向买方开具符合中国法律法规要求的发票。</w:t>
      </w:r>
      <w:r>
        <w:rPr>
          <w:rFonts w:hint="eastAsia"/>
          <w:sz w:val="24"/>
        </w:rPr>
        <w:t>如乙方提供的服务属于增值税应税范围，乙方应为甲方开具增值税专用发票。</w:t>
      </w:r>
      <w:r>
        <w:rPr>
          <w:rFonts w:hint="eastAsia" w:cs="新宋体-18030"/>
          <w:sz w:val="24"/>
        </w:rPr>
        <w:t>发票</w:t>
      </w:r>
      <w:r>
        <w:rPr>
          <w:rFonts w:hint="eastAsia"/>
          <w:sz w:val="24"/>
        </w:rPr>
        <w:t>应注明合同编号：</w:t>
      </w:r>
      <w:r>
        <w:rPr>
          <w:rFonts w:hint="eastAsia" w:hAnsi="宋体"/>
          <w:sz w:val="24"/>
        </w:rPr>
        <w:t>【</w:t>
      </w:r>
      <w:r>
        <w:rPr>
          <w:rFonts w:hint="eastAsia" w:hAnsi="宋体"/>
          <w:sz w:val="24"/>
          <w:lang w:val="en-US" w:eastAsia="zh-CN"/>
        </w:rPr>
        <w:t xml:space="preserve"> </w:t>
      </w:r>
      <w:r>
        <w:rPr>
          <w:rFonts w:hint="eastAsia" w:hAnsi="宋体"/>
          <w:sz w:val="24"/>
        </w:rPr>
        <w:t>】</w:t>
      </w:r>
      <w:r>
        <w:rPr>
          <w:rFonts w:hint="eastAsia"/>
          <w:sz w:val="24"/>
        </w:rPr>
        <w:t xml:space="preserve"> ，抬头应为：【</w:t>
      </w:r>
      <w:r>
        <w:rPr>
          <w:rFonts w:hint="eastAsia"/>
          <w:i/>
          <w:sz w:val="24"/>
        </w:rPr>
        <w:t>中海油天津化工研究设计院有限公司</w:t>
      </w:r>
      <w:r>
        <w:rPr>
          <w:rFonts w:hint="eastAsia"/>
          <w:sz w:val="24"/>
        </w:rPr>
        <w:t>】。</w:t>
      </w:r>
      <w:r>
        <w:rPr>
          <w:rFonts w:hint="eastAsia"/>
          <w:color w:val="000000"/>
          <w:sz w:val="24"/>
        </w:rPr>
        <w:t>如卖方未开具上述发票并提供相关支持文件，买方有权拒付相关合同价款。如果买方对卖方出具的该等发票无异议，应于收到该等发票和相关支持文件之日起【</w:t>
      </w:r>
      <w:r>
        <w:rPr>
          <w:rFonts w:hint="eastAsia"/>
          <w:i/>
          <w:color w:val="000000"/>
          <w:sz w:val="24"/>
        </w:rPr>
        <w:t>45</w:t>
      </w:r>
      <w:r>
        <w:rPr>
          <w:rFonts w:hint="eastAsia"/>
          <w:color w:val="000000"/>
          <w:sz w:val="24"/>
        </w:rPr>
        <w:t>】日内向卖方付款。</w:t>
      </w:r>
      <w:bookmarkEnd w:id="44"/>
      <w:bookmarkEnd w:id="45"/>
      <w:r>
        <w:rPr>
          <w:rFonts w:hint="eastAsia"/>
          <w:sz w:val="24"/>
        </w:rPr>
        <w:t>如甲方对乙方开具的该等发票和相关支持文件有异议，应于收到发票及相关支持文件后【</w:t>
      </w:r>
      <w:r>
        <w:rPr>
          <w:rFonts w:hint="eastAsia"/>
          <w:i/>
          <w:sz w:val="24"/>
        </w:rPr>
        <w:t>十（10）</w:t>
      </w:r>
      <w:r>
        <w:rPr>
          <w:rFonts w:hint="eastAsia"/>
          <w:sz w:val="24"/>
        </w:rPr>
        <w:t>】日内通知乙方，乙方应重新开具发票和相关支持文件，买方应于收到卖方重新开具的发票和相关支持文件之日起</w:t>
      </w:r>
      <w:r>
        <w:rPr>
          <w:rFonts w:hint="eastAsia"/>
          <w:color w:val="000000"/>
          <w:sz w:val="24"/>
        </w:rPr>
        <w:t>【</w:t>
      </w:r>
      <w:r>
        <w:rPr>
          <w:rFonts w:hint="eastAsia"/>
          <w:i/>
          <w:color w:val="000000"/>
          <w:sz w:val="24"/>
        </w:rPr>
        <w:t>45</w:t>
      </w:r>
      <w:r>
        <w:rPr>
          <w:rFonts w:hint="eastAsia"/>
          <w:color w:val="000000"/>
          <w:sz w:val="24"/>
        </w:rPr>
        <w:t>】日内向卖方付款。</w:t>
      </w:r>
    </w:p>
    <w:p>
      <w:pPr>
        <w:numPr>
          <w:ilvl w:val="0"/>
          <w:numId w:val="21"/>
        </w:numPr>
        <w:tabs>
          <w:tab w:val="left" w:pos="567"/>
        </w:tabs>
        <w:spacing w:before="93" w:beforeLines="30" w:after="93" w:afterLines="30" w:line="360" w:lineRule="auto"/>
        <w:ind w:left="709" w:hanging="709"/>
        <w:rPr>
          <w:sz w:val="24"/>
        </w:rPr>
      </w:pPr>
      <w:r>
        <w:rPr>
          <w:rFonts w:hint="eastAsia" w:hAnsi="宋体"/>
          <w:sz w:val="24"/>
        </w:rPr>
        <w:t>卖方</w:t>
      </w:r>
      <w:r>
        <w:rPr>
          <w:rFonts w:hAnsi="宋体"/>
          <w:sz w:val="24"/>
        </w:rPr>
        <w:t>账户</w:t>
      </w:r>
    </w:p>
    <w:p>
      <w:pPr>
        <w:tabs>
          <w:tab w:val="left" w:pos="567"/>
          <w:tab w:val="left" w:pos="1418"/>
        </w:tabs>
        <w:spacing w:before="93" w:beforeLines="30" w:after="93" w:afterLines="30" w:line="360" w:lineRule="auto"/>
        <w:ind w:left="565" w:leftChars="269"/>
        <w:rPr>
          <w:sz w:val="24"/>
        </w:rPr>
      </w:pPr>
      <w:r>
        <w:rPr>
          <w:sz w:val="24"/>
        </w:rPr>
        <w:t>卖方应通过如下账户收取合同总价及其它款项，并通过该账户向买方支付与合同有关的任何款项：</w:t>
      </w:r>
    </w:p>
    <w:p>
      <w:pPr>
        <w:tabs>
          <w:tab w:val="left" w:pos="567"/>
          <w:tab w:val="left" w:pos="1418"/>
        </w:tabs>
        <w:spacing w:before="93" w:beforeLines="30" w:after="93" w:afterLines="30" w:line="360" w:lineRule="auto"/>
        <w:ind w:left="565" w:leftChars="269" w:right="3916" w:rightChars="1865"/>
        <w:rPr>
          <w:sz w:val="24"/>
        </w:rPr>
      </w:pPr>
      <w:r>
        <w:rPr>
          <w:sz w:val="24"/>
        </w:rPr>
        <w:t>卖方名称：</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bookmarkStart w:id="46" w:name="OLE_LINK53"/>
      <w:bookmarkStart w:id="47" w:name="OLE_LINK52"/>
      <w:r>
        <w:rPr>
          <w:sz w:val="24"/>
          <w:szCs w:val="24"/>
        </w:rPr>
        <w:t>账号：</w:t>
      </w:r>
      <w:r>
        <w:rPr>
          <w:rFonts w:hint="eastAsia"/>
          <w:sz w:val="24"/>
          <w:szCs w:val="24"/>
          <w:u w:val="single"/>
          <w:lang w:val="en-US" w:eastAsia="zh-CN"/>
        </w:rPr>
        <w:t xml:space="preserve">    </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开户行名称：</w:t>
      </w:r>
      <w:r>
        <w:rPr>
          <w:rFonts w:hint="eastAsia"/>
          <w:sz w:val="24"/>
          <w:szCs w:val="24"/>
          <w:u w:val="single"/>
        </w:rPr>
        <w:t xml:space="preserve"> </w:t>
      </w:r>
      <w:r>
        <w:rPr>
          <w:rFonts w:hint="eastAsia"/>
          <w:sz w:val="24"/>
          <w:szCs w:val="24"/>
          <w:u w:val="single"/>
          <w:lang w:val="en-US" w:eastAsia="zh-CN"/>
        </w:rPr>
        <w:t xml:space="preserve"> </w:t>
      </w:r>
      <w:r>
        <w:rPr>
          <w:rFonts w:hint="eastAsia"/>
          <w:sz w:val="24"/>
          <w:szCs w:val="24"/>
        </w:rPr>
        <w:t xml:space="preserve">           </w:t>
      </w:r>
      <w:r>
        <w:rPr>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开户行地址：</w:t>
      </w:r>
      <w:r>
        <w:rPr>
          <w:rFonts w:hint="eastAsia"/>
          <w:sz w:val="24"/>
          <w:szCs w:val="24"/>
          <w:u w:val="single"/>
        </w:rPr>
        <w:t xml:space="preserve"> </w:t>
      </w:r>
      <w:r>
        <w:rPr>
          <w:rFonts w:hint="eastAsia"/>
          <w:sz w:val="24"/>
          <w:szCs w:val="24"/>
          <w:u w:val="single"/>
          <w:lang w:val="en-US" w:eastAsia="zh-CN"/>
        </w:rPr>
        <w:t xml:space="preserve"> </w:t>
      </w:r>
      <w:r>
        <w:rPr>
          <w:rFonts w:hint="eastAsia"/>
          <w:sz w:val="24"/>
          <w:szCs w:val="24"/>
        </w:rPr>
        <w:t xml:space="preserve">              </w:t>
      </w:r>
    </w:p>
    <w:p>
      <w:pPr>
        <w:tabs>
          <w:tab w:val="left" w:pos="567"/>
          <w:tab w:val="left" w:pos="1418"/>
        </w:tabs>
        <w:spacing w:before="93" w:beforeLines="30" w:after="93" w:afterLines="30" w:line="360" w:lineRule="auto"/>
        <w:ind w:left="565" w:leftChars="269" w:right="3916" w:rightChars="1865"/>
        <w:rPr>
          <w:sz w:val="24"/>
          <w:highlight w:val="yellow"/>
        </w:rPr>
      </w:pPr>
      <w:r>
        <w:rPr>
          <w:sz w:val="24"/>
          <w:szCs w:val="24"/>
        </w:rPr>
        <w:t>邮政编</w:t>
      </w:r>
      <w:r>
        <w:rPr>
          <w:sz w:val="24"/>
          <w:szCs w:val="24"/>
          <w:highlight w:val="none"/>
        </w:rPr>
        <w:t>码：</w:t>
      </w:r>
      <w:r>
        <w:rPr>
          <w:rFonts w:hint="eastAsia"/>
          <w:sz w:val="24"/>
          <w:szCs w:val="24"/>
          <w:highlight w:val="none"/>
          <w:lang w:val="en-US" w:eastAsia="zh-CN"/>
        </w:rPr>
        <w:t xml:space="preserve"> </w:t>
      </w:r>
      <w:r>
        <w:rPr>
          <w:sz w:val="24"/>
          <w:highlight w:val="none"/>
          <w:u w:val="single"/>
        </w:rPr>
        <w:t xml:space="preserve">     </w:t>
      </w:r>
      <w:bookmarkEnd w:id="46"/>
      <w:bookmarkEnd w:id="47"/>
    </w:p>
    <w:p>
      <w:pPr>
        <w:pStyle w:val="18"/>
        <w:numPr>
          <w:ilvl w:val="0"/>
          <w:numId w:val="18"/>
        </w:numPr>
        <w:spacing w:before="93" w:beforeLines="30" w:after="93" w:afterLines="30" w:line="360" w:lineRule="auto"/>
        <w:ind w:left="851" w:hanging="851"/>
        <w:jc w:val="left"/>
        <w:rPr>
          <w:sz w:val="24"/>
          <w:szCs w:val="24"/>
        </w:rPr>
      </w:pPr>
      <w:bookmarkStart w:id="48" w:name="_Toc306354310"/>
      <w:r>
        <w:rPr>
          <w:rFonts w:hint="eastAsia"/>
          <w:sz w:val="24"/>
          <w:szCs w:val="24"/>
        </w:rPr>
        <w:t>货物交付</w:t>
      </w:r>
      <w:bookmarkEnd w:id="48"/>
    </w:p>
    <w:p>
      <w:pPr>
        <w:numPr>
          <w:ilvl w:val="0"/>
          <w:numId w:val="23"/>
        </w:numPr>
        <w:tabs>
          <w:tab w:val="left" w:pos="567"/>
        </w:tabs>
        <w:spacing w:before="93" w:beforeLines="30" w:after="93" w:afterLines="30" w:line="360" w:lineRule="auto"/>
        <w:ind w:left="567" w:hanging="567"/>
        <w:outlineLvl w:val="0"/>
        <w:rPr>
          <w:b/>
          <w:sz w:val="24"/>
        </w:rPr>
      </w:pPr>
      <w:r>
        <w:rPr>
          <w:rFonts w:hAnsi="宋体"/>
          <w:b/>
          <w:sz w:val="24"/>
        </w:rPr>
        <w:t>交货日期</w:t>
      </w:r>
    </w:p>
    <w:p>
      <w:pPr>
        <w:numPr>
          <w:ilvl w:val="0"/>
          <w:numId w:val="24"/>
        </w:numPr>
        <w:tabs>
          <w:tab w:val="left" w:pos="993"/>
        </w:tabs>
        <w:spacing w:before="93" w:beforeLines="30" w:after="93" w:afterLines="30" w:line="360" w:lineRule="auto"/>
        <w:ind w:left="1047" w:leftChars="268" w:hanging="484" w:hangingChars="202"/>
        <w:outlineLvl w:val="0"/>
        <w:rPr>
          <w:sz w:val="24"/>
        </w:rPr>
      </w:pPr>
      <w:r>
        <w:rPr>
          <w:rFonts w:hAnsi="宋体"/>
          <w:sz w:val="24"/>
        </w:rPr>
        <w:t>卖方应在</w:t>
      </w:r>
      <w:r>
        <w:rPr>
          <w:rFonts w:hint="eastAsia"/>
          <w:sz w:val="24"/>
          <w:highlight w:val="none"/>
        </w:rPr>
        <w:t>【</w:t>
      </w:r>
      <w:r>
        <w:rPr>
          <w:rFonts w:hint="eastAsia"/>
          <w:i/>
          <w:sz w:val="24"/>
          <w:highlight w:val="none"/>
          <w:lang w:val="en-US" w:eastAsia="zh-CN"/>
        </w:rPr>
        <w:t>合同签订之日起120天内</w:t>
      </w:r>
      <w:r>
        <w:rPr>
          <w:rFonts w:hint="eastAsia"/>
          <w:sz w:val="24"/>
          <w:highlight w:val="none"/>
        </w:rPr>
        <w:t>】</w:t>
      </w:r>
      <w:r>
        <w:rPr>
          <w:rFonts w:ascii="宋体" w:hAnsi="宋体"/>
          <w:sz w:val="24"/>
        </w:rPr>
        <w:t>（“交货日期”）</w:t>
      </w:r>
      <w:r>
        <w:rPr>
          <w:rFonts w:hAnsi="宋体"/>
          <w:sz w:val="24"/>
        </w:rPr>
        <w:t>完成货物的交付。</w:t>
      </w:r>
    </w:p>
    <w:p>
      <w:pPr>
        <w:numPr>
          <w:ilvl w:val="0"/>
          <w:numId w:val="24"/>
        </w:numPr>
        <w:tabs>
          <w:tab w:val="left" w:pos="993"/>
        </w:tabs>
        <w:spacing w:before="93" w:beforeLines="30" w:after="93" w:afterLines="30" w:line="360" w:lineRule="auto"/>
        <w:ind w:left="1047" w:leftChars="268" w:hanging="484" w:hangingChars="202"/>
        <w:outlineLvl w:val="0"/>
        <w:rPr>
          <w:sz w:val="24"/>
        </w:rPr>
      </w:pPr>
      <w:r>
        <w:rPr>
          <w:rFonts w:hAnsi="宋体"/>
          <w:sz w:val="24"/>
        </w:rPr>
        <w:t>买方</w:t>
      </w:r>
      <w:r>
        <w:rPr>
          <w:rFonts w:hint="eastAsia" w:hAnsi="宋体"/>
          <w:sz w:val="24"/>
        </w:rPr>
        <w:t>有权根据自身</w:t>
      </w:r>
      <w:r>
        <w:rPr>
          <w:rFonts w:hAnsi="宋体"/>
          <w:sz w:val="24"/>
        </w:rPr>
        <w:t>情况</w:t>
      </w:r>
      <w:r>
        <w:rPr>
          <w:rFonts w:hint="eastAsia" w:hAnsi="宋体"/>
          <w:sz w:val="24"/>
        </w:rPr>
        <w:t>要求卖方延期交付货物，但买方应在交付日期前</w:t>
      </w:r>
      <w:bookmarkStart w:id="49" w:name="OLE_LINK57"/>
      <w:bookmarkStart w:id="50" w:name="OLE_LINK56"/>
      <w:r>
        <w:rPr>
          <w:rFonts w:hint="eastAsia" w:hAnsi="宋体"/>
          <w:sz w:val="24"/>
        </w:rPr>
        <w:t>【</w:t>
      </w:r>
      <w:r>
        <w:rPr>
          <w:rFonts w:hint="eastAsia" w:hAnsi="宋体"/>
          <w:i/>
          <w:sz w:val="24"/>
        </w:rPr>
        <w:t>3</w:t>
      </w:r>
      <w:r>
        <w:rPr>
          <w:rFonts w:hint="eastAsia" w:hAnsi="宋体"/>
          <w:sz w:val="24"/>
        </w:rPr>
        <w:t>】</w:t>
      </w:r>
      <w:bookmarkEnd w:id="49"/>
      <w:bookmarkEnd w:id="50"/>
      <w:r>
        <w:rPr>
          <w:rFonts w:hint="eastAsia" w:hAnsi="宋体"/>
          <w:sz w:val="24"/>
        </w:rPr>
        <w:t>日以书面方式</w:t>
      </w:r>
      <w:r>
        <w:rPr>
          <w:rFonts w:hAnsi="宋体"/>
          <w:sz w:val="24"/>
        </w:rPr>
        <w:t>通知卖方。</w:t>
      </w:r>
      <w:r>
        <w:rPr>
          <w:sz w:val="24"/>
        </w:rPr>
        <w:t>除非买方调整交货日期</w:t>
      </w:r>
      <w:r>
        <w:rPr>
          <w:rFonts w:hint="eastAsia"/>
          <w:sz w:val="24"/>
        </w:rPr>
        <w:t>实质性</w:t>
      </w:r>
      <w:r>
        <w:rPr>
          <w:sz w:val="24"/>
        </w:rPr>
        <w:t>加重卖方义务，否则卖方不得另行向买方主张增加费用。</w:t>
      </w:r>
    </w:p>
    <w:p>
      <w:pPr>
        <w:numPr>
          <w:ilvl w:val="0"/>
          <w:numId w:val="23"/>
        </w:numPr>
        <w:tabs>
          <w:tab w:val="left" w:pos="567"/>
          <w:tab w:val="left" w:pos="709"/>
        </w:tabs>
        <w:spacing w:before="93" w:beforeLines="30" w:after="93" w:afterLines="30" w:line="360" w:lineRule="auto"/>
        <w:ind w:left="567" w:hanging="567"/>
        <w:outlineLvl w:val="0"/>
        <w:rPr>
          <w:sz w:val="24"/>
        </w:rPr>
      </w:pPr>
      <w:r>
        <w:rPr>
          <w:rFonts w:hAnsi="宋体"/>
          <w:b/>
          <w:sz w:val="24"/>
        </w:rPr>
        <w:t>交货地点</w:t>
      </w:r>
      <w:r>
        <w:rPr>
          <w:rFonts w:hint="eastAsia" w:hAnsi="宋体"/>
          <w:sz w:val="24"/>
        </w:rPr>
        <w:t>：</w:t>
      </w:r>
      <w:bookmarkStart w:id="51" w:name="OLE_LINK58"/>
      <w:bookmarkStart w:id="52" w:name="OLE_LINK60"/>
      <w:bookmarkStart w:id="53" w:name="OLE_LINK61"/>
      <w:bookmarkStart w:id="54" w:name="OLE_LINK59"/>
      <w:r>
        <w:rPr>
          <w:rFonts w:hint="eastAsia" w:hAnsi="宋体"/>
          <w:sz w:val="24"/>
        </w:rPr>
        <w:t>【</w:t>
      </w:r>
      <w:r>
        <w:rPr>
          <w:rFonts w:hint="eastAsia" w:hAnsi="宋体"/>
          <w:sz w:val="24"/>
          <w:lang w:val="en-US" w:eastAsia="zh-CN"/>
        </w:rPr>
        <w:t>广东省湛江市坡头区南油码头</w:t>
      </w:r>
      <w:r>
        <w:rPr>
          <w:rFonts w:hint="eastAsia" w:hAnsi="宋体"/>
          <w:sz w:val="24"/>
        </w:rPr>
        <w:t>】</w:t>
      </w:r>
      <w:bookmarkEnd w:id="51"/>
      <w:bookmarkEnd w:id="52"/>
      <w:bookmarkEnd w:id="53"/>
      <w:bookmarkEnd w:id="54"/>
      <w:r>
        <w:rPr>
          <w:rFonts w:hint="eastAsia"/>
          <w:sz w:val="24"/>
        </w:rPr>
        <w:t>。</w:t>
      </w:r>
    </w:p>
    <w:p>
      <w:pPr>
        <w:numPr>
          <w:ilvl w:val="0"/>
          <w:numId w:val="23"/>
        </w:numPr>
        <w:tabs>
          <w:tab w:val="left" w:pos="709"/>
        </w:tabs>
        <w:spacing w:before="93" w:beforeLines="30" w:after="93" w:afterLines="30" w:line="360" w:lineRule="auto"/>
        <w:ind w:left="567" w:hanging="567"/>
        <w:outlineLvl w:val="0"/>
      </w:pPr>
      <w:r>
        <w:rPr>
          <w:rFonts w:hAnsi="宋体"/>
          <w:sz w:val="24"/>
        </w:rPr>
        <w:t>每批</w:t>
      </w:r>
      <w:r>
        <w:rPr>
          <w:rFonts w:hint="eastAsia" w:hAnsi="宋体"/>
          <w:sz w:val="24"/>
        </w:rPr>
        <w:t>货</w:t>
      </w:r>
      <w:r>
        <w:rPr>
          <w:rFonts w:hint="eastAsia"/>
          <w:sz w:val="24"/>
        </w:rPr>
        <w:t>物</w:t>
      </w:r>
      <w:r>
        <w:rPr>
          <w:sz w:val="24"/>
        </w:rPr>
        <w:t>交付运输后</w:t>
      </w:r>
      <w:r>
        <w:rPr>
          <w:rFonts w:hint="eastAsia"/>
          <w:sz w:val="24"/>
        </w:rPr>
        <w:t>【</w:t>
      </w:r>
      <w:r>
        <w:rPr>
          <w:rFonts w:hint="eastAsia"/>
          <w:i/>
          <w:sz w:val="24"/>
        </w:rPr>
        <w:t>2</w:t>
      </w:r>
      <w:r>
        <w:rPr>
          <w:rFonts w:hint="eastAsia"/>
          <w:sz w:val="24"/>
        </w:rPr>
        <w:t>】</w:t>
      </w:r>
      <w:r>
        <w:rPr>
          <w:sz w:val="24"/>
        </w:rPr>
        <w:t>小时内，卖方应通过将下列</w:t>
      </w:r>
      <w:r>
        <w:rPr>
          <w:rFonts w:hint="eastAsia"/>
          <w:sz w:val="24"/>
        </w:rPr>
        <w:t>材料、</w:t>
      </w:r>
      <w:r>
        <w:rPr>
          <w:sz w:val="24"/>
        </w:rPr>
        <w:t>信息通知买方</w:t>
      </w:r>
      <w:r>
        <w:rPr>
          <w:rFonts w:hint="eastAsia"/>
          <w:sz w:val="24"/>
        </w:rPr>
        <w:t>：</w:t>
      </w:r>
      <w:r>
        <w:rPr>
          <w:sz w:val="24"/>
        </w:rPr>
        <w:t>合同号</w:t>
      </w:r>
      <w:r>
        <w:rPr>
          <w:rFonts w:hint="eastAsia"/>
          <w:sz w:val="24"/>
        </w:rPr>
        <w:t>、</w:t>
      </w:r>
      <w:r>
        <w:rPr>
          <w:sz w:val="24"/>
        </w:rPr>
        <w:t>货物名称及编号</w:t>
      </w:r>
      <w:r>
        <w:rPr>
          <w:rFonts w:hint="eastAsia"/>
          <w:sz w:val="24"/>
        </w:rPr>
        <w:t>、货物数量、</w:t>
      </w:r>
      <w:r>
        <w:rPr>
          <w:sz w:val="24"/>
        </w:rPr>
        <w:t>货物总重量</w:t>
      </w:r>
      <w:r>
        <w:rPr>
          <w:rFonts w:hint="eastAsia"/>
          <w:sz w:val="24"/>
        </w:rPr>
        <w:t>和【</w:t>
      </w:r>
      <w:r>
        <w:rPr>
          <w:rFonts w:hint="eastAsia"/>
          <w:sz w:val="24"/>
          <w:lang w:val="en-US" w:eastAsia="zh-CN"/>
        </w:rPr>
        <w:t>详见附件四</w:t>
      </w:r>
      <w:r>
        <w:rPr>
          <w:rFonts w:hint="eastAsia"/>
          <w:sz w:val="24"/>
        </w:rPr>
        <w:t>】。</w:t>
      </w:r>
    </w:p>
    <w:p>
      <w:pPr>
        <w:numPr>
          <w:ilvl w:val="0"/>
          <w:numId w:val="23"/>
        </w:numPr>
        <w:tabs>
          <w:tab w:val="left" w:pos="567"/>
          <w:tab w:val="left" w:pos="709"/>
        </w:tabs>
        <w:spacing w:before="93" w:beforeLines="30" w:after="93" w:afterLines="30" w:line="360" w:lineRule="auto"/>
        <w:ind w:left="567" w:hanging="567"/>
        <w:outlineLvl w:val="0"/>
        <w:rPr>
          <w:b/>
          <w:sz w:val="24"/>
        </w:rPr>
      </w:pPr>
      <w:r>
        <w:rPr>
          <w:rFonts w:hint="eastAsia"/>
          <w:b/>
          <w:sz w:val="24"/>
        </w:rPr>
        <w:t>包装</w:t>
      </w:r>
    </w:p>
    <w:p>
      <w:pPr>
        <w:pStyle w:val="40"/>
        <w:spacing w:line="360" w:lineRule="auto"/>
        <w:ind w:left="567" w:leftChars="270" w:firstLine="0"/>
        <w:rPr>
          <w:rFonts w:hAnsi="宋体"/>
          <w:sz w:val="24"/>
        </w:rPr>
      </w:pPr>
      <w:r>
        <w:rPr>
          <w:rFonts w:hAnsi="宋体"/>
          <w:sz w:val="24"/>
        </w:rPr>
        <w:t>卖方应提供将货物</w:t>
      </w:r>
      <w:r>
        <w:rPr>
          <w:rFonts w:hint="eastAsia" w:hAnsi="宋体"/>
          <w:sz w:val="24"/>
        </w:rPr>
        <w:t>、货物资料</w:t>
      </w:r>
      <w:r>
        <w:rPr>
          <w:rFonts w:hAnsi="宋体"/>
          <w:sz w:val="24"/>
        </w:rPr>
        <w:t>运至</w:t>
      </w:r>
      <w:r>
        <w:rPr>
          <w:rFonts w:hint="eastAsia" w:hAnsi="宋体"/>
          <w:sz w:val="24"/>
        </w:rPr>
        <w:t>交货</w:t>
      </w:r>
      <w:r>
        <w:rPr>
          <w:rFonts w:hAnsi="宋体"/>
          <w:sz w:val="24"/>
        </w:rPr>
        <w:t>地点所需要的包装，以防止货物</w:t>
      </w:r>
      <w:r>
        <w:rPr>
          <w:rFonts w:hint="eastAsia" w:hAnsi="宋体"/>
          <w:sz w:val="24"/>
        </w:rPr>
        <w:t>、货物资料</w:t>
      </w:r>
      <w:r>
        <w:rPr>
          <w:rFonts w:hAnsi="宋体"/>
          <w:sz w:val="24"/>
        </w:rPr>
        <w:t>在运输中损坏或变质。货物</w:t>
      </w:r>
      <w:r>
        <w:rPr>
          <w:rFonts w:hint="eastAsia" w:hAnsi="宋体"/>
          <w:sz w:val="24"/>
        </w:rPr>
        <w:t>、货物资料</w:t>
      </w:r>
      <w:r>
        <w:rPr>
          <w:rFonts w:hAnsi="宋体"/>
          <w:sz w:val="24"/>
        </w:rPr>
        <w:t>的包装应采用防潮、防晒、防锈、防腐蚀、防震动、防野蛮装卸及防止其它损坏的必要保护措施，保护货物</w:t>
      </w:r>
      <w:r>
        <w:rPr>
          <w:rFonts w:hint="eastAsia" w:hAnsi="宋体"/>
          <w:sz w:val="24"/>
        </w:rPr>
        <w:t>、货物资料</w:t>
      </w:r>
      <w:r>
        <w:rPr>
          <w:rFonts w:hAnsi="宋体"/>
          <w:sz w:val="24"/>
        </w:rPr>
        <w:t>能够经受多次搬运、装卸及远洋和内陆长途运输。</w:t>
      </w:r>
    </w:p>
    <w:p>
      <w:pPr>
        <w:numPr>
          <w:ilvl w:val="0"/>
          <w:numId w:val="23"/>
        </w:numPr>
        <w:tabs>
          <w:tab w:val="left" w:pos="567"/>
          <w:tab w:val="left" w:pos="709"/>
        </w:tabs>
        <w:spacing w:before="93" w:beforeLines="30" w:after="93" w:afterLines="30" w:line="360" w:lineRule="auto"/>
        <w:ind w:left="567" w:hanging="567"/>
        <w:outlineLvl w:val="0"/>
        <w:rPr>
          <w:b/>
          <w:sz w:val="24"/>
        </w:rPr>
      </w:pPr>
      <w:r>
        <w:rPr>
          <w:rFonts w:hint="eastAsia"/>
          <w:b/>
          <w:sz w:val="24"/>
        </w:rPr>
        <w:t>货物资料的交付</w:t>
      </w:r>
    </w:p>
    <w:p>
      <w:pPr>
        <w:pStyle w:val="40"/>
        <w:numPr>
          <w:ilvl w:val="0"/>
          <w:numId w:val="25"/>
        </w:numPr>
        <w:tabs>
          <w:tab w:val="left" w:pos="709"/>
        </w:tabs>
        <w:spacing w:before="93" w:beforeLines="30" w:after="93" w:afterLines="30" w:line="360" w:lineRule="auto"/>
        <w:outlineLvl w:val="0"/>
        <w:rPr>
          <w:sz w:val="24"/>
          <w:highlight w:val="none"/>
        </w:rPr>
      </w:pPr>
      <w:r>
        <w:rPr>
          <w:rFonts w:hint="eastAsia"/>
          <w:sz w:val="24"/>
        </w:rPr>
        <w:t>卖方应根据如下规定向买方交付与货物有关的资料。卖方交付的货物资料应当完整、正确、整洁、书写明确、质量完好，符合行业标准或惯例，并能满足买方正常使用与维护货物之需要。 卖方向买方交付货物、买方验收货物以卖方在交货日将全部货物资料交付买方为前提条件。</w:t>
      </w:r>
      <w:r>
        <w:rPr>
          <w:sz w:val="24"/>
        </w:rPr>
        <w:t>如买方发现货物资料存在任何</w:t>
      </w:r>
      <w:r>
        <w:rPr>
          <w:rFonts w:hint="eastAsia"/>
          <w:sz w:val="24"/>
        </w:rPr>
        <w:t>错漏、</w:t>
      </w:r>
      <w:r>
        <w:rPr>
          <w:sz w:val="24"/>
        </w:rPr>
        <w:t>短缺、损坏、遗失，买方应于收到之日起</w:t>
      </w:r>
      <w:r>
        <w:rPr>
          <w:rFonts w:hint="eastAsia" w:hAnsi="宋体"/>
          <w:sz w:val="24"/>
        </w:rPr>
        <w:t>合理期限</w:t>
      </w:r>
      <w:r>
        <w:rPr>
          <w:sz w:val="24"/>
        </w:rPr>
        <w:t>内通知卖方；卖方收到通知后</w:t>
      </w:r>
      <w:r>
        <w:rPr>
          <w:rFonts w:hint="eastAsia" w:hAnsi="宋体"/>
          <w:sz w:val="24"/>
        </w:rPr>
        <w:t>【</w:t>
      </w:r>
      <w:r>
        <w:rPr>
          <w:rFonts w:hint="eastAsia" w:hAnsi="宋体"/>
          <w:i/>
          <w:sz w:val="24"/>
        </w:rPr>
        <w:t>5</w:t>
      </w:r>
      <w:r>
        <w:rPr>
          <w:rFonts w:hint="eastAsia" w:hAnsi="宋体"/>
          <w:sz w:val="24"/>
        </w:rPr>
        <w:t>】</w:t>
      </w:r>
      <w:r>
        <w:rPr>
          <w:sz w:val="24"/>
        </w:rPr>
        <w:t>日内应</w:t>
      </w:r>
      <w:r>
        <w:rPr>
          <w:rFonts w:hint="eastAsia"/>
          <w:sz w:val="24"/>
        </w:rPr>
        <w:t>自行承担费用</w:t>
      </w:r>
      <w:r>
        <w:rPr>
          <w:sz w:val="24"/>
        </w:rPr>
        <w:t>将补充或替换的货物资料送达买方，</w:t>
      </w:r>
      <w:r>
        <w:rPr>
          <w:rFonts w:hint="eastAsia"/>
          <w:sz w:val="24"/>
        </w:rPr>
        <w:t>并</w:t>
      </w:r>
      <w:r>
        <w:rPr>
          <w:sz w:val="24"/>
        </w:rPr>
        <w:t>不得因</w:t>
      </w:r>
      <w:r>
        <w:rPr>
          <w:sz w:val="24"/>
          <w:highlight w:val="none"/>
        </w:rPr>
        <w:t>此影响交货进度</w:t>
      </w:r>
      <w:r>
        <w:rPr>
          <w:rFonts w:hint="eastAsia"/>
          <w:sz w:val="24"/>
          <w:highlight w:val="none"/>
        </w:rPr>
        <w:t>。</w:t>
      </w:r>
    </w:p>
    <w:p>
      <w:pPr>
        <w:pStyle w:val="40"/>
        <w:numPr>
          <w:ilvl w:val="0"/>
          <w:numId w:val="25"/>
        </w:numPr>
        <w:tabs>
          <w:tab w:val="left" w:pos="709"/>
        </w:tabs>
        <w:spacing w:before="93" w:beforeLines="30" w:after="93" w:afterLines="30" w:line="360" w:lineRule="auto"/>
        <w:outlineLvl w:val="0"/>
        <w:rPr>
          <w:highlight w:val="none"/>
        </w:rPr>
      </w:pPr>
      <w:r>
        <w:rPr>
          <w:rFonts w:hint="eastAsia"/>
          <w:sz w:val="24"/>
          <w:highlight w:val="none"/>
        </w:rPr>
        <w:t>货物资料的名称、数量及交付时间为：</w:t>
      </w:r>
      <w:r>
        <w:rPr>
          <w:rFonts w:hint="eastAsia" w:hAnsi="宋体"/>
          <w:sz w:val="24"/>
          <w:highlight w:val="none"/>
        </w:rPr>
        <w:t>【</w:t>
      </w:r>
      <w:r>
        <w:rPr>
          <w:rFonts w:hint="eastAsia" w:hAnsi="宋体"/>
          <w:sz w:val="24"/>
          <w:highlight w:val="none"/>
          <w:lang w:val="en-US" w:eastAsia="zh-CN"/>
        </w:rPr>
        <w:t>详见附件四</w:t>
      </w:r>
      <w:r>
        <w:rPr>
          <w:rFonts w:hint="eastAsia" w:hAnsi="宋体"/>
          <w:sz w:val="24"/>
          <w:highlight w:val="none"/>
        </w:rPr>
        <w:t>】</w:t>
      </w:r>
      <w:r>
        <w:rPr>
          <w:rFonts w:hint="eastAsia"/>
          <w:sz w:val="24"/>
          <w:highlight w:val="none"/>
        </w:rPr>
        <w:t>。</w:t>
      </w:r>
    </w:p>
    <w:p>
      <w:pPr>
        <w:pStyle w:val="18"/>
        <w:numPr>
          <w:ilvl w:val="0"/>
          <w:numId w:val="18"/>
        </w:numPr>
        <w:tabs>
          <w:tab w:val="left" w:pos="567"/>
        </w:tabs>
        <w:spacing w:before="93" w:beforeLines="30" w:after="93" w:afterLines="30" w:line="360" w:lineRule="auto"/>
        <w:ind w:left="567" w:hanging="567"/>
        <w:jc w:val="left"/>
        <w:rPr>
          <w:sz w:val="24"/>
          <w:szCs w:val="24"/>
        </w:rPr>
      </w:pPr>
      <w:bookmarkStart w:id="55" w:name="_Toc306354315"/>
      <w:r>
        <w:rPr>
          <w:rFonts w:hint="eastAsia"/>
          <w:sz w:val="24"/>
          <w:szCs w:val="24"/>
        </w:rPr>
        <w:t>货物要求</w:t>
      </w:r>
    </w:p>
    <w:p>
      <w:pPr>
        <w:pStyle w:val="40"/>
        <w:numPr>
          <w:ilvl w:val="0"/>
          <w:numId w:val="26"/>
        </w:numPr>
        <w:spacing w:before="93" w:beforeLines="30" w:after="93" w:afterLines="30" w:line="360" w:lineRule="auto"/>
        <w:ind w:left="567" w:hanging="567"/>
        <w:outlineLvl w:val="0"/>
        <w:rPr>
          <w:rFonts w:hAnsi="宋体"/>
          <w:sz w:val="24"/>
        </w:rPr>
      </w:pPr>
      <w:r>
        <w:rPr>
          <w:rFonts w:hAnsi="宋体"/>
          <w:sz w:val="24"/>
        </w:rPr>
        <w:t>卖方应根据合同规定</w:t>
      </w:r>
      <w:r>
        <w:rPr>
          <w:rFonts w:hint="eastAsia" w:hAnsi="宋体"/>
          <w:sz w:val="24"/>
        </w:rPr>
        <w:t>提供</w:t>
      </w:r>
      <w:r>
        <w:rPr>
          <w:rFonts w:hAnsi="宋体"/>
          <w:sz w:val="24"/>
        </w:rPr>
        <w:t>货物，其提供的货物应符合合同规定的质量、规格及其它要求。如合同未就货物相关环节的质量、规格等予以明确规定，则应符合国家标准。如无国家标准，则应符合行业标准；如无行业标准，应</w:t>
      </w:r>
      <w:r>
        <w:rPr>
          <w:rFonts w:hint="eastAsia" w:hAnsi="宋体"/>
          <w:sz w:val="24"/>
        </w:rPr>
        <w:t>适用</w:t>
      </w:r>
      <w:r>
        <w:rPr>
          <w:rFonts w:hAnsi="宋体"/>
          <w:sz w:val="24"/>
        </w:rPr>
        <w:t>符合本合同目的的标准。</w:t>
      </w:r>
    </w:p>
    <w:p>
      <w:pPr>
        <w:pStyle w:val="40"/>
        <w:numPr>
          <w:ilvl w:val="0"/>
          <w:numId w:val="26"/>
        </w:numPr>
        <w:spacing w:before="93" w:beforeLines="30" w:after="93" w:afterLines="30" w:line="360" w:lineRule="auto"/>
        <w:ind w:left="567" w:hanging="567"/>
        <w:outlineLvl w:val="0"/>
        <w:rPr>
          <w:rFonts w:hAnsi="宋体"/>
          <w:sz w:val="24"/>
        </w:rPr>
      </w:pPr>
      <w:r>
        <w:rPr>
          <w:rFonts w:hAnsi="宋体"/>
          <w:sz w:val="24"/>
        </w:rPr>
        <w:t>在履行合同过程中，买方接受卖方的有关货物的建议和要求或买方的任何批准、认可不得免除卖方</w:t>
      </w:r>
      <w:r>
        <w:rPr>
          <w:rFonts w:hint="eastAsia" w:hAnsi="宋体"/>
          <w:sz w:val="24"/>
        </w:rPr>
        <w:t>在本合同项下的任何</w:t>
      </w:r>
      <w:r>
        <w:rPr>
          <w:rFonts w:hAnsi="宋体"/>
          <w:sz w:val="24"/>
        </w:rPr>
        <w:t>义务（包括卖方对货物应符合本合同</w:t>
      </w:r>
      <w:r>
        <w:rPr>
          <w:rFonts w:hint="eastAsia" w:hAnsi="宋体"/>
          <w:sz w:val="24"/>
        </w:rPr>
        <w:t>规定的</w:t>
      </w:r>
      <w:r>
        <w:rPr>
          <w:rFonts w:hAnsi="宋体"/>
          <w:sz w:val="24"/>
        </w:rPr>
        <w:t>质量和规格</w:t>
      </w:r>
      <w:r>
        <w:rPr>
          <w:rFonts w:hint="eastAsia" w:hAnsi="宋体"/>
          <w:sz w:val="24"/>
        </w:rPr>
        <w:t>等</w:t>
      </w:r>
      <w:r>
        <w:rPr>
          <w:rFonts w:hAnsi="宋体"/>
          <w:sz w:val="24"/>
        </w:rPr>
        <w:t>要求应承担的责任）。</w:t>
      </w:r>
    </w:p>
    <w:p>
      <w:pPr>
        <w:pStyle w:val="18"/>
        <w:numPr>
          <w:ilvl w:val="0"/>
          <w:numId w:val="18"/>
        </w:numPr>
        <w:tabs>
          <w:tab w:val="left" w:pos="567"/>
        </w:tabs>
        <w:spacing w:before="93" w:beforeLines="30" w:after="93" w:afterLines="30" w:line="360" w:lineRule="auto"/>
        <w:ind w:left="567" w:hanging="567"/>
        <w:jc w:val="left"/>
        <w:rPr>
          <w:sz w:val="24"/>
          <w:szCs w:val="24"/>
        </w:rPr>
      </w:pPr>
      <w:r>
        <w:rPr>
          <w:rFonts w:hint="eastAsia"/>
          <w:sz w:val="24"/>
          <w:szCs w:val="24"/>
        </w:rPr>
        <w:t>运输和保险</w:t>
      </w:r>
    </w:p>
    <w:p>
      <w:pPr>
        <w:pStyle w:val="40"/>
        <w:numPr>
          <w:ilvl w:val="0"/>
          <w:numId w:val="27"/>
        </w:numPr>
        <w:spacing w:before="93" w:beforeLines="30" w:after="93" w:afterLines="30" w:line="360" w:lineRule="auto"/>
        <w:ind w:left="567" w:hanging="567"/>
        <w:outlineLvl w:val="0"/>
        <w:rPr>
          <w:sz w:val="24"/>
        </w:rPr>
      </w:pPr>
      <w:r>
        <w:rPr>
          <w:sz w:val="24"/>
        </w:rPr>
        <w:t>运输</w:t>
      </w:r>
      <w:r>
        <w:rPr>
          <w:rFonts w:hint="eastAsia"/>
          <w:sz w:val="24"/>
        </w:rPr>
        <w:t>方式：</w:t>
      </w:r>
      <w:r>
        <w:rPr>
          <w:rFonts w:hint="eastAsia" w:hAnsi="宋体"/>
          <w:sz w:val="24"/>
        </w:rPr>
        <w:t>【</w:t>
      </w:r>
      <w:r>
        <w:rPr>
          <w:rFonts w:hint="eastAsia" w:hAnsi="宋体"/>
          <w:i/>
          <w:sz w:val="24"/>
        </w:rPr>
        <w:t>卖方自定</w:t>
      </w:r>
      <w:r>
        <w:rPr>
          <w:rFonts w:hint="eastAsia" w:hAnsi="宋体"/>
          <w:sz w:val="24"/>
        </w:rPr>
        <w:t>】</w:t>
      </w:r>
      <w:r>
        <w:rPr>
          <w:rFonts w:hint="eastAsia"/>
          <w:sz w:val="24"/>
        </w:rPr>
        <w:t>。</w:t>
      </w:r>
    </w:p>
    <w:p>
      <w:pPr>
        <w:pStyle w:val="40"/>
        <w:numPr>
          <w:ilvl w:val="0"/>
          <w:numId w:val="27"/>
        </w:numPr>
        <w:spacing w:before="93" w:beforeLines="30" w:after="93" w:afterLines="30" w:line="360" w:lineRule="auto"/>
        <w:ind w:left="567" w:hanging="567"/>
        <w:outlineLvl w:val="0"/>
        <w:rPr>
          <w:rFonts w:hAnsi="宋体"/>
          <w:sz w:val="24"/>
        </w:rPr>
      </w:pPr>
      <w:r>
        <w:rPr>
          <w:rFonts w:hint="eastAsia"/>
          <w:sz w:val="24"/>
        </w:rPr>
        <w:t>除非本合同另有明确规定，</w:t>
      </w:r>
      <w:r>
        <w:rPr>
          <w:rFonts w:hAnsi="宋体"/>
          <w:sz w:val="24"/>
        </w:rPr>
        <w:t>卖方负责将货物</w:t>
      </w:r>
      <w:r>
        <w:rPr>
          <w:rFonts w:hint="eastAsia" w:hAnsi="宋体"/>
          <w:sz w:val="24"/>
        </w:rPr>
        <w:t>及配套软件、货物资料</w:t>
      </w:r>
      <w:r>
        <w:rPr>
          <w:rFonts w:hAnsi="宋体"/>
          <w:sz w:val="24"/>
        </w:rPr>
        <w:t>运至交货地点，运输费用全部包含于合同总价中。如卖方需改变本合同规定的运输方式，卖方应提前</w:t>
      </w:r>
      <w:r>
        <w:rPr>
          <w:rFonts w:hint="eastAsia" w:hAnsi="宋体"/>
          <w:sz w:val="24"/>
        </w:rPr>
        <w:t>【</w:t>
      </w:r>
      <w:r>
        <w:rPr>
          <w:rFonts w:hint="eastAsia" w:hAnsi="宋体"/>
          <w:i/>
          <w:sz w:val="24"/>
        </w:rPr>
        <w:t>5日</w:t>
      </w:r>
      <w:r>
        <w:rPr>
          <w:rFonts w:hint="eastAsia" w:hAnsi="宋体"/>
          <w:sz w:val="24"/>
        </w:rPr>
        <w:t>】</w:t>
      </w:r>
      <w:r>
        <w:rPr>
          <w:rFonts w:hAnsi="宋体"/>
          <w:sz w:val="24"/>
        </w:rPr>
        <w:t>通知买方，并获得买方的书面认可</w:t>
      </w:r>
      <w:r>
        <w:rPr>
          <w:rFonts w:hint="eastAsia" w:hAnsi="宋体"/>
          <w:sz w:val="24"/>
        </w:rPr>
        <w:t>。</w:t>
      </w:r>
    </w:p>
    <w:p>
      <w:pPr>
        <w:pStyle w:val="40"/>
        <w:numPr>
          <w:ilvl w:val="0"/>
          <w:numId w:val="27"/>
        </w:numPr>
        <w:spacing w:before="93" w:beforeLines="30" w:after="93" w:afterLines="30" w:line="360" w:lineRule="auto"/>
        <w:ind w:left="567" w:hanging="567"/>
        <w:outlineLvl w:val="0"/>
        <w:rPr>
          <w:rFonts w:hAnsi="宋体"/>
          <w:sz w:val="24"/>
        </w:rPr>
      </w:pPr>
      <w:r>
        <w:rPr>
          <w:rFonts w:hAnsi="宋体"/>
          <w:sz w:val="24"/>
        </w:rPr>
        <w:t>货物在交货地点的卸货由卖方负责，卸货费用由卖方承担，卖方应在买方指定的地点卸货，且遵守买方有关卸货的指示</w:t>
      </w:r>
      <w:r>
        <w:rPr>
          <w:rFonts w:hint="eastAsia" w:hAnsi="宋体"/>
          <w:sz w:val="24"/>
        </w:rPr>
        <w:t>。</w:t>
      </w:r>
    </w:p>
    <w:p>
      <w:pPr>
        <w:pStyle w:val="40"/>
        <w:numPr>
          <w:ilvl w:val="0"/>
          <w:numId w:val="27"/>
        </w:numPr>
        <w:spacing w:before="93" w:beforeLines="30" w:after="93" w:afterLines="30" w:line="360" w:lineRule="auto"/>
        <w:ind w:left="567" w:hanging="567"/>
        <w:outlineLvl w:val="0"/>
        <w:rPr>
          <w:rFonts w:hAnsi="宋体"/>
          <w:sz w:val="24"/>
        </w:rPr>
      </w:pPr>
      <w:r>
        <w:rPr>
          <w:rFonts w:hAnsi="宋体"/>
          <w:sz w:val="24"/>
        </w:rPr>
        <w:t>卖方承担与货物</w:t>
      </w:r>
      <w:r>
        <w:rPr>
          <w:rFonts w:hint="eastAsia" w:hAnsi="宋体"/>
          <w:sz w:val="24"/>
        </w:rPr>
        <w:t>和货物资料</w:t>
      </w:r>
      <w:r>
        <w:rPr>
          <w:rFonts w:hAnsi="宋体"/>
          <w:sz w:val="24"/>
        </w:rPr>
        <w:t>运输相关的全部费用，该等费用已包含于合同总价中。</w:t>
      </w:r>
    </w:p>
    <w:p>
      <w:pPr>
        <w:pStyle w:val="40"/>
        <w:numPr>
          <w:ilvl w:val="0"/>
          <w:numId w:val="27"/>
        </w:numPr>
        <w:spacing w:line="360" w:lineRule="auto"/>
        <w:ind w:left="567" w:hanging="567"/>
        <w:rPr>
          <w:sz w:val="24"/>
        </w:rPr>
      </w:pPr>
      <w:r>
        <w:rPr>
          <w:rFonts w:hint="eastAsia"/>
          <w:sz w:val="24"/>
        </w:rPr>
        <w:t>运输保险</w:t>
      </w:r>
    </w:p>
    <w:p>
      <w:pPr>
        <w:pStyle w:val="40"/>
        <w:spacing w:line="360" w:lineRule="auto"/>
        <w:ind w:left="567" w:firstLine="0"/>
        <w:rPr>
          <w:rFonts w:hAnsi="宋体"/>
          <w:bCs/>
          <w:sz w:val="24"/>
        </w:rPr>
      </w:pPr>
      <w:r>
        <w:rPr>
          <w:rFonts w:hAnsi="宋体"/>
          <w:sz w:val="24"/>
        </w:rPr>
        <w:t>卖方应</w:t>
      </w:r>
      <w:r>
        <w:rPr>
          <w:rFonts w:hAnsi="宋体"/>
          <w:bCs/>
          <w:sz w:val="24"/>
        </w:rPr>
        <w:t>根据运输方式，向</w:t>
      </w:r>
      <w:r>
        <w:rPr>
          <w:rFonts w:hint="eastAsia" w:hAnsi="宋体"/>
          <w:bCs/>
          <w:sz w:val="24"/>
        </w:rPr>
        <w:t>买方认可的、拥有合法资质的著名保险公司投保货物运输一切险或综合险，保险</w:t>
      </w:r>
      <w:r>
        <w:rPr>
          <w:rFonts w:hAnsi="宋体"/>
          <w:bCs/>
          <w:sz w:val="24"/>
        </w:rPr>
        <w:t>金额不低于合同总价，</w:t>
      </w:r>
      <w:r>
        <w:rPr>
          <w:rFonts w:hint="eastAsia" w:hAnsi="宋体"/>
          <w:bCs/>
          <w:sz w:val="24"/>
        </w:rPr>
        <w:t>并将买方列为共同被保险人或受益人。保障</w:t>
      </w:r>
      <w:r>
        <w:rPr>
          <w:rFonts w:hAnsi="宋体"/>
          <w:bCs/>
          <w:sz w:val="24"/>
        </w:rPr>
        <w:t>区段为卖方制造厂存储货物的仓库到项目现场用于存储货物的仓库，</w:t>
      </w:r>
      <w:r>
        <w:rPr>
          <w:rFonts w:hint="eastAsia" w:hAnsi="宋体"/>
          <w:bCs/>
          <w:sz w:val="24"/>
        </w:rPr>
        <w:t>保险期限</w:t>
      </w:r>
      <w:r>
        <w:rPr>
          <w:rFonts w:hAnsi="宋体"/>
          <w:bCs/>
          <w:sz w:val="24"/>
        </w:rPr>
        <w:t>始于装货（含装货）止于</w:t>
      </w:r>
      <w:r>
        <w:rPr>
          <w:rFonts w:hint="eastAsia" w:hAnsi="宋体"/>
          <w:bCs/>
          <w:sz w:val="24"/>
        </w:rPr>
        <w:t>【</w:t>
      </w:r>
      <w:r>
        <w:rPr>
          <w:rFonts w:hAnsi="宋体"/>
          <w:bCs/>
          <w:i/>
          <w:sz w:val="24"/>
        </w:rPr>
        <w:t>卸货后</w:t>
      </w:r>
      <w:r>
        <w:rPr>
          <w:rFonts w:hint="eastAsia" w:hAnsi="宋体"/>
          <w:bCs/>
          <w:i/>
          <w:sz w:val="24"/>
        </w:rPr>
        <w:t>十五（15）</w:t>
      </w:r>
      <w:r>
        <w:rPr>
          <w:rFonts w:hint="eastAsia" w:hAnsi="宋体"/>
          <w:bCs/>
          <w:sz w:val="24"/>
        </w:rPr>
        <w:t>】</w:t>
      </w:r>
      <w:r>
        <w:rPr>
          <w:rFonts w:hAnsi="宋体"/>
          <w:bCs/>
          <w:sz w:val="24"/>
        </w:rPr>
        <w:t>日。</w:t>
      </w:r>
    </w:p>
    <w:p>
      <w:pPr>
        <w:pStyle w:val="40"/>
        <w:numPr>
          <w:ilvl w:val="0"/>
          <w:numId w:val="27"/>
        </w:numPr>
        <w:spacing w:line="360" w:lineRule="auto"/>
        <w:rPr>
          <w:sz w:val="24"/>
        </w:rPr>
      </w:pPr>
      <w:r>
        <w:rPr>
          <w:rFonts w:hint="eastAsia"/>
        </w:rPr>
        <w:t xml:space="preserve"> </w:t>
      </w:r>
      <w:r>
        <w:rPr>
          <w:rFonts w:hint="eastAsia"/>
          <w:sz w:val="24"/>
        </w:rPr>
        <w:t>关于运输、卸货等内容的特别约定：【无】</w:t>
      </w:r>
    </w:p>
    <w:p>
      <w:pPr>
        <w:pStyle w:val="18"/>
        <w:numPr>
          <w:ilvl w:val="0"/>
          <w:numId w:val="18"/>
        </w:numPr>
        <w:tabs>
          <w:tab w:val="left" w:pos="567"/>
        </w:tabs>
        <w:spacing w:before="93" w:beforeLines="30" w:after="93" w:afterLines="30" w:line="360" w:lineRule="auto"/>
        <w:ind w:left="567" w:hanging="567"/>
        <w:jc w:val="left"/>
        <w:rPr>
          <w:sz w:val="24"/>
          <w:szCs w:val="24"/>
        </w:rPr>
      </w:pPr>
      <w:r>
        <w:rPr>
          <w:rFonts w:hint="eastAsia"/>
          <w:sz w:val="24"/>
          <w:szCs w:val="24"/>
        </w:rPr>
        <w:t>验收</w:t>
      </w:r>
      <w:bookmarkEnd w:id="55"/>
    </w:p>
    <w:p>
      <w:pPr>
        <w:numPr>
          <w:ilvl w:val="0"/>
          <w:numId w:val="28"/>
        </w:numPr>
        <w:tabs>
          <w:tab w:val="left" w:pos="567"/>
          <w:tab w:val="left" w:pos="709"/>
          <w:tab w:val="clear" w:pos="1860"/>
        </w:tabs>
        <w:snapToGrid w:val="0"/>
        <w:spacing w:before="93" w:beforeLines="30" w:after="93" w:afterLines="30" w:line="360" w:lineRule="auto"/>
        <w:ind w:left="567" w:hanging="567"/>
        <w:rPr>
          <w:b/>
          <w:sz w:val="24"/>
        </w:rPr>
      </w:pPr>
      <w:r>
        <w:rPr>
          <w:rFonts w:hint="eastAsia"/>
          <w:sz w:val="24"/>
        </w:rPr>
        <w:t>合同货物交付前，卖方应对其进行全面检验，并在交付货物时向买方提交货物的质量合格证书。</w:t>
      </w:r>
    </w:p>
    <w:p>
      <w:pPr>
        <w:numPr>
          <w:ilvl w:val="0"/>
          <w:numId w:val="28"/>
        </w:numPr>
        <w:tabs>
          <w:tab w:val="left" w:pos="567"/>
          <w:tab w:val="left" w:pos="709"/>
          <w:tab w:val="clear" w:pos="1860"/>
        </w:tabs>
        <w:snapToGrid w:val="0"/>
        <w:spacing w:before="93" w:beforeLines="30" w:after="93" w:afterLines="30" w:line="360" w:lineRule="auto"/>
        <w:ind w:left="567" w:hanging="567"/>
        <w:rPr>
          <w:b/>
          <w:sz w:val="24"/>
        </w:rPr>
      </w:pPr>
      <w:r>
        <w:rPr>
          <w:rFonts w:hint="eastAsia" w:hAnsi="宋体"/>
          <w:sz w:val="24"/>
        </w:rPr>
        <w:t>货物运抵交货地点时，双方应共同对货物进行验收。如果货物通过验收，买方向卖方签发验收证明。如货物不符合本合同的规定，买方有权拒绝接受货物。</w:t>
      </w:r>
    </w:p>
    <w:p>
      <w:pPr>
        <w:numPr>
          <w:ilvl w:val="0"/>
          <w:numId w:val="28"/>
        </w:numPr>
        <w:tabs>
          <w:tab w:val="left" w:pos="567"/>
          <w:tab w:val="left" w:pos="709"/>
          <w:tab w:val="clear" w:pos="1860"/>
        </w:tabs>
        <w:snapToGrid w:val="0"/>
        <w:spacing w:before="93" w:beforeLines="30" w:after="93" w:afterLines="30" w:line="360" w:lineRule="auto"/>
        <w:ind w:left="567" w:hanging="567"/>
        <w:rPr>
          <w:sz w:val="24"/>
        </w:rPr>
      </w:pPr>
      <w:r>
        <w:rPr>
          <w:rFonts w:hint="eastAsia" w:hAnsi="宋体"/>
          <w:sz w:val="24"/>
        </w:rPr>
        <w:t>买方验收货物不减少、免除卖方在本合同项下的任何义务（包括卖方对货物应符合本合同质量、规格要求应承担的责任）。</w:t>
      </w:r>
    </w:p>
    <w:p>
      <w:pPr>
        <w:pStyle w:val="18"/>
        <w:numPr>
          <w:ilvl w:val="0"/>
          <w:numId w:val="18"/>
        </w:numPr>
        <w:tabs>
          <w:tab w:val="left" w:pos="567"/>
        </w:tabs>
        <w:spacing w:before="93" w:beforeLines="30" w:after="93" w:afterLines="30" w:line="360" w:lineRule="auto"/>
        <w:ind w:left="567" w:hanging="567"/>
        <w:jc w:val="left"/>
        <w:rPr>
          <w:rFonts w:ascii="Times New Roman" w:hAnsi="Times New Roman"/>
          <w:sz w:val="24"/>
          <w:szCs w:val="24"/>
        </w:rPr>
      </w:pPr>
      <w:bookmarkStart w:id="56" w:name="_Toc274403515"/>
      <w:bookmarkStart w:id="57" w:name="_Toc298158366"/>
      <w:bookmarkStart w:id="58" w:name="_Toc274343583"/>
      <w:bookmarkStart w:id="59" w:name="_Toc278875415"/>
      <w:bookmarkStart w:id="60" w:name="_Toc273388613"/>
      <w:bookmarkStart w:id="61" w:name="_Toc306354316"/>
      <w:bookmarkStart w:id="62" w:name="_Toc273388514"/>
      <w:bookmarkStart w:id="63" w:name="_Toc274754050"/>
      <w:bookmarkStart w:id="64" w:name="_Toc273458613"/>
      <w:bookmarkStart w:id="65" w:name="_Toc274669181"/>
      <w:bookmarkStart w:id="66" w:name="_Toc274075980"/>
      <w:bookmarkStart w:id="67" w:name="_Toc274668240"/>
      <w:bookmarkStart w:id="68" w:name="_Toc273451799"/>
      <w:bookmarkStart w:id="69" w:name="_Toc274344115"/>
      <w:r>
        <w:rPr>
          <w:rFonts w:ascii="Times New Roman" w:hAnsi="Times New Roman"/>
          <w:sz w:val="24"/>
          <w:szCs w:val="24"/>
        </w:rPr>
        <w:t>风险和</w:t>
      </w:r>
      <w:r>
        <w:rPr>
          <w:rFonts w:hint="eastAsia" w:ascii="Times New Roman" w:hAnsi="Times New Roman"/>
          <w:sz w:val="24"/>
          <w:szCs w:val="24"/>
        </w:rPr>
        <w:t>所有</w:t>
      </w:r>
      <w:r>
        <w:rPr>
          <w:rFonts w:ascii="Times New Roman" w:hAnsi="Times New Roman"/>
          <w:sz w:val="24"/>
          <w:szCs w:val="24"/>
        </w:rPr>
        <w:t>权的转移</w:t>
      </w:r>
      <w:bookmarkEnd w:id="56"/>
      <w:bookmarkEnd w:id="57"/>
      <w:bookmarkEnd w:id="58"/>
      <w:bookmarkEnd w:id="59"/>
      <w:bookmarkEnd w:id="60"/>
      <w:bookmarkEnd w:id="61"/>
      <w:bookmarkEnd w:id="62"/>
      <w:bookmarkEnd w:id="63"/>
      <w:bookmarkEnd w:id="64"/>
      <w:bookmarkEnd w:id="65"/>
      <w:bookmarkEnd w:id="66"/>
      <w:bookmarkEnd w:id="67"/>
      <w:bookmarkEnd w:id="68"/>
      <w:bookmarkEnd w:id="69"/>
    </w:p>
    <w:p>
      <w:pPr>
        <w:numPr>
          <w:ilvl w:val="0"/>
          <w:numId w:val="29"/>
        </w:numPr>
        <w:tabs>
          <w:tab w:val="left" w:pos="567"/>
          <w:tab w:val="left" w:pos="709"/>
          <w:tab w:val="left" w:pos="3060"/>
        </w:tabs>
        <w:spacing w:before="93" w:beforeLines="30" w:after="93" w:afterLines="30" w:line="360" w:lineRule="auto"/>
        <w:ind w:left="567" w:hanging="567"/>
        <w:rPr>
          <w:sz w:val="24"/>
        </w:rPr>
      </w:pPr>
      <w:r>
        <w:rPr>
          <w:sz w:val="24"/>
        </w:rPr>
        <w:t>除非本合同另有明确规定，</w:t>
      </w:r>
      <w:r>
        <w:rPr>
          <w:rFonts w:hint="eastAsia"/>
          <w:sz w:val="24"/>
        </w:rPr>
        <w:t>卖方</w:t>
      </w:r>
      <w:r>
        <w:rPr>
          <w:sz w:val="24"/>
        </w:rPr>
        <w:t>在指定交货地点</w:t>
      </w:r>
      <w:r>
        <w:rPr>
          <w:rFonts w:hint="eastAsia"/>
          <w:sz w:val="24"/>
        </w:rPr>
        <w:t>将货物交付给买方且买方签收货物之</w:t>
      </w:r>
      <w:r>
        <w:rPr>
          <w:sz w:val="24"/>
        </w:rPr>
        <w:t>前</w:t>
      </w:r>
      <w:r>
        <w:rPr>
          <w:rFonts w:hint="eastAsia"/>
          <w:sz w:val="24"/>
        </w:rPr>
        <w:t>，货物的一切</w:t>
      </w:r>
      <w:r>
        <w:rPr>
          <w:sz w:val="24"/>
        </w:rPr>
        <w:t>风险</w:t>
      </w:r>
      <w:r>
        <w:rPr>
          <w:rFonts w:hint="eastAsia"/>
          <w:sz w:val="24"/>
        </w:rPr>
        <w:t>（</w:t>
      </w:r>
      <w:r>
        <w:rPr>
          <w:sz w:val="24"/>
        </w:rPr>
        <w:t>包括</w:t>
      </w:r>
      <w:r>
        <w:rPr>
          <w:rFonts w:hint="eastAsia"/>
          <w:sz w:val="24"/>
        </w:rPr>
        <w:t>货物</w:t>
      </w:r>
      <w:r>
        <w:rPr>
          <w:sz w:val="24"/>
        </w:rPr>
        <w:t>在制造、储存和</w:t>
      </w:r>
      <w:r>
        <w:rPr>
          <w:rFonts w:hint="eastAsia"/>
          <w:sz w:val="24"/>
        </w:rPr>
        <w:t>自</w:t>
      </w:r>
      <w:r>
        <w:rPr>
          <w:sz w:val="24"/>
        </w:rPr>
        <w:t>发货地点至指定</w:t>
      </w:r>
      <w:r>
        <w:rPr>
          <w:rFonts w:hint="eastAsia"/>
          <w:sz w:val="24"/>
        </w:rPr>
        <w:t>交</w:t>
      </w:r>
      <w:r>
        <w:rPr>
          <w:sz w:val="24"/>
        </w:rPr>
        <w:t>货地点运输</w:t>
      </w:r>
      <w:r>
        <w:rPr>
          <w:rFonts w:hint="eastAsia"/>
          <w:sz w:val="24"/>
        </w:rPr>
        <w:t>及装卸货</w:t>
      </w:r>
      <w:r>
        <w:rPr>
          <w:sz w:val="24"/>
        </w:rPr>
        <w:t>过程中</w:t>
      </w:r>
      <w:r>
        <w:rPr>
          <w:rFonts w:hint="eastAsia"/>
          <w:sz w:val="24"/>
        </w:rPr>
        <w:t>毁损、灭失的</w:t>
      </w:r>
      <w:r>
        <w:rPr>
          <w:sz w:val="24"/>
        </w:rPr>
        <w:t>风险</w:t>
      </w:r>
      <w:r>
        <w:rPr>
          <w:rFonts w:hint="eastAsia"/>
          <w:sz w:val="24"/>
        </w:rPr>
        <w:t>）由卖方承担。卖方在指定交货地点将货物交付给买方且买方签收货物之后，货物</w:t>
      </w:r>
      <w:r>
        <w:rPr>
          <w:sz w:val="24"/>
        </w:rPr>
        <w:t>的</w:t>
      </w:r>
      <w:r>
        <w:rPr>
          <w:rFonts w:hint="eastAsia"/>
          <w:sz w:val="24"/>
        </w:rPr>
        <w:t>一切</w:t>
      </w:r>
      <w:r>
        <w:rPr>
          <w:sz w:val="24"/>
        </w:rPr>
        <w:t>风险</w:t>
      </w:r>
      <w:r>
        <w:rPr>
          <w:rFonts w:hint="eastAsia"/>
          <w:sz w:val="24"/>
        </w:rPr>
        <w:t>由买</w:t>
      </w:r>
      <w:r>
        <w:rPr>
          <w:sz w:val="24"/>
        </w:rPr>
        <w:t>方</w:t>
      </w:r>
      <w:r>
        <w:rPr>
          <w:rFonts w:hint="eastAsia"/>
          <w:sz w:val="24"/>
        </w:rPr>
        <w:t>承担</w:t>
      </w:r>
      <w:r>
        <w:rPr>
          <w:sz w:val="24"/>
        </w:rPr>
        <w:t>。</w:t>
      </w:r>
    </w:p>
    <w:p>
      <w:pPr>
        <w:numPr>
          <w:ilvl w:val="0"/>
          <w:numId w:val="29"/>
        </w:numPr>
        <w:tabs>
          <w:tab w:val="left" w:pos="567"/>
          <w:tab w:val="left" w:pos="709"/>
          <w:tab w:val="left" w:pos="3060"/>
        </w:tabs>
        <w:spacing w:before="93" w:beforeLines="30" w:after="93" w:afterLines="30" w:line="360" w:lineRule="auto"/>
        <w:ind w:left="567" w:hanging="567"/>
        <w:rPr>
          <w:sz w:val="24"/>
        </w:rPr>
      </w:pPr>
      <w:r>
        <w:rPr>
          <w:rFonts w:hint="eastAsia"/>
          <w:sz w:val="24"/>
        </w:rPr>
        <w:t>未经买方同意，卖方将货物留置或自行处置，不得视为货物合法、有效地交付买方。未经合法、有效交付，货物的风险仍由卖方承担。</w:t>
      </w:r>
    </w:p>
    <w:p>
      <w:pPr>
        <w:numPr>
          <w:ilvl w:val="0"/>
          <w:numId w:val="29"/>
        </w:numPr>
        <w:tabs>
          <w:tab w:val="left" w:pos="567"/>
          <w:tab w:val="left" w:pos="709"/>
          <w:tab w:val="left" w:pos="3060"/>
        </w:tabs>
        <w:spacing w:before="93" w:beforeLines="30" w:after="93" w:afterLines="30" w:line="360" w:lineRule="auto"/>
        <w:ind w:left="567" w:hanging="567"/>
        <w:rPr>
          <w:sz w:val="24"/>
        </w:rPr>
      </w:pPr>
      <w:r>
        <w:rPr>
          <w:rFonts w:hint="eastAsia"/>
          <w:sz w:val="24"/>
        </w:rPr>
        <w:t>虽然有前述规定，但是，如果货物的风险系因卖方违反合同规定、卖方的过错或者其它可归咎于卖方的原因造成的，货物的风险由卖方承担。</w:t>
      </w:r>
    </w:p>
    <w:p>
      <w:pPr>
        <w:numPr>
          <w:ilvl w:val="0"/>
          <w:numId w:val="29"/>
        </w:numPr>
        <w:tabs>
          <w:tab w:val="left" w:pos="567"/>
          <w:tab w:val="left" w:pos="709"/>
          <w:tab w:val="left" w:pos="3060"/>
        </w:tabs>
        <w:spacing w:before="93" w:beforeLines="30" w:after="93" w:afterLines="30" w:line="360" w:lineRule="auto"/>
        <w:ind w:left="567" w:hanging="567"/>
        <w:rPr>
          <w:sz w:val="24"/>
        </w:rPr>
      </w:pPr>
      <w:r>
        <w:rPr>
          <w:sz w:val="24"/>
        </w:rPr>
        <w:t>卖方在</w:t>
      </w:r>
      <w:r>
        <w:rPr>
          <w:rFonts w:hint="eastAsia"/>
          <w:sz w:val="24"/>
        </w:rPr>
        <w:t>约定</w:t>
      </w:r>
      <w:r>
        <w:rPr>
          <w:sz w:val="24"/>
        </w:rPr>
        <w:t>交货地点交货后，</w:t>
      </w:r>
      <w:r>
        <w:rPr>
          <w:rFonts w:hint="eastAsia"/>
          <w:sz w:val="24"/>
        </w:rPr>
        <w:t>货物</w:t>
      </w:r>
      <w:r>
        <w:rPr>
          <w:sz w:val="24"/>
        </w:rPr>
        <w:t>的</w:t>
      </w:r>
      <w:r>
        <w:rPr>
          <w:rFonts w:hint="eastAsia"/>
          <w:sz w:val="24"/>
        </w:rPr>
        <w:t>所有</w:t>
      </w:r>
      <w:r>
        <w:rPr>
          <w:sz w:val="24"/>
        </w:rPr>
        <w:t>权转移</w:t>
      </w:r>
      <w:r>
        <w:rPr>
          <w:rFonts w:hint="eastAsia"/>
          <w:sz w:val="24"/>
        </w:rPr>
        <w:t>至</w:t>
      </w:r>
      <w:r>
        <w:rPr>
          <w:sz w:val="24"/>
        </w:rPr>
        <w:t>买方。</w:t>
      </w:r>
    </w:p>
    <w:p>
      <w:pPr>
        <w:pStyle w:val="18"/>
        <w:numPr>
          <w:ilvl w:val="0"/>
          <w:numId w:val="18"/>
        </w:numPr>
        <w:tabs>
          <w:tab w:val="left" w:pos="993"/>
        </w:tabs>
        <w:spacing w:before="93" w:beforeLines="30" w:after="93" w:afterLines="30" w:line="360" w:lineRule="auto"/>
        <w:ind w:left="567" w:hanging="567"/>
        <w:jc w:val="left"/>
        <w:rPr>
          <w:rFonts w:ascii="Times New Roman" w:hAnsi="Times New Roman"/>
          <w:sz w:val="24"/>
          <w:szCs w:val="24"/>
        </w:rPr>
      </w:pPr>
      <w:bookmarkStart w:id="70" w:name="_Toc306354317"/>
      <w:r>
        <w:rPr>
          <w:rFonts w:hint="eastAsia" w:ascii="Times New Roman" w:hAnsi="Times New Roman"/>
          <w:sz w:val="24"/>
          <w:szCs w:val="24"/>
        </w:rPr>
        <w:t>技术服务</w:t>
      </w:r>
    </w:p>
    <w:p>
      <w:pPr>
        <w:numPr>
          <w:ilvl w:val="0"/>
          <w:numId w:val="30"/>
        </w:numPr>
        <w:tabs>
          <w:tab w:val="left" w:pos="567"/>
          <w:tab w:val="clear" w:pos="1860"/>
        </w:tabs>
        <w:snapToGrid w:val="0"/>
        <w:spacing w:before="93" w:beforeLines="30" w:after="93" w:afterLines="30" w:line="360" w:lineRule="auto"/>
        <w:ind w:left="567" w:hanging="567"/>
        <w:rPr>
          <w:rFonts w:hAnsi="宋体"/>
          <w:sz w:val="24"/>
        </w:rPr>
      </w:pPr>
      <w:r>
        <w:rPr>
          <w:rFonts w:hint="eastAsia" w:hAnsi="宋体"/>
          <w:sz w:val="24"/>
        </w:rPr>
        <w:t>卖方应根据本合同的规定提供技术服务。相关费用已经包含在合同总价中，技术服务的内容和具体要求【</w:t>
      </w:r>
      <w:r>
        <w:rPr>
          <w:rFonts w:hint="eastAsia" w:hAnsi="宋体"/>
          <w:i/>
          <w:sz w:val="24"/>
        </w:rPr>
        <w:t>详见本合同附件二</w:t>
      </w:r>
      <w:r>
        <w:rPr>
          <w:rFonts w:hint="eastAsia" w:hAnsi="宋体"/>
          <w:sz w:val="24"/>
        </w:rPr>
        <w:t>】。</w:t>
      </w:r>
    </w:p>
    <w:p>
      <w:pPr>
        <w:numPr>
          <w:ilvl w:val="0"/>
          <w:numId w:val="30"/>
        </w:numPr>
        <w:tabs>
          <w:tab w:val="left" w:pos="567"/>
        </w:tabs>
        <w:snapToGrid w:val="0"/>
        <w:spacing w:before="93" w:beforeLines="30" w:after="93" w:afterLines="30" w:line="360" w:lineRule="auto"/>
        <w:ind w:left="567" w:hanging="567"/>
        <w:rPr>
          <w:rFonts w:hAnsi="宋体"/>
          <w:sz w:val="24"/>
        </w:rPr>
      </w:pPr>
      <w:r>
        <w:rPr>
          <w:rFonts w:hint="eastAsia" w:hAnsi="宋体"/>
          <w:sz w:val="24"/>
        </w:rPr>
        <w:t>卖方应根据买方要求，指派服务人员到项目现场或买方指定的其它地点提供技术服务。</w:t>
      </w:r>
    </w:p>
    <w:p>
      <w:pPr>
        <w:numPr>
          <w:ilvl w:val="0"/>
          <w:numId w:val="30"/>
        </w:numPr>
        <w:tabs>
          <w:tab w:val="left" w:pos="567"/>
        </w:tabs>
        <w:snapToGrid w:val="0"/>
        <w:spacing w:before="93" w:beforeLines="30" w:after="93" w:afterLines="30" w:line="360" w:lineRule="auto"/>
        <w:ind w:left="567" w:hanging="567"/>
        <w:rPr>
          <w:sz w:val="24"/>
        </w:rPr>
      </w:pPr>
      <w:bookmarkStart w:id="71" w:name="_DV_C687"/>
      <w:r>
        <w:rPr>
          <w:rFonts w:hint="eastAsia" w:hAnsi="宋体"/>
          <w:sz w:val="24"/>
        </w:rPr>
        <w:t>如果买方认为卖方指派的服务人员提供的技术服务无法满足本合同的要求，卖方应更换服务人员并负担由此产生的全部费用。</w:t>
      </w:r>
      <w:bookmarkEnd w:id="71"/>
    </w:p>
    <w:p>
      <w:pPr>
        <w:numPr>
          <w:ilvl w:val="0"/>
          <w:numId w:val="30"/>
        </w:numPr>
        <w:tabs>
          <w:tab w:val="left" w:pos="567"/>
        </w:tabs>
        <w:snapToGrid w:val="0"/>
        <w:spacing w:before="93" w:beforeLines="30" w:after="93" w:afterLines="30" w:line="360" w:lineRule="auto"/>
        <w:ind w:left="567" w:hanging="567"/>
        <w:rPr>
          <w:sz w:val="24"/>
        </w:rPr>
      </w:pPr>
      <w:r>
        <w:rPr>
          <w:rFonts w:hint="eastAsia"/>
          <w:sz w:val="24"/>
        </w:rPr>
        <w:t>卖方指派的服务人员在为买方提供技术服务期间所遭受的人身和财产损失由卖方自行承担，除非该人身损害系因买方造成或该财产损失系因买方重大过失造成。</w:t>
      </w:r>
    </w:p>
    <w:p>
      <w:pPr>
        <w:pStyle w:val="18"/>
        <w:numPr>
          <w:ilvl w:val="0"/>
          <w:numId w:val="18"/>
        </w:numPr>
        <w:tabs>
          <w:tab w:val="left" w:pos="993"/>
        </w:tabs>
        <w:spacing w:before="93" w:beforeLines="30" w:after="93" w:afterLines="30" w:line="360" w:lineRule="auto"/>
        <w:ind w:left="567" w:hanging="567"/>
        <w:jc w:val="left"/>
        <w:rPr>
          <w:sz w:val="24"/>
          <w:szCs w:val="24"/>
        </w:rPr>
      </w:pPr>
      <w:r>
        <w:rPr>
          <w:rFonts w:hint="eastAsia"/>
          <w:sz w:val="24"/>
          <w:szCs w:val="24"/>
        </w:rPr>
        <w:t>权利保证</w:t>
      </w:r>
      <w:bookmarkEnd w:id="70"/>
    </w:p>
    <w:p>
      <w:pPr>
        <w:widowControl/>
        <w:numPr>
          <w:ilvl w:val="0"/>
          <w:numId w:val="31"/>
        </w:numPr>
        <w:tabs>
          <w:tab w:val="left" w:pos="567"/>
          <w:tab w:val="left" w:pos="709"/>
        </w:tabs>
        <w:spacing w:before="93" w:beforeLines="30" w:after="93" w:afterLines="30" w:line="360" w:lineRule="auto"/>
        <w:ind w:left="567" w:hanging="567"/>
        <w:rPr>
          <w:sz w:val="24"/>
        </w:rPr>
      </w:pPr>
      <w:r>
        <w:rPr>
          <w:sz w:val="24"/>
        </w:rPr>
        <w:t>卖方保证，</w:t>
      </w:r>
      <w:r>
        <w:rPr>
          <w:rFonts w:hint="eastAsia"/>
          <w:sz w:val="24"/>
        </w:rPr>
        <w:t>货物未</w:t>
      </w:r>
      <w:r>
        <w:rPr>
          <w:sz w:val="24"/>
        </w:rPr>
        <w:t>侵犯任何第三方的专利权、商标权</w:t>
      </w:r>
      <w:r>
        <w:rPr>
          <w:rFonts w:hint="eastAsia"/>
          <w:sz w:val="24"/>
        </w:rPr>
        <w:t>或其它知识产</w:t>
      </w:r>
      <w:r>
        <w:rPr>
          <w:sz w:val="24"/>
        </w:rPr>
        <w:t>权</w:t>
      </w:r>
      <w:r>
        <w:rPr>
          <w:rFonts w:hint="eastAsia"/>
          <w:sz w:val="24"/>
        </w:rPr>
        <w:t>，货物</w:t>
      </w:r>
      <w:r>
        <w:rPr>
          <w:sz w:val="24"/>
        </w:rPr>
        <w:t>包含的全部专利、商标</w:t>
      </w:r>
      <w:r>
        <w:rPr>
          <w:rFonts w:hint="eastAsia"/>
          <w:sz w:val="24"/>
        </w:rPr>
        <w:t>及其它知识产权</w:t>
      </w:r>
      <w:r>
        <w:rPr>
          <w:sz w:val="24"/>
        </w:rPr>
        <w:t>均为卖方</w:t>
      </w:r>
      <w:r>
        <w:rPr>
          <w:rFonts w:hint="eastAsia"/>
          <w:sz w:val="24"/>
        </w:rPr>
        <w:t>合法</w:t>
      </w:r>
      <w:r>
        <w:rPr>
          <w:sz w:val="24"/>
        </w:rPr>
        <w:t>拥有或已获得</w:t>
      </w:r>
      <w:r>
        <w:rPr>
          <w:rFonts w:hint="eastAsia"/>
          <w:sz w:val="24"/>
        </w:rPr>
        <w:t>第三方</w:t>
      </w:r>
      <w:r>
        <w:rPr>
          <w:sz w:val="24"/>
        </w:rPr>
        <w:t>的</w:t>
      </w:r>
      <w:r>
        <w:rPr>
          <w:rFonts w:hint="eastAsia"/>
          <w:sz w:val="24"/>
        </w:rPr>
        <w:t>有效</w:t>
      </w:r>
      <w:r>
        <w:rPr>
          <w:sz w:val="24"/>
        </w:rPr>
        <w:t>授权。</w:t>
      </w:r>
    </w:p>
    <w:p>
      <w:pPr>
        <w:widowControl/>
        <w:numPr>
          <w:ilvl w:val="0"/>
          <w:numId w:val="31"/>
        </w:numPr>
        <w:tabs>
          <w:tab w:val="left" w:pos="567"/>
          <w:tab w:val="left" w:pos="709"/>
        </w:tabs>
        <w:spacing w:before="93" w:beforeLines="30" w:after="93" w:afterLines="30" w:line="360" w:lineRule="auto"/>
        <w:ind w:left="567" w:hanging="567"/>
        <w:rPr>
          <w:sz w:val="24"/>
        </w:rPr>
      </w:pPr>
      <w:r>
        <w:rPr>
          <w:sz w:val="24"/>
        </w:rPr>
        <w:t>卖方保证，</w:t>
      </w:r>
      <w:r>
        <w:rPr>
          <w:rFonts w:hint="eastAsia"/>
          <w:sz w:val="24"/>
        </w:rPr>
        <w:t>货物交付前，</w:t>
      </w:r>
      <w:r>
        <w:rPr>
          <w:sz w:val="24"/>
        </w:rPr>
        <w:t>卖方</w:t>
      </w:r>
      <w:r>
        <w:rPr>
          <w:rFonts w:hint="eastAsia"/>
          <w:sz w:val="24"/>
        </w:rPr>
        <w:t>对其货物享有完整的所有权，且货物上不存在任何形式的担保物权及其它任何权利负担，亦未</w:t>
      </w:r>
      <w:r>
        <w:rPr>
          <w:sz w:val="24"/>
        </w:rPr>
        <w:t>侵犯任何第三方的</w:t>
      </w:r>
      <w:r>
        <w:rPr>
          <w:rFonts w:hint="eastAsia"/>
          <w:sz w:val="24"/>
        </w:rPr>
        <w:t>权利。</w:t>
      </w:r>
    </w:p>
    <w:p>
      <w:pPr>
        <w:widowControl/>
        <w:numPr>
          <w:ilvl w:val="0"/>
          <w:numId w:val="31"/>
        </w:numPr>
        <w:tabs>
          <w:tab w:val="left" w:pos="567"/>
          <w:tab w:val="left" w:pos="709"/>
        </w:tabs>
        <w:spacing w:before="93" w:beforeLines="30" w:after="93" w:afterLines="30" w:line="360" w:lineRule="auto"/>
        <w:ind w:left="567" w:hanging="567"/>
        <w:rPr>
          <w:sz w:val="24"/>
        </w:rPr>
      </w:pPr>
      <w:r>
        <w:rPr>
          <w:rFonts w:hint="eastAsia"/>
          <w:sz w:val="24"/>
        </w:rPr>
        <w:t>如货物侵犯任何第三方的权利（包括</w:t>
      </w:r>
      <w:r>
        <w:rPr>
          <w:sz w:val="24"/>
        </w:rPr>
        <w:t>知识产权</w:t>
      </w:r>
      <w:r>
        <w:rPr>
          <w:rFonts w:hint="eastAsia"/>
          <w:sz w:val="24"/>
        </w:rPr>
        <w:t>）</w:t>
      </w:r>
      <w:r>
        <w:rPr>
          <w:sz w:val="24"/>
        </w:rPr>
        <w:t>，卖方应根据买方</w:t>
      </w:r>
      <w:r>
        <w:rPr>
          <w:rFonts w:hint="eastAsia"/>
          <w:sz w:val="24"/>
        </w:rPr>
        <w:t>的</w:t>
      </w:r>
      <w:r>
        <w:rPr>
          <w:sz w:val="24"/>
        </w:rPr>
        <w:t>要求</w:t>
      </w:r>
      <w:r>
        <w:rPr>
          <w:rFonts w:hint="eastAsia"/>
          <w:sz w:val="24"/>
        </w:rPr>
        <w:t>自行承担费用</w:t>
      </w:r>
      <w:r>
        <w:rPr>
          <w:sz w:val="24"/>
        </w:rPr>
        <w:t>采取一切措施确保买方继续获得</w:t>
      </w:r>
      <w:r>
        <w:rPr>
          <w:rFonts w:hint="eastAsia"/>
          <w:sz w:val="24"/>
        </w:rPr>
        <w:t>货物</w:t>
      </w:r>
      <w:r>
        <w:rPr>
          <w:sz w:val="24"/>
        </w:rPr>
        <w:t>的权利，包括为买方</w:t>
      </w:r>
      <w:r>
        <w:rPr>
          <w:rFonts w:hint="eastAsia"/>
          <w:sz w:val="24"/>
        </w:rPr>
        <w:t>的利益</w:t>
      </w:r>
      <w:r>
        <w:rPr>
          <w:sz w:val="24"/>
        </w:rPr>
        <w:t>购买</w:t>
      </w:r>
      <w:r>
        <w:rPr>
          <w:rFonts w:hint="eastAsia"/>
          <w:sz w:val="24"/>
        </w:rPr>
        <w:t>货物的全部权益（包括但不限于知识产权），或采用</w:t>
      </w:r>
      <w:r>
        <w:rPr>
          <w:sz w:val="24"/>
        </w:rPr>
        <w:t>不侵权的材料、零部件、设计、技术、工艺、方法对</w:t>
      </w:r>
      <w:r>
        <w:rPr>
          <w:rFonts w:hint="eastAsia"/>
          <w:sz w:val="24"/>
        </w:rPr>
        <w:t>货物</w:t>
      </w:r>
      <w:r>
        <w:rPr>
          <w:sz w:val="24"/>
        </w:rPr>
        <w:t>进行变更，变更后</w:t>
      </w:r>
      <w:r>
        <w:rPr>
          <w:rFonts w:hint="eastAsia"/>
          <w:sz w:val="24"/>
        </w:rPr>
        <w:t>货物</w:t>
      </w:r>
      <w:r>
        <w:rPr>
          <w:sz w:val="24"/>
        </w:rPr>
        <w:t>的功能、品质和水平应符合本合同的</w:t>
      </w:r>
      <w:r>
        <w:rPr>
          <w:rFonts w:hint="eastAsia"/>
          <w:sz w:val="24"/>
        </w:rPr>
        <w:t>规定，且</w:t>
      </w:r>
      <w:r>
        <w:rPr>
          <w:sz w:val="24"/>
        </w:rPr>
        <w:t>不低于变更前的</w:t>
      </w:r>
      <w:r>
        <w:rPr>
          <w:rFonts w:hint="eastAsia"/>
          <w:sz w:val="24"/>
        </w:rPr>
        <w:t>货物</w:t>
      </w:r>
      <w:r>
        <w:rPr>
          <w:sz w:val="24"/>
        </w:rPr>
        <w:t>。</w:t>
      </w:r>
    </w:p>
    <w:p>
      <w:pPr>
        <w:widowControl/>
        <w:numPr>
          <w:ilvl w:val="0"/>
          <w:numId w:val="31"/>
        </w:numPr>
        <w:tabs>
          <w:tab w:val="left" w:pos="567"/>
          <w:tab w:val="left" w:pos="709"/>
        </w:tabs>
        <w:spacing w:before="93" w:beforeLines="30" w:after="93" w:afterLines="30" w:line="360" w:lineRule="auto"/>
        <w:ind w:left="567" w:hanging="567"/>
        <w:rPr>
          <w:sz w:val="24"/>
        </w:rPr>
      </w:pPr>
      <w:r>
        <w:rPr>
          <w:rFonts w:hint="eastAsia"/>
          <w:sz w:val="24"/>
        </w:rPr>
        <w:t>双方同意，除非本合同另有约定，货物交付且买方按照本合同约定支付合同价款之后，买方</w:t>
      </w:r>
      <w:r>
        <w:rPr>
          <w:rFonts w:hint="eastAsia"/>
          <w:color w:val="000000"/>
          <w:sz w:val="24"/>
        </w:rPr>
        <w:t>不自动获得并拥有货物自身附有的相关知识产权，但</w:t>
      </w:r>
      <w:r>
        <w:rPr>
          <w:rFonts w:hint="eastAsia"/>
          <w:sz w:val="24"/>
        </w:rPr>
        <w:t>卖方同意无偿许可买方使用与货物有关的所有知识产权。</w:t>
      </w:r>
    </w:p>
    <w:p>
      <w:pPr>
        <w:pStyle w:val="18"/>
        <w:numPr>
          <w:ilvl w:val="0"/>
          <w:numId w:val="18"/>
        </w:numPr>
        <w:tabs>
          <w:tab w:val="left" w:pos="993"/>
        </w:tabs>
        <w:spacing w:before="93" w:beforeLines="30" w:after="93" w:afterLines="30" w:line="360" w:lineRule="auto"/>
        <w:ind w:left="567" w:hanging="567"/>
        <w:jc w:val="left"/>
        <w:rPr>
          <w:sz w:val="24"/>
          <w:szCs w:val="24"/>
        </w:rPr>
      </w:pPr>
      <w:bookmarkStart w:id="72" w:name="_Toc306354318"/>
      <w:r>
        <w:rPr>
          <w:rFonts w:hint="eastAsia"/>
          <w:sz w:val="24"/>
          <w:szCs w:val="24"/>
        </w:rPr>
        <w:t xml:space="preserve"> </w:t>
      </w:r>
      <w:r>
        <w:rPr>
          <w:sz w:val="24"/>
          <w:szCs w:val="24"/>
        </w:rPr>
        <w:t>质量保证</w:t>
      </w:r>
      <w:bookmarkEnd w:id="72"/>
    </w:p>
    <w:p>
      <w:pPr>
        <w:numPr>
          <w:ilvl w:val="0"/>
          <w:numId w:val="32"/>
        </w:numPr>
        <w:tabs>
          <w:tab w:val="left" w:pos="567"/>
          <w:tab w:val="left" w:pos="709"/>
          <w:tab w:val="clear" w:pos="1860"/>
        </w:tabs>
        <w:autoSpaceDE w:val="0"/>
        <w:autoSpaceDN w:val="0"/>
        <w:adjustRightInd w:val="0"/>
        <w:spacing w:before="93" w:beforeLines="30" w:after="93" w:afterLines="30" w:line="360" w:lineRule="auto"/>
        <w:ind w:left="567" w:hanging="567"/>
        <w:jc w:val="left"/>
        <w:rPr>
          <w:sz w:val="24"/>
        </w:rPr>
      </w:pPr>
      <w:r>
        <w:rPr>
          <w:sz w:val="24"/>
        </w:rPr>
        <w:t>卖方特此保证提供的货物</w:t>
      </w:r>
      <w:r>
        <w:rPr>
          <w:rFonts w:hint="eastAsia"/>
          <w:sz w:val="24"/>
        </w:rPr>
        <w:t>是崭新、从未使用过的，采用先进技术制造，具备优良的制造工艺和水平，符合本合同规定的要求，不存在任何缺陷。</w:t>
      </w:r>
    </w:p>
    <w:p>
      <w:pPr>
        <w:numPr>
          <w:ilvl w:val="0"/>
          <w:numId w:val="32"/>
        </w:numPr>
        <w:tabs>
          <w:tab w:val="left" w:pos="567"/>
          <w:tab w:val="left" w:pos="709"/>
          <w:tab w:val="clear" w:pos="1860"/>
        </w:tabs>
        <w:autoSpaceDE w:val="0"/>
        <w:autoSpaceDN w:val="0"/>
        <w:adjustRightInd w:val="0"/>
        <w:spacing w:before="93" w:beforeLines="30" w:after="93" w:afterLines="30" w:line="360" w:lineRule="auto"/>
        <w:ind w:left="567" w:hanging="567"/>
        <w:jc w:val="left"/>
        <w:rPr>
          <w:color w:val="000000"/>
          <w:sz w:val="24"/>
        </w:rPr>
      </w:pPr>
      <w:r>
        <w:rPr>
          <w:rFonts w:hint="eastAsia"/>
          <w:sz w:val="24"/>
        </w:rPr>
        <w:t>货物的质保期为装置开车后12个月或货到验收合格后18个月，以先到为准</w:t>
      </w:r>
      <w:r>
        <w:rPr>
          <w:rFonts w:hint="eastAsia"/>
          <w:color w:val="000000"/>
          <w:sz w:val="24"/>
        </w:rPr>
        <w:t>。</w:t>
      </w:r>
    </w:p>
    <w:p>
      <w:pPr>
        <w:numPr>
          <w:ilvl w:val="0"/>
          <w:numId w:val="32"/>
        </w:numPr>
        <w:tabs>
          <w:tab w:val="left" w:pos="567"/>
          <w:tab w:val="left" w:pos="709"/>
          <w:tab w:val="clear" w:pos="1860"/>
        </w:tabs>
        <w:autoSpaceDE w:val="0"/>
        <w:autoSpaceDN w:val="0"/>
        <w:adjustRightInd w:val="0"/>
        <w:spacing w:before="93" w:beforeLines="30" w:after="93" w:afterLines="30" w:line="360" w:lineRule="auto"/>
        <w:ind w:left="567" w:hanging="567"/>
        <w:jc w:val="left"/>
        <w:rPr>
          <w:sz w:val="24"/>
        </w:rPr>
      </w:pPr>
      <w:r>
        <w:rPr>
          <w:rFonts w:hint="eastAsia"/>
          <w:sz w:val="24"/>
        </w:rPr>
        <w:t>质保期内，如发现货物违反本合同项下的任何保证，买方有权选择且卖方应采取下列补救措施：</w:t>
      </w:r>
    </w:p>
    <w:p>
      <w:pPr>
        <w:tabs>
          <w:tab w:val="left" w:pos="1860"/>
        </w:tabs>
        <w:autoSpaceDE w:val="0"/>
        <w:autoSpaceDN w:val="0"/>
        <w:adjustRightInd w:val="0"/>
        <w:spacing w:before="93" w:beforeLines="30" w:after="93" w:afterLines="30" w:line="360" w:lineRule="auto"/>
        <w:ind w:left="567"/>
        <w:jc w:val="left"/>
        <w:rPr>
          <w:sz w:val="24"/>
        </w:rPr>
      </w:pPr>
      <w:r>
        <w:rPr>
          <w:rFonts w:hint="eastAsia"/>
          <w:sz w:val="24"/>
        </w:rPr>
        <w:t>（1）卖方对货物进行修复使货物符合本合同项下的保证和本合同的约定。卖方承担由此产生的费用。</w:t>
      </w:r>
    </w:p>
    <w:p>
      <w:pPr>
        <w:tabs>
          <w:tab w:val="left" w:pos="1860"/>
        </w:tabs>
        <w:autoSpaceDE w:val="0"/>
        <w:autoSpaceDN w:val="0"/>
        <w:adjustRightInd w:val="0"/>
        <w:spacing w:before="93" w:beforeLines="30" w:after="93" w:afterLines="30" w:line="360" w:lineRule="auto"/>
        <w:ind w:left="567"/>
        <w:jc w:val="left"/>
        <w:rPr>
          <w:sz w:val="24"/>
        </w:rPr>
      </w:pPr>
      <w:r>
        <w:rPr>
          <w:rFonts w:hint="eastAsia"/>
          <w:sz w:val="24"/>
        </w:rPr>
        <w:t>（2）卖方对货物进行更换使货物符合本合同项下的保证和本合同的约定。卖方承担由此产生的费用。</w:t>
      </w:r>
    </w:p>
    <w:p>
      <w:pPr>
        <w:tabs>
          <w:tab w:val="left" w:pos="1860"/>
        </w:tabs>
        <w:autoSpaceDE w:val="0"/>
        <w:autoSpaceDN w:val="0"/>
        <w:adjustRightInd w:val="0"/>
        <w:spacing w:before="93" w:beforeLines="30" w:after="93" w:afterLines="30" w:line="360" w:lineRule="auto"/>
        <w:ind w:left="567"/>
        <w:jc w:val="left"/>
        <w:rPr>
          <w:sz w:val="24"/>
        </w:rPr>
      </w:pPr>
      <w:r>
        <w:rPr>
          <w:rFonts w:hint="eastAsia"/>
          <w:sz w:val="24"/>
        </w:rPr>
        <w:t>（3）退货。卖方承担由此产生的费用。</w:t>
      </w:r>
    </w:p>
    <w:p>
      <w:pPr>
        <w:numPr>
          <w:ilvl w:val="0"/>
          <w:numId w:val="32"/>
        </w:numPr>
        <w:tabs>
          <w:tab w:val="left" w:pos="567"/>
          <w:tab w:val="left" w:pos="709"/>
          <w:tab w:val="clear" w:pos="1860"/>
        </w:tabs>
        <w:autoSpaceDE w:val="0"/>
        <w:autoSpaceDN w:val="0"/>
        <w:adjustRightInd w:val="0"/>
        <w:spacing w:before="93" w:beforeLines="30" w:after="93" w:afterLines="30" w:line="360" w:lineRule="auto"/>
        <w:ind w:left="567" w:hanging="567"/>
        <w:jc w:val="left"/>
        <w:rPr>
          <w:sz w:val="24"/>
        </w:rPr>
      </w:pPr>
      <w:r>
        <w:rPr>
          <w:rFonts w:hAnsi="宋体"/>
          <w:sz w:val="24"/>
        </w:rPr>
        <w:t>对于任何修复或更换，卖方应在收到</w:t>
      </w:r>
      <w:r>
        <w:rPr>
          <w:rFonts w:hint="eastAsia" w:hAnsi="宋体"/>
          <w:sz w:val="24"/>
        </w:rPr>
        <w:t>买方发出的</w:t>
      </w:r>
      <w:r>
        <w:rPr>
          <w:rFonts w:hAnsi="宋体"/>
          <w:sz w:val="24"/>
        </w:rPr>
        <w:t>货物缺陷通知后</w:t>
      </w:r>
      <w:r>
        <w:rPr>
          <w:rFonts w:hint="eastAsia"/>
          <w:color w:val="000000"/>
          <w:sz w:val="24"/>
        </w:rPr>
        <w:t>【</w:t>
      </w:r>
      <w:r>
        <w:rPr>
          <w:rFonts w:hint="eastAsia"/>
          <w:i/>
          <w:color w:val="000000"/>
          <w:sz w:val="24"/>
        </w:rPr>
        <w:t>5</w:t>
      </w:r>
      <w:r>
        <w:rPr>
          <w:rFonts w:hint="eastAsia"/>
          <w:color w:val="000000"/>
          <w:sz w:val="24"/>
        </w:rPr>
        <w:t>】</w:t>
      </w:r>
      <w:r>
        <w:rPr>
          <w:rFonts w:hint="eastAsia" w:hAnsi="宋体"/>
          <w:sz w:val="24"/>
        </w:rPr>
        <w:t>日</w:t>
      </w:r>
      <w:r>
        <w:rPr>
          <w:rFonts w:hAnsi="宋体"/>
          <w:sz w:val="24"/>
        </w:rPr>
        <w:t>内完成。</w:t>
      </w:r>
      <w:r>
        <w:rPr>
          <w:rFonts w:hint="eastAsia" w:hAnsi="宋体"/>
          <w:sz w:val="24"/>
        </w:rPr>
        <w:t>若卖方到通知后未在规定的时间内及时维修、重作、更换以弥补缺陷，卖方可采取必要的补救措施，但其风险和费用将由买方承担，买方根据合同规定对买方行使的其他权利不受影响。</w:t>
      </w:r>
      <w:r>
        <w:rPr>
          <w:rFonts w:hAnsi="宋体"/>
          <w:sz w:val="24"/>
        </w:rPr>
        <w:t>如经修复、更换仍无法消除该等缺陷，买方有权要求退货。卖方应赔偿买方因货物存在前述缺陷遭受的全部损失。</w:t>
      </w:r>
    </w:p>
    <w:p>
      <w:pPr>
        <w:numPr>
          <w:ilvl w:val="0"/>
          <w:numId w:val="32"/>
        </w:numPr>
        <w:tabs>
          <w:tab w:val="left" w:pos="567"/>
          <w:tab w:val="left" w:pos="709"/>
          <w:tab w:val="clear" w:pos="1860"/>
        </w:tabs>
        <w:autoSpaceDE w:val="0"/>
        <w:autoSpaceDN w:val="0"/>
        <w:adjustRightInd w:val="0"/>
        <w:spacing w:before="93" w:beforeLines="30" w:after="93" w:afterLines="30" w:line="360" w:lineRule="auto"/>
        <w:ind w:left="567" w:hanging="567"/>
        <w:jc w:val="left"/>
        <w:rPr>
          <w:sz w:val="24"/>
        </w:rPr>
      </w:pPr>
      <w:r>
        <w:rPr>
          <w:rFonts w:hAnsi="宋体"/>
          <w:sz w:val="24"/>
        </w:rPr>
        <w:t>如在质保期内发生</w:t>
      </w:r>
      <w:r>
        <w:rPr>
          <w:rFonts w:hint="eastAsia" w:hAnsi="宋体"/>
          <w:sz w:val="24"/>
        </w:rPr>
        <w:t>维修、重作、更换以弥补缺陷事件，</w:t>
      </w:r>
      <w:r>
        <w:rPr>
          <w:rFonts w:hAnsi="宋体"/>
          <w:sz w:val="24"/>
        </w:rPr>
        <w:t>则相应的质保期应重新计算</w:t>
      </w:r>
      <w:r>
        <w:rPr>
          <w:rFonts w:hint="eastAsia" w:hAnsi="宋体"/>
          <w:sz w:val="24"/>
        </w:rPr>
        <w:t>。</w:t>
      </w:r>
    </w:p>
    <w:p>
      <w:pPr>
        <w:numPr>
          <w:ilvl w:val="0"/>
          <w:numId w:val="32"/>
        </w:numPr>
        <w:tabs>
          <w:tab w:val="left" w:pos="567"/>
          <w:tab w:val="left" w:pos="709"/>
          <w:tab w:val="clear" w:pos="1860"/>
        </w:tabs>
        <w:autoSpaceDE w:val="0"/>
        <w:autoSpaceDN w:val="0"/>
        <w:adjustRightInd w:val="0"/>
        <w:spacing w:before="93" w:beforeLines="30" w:after="93" w:afterLines="30" w:line="360" w:lineRule="auto"/>
        <w:ind w:left="567" w:hanging="567"/>
        <w:jc w:val="left"/>
        <w:rPr>
          <w:sz w:val="24"/>
        </w:rPr>
      </w:pPr>
      <w:r>
        <w:rPr>
          <w:rFonts w:hint="eastAsia" w:hAnsi="宋体"/>
          <w:sz w:val="24"/>
        </w:rPr>
        <w:t>质保期结束，买方向卖方签发货物最终接收证书。买方签发最终接收证书不减少、免除卖方在本合同项下的任何义务（包括卖方对货物应符合本合同质量、规格要求应承担的责任）。</w:t>
      </w:r>
    </w:p>
    <w:p>
      <w:pPr>
        <w:pStyle w:val="18"/>
        <w:numPr>
          <w:ilvl w:val="0"/>
          <w:numId w:val="18"/>
        </w:numPr>
        <w:tabs>
          <w:tab w:val="left" w:pos="993"/>
        </w:tabs>
        <w:spacing w:before="93" w:beforeLines="30" w:after="93" w:afterLines="30" w:line="360" w:lineRule="auto"/>
        <w:ind w:left="567" w:hanging="567"/>
        <w:jc w:val="left"/>
        <w:rPr>
          <w:rFonts w:ascii="Times New Roman" w:hAnsi="Times New Roman"/>
          <w:sz w:val="24"/>
          <w:szCs w:val="24"/>
        </w:rPr>
      </w:pPr>
      <w:bookmarkStart w:id="73" w:name="_Toc274343584"/>
      <w:bookmarkStart w:id="74" w:name="_Toc274668241"/>
      <w:bookmarkStart w:id="75" w:name="_Toc274344116"/>
      <w:bookmarkStart w:id="76" w:name="_Toc273451839"/>
      <w:bookmarkStart w:id="77" w:name="_Toc274754051"/>
      <w:bookmarkStart w:id="78" w:name="_Toc298158368"/>
      <w:bookmarkStart w:id="79" w:name="_Toc274669182"/>
      <w:bookmarkStart w:id="80" w:name="_Toc278875417"/>
      <w:bookmarkStart w:id="81" w:name="_Toc274403516"/>
      <w:bookmarkStart w:id="82" w:name="_Toc274076152"/>
      <w:bookmarkStart w:id="83" w:name="_Toc306354320"/>
      <w:bookmarkStart w:id="84" w:name="_Toc274075964"/>
      <w:bookmarkStart w:id="85" w:name="_Toc273451906"/>
      <w:bookmarkStart w:id="86" w:name="_Toc273451804"/>
      <w:bookmarkStart w:id="87" w:name="_Toc273458618"/>
      <w:bookmarkStart w:id="88" w:name="_Toc273388618"/>
      <w:bookmarkStart w:id="89" w:name="_Toc274075986"/>
      <w:bookmarkStart w:id="90" w:name="_Toc273388519"/>
      <w:r>
        <w:rPr>
          <w:rFonts w:hint="eastAsia" w:ascii="Times New Roman" w:hAnsi="Times New Roman"/>
          <w:sz w:val="24"/>
          <w:szCs w:val="24"/>
        </w:rPr>
        <w:t xml:space="preserve"> </w:t>
      </w:r>
      <w:r>
        <w:rPr>
          <w:rFonts w:ascii="Times New Roman" w:hAnsi="Times New Roman"/>
          <w:sz w:val="24"/>
          <w:szCs w:val="24"/>
        </w:rPr>
        <w:t>违约责任</w:t>
      </w:r>
      <w:bookmarkEnd w:id="73"/>
      <w:bookmarkEnd w:id="74"/>
      <w:bookmarkEnd w:id="75"/>
      <w:bookmarkEnd w:id="76"/>
      <w:bookmarkEnd w:id="77"/>
      <w:bookmarkEnd w:id="78"/>
      <w:bookmarkEnd w:id="79"/>
      <w:bookmarkEnd w:id="80"/>
      <w:bookmarkEnd w:id="81"/>
      <w:bookmarkEnd w:id="82"/>
      <w:bookmarkEnd w:id="83"/>
      <w:bookmarkEnd w:id="84"/>
      <w:bookmarkEnd w:id="85"/>
    </w:p>
    <w:p>
      <w:pPr>
        <w:numPr>
          <w:ilvl w:val="0"/>
          <w:numId w:val="33"/>
        </w:numPr>
        <w:tabs>
          <w:tab w:val="left" w:pos="567"/>
          <w:tab w:val="left" w:pos="709"/>
          <w:tab w:val="left" w:pos="3060"/>
        </w:tabs>
        <w:spacing w:before="93" w:beforeLines="30" w:after="93" w:afterLines="30" w:line="360" w:lineRule="auto"/>
        <w:ind w:left="567" w:hanging="567"/>
        <w:rPr>
          <w:sz w:val="24"/>
        </w:rPr>
      </w:pPr>
      <w:r>
        <w:rPr>
          <w:rFonts w:hint="eastAsia"/>
          <w:sz w:val="24"/>
        </w:rPr>
        <w:t>卖方发生下列任一违约行为时，应向买方支付合同总价</w:t>
      </w:r>
      <w:bookmarkStart w:id="91" w:name="OLE_LINK65"/>
      <w:bookmarkStart w:id="92" w:name="OLE_LINK64"/>
      <w:r>
        <w:rPr>
          <w:rFonts w:hint="eastAsia"/>
          <w:sz w:val="24"/>
        </w:rPr>
        <w:t>【</w:t>
      </w:r>
      <w:r>
        <w:rPr>
          <w:rFonts w:hint="eastAsia"/>
          <w:i/>
          <w:sz w:val="24"/>
        </w:rPr>
        <w:t>10%</w:t>
      </w:r>
      <w:r>
        <w:rPr>
          <w:rFonts w:hint="eastAsia"/>
          <w:sz w:val="24"/>
        </w:rPr>
        <w:t>】</w:t>
      </w:r>
      <w:bookmarkEnd w:id="91"/>
      <w:bookmarkEnd w:id="92"/>
      <w:r>
        <w:rPr>
          <w:rFonts w:hint="eastAsia"/>
          <w:sz w:val="24"/>
        </w:rPr>
        <w:t>的违约金，并赔偿买方因此遭受的全部损失：</w:t>
      </w:r>
    </w:p>
    <w:p>
      <w:pPr>
        <w:numPr>
          <w:ilvl w:val="1"/>
          <w:numId w:val="34"/>
        </w:numPr>
        <w:tabs>
          <w:tab w:val="left" w:pos="567"/>
          <w:tab w:val="left" w:pos="993"/>
        </w:tabs>
        <w:snapToGrid w:val="0"/>
        <w:spacing w:before="93" w:beforeLines="30" w:after="93" w:afterLines="30" w:line="360" w:lineRule="auto"/>
        <w:ind w:left="567" w:firstLine="0"/>
        <w:rPr>
          <w:sz w:val="24"/>
        </w:rPr>
      </w:pPr>
      <w:r>
        <w:rPr>
          <w:rFonts w:hint="eastAsia"/>
          <w:sz w:val="24"/>
        </w:rPr>
        <w:t>卖方未按照合同的规定提供货物和相关服务；</w:t>
      </w:r>
    </w:p>
    <w:p>
      <w:pPr>
        <w:numPr>
          <w:ilvl w:val="1"/>
          <w:numId w:val="34"/>
        </w:numPr>
        <w:tabs>
          <w:tab w:val="left" w:pos="567"/>
          <w:tab w:val="left" w:pos="993"/>
        </w:tabs>
        <w:snapToGrid w:val="0"/>
        <w:spacing w:before="93" w:beforeLines="30" w:after="93" w:afterLines="30" w:line="360" w:lineRule="auto"/>
        <w:ind w:left="567" w:firstLine="0"/>
        <w:rPr>
          <w:sz w:val="24"/>
        </w:rPr>
      </w:pPr>
      <w:r>
        <w:rPr>
          <w:rFonts w:hint="eastAsia"/>
          <w:sz w:val="24"/>
        </w:rPr>
        <w:t>卖方提供的货物不合格，且卖方未根据合同规定及时更换为合格产品；</w:t>
      </w:r>
    </w:p>
    <w:p>
      <w:pPr>
        <w:numPr>
          <w:ilvl w:val="1"/>
          <w:numId w:val="34"/>
        </w:numPr>
        <w:tabs>
          <w:tab w:val="left" w:pos="567"/>
          <w:tab w:val="left" w:pos="993"/>
        </w:tabs>
        <w:snapToGrid w:val="0"/>
        <w:spacing w:before="93" w:beforeLines="30" w:after="93" w:afterLines="30" w:line="360" w:lineRule="auto"/>
        <w:ind w:left="567" w:firstLine="0"/>
        <w:rPr>
          <w:sz w:val="24"/>
        </w:rPr>
      </w:pPr>
      <w:r>
        <w:rPr>
          <w:rFonts w:hint="eastAsia"/>
          <w:sz w:val="24"/>
        </w:rPr>
        <w:t>卖方违反本合同规定的承诺、保证或其它义务。</w:t>
      </w:r>
    </w:p>
    <w:p>
      <w:pPr>
        <w:numPr>
          <w:ilvl w:val="0"/>
          <w:numId w:val="33"/>
        </w:numPr>
        <w:tabs>
          <w:tab w:val="left" w:pos="567"/>
          <w:tab w:val="left" w:pos="709"/>
          <w:tab w:val="left" w:pos="3060"/>
        </w:tabs>
        <w:spacing w:before="93" w:beforeLines="30" w:after="93" w:afterLines="30" w:line="360" w:lineRule="auto"/>
        <w:ind w:left="567" w:hanging="567"/>
        <w:rPr>
          <w:sz w:val="24"/>
        </w:rPr>
      </w:pPr>
      <w:r>
        <w:rPr>
          <w:sz w:val="24"/>
        </w:rPr>
        <w:t>就卖方的上述违约行为</w:t>
      </w:r>
      <w:r>
        <w:rPr>
          <w:rFonts w:hint="eastAsia"/>
          <w:sz w:val="24"/>
        </w:rPr>
        <w:t>，买方除有权依据本合同第12.1款要求卖方承担违约责任外，有权</w:t>
      </w:r>
      <w:r>
        <w:rPr>
          <w:sz w:val="24"/>
        </w:rPr>
        <w:t>向卖方出具书面通知，要求卖方进行更正或整改</w:t>
      </w:r>
      <w:r>
        <w:rPr>
          <w:rFonts w:hint="eastAsia"/>
          <w:sz w:val="24"/>
        </w:rPr>
        <w:t>。如</w:t>
      </w:r>
      <w:r>
        <w:rPr>
          <w:sz w:val="24"/>
        </w:rPr>
        <w:t>卖方</w:t>
      </w:r>
      <w:r>
        <w:rPr>
          <w:rFonts w:hint="eastAsia"/>
          <w:sz w:val="24"/>
        </w:rPr>
        <w:t>收到该等通知后【</w:t>
      </w:r>
      <w:r>
        <w:rPr>
          <w:rFonts w:hint="eastAsia"/>
          <w:i/>
          <w:sz w:val="24"/>
        </w:rPr>
        <w:t>十（</w:t>
      </w:r>
      <w:r>
        <w:rPr>
          <w:i/>
          <w:sz w:val="24"/>
        </w:rPr>
        <w:t>10</w:t>
      </w:r>
      <w:r>
        <w:rPr>
          <w:rFonts w:hint="eastAsia"/>
          <w:i/>
          <w:sz w:val="24"/>
        </w:rPr>
        <w:t>）</w:t>
      </w:r>
      <w:r>
        <w:rPr>
          <w:rFonts w:hint="eastAsia"/>
          <w:sz w:val="24"/>
        </w:rPr>
        <w:t>】</w:t>
      </w:r>
      <w:r>
        <w:rPr>
          <w:sz w:val="24"/>
        </w:rPr>
        <w:t>个工作日内未按照买方要求</w:t>
      </w:r>
      <w:r>
        <w:rPr>
          <w:rFonts w:hint="eastAsia"/>
          <w:sz w:val="24"/>
        </w:rPr>
        <w:t>作出</w:t>
      </w:r>
      <w:r>
        <w:rPr>
          <w:sz w:val="24"/>
        </w:rPr>
        <w:t>更正或进行整改的，买方有权立即</w:t>
      </w:r>
      <w:r>
        <w:rPr>
          <w:rFonts w:hint="eastAsia"/>
          <w:sz w:val="24"/>
        </w:rPr>
        <w:t>解除</w:t>
      </w:r>
      <w:r>
        <w:rPr>
          <w:sz w:val="24"/>
        </w:rPr>
        <w:t>本合同，卖方应赔偿买方</w:t>
      </w:r>
      <w:r>
        <w:rPr>
          <w:rFonts w:hint="eastAsia"/>
          <w:sz w:val="24"/>
        </w:rPr>
        <w:t>因此</w:t>
      </w:r>
      <w:r>
        <w:rPr>
          <w:sz w:val="24"/>
        </w:rPr>
        <w:t>而遭受的全部损失。</w:t>
      </w:r>
    </w:p>
    <w:p>
      <w:pPr>
        <w:numPr>
          <w:ilvl w:val="0"/>
          <w:numId w:val="33"/>
        </w:numPr>
        <w:tabs>
          <w:tab w:val="left" w:pos="567"/>
          <w:tab w:val="left" w:pos="709"/>
          <w:tab w:val="left" w:pos="3060"/>
        </w:tabs>
        <w:spacing w:before="93" w:beforeLines="30" w:after="93" w:afterLines="30" w:line="360" w:lineRule="auto"/>
        <w:ind w:left="567" w:hanging="567"/>
        <w:rPr>
          <w:rFonts w:hAnsi="宋体"/>
          <w:bCs/>
          <w:sz w:val="24"/>
        </w:rPr>
      </w:pPr>
      <w:r>
        <w:rPr>
          <w:rFonts w:hint="eastAsia"/>
          <w:sz w:val="24"/>
        </w:rPr>
        <w:t>如卖方未能在交付日期交付货物，每延期交付一日，卖方应向买方支付合同总价的【</w:t>
      </w:r>
      <w:r>
        <w:rPr>
          <w:rFonts w:hint="eastAsia"/>
          <w:i/>
          <w:sz w:val="24"/>
          <w:lang w:val="en-US" w:eastAsia="zh-CN"/>
        </w:rPr>
        <w:t>0.5</w:t>
      </w:r>
      <w:r>
        <w:rPr>
          <w:rFonts w:hint="eastAsia"/>
          <w:i/>
          <w:sz w:val="24"/>
        </w:rPr>
        <w:t>%</w:t>
      </w:r>
      <w:r>
        <w:rPr>
          <w:rFonts w:hint="eastAsia"/>
          <w:sz w:val="24"/>
        </w:rPr>
        <w:t>】作为延期违约金，但是，该等延期违约金最高不得超过合同总价的【</w:t>
      </w:r>
      <w:r>
        <w:rPr>
          <w:rFonts w:hint="eastAsia"/>
          <w:i/>
          <w:sz w:val="24"/>
        </w:rPr>
        <w:t>10%</w:t>
      </w:r>
      <w:r>
        <w:rPr>
          <w:rFonts w:hint="eastAsia"/>
          <w:sz w:val="24"/>
        </w:rPr>
        <w:t>】。</w:t>
      </w:r>
      <w:r>
        <w:rPr>
          <w:rFonts w:hint="eastAsia" w:hAnsi="宋体"/>
          <w:bCs/>
          <w:sz w:val="24"/>
        </w:rPr>
        <w:t>如延期超过</w:t>
      </w:r>
      <w:r>
        <w:rPr>
          <w:rFonts w:hAnsi="宋体"/>
          <w:bCs/>
          <w:sz w:val="24"/>
        </w:rPr>
        <w:t>【</w:t>
      </w:r>
      <w:r>
        <w:rPr>
          <w:rFonts w:hint="eastAsia" w:hAnsi="宋体"/>
          <w:bCs/>
          <w:i/>
          <w:sz w:val="24"/>
        </w:rPr>
        <w:t>十（10）</w:t>
      </w:r>
      <w:r>
        <w:rPr>
          <w:rFonts w:hAnsi="宋体"/>
          <w:bCs/>
          <w:sz w:val="24"/>
        </w:rPr>
        <w:t>】</w:t>
      </w:r>
      <w:r>
        <w:rPr>
          <w:rFonts w:hint="eastAsia" w:hAnsi="宋体"/>
          <w:bCs/>
          <w:sz w:val="24"/>
        </w:rPr>
        <w:t>日，除要求卖方支付违约金外，买方有权解除本合同，并有权要求卖方赔偿买方因此遭受的全部损失。</w:t>
      </w:r>
    </w:p>
    <w:p>
      <w:pPr>
        <w:numPr>
          <w:ilvl w:val="0"/>
          <w:numId w:val="33"/>
        </w:numPr>
        <w:tabs>
          <w:tab w:val="left" w:pos="567"/>
          <w:tab w:val="left" w:pos="709"/>
          <w:tab w:val="left" w:pos="3060"/>
        </w:tabs>
        <w:spacing w:before="93" w:beforeLines="30" w:after="93" w:afterLines="30" w:line="360" w:lineRule="auto"/>
        <w:ind w:left="567" w:hanging="567"/>
        <w:rPr>
          <w:sz w:val="24"/>
        </w:rPr>
      </w:pPr>
      <w:r>
        <w:rPr>
          <w:sz w:val="24"/>
        </w:rPr>
        <w:t>卖方根据本合同的规定应承担违约金或赔偿责任的，买方有权从合同总价余额</w:t>
      </w:r>
      <w:r>
        <w:rPr>
          <w:rFonts w:hint="eastAsia"/>
          <w:sz w:val="24"/>
        </w:rPr>
        <w:t>中直接扣除</w:t>
      </w:r>
      <w:r>
        <w:rPr>
          <w:sz w:val="24"/>
        </w:rPr>
        <w:t>。</w:t>
      </w:r>
    </w:p>
    <w:p>
      <w:pPr>
        <w:pStyle w:val="18"/>
        <w:numPr>
          <w:ilvl w:val="0"/>
          <w:numId w:val="18"/>
        </w:numPr>
        <w:tabs>
          <w:tab w:val="left" w:pos="993"/>
        </w:tabs>
        <w:spacing w:before="93" w:beforeLines="30" w:after="93" w:afterLines="30" w:line="360" w:lineRule="auto"/>
        <w:ind w:left="567" w:hanging="567"/>
        <w:jc w:val="left"/>
        <w:rPr>
          <w:sz w:val="24"/>
          <w:szCs w:val="24"/>
        </w:rPr>
      </w:pPr>
      <w:r>
        <w:rPr>
          <w:rFonts w:hint="eastAsia"/>
          <w:sz w:val="24"/>
        </w:rPr>
        <w:t xml:space="preserve"> </w:t>
      </w:r>
      <w:bookmarkStart w:id="93" w:name="_Toc306354321"/>
      <w:r>
        <w:rPr>
          <w:rFonts w:hint="eastAsia" w:ascii="Times New Roman" w:hAnsi="Times New Roman"/>
          <w:sz w:val="24"/>
          <w:szCs w:val="24"/>
        </w:rPr>
        <w:t>合同的解除和</w:t>
      </w:r>
      <w:r>
        <w:rPr>
          <w:sz w:val="24"/>
          <w:szCs w:val="24"/>
        </w:rPr>
        <w:t>终止</w:t>
      </w:r>
      <w:bookmarkEnd w:id="93"/>
    </w:p>
    <w:p>
      <w:pPr>
        <w:numPr>
          <w:ilvl w:val="0"/>
          <w:numId w:val="35"/>
        </w:numPr>
        <w:tabs>
          <w:tab w:val="left" w:pos="567"/>
          <w:tab w:val="left" w:pos="709"/>
        </w:tabs>
        <w:spacing w:before="93" w:beforeLines="30" w:after="93" w:afterLines="30" w:line="360" w:lineRule="auto"/>
        <w:ind w:left="567" w:hanging="567"/>
        <w:rPr>
          <w:rFonts w:hAnsi="宋体"/>
          <w:color w:val="000000"/>
          <w:sz w:val="24"/>
        </w:rPr>
      </w:pPr>
      <w:r>
        <w:rPr>
          <w:rFonts w:hint="eastAsia" w:hAnsi="宋体"/>
          <w:color w:val="000000"/>
          <w:sz w:val="24"/>
        </w:rPr>
        <w:t>如</w:t>
      </w:r>
      <w:r>
        <w:rPr>
          <w:rFonts w:hAnsi="宋体"/>
          <w:color w:val="000000"/>
          <w:sz w:val="24"/>
        </w:rPr>
        <w:t>发生以下任</w:t>
      </w:r>
      <w:r>
        <w:rPr>
          <w:rFonts w:hint="eastAsia" w:hAnsi="宋体"/>
          <w:color w:val="000000"/>
          <w:sz w:val="24"/>
        </w:rPr>
        <w:t>一情形，经书面通知卖方，</w:t>
      </w:r>
      <w:r>
        <w:rPr>
          <w:rFonts w:hAnsi="宋体"/>
          <w:color w:val="000000"/>
          <w:sz w:val="24"/>
        </w:rPr>
        <w:t>买方</w:t>
      </w:r>
      <w:r>
        <w:rPr>
          <w:rFonts w:hint="eastAsia" w:hAnsi="宋体"/>
          <w:color w:val="000000"/>
          <w:sz w:val="24"/>
        </w:rPr>
        <w:t>有权解除本</w:t>
      </w:r>
      <w:r>
        <w:rPr>
          <w:rFonts w:hAnsi="宋体"/>
          <w:color w:val="000000"/>
          <w:sz w:val="24"/>
        </w:rPr>
        <w:t>合同：</w:t>
      </w:r>
      <w:r>
        <w:rPr>
          <w:rFonts w:hint="eastAsia" w:hAnsi="宋体"/>
          <w:color w:val="000000"/>
          <w:sz w:val="24"/>
        </w:rPr>
        <w:t xml:space="preserve"> </w:t>
      </w:r>
    </w:p>
    <w:p>
      <w:pPr>
        <w:widowControl/>
        <w:numPr>
          <w:ilvl w:val="0"/>
          <w:numId w:val="36"/>
        </w:numPr>
        <w:tabs>
          <w:tab w:val="left" w:pos="993"/>
          <w:tab w:val="clear" w:pos="840"/>
        </w:tabs>
        <w:spacing w:before="93" w:beforeLines="30" w:after="93" w:afterLines="30" w:line="360" w:lineRule="auto"/>
        <w:ind w:left="1378" w:leftChars="270" w:hanging="811" w:hangingChars="338"/>
        <w:jc w:val="left"/>
        <w:rPr>
          <w:sz w:val="24"/>
        </w:rPr>
      </w:pPr>
      <w:r>
        <w:rPr>
          <w:rFonts w:hint="eastAsia"/>
          <w:sz w:val="24"/>
        </w:rPr>
        <w:t>本合同明确规定买方有权解除合同的情形；</w:t>
      </w:r>
    </w:p>
    <w:p>
      <w:pPr>
        <w:widowControl/>
        <w:numPr>
          <w:ilvl w:val="0"/>
          <w:numId w:val="36"/>
        </w:numPr>
        <w:tabs>
          <w:tab w:val="left" w:pos="993"/>
          <w:tab w:val="clear" w:pos="840"/>
        </w:tabs>
        <w:spacing w:before="93" w:beforeLines="30" w:after="93" w:afterLines="30" w:line="360" w:lineRule="auto"/>
        <w:ind w:left="1378" w:leftChars="270" w:hanging="811" w:hangingChars="338"/>
        <w:jc w:val="left"/>
        <w:rPr>
          <w:sz w:val="24"/>
        </w:rPr>
      </w:pPr>
      <w:r>
        <w:rPr>
          <w:sz w:val="24"/>
        </w:rPr>
        <w:t>卖方破产、资不抵债、停业清理、解散、被兼并、被查封</w:t>
      </w:r>
      <w:r>
        <w:rPr>
          <w:rFonts w:hint="eastAsia"/>
          <w:sz w:val="24"/>
        </w:rPr>
        <w:t>；</w:t>
      </w:r>
    </w:p>
    <w:p>
      <w:pPr>
        <w:widowControl/>
        <w:numPr>
          <w:ilvl w:val="0"/>
          <w:numId w:val="36"/>
        </w:numPr>
        <w:tabs>
          <w:tab w:val="left" w:pos="993"/>
          <w:tab w:val="clear" w:pos="840"/>
        </w:tabs>
        <w:spacing w:before="93" w:beforeLines="30" w:after="93" w:afterLines="30" w:line="360" w:lineRule="auto"/>
        <w:ind w:left="1378" w:leftChars="270" w:hanging="811" w:hangingChars="338"/>
        <w:jc w:val="left"/>
        <w:rPr>
          <w:sz w:val="24"/>
        </w:rPr>
      </w:pPr>
      <w:r>
        <w:rPr>
          <w:sz w:val="24"/>
        </w:rPr>
        <w:t>卖方</w:t>
      </w:r>
      <w:r>
        <w:rPr>
          <w:rFonts w:hint="eastAsia"/>
          <w:sz w:val="24"/>
        </w:rPr>
        <w:t>发生其它严重违约</w:t>
      </w:r>
      <w:r>
        <w:rPr>
          <w:sz w:val="24"/>
        </w:rPr>
        <w:t>，</w:t>
      </w:r>
      <w:r>
        <w:rPr>
          <w:rFonts w:hint="eastAsia"/>
          <w:sz w:val="24"/>
        </w:rPr>
        <w:t>且未在买方要求的合理期限内纠正；</w:t>
      </w:r>
    </w:p>
    <w:p>
      <w:pPr>
        <w:widowControl/>
        <w:numPr>
          <w:ilvl w:val="0"/>
          <w:numId w:val="36"/>
        </w:numPr>
        <w:tabs>
          <w:tab w:val="left" w:pos="993"/>
          <w:tab w:val="clear" w:pos="840"/>
        </w:tabs>
        <w:spacing w:before="93" w:beforeLines="30" w:after="93" w:afterLines="30" w:line="360" w:lineRule="auto"/>
        <w:ind w:left="1378" w:leftChars="270" w:hanging="811" w:hangingChars="338"/>
        <w:jc w:val="left"/>
        <w:rPr>
          <w:sz w:val="24"/>
        </w:rPr>
      </w:pPr>
      <w:r>
        <w:rPr>
          <w:rFonts w:hint="eastAsia"/>
          <w:sz w:val="24"/>
        </w:rPr>
        <w:t>不可抗力</w:t>
      </w:r>
      <w:r>
        <w:rPr>
          <w:sz w:val="24"/>
        </w:rPr>
        <w:t>持续超过【</w:t>
      </w:r>
      <w:r>
        <w:rPr>
          <w:rFonts w:hint="eastAsia"/>
          <w:i/>
          <w:sz w:val="24"/>
        </w:rPr>
        <w:t>六十（60）</w:t>
      </w:r>
      <w:r>
        <w:rPr>
          <w:sz w:val="24"/>
        </w:rPr>
        <w:t>】</w:t>
      </w:r>
      <w:r>
        <w:rPr>
          <w:rFonts w:hint="eastAsia"/>
          <w:sz w:val="24"/>
        </w:rPr>
        <w:t>日。</w:t>
      </w:r>
    </w:p>
    <w:p>
      <w:pPr>
        <w:numPr>
          <w:ilvl w:val="0"/>
          <w:numId w:val="35"/>
        </w:numPr>
        <w:tabs>
          <w:tab w:val="left" w:pos="567"/>
          <w:tab w:val="left" w:pos="709"/>
        </w:tabs>
        <w:spacing w:before="93" w:beforeLines="30" w:after="93" w:afterLines="30" w:line="360" w:lineRule="auto"/>
        <w:ind w:left="567" w:hanging="567"/>
        <w:rPr>
          <w:rFonts w:hAnsi="宋体"/>
          <w:color w:val="000000"/>
          <w:sz w:val="24"/>
        </w:rPr>
      </w:pPr>
      <w:r>
        <w:rPr>
          <w:rFonts w:hint="eastAsia" w:hAnsi="宋体"/>
          <w:color w:val="000000"/>
          <w:sz w:val="24"/>
        </w:rPr>
        <w:t>如因卖方违约买方解除本合同，</w:t>
      </w:r>
      <w:r>
        <w:rPr>
          <w:rFonts w:hAnsi="宋体"/>
          <w:color w:val="000000"/>
          <w:sz w:val="24"/>
        </w:rPr>
        <w:t>卖方应退回买方已经支付的</w:t>
      </w:r>
      <w:r>
        <w:rPr>
          <w:rFonts w:hint="eastAsia" w:hAnsi="宋体"/>
          <w:color w:val="000000"/>
          <w:sz w:val="24"/>
        </w:rPr>
        <w:t>全部款项，并根据本合同规定支付违约金，并且买方有权要求卖方赔偿其因此遭受的全部损失。</w:t>
      </w:r>
      <w:r>
        <w:rPr>
          <w:rFonts w:hAnsi="宋体"/>
          <w:color w:val="000000"/>
          <w:sz w:val="24"/>
        </w:rPr>
        <w:t>买方</w:t>
      </w:r>
      <w:r>
        <w:rPr>
          <w:rFonts w:hint="eastAsia" w:hAnsi="宋体"/>
          <w:color w:val="000000"/>
          <w:sz w:val="24"/>
        </w:rPr>
        <w:t>有权以</w:t>
      </w:r>
      <w:r>
        <w:rPr>
          <w:rFonts w:hAnsi="宋体"/>
          <w:color w:val="000000"/>
          <w:sz w:val="24"/>
        </w:rPr>
        <w:t>适当的条件和方式</w:t>
      </w:r>
      <w:r>
        <w:rPr>
          <w:rFonts w:hint="eastAsia" w:hAnsi="宋体"/>
          <w:color w:val="000000"/>
          <w:sz w:val="24"/>
        </w:rPr>
        <w:t>购买同等货物</w:t>
      </w:r>
      <w:r>
        <w:rPr>
          <w:rFonts w:hAnsi="宋体"/>
          <w:color w:val="000000"/>
          <w:sz w:val="24"/>
        </w:rPr>
        <w:t>，卖方应</w:t>
      </w:r>
      <w:r>
        <w:rPr>
          <w:rFonts w:hint="eastAsia" w:hAnsi="宋体"/>
          <w:color w:val="000000"/>
          <w:sz w:val="24"/>
        </w:rPr>
        <w:t>承</w:t>
      </w:r>
      <w:r>
        <w:rPr>
          <w:rFonts w:hAnsi="宋体"/>
          <w:color w:val="000000"/>
          <w:sz w:val="24"/>
        </w:rPr>
        <w:t>担</w:t>
      </w:r>
      <w:r>
        <w:rPr>
          <w:rFonts w:hint="eastAsia" w:hAnsi="宋体"/>
          <w:color w:val="000000"/>
          <w:sz w:val="24"/>
        </w:rPr>
        <w:t>买方</w:t>
      </w:r>
      <w:r>
        <w:rPr>
          <w:rFonts w:hAnsi="宋体"/>
          <w:color w:val="000000"/>
          <w:sz w:val="24"/>
        </w:rPr>
        <w:t>购买</w:t>
      </w:r>
      <w:r>
        <w:rPr>
          <w:rFonts w:hint="eastAsia" w:hAnsi="宋体"/>
          <w:color w:val="000000"/>
          <w:sz w:val="24"/>
        </w:rPr>
        <w:t>同等货物的差额费用</w:t>
      </w:r>
      <w:r>
        <w:rPr>
          <w:rFonts w:hAnsi="宋体"/>
          <w:color w:val="000000"/>
          <w:sz w:val="24"/>
        </w:rPr>
        <w:t>。</w:t>
      </w:r>
    </w:p>
    <w:p>
      <w:pPr>
        <w:numPr>
          <w:ilvl w:val="0"/>
          <w:numId w:val="35"/>
        </w:numPr>
        <w:tabs>
          <w:tab w:val="left" w:pos="567"/>
          <w:tab w:val="left" w:pos="709"/>
        </w:tabs>
        <w:spacing w:before="93" w:beforeLines="30" w:after="93" w:afterLines="30" w:line="360" w:lineRule="auto"/>
        <w:ind w:left="567" w:hanging="567"/>
        <w:rPr>
          <w:rFonts w:hAnsi="宋体"/>
          <w:color w:val="000000"/>
          <w:sz w:val="24"/>
        </w:rPr>
      </w:pPr>
      <w:r>
        <w:rPr>
          <w:rFonts w:hint="eastAsia" w:hAnsi="宋体"/>
          <w:color w:val="000000"/>
          <w:sz w:val="24"/>
        </w:rPr>
        <w:t>无论基于何种原因，经</w:t>
      </w:r>
      <w:r>
        <w:rPr>
          <w:rFonts w:hAnsi="宋体"/>
          <w:color w:val="000000"/>
          <w:sz w:val="24"/>
        </w:rPr>
        <w:t>提前【</w:t>
      </w:r>
      <w:r>
        <w:rPr>
          <w:rFonts w:hint="eastAsia" w:hAnsi="宋体"/>
          <w:i/>
          <w:color w:val="000000"/>
          <w:sz w:val="24"/>
        </w:rPr>
        <w:t>十五（15）</w:t>
      </w:r>
      <w:r>
        <w:rPr>
          <w:rFonts w:hAnsi="宋体"/>
          <w:color w:val="000000"/>
          <w:sz w:val="24"/>
        </w:rPr>
        <w:t>】</w:t>
      </w:r>
      <w:r>
        <w:rPr>
          <w:rFonts w:hint="eastAsia" w:hAnsi="宋体"/>
          <w:color w:val="000000"/>
          <w:sz w:val="24"/>
        </w:rPr>
        <w:t>日</w:t>
      </w:r>
      <w:r>
        <w:rPr>
          <w:rFonts w:hAnsi="宋体"/>
          <w:color w:val="000000"/>
          <w:sz w:val="24"/>
        </w:rPr>
        <w:t>书面通知</w:t>
      </w:r>
      <w:r>
        <w:rPr>
          <w:rFonts w:hint="eastAsia" w:hAnsi="宋体"/>
          <w:color w:val="000000"/>
          <w:sz w:val="24"/>
        </w:rPr>
        <w:t>卖方</w:t>
      </w:r>
      <w:r>
        <w:rPr>
          <w:rFonts w:hAnsi="宋体"/>
          <w:color w:val="000000"/>
          <w:sz w:val="24"/>
        </w:rPr>
        <w:t>，买方有权随时</w:t>
      </w:r>
      <w:r>
        <w:rPr>
          <w:rFonts w:hint="eastAsia" w:hAnsi="宋体"/>
          <w:color w:val="000000"/>
          <w:sz w:val="24"/>
        </w:rPr>
        <w:t>终止</w:t>
      </w:r>
      <w:r>
        <w:rPr>
          <w:rFonts w:hAnsi="宋体"/>
          <w:color w:val="000000"/>
          <w:sz w:val="24"/>
        </w:rPr>
        <w:t>合同。卖方</w:t>
      </w:r>
      <w:r>
        <w:rPr>
          <w:rFonts w:hint="eastAsia" w:hAnsi="宋体"/>
          <w:color w:val="000000"/>
          <w:sz w:val="24"/>
        </w:rPr>
        <w:t>收到</w:t>
      </w:r>
      <w:r>
        <w:rPr>
          <w:rFonts w:hAnsi="宋体"/>
          <w:color w:val="000000"/>
          <w:sz w:val="24"/>
        </w:rPr>
        <w:t>买方</w:t>
      </w:r>
      <w:r>
        <w:rPr>
          <w:rFonts w:hint="eastAsia" w:hAnsi="宋体"/>
          <w:color w:val="000000"/>
          <w:sz w:val="24"/>
        </w:rPr>
        <w:t>终止</w:t>
      </w:r>
      <w:r>
        <w:rPr>
          <w:rFonts w:hAnsi="宋体"/>
          <w:color w:val="000000"/>
          <w:sz w:val="24"/>
        </w:rPr>
        <w:t>合同的</w:t>
      </w:r>
      <w:r>
        <w:rPr>
          <w:rFonts w:hint="eastAsia" w:hAnsi="宋体"/>
          <w:color w:val="000000"/>
          <w:sz w:val="24"/>
        </w:rPr>
        <w:t>书面</w:t>
      </w:r>
      <w:r>
        <w:rPr>
          <w:rFonts w:hAnsi="宋体"/>
          <w:color w:val="000000"/>
          <w:sz w:val="24"/>
        </w:rPr>
        <w:t>通知</w:t>
      </w:r>
      <w:r>
        <w:rPr>
          <w:rFonts w:hint="eastAsia" w:hAnsi="宋体"/>
          <w:color w:val="000000"/>
          <w:sz w:val="24"/>
        </w:rPr>
        <w:t>后，</w:t>
      </w:r>
      <w:r>
        <w:rPr>
          <w:rFonts w:hAnsi="宋体"/>
          <w:color w:val="000000"/>
          <w:sz w:val="24"/>
        </w:rPr>
        <w:t>应立即停止</w:t>
      </w:r>
      <w:r>
        <w:rPr>
          <w:rFonts w:hint="eastAsia" w:hAnsi="宋体"/>
          <w:color w:val="000000"/>
          <w:sz w:val="24"/>
        </w:rPr>
        <w:t>实施与</w:t>
      </w:r>
      <w:r>
        <w:rPr>
          <w:rFonts w:hAnsi="宋体"/>
          <w:color w:val="000000"/>
          <w:sz w:val="24"/>
        </w:rPr>
        <w:t>本合同</w:t>
      </w:r>
      <w:r>
        <w:rPr>
          <w:rFonts w:hint="eastAsia" w:hAnsi="宋体"/>
          <w:color w:val="000000"/>
          <w:sz w:val="24"/>
        </w:rPr>
        <w:t>有</w:t>
      </w:r>
      <w:r>
        <w:rPr>
          <w:rFonts w:hAnsi="宋体"/>
          <w:color w:val="000000"/>
          <w:sz w:val="24"/>
        </w:rPr>
        <w:t>关的工作并对</w:t>
      </w:r>
      <w:r>
        <w:rPr>
          <w:rFonts w:hint="eastAsia" w:hAnsi="宋体"/>
          <w:color w:val="000000"/>
          <w:sz w:val="24"/>
        </w:rPr>
        <w:t>已履行</w:t>
      </w:r>
      <w:r>
        <w:rPr>
          <w:rFonts w:hAnsi="宋体"/>
          <w:color w:val="000000"/>
          <w:sz w:val="24"/>
        </w:rPr>
        <w:t>的</w:t>
      </w:r>
      <w:r>
        <w:rPr>
          <w:rFonts w:hint="eastAsia" w:hAnsi="宋体"/>
          <w:color w:val="000000"/>
          <w:sz w:val="24"/>
        </w:rPr>
        <w:t>部分</w:t>
      </w:r>
      <w:r>
        <w:rPr>
          <w:rFonts w:hAnsi="宋体"/>
          <w:color w:val="000000"/>
          <w:sz w:val="24"/>
        </w:rPr>
        <w:t>进行结算。买方收到卖方的结算</w:t>
      </w:r>
      <w:r>
        <w:rPr>
          <w:rFonts w:hint="eastAsia" w:hAnsi="宋体"/>
          <w:color w:val="000000"/>
          <w:sz w:val="24"/>
        </w:rPr>
        <w:t>要求</w:t>
      </w:r>
      <w:r>
        <w:rPr>
          <w:rFonts w:hAnsi="宋体"/>
          <w:color w:val="000000"/>
          <w:sz w:val="24"/>
        </w:rPr>
        <w:t>后，</w:t>
      </w:r>
      <w:r>
        <w:rPr>
          <w:rFonts w:hint="eastAsia" w:hAnsi="宋体"/>
          <w:color w:val="000000"/>
          <w:sz w:val="24"/>
        </w:rPr>
        <w:t>应</w:t>
      </w:r>
      <w:r>
        <w:rPr>
          <w:rFonts w:hAnsi="宋体"/>
          <w:color w:val="000000"/>
          <w:sz w:val="24"/>
        </w:rPr>
        <w:t>与卖方协商结算</w:t>
      </w:r>
      <w:r>
        <w:rPr>
          <w:rFonts w:hint="eastAsia" w:hAnsi="宋体"/>
          <w:color w:val="000000"/>
          <w:sz w:val="24"/>
        </w:rPr>
        <w:t>数额、</w:t>
      </w:r>
      <w:r>
        <w:rPr>
          <w:rFonts w:hAnsi="宋体"/>
          <w:color w:val="000000"/>
          <w:sz w:val="24"/>
        </w:rPr>
        <w:t>因买方终止合同</w:t>
      </w:r>
      <w:r>
        <w:rPr>
          <w:rFonts w:hint="eastAsia" w:hAnsi="宋体"/>
          <w:color w:val="000000"/>
          <w:sz w:val="24"/>
        </w:rPr>
        <w:t>需向</w:t>
      </w:r>
      <w:r>
        <w:rPr>
          <w:rFonts w:hAnsi="宋体"/>
          <w:color w:val="000000"/>
          <w:sz w:val="24"/>
        </w:rPr>
        <w:t>卖方</w:t>
      </w:r>
      <w:r>
        <w:rPr>
          <w:rFonts w:hint="eastAsia" w:hAnsi="宋体"/>
          <w:color w:val="000000"/>
          <w:sz w:val="24"/>
        </w:rPr>
        <w:t>支付</w:t>
      </w:r>
      <w:r>
        <w:rPr>
          <w:rFonts w:hAnsi="宋体"/>
          <w:color w:val="000000"/>
          <w:sz w:val="24"/>
        </w:rPr>
        <w:t>的补偿</w:t>
      </w:r>
      <w:r>
        <w:rPr>
          <w:rFonts w:hint="eastAsia" w:hAnsi="宋体"/>
          <w:color w:val="000000"/>
          <w:sz w:val="24"/>
        </w:rPr>
        <w:t>款等事项</w:t>
      </w:r>
      <w:r>
        <w:rPr>
          <w:rFonts w:hAnsi="宋体"/>
          <w:color w:val="000000"/>
          <w:sz w:val="24"/>
        </w:rPr>
        <w:t>。</w:t>
      </w:r>
      <w:r>
        <w:rPr>
          <w:rFonts w:hint="eastAsia" w:hAnsi="宋体"/>
          <w:color w:val="000000"/>
          <w:sz w:val="24"/>
        </w:rPr>
        <w:t>买方因终止合同向</w:t>
      </w:r>
      <w:r>
        <w:rPr>
          <w:rFonts w:hAnsi="宋体"/>
          <w:color w:val="000000"/>
          <w:sz w:val="24"/>
        </w:rPr>
        <w:t>卖方</w:t>
      </w:r>
      <w:r>
        <w:rPr>
          <w:rFonts w:hint="eastAsia" w:hAnsi="宋体"/>
          <w:color w:val="000000"/>
          <w:sz w:val="24"/>
        </w:rPr>
        <w:t>支付的补偿款以卖方为</w:t>
      </w:r>
      <w:r>
        <w:rPr>
          <w:rFonts w:hAnsi="宋体"/>
          <w:color w:val="000000"/>
          <w:sz w:val="24"/>
        </w:rPr>
        <w:t>履行合同已</w:t>
      </w:r>
      <w:r>
        <w:rPr>
          <w:rFonts w:hint="eastAsia" w:hAnsi="宋体"/>
          <w:color w:val="000000"/>
          <w:sz w:val="24"/>
        </w:rPr>
        <w:t>实际</w:t>
      </w:r>
      <w:r>
        <w:rPr>
          <w:rFonts w:hAnsi="宋体"/>
          <w:color w:val="000000"/>
          <w:sz w:val="24"/>
        </w:rPr>
        <w:t>发生</w:t>
      </w:r>
      <w:r>
        <w:rPr>
          <w:rFonts w:hint="eastAsia" w:hAnsi="宋体"/>
          <w:color w:val="000000"/>
          <w:sz w:val="24"/>
        </w:rPr>
        <w:t>的</w:t>
      </w:r>
      <w:r>
        <w:rPr>
          <w:rFonts w:hAnsi="宋体"/>
          <w:color w:val="000000"/>
          <w:sz w:val="24"/>
        </w:rPr>
        <w:t>直接、合理费用</w:t>
      </w:r>
      <w:r>
        <w:rPr>
          <w:rFonts w:hint="eastAsia" w:hAnsi="宋体"/>
          <w:color w:val="000000"/>
          <w:sz w:val="24"/>
        </w:rPr>
        <w:t>为限。</w:t>
      </w:r>
      <w:r>
        <w:rPr>
          <w:rFonts w:hAnsi="宋体"/>
          <w:color w:val="000000"/>
          <w:sz w:val="24"/>
        </w:rPr>
        <w:t>买方向卖方支付的</w:t>
      </w:r>
      <w:r>
        <w:rPr>
          <w:rFonts w:hint="eastAsia" w:hAnsi="宋体"/>
          <w:color w:val="000000"/>
          <w:sz w:val="24"/>
        </w:rPr>
        <w:t>该等补偿款</w:t>
      </w:r>
      <w:r>
        <w:rPr>
          <w:rFonts w:hAnsi="宋体"/>
          <w:color w:val="000000"/>
          <w:sz w:val="24"/>
        </w:rPr>
        <w:t>系买方</w:t>
      </w:r>
      <w:r>
        <w:rPr>
          <w:rFonts w:hint="eastAsia" w:hAnsi="宋体"/>
          <w:color w:val="000000"/>
          <w:sz w:val="24"/>
        </w:rPr>
        <w:t>根据本款规定</w:t>
      </w:r>
      <w:r>
        <w:rPr>
          <w:rFonts w:hAnsi="宋体"/>
          <w:color w:val="000000"/>
          <w:sz w:val="24"/>
        </w:rPr>
        <w:t>终止合同时</w:t>
      </w:r>
      <w:r>
        <w:rPr>
          <w:rFonts w:hint="eastAsia" w:hAnsi="宋体"/>
          <w:color w:val="000000"/>
          <w:sz w:val="24"/>
        </w:rPr>
        <w:t>，</w:t>
      </w:r>
      <w:r>
        <w:rPr>
          <w:rFonts w:hAnsi="宋体"/>
          <w:color w:val="000000"/>
          <w:sz w:val="24"/>
        </w:rPr>
        <w:t>卖方可获得的</w:t>
      </w:r>
      <w:r>
        <w:rPr>
          <w:rFonts w:hint="eastAsia" w:hAnsi="宋体"/>
          <w:color w:val="000000"/>
          <w:sz w:val="24"/>
        </w:rPr>
        <w:t>全部赔偿。任何时候卖方均无权要求买方赔偿因合同终止引起的预期利润的损失或损害。</w:t>
      </w:r>
    </w:p>
    <w:p>
      <w:pPr>
        <w:numPr>
          <w:ilvl w:val="0"/>
          <w:numId w:val="35"/>
        </w:numPr>
        <w:tabs>
          <w:tab w:val="left" w:pos="567"/>
          <w:tab w:val="left" w:pos="709"/>
        </w:tabs>
        <w:spacing w:before="93" w:beforeLines="30" w:after="93" w:afterLines="30" w:line="360" w:lineRule="auto"/>
        <w:ind w:left="567" w:hanging="567"/>
        <w:rPr>
          <w:rFonts w:hAnsi="宋体"/>
          <w:color w:val="000000"/>
          <w:sz w:val="24"/>
        </w:rPr>
      </w:pPr>
      <w:bookmarkStart w:id="94" w:name="_DV_C932"/>
      <w:r>
        <w:rPr>
          <w:rFonts w:hint="eastAsia" w:hAnsi="宋体"/>
          <w:color w:val="000000"/>
          <w:sz w:val="24"/>
        </w:rPr>
        <w:t>如果本合同根据本条第13</w:t>
      </w:r>
      <w:r>
        <w:rPr>
          <w:rFonts w:hAnsi="宋体"/>
          <w:color w:val="000000"/>
          <w:sz w:val="24"/>
        </w:rPr>
        <w:t>.3款</w:t>
      </w:r>
      <w:r>
        <w:rPr>
          <w:rFonts w:hint="eastAsia" w:hAnsi="宋体"/>
          <w:color w:val="000000"/>
          <w:sz w:val="24"/>
        </w:rPr>
        <w:t>终止，对于合同终止前买方已经支付合同价款或提供补偿费用的货物，卖方应立即移交给买方，买方拥有相关货物的全部权益。</w:t>
      </w:r>
      <w:bookmarkEnd w:id="94"/>
    </w:p>
    <w:p>
      <w:pPr>
        <w:pStyle w:val="18"/>
        <w:numPr>
          <w:ilvl w:val="0"/>
          <w:numId w:val="18"/>
        </w:numPr>
        <w:tabs>
          <w:tab w:val="left" w:pos="993"/>
        </w:tabs>
        <w:spacing w:before="93" w:beforeLines="30" w:after="93" w:afterLines="30" w:line="360" w:lineRule="auto"/>
        <w:ind w:left="567" w:hanging="567"/>
        <w:jc w:val="left"/>
        <w:rPr>
          <w:sz w:val="24"/>
          <w:szCs w:val="24"/>
        </w:rPr>
      </w:pPr>
      <w:bookmarkStart w:id="95" w:name="_Toc306354322"/>
      <w:r>
        <w:rPr>
          <w:rFonts w:hint="eastAsia"/>
          <w:sz w:val="24"/>
          <w:szCs w:val="24"/>
        </w:rPr>
        <w:t xml:space="preserve"> 健康、安全和环保</w:t>
      </w:r>
      <w:bookmarkEnd w:id="95"/>
    </w:p>
    <w:p>
      <w:pPr>
        <w:numPr>
          <w:ilvl w:val="0"/>
          <w:numId w:val="37"/>
        </w:numPr>
        <w:tabs>
          <w:tab w:val="left" w:pos="567"/>
          <w:tab w:val="left" w:pos="709"/>
          <w:tab w:val="left" w:pos="3060"/>
        </w:tabs>
        <w:spacing w:before="93" w:beforeLines="30" w:after="93" w:afterLines="30" w:line="360" w:lineRule="auto"/>
        <w:ind w:left="567" w:hanging="567"/>
        <w:rPr>
          <w:sz w:val="24"/>
        </w:rPr>
      </w:pPr>
      <w:r>
        <w:rPr>
          <w:sz w:val="24"/>
        </w:rPr>
        <w:t>卖方应确保在货物制造过程中使用的材料和制作工艺符合国家标准</w:t>
      </w:r>
      <w:r>
        <w:rPr>
          <w:rFonts w:hint="eastAsia"/>
          <w:sz w:val="24"/>
        </w:rPr>
        <w:t>，保证货物制造现场符合法律法规的要求</w:t>
      </w:r>
      <w:r>
        <w:rPr>
          <w:sz w:val="24"/>
        </w:rPr>
        <w:t>。</w:t>
      </w:r>
    </w:p>
    <w:p>
      <w:pPr>
        <w:numPr>
          <w:ilvl w:val="0"/>
          <w:numId w:val="37"/>
        </w:numPr>
        <w:tabs>
          <w:tab w:val="left" w:pos="567"/>
          <w:tab w:val="left" w:pos="709"/>
          <w:tab w:val="left" w:pos="3060"/>
        </w:tabs>
        <w:spacing w:before="93" w:beforeLines="30" w:after="93" w:afterLines="30" w:line="360" w:lineRule="auto"/>
        <w:ind w:left="567" w:hanging="567"/>
        <w:rPr>
          <w:sz w:val="24"/>
        </w:rPr>
      </w:pPr>
      <w:r>
        <w:rPr>
          <w:sz w:val="24"/>
        </w:rPr>
        <w:t>卖方向买方提供的货物必须符合</w:t>
      </w:r>
      <w:r>
        <w:rPr>
          <w:rFonts w:hint="eastAsia"/>
          <w:sz w:val="24"/>
        </w:rPr>
        <w:t>中国</w:t>
      </w:r>
      <w:r>
        <w:rPr>
          <w:sz w:val="24"/>
        </w:rPr>
        <w:t>有关健康、安全、环保法律法规的规定。对</w:t>
      </w:r>
      <w:r>
        <w:rPr>
          <w:rFonts w:hint="eastAsia"/>
          <w:sz w:val="24"/>
        </w:rPr>
        <w:t>于</w:t>
      </w:r>
      <w:r>
        <w:rPr>
          <w:sz w:val="24"/>
        </w:rPr>
        <w:t>根据有关法律法规必须持证生产或经营的</w:t>
      </w:r>
      <w:r>
        <w:rPr>
          <w:rFonts w:hint="eastAsia"/>
          <w:sz w:val="24"/>
        </w:rPr>
        <w:t>货物</w:t>
      </w:r>
      <w:r>
        <w:rPr>
          <w:sz w:val="24"/>
        </w:rPr>
        <w:t>，卖方在生产或经营时应持有全套有效的生产许可证或经营许可证。</w:t>
      </w:r>
    </w:p>
    <w:p>
      <w:pPr>
        <w:pStyle w:val="18"/>
        <w:numPr>
          <w:ilvl w:val="0"/>
          <w:numId w:val="18"/>
        </w:numPr>
        <w:tabs>
          <w:tab w:val="left" w:pos="993"/>
        </w:tabs>
        <w:spacing w:before="93" w:beforeLines="30" w:after="93" w:afterLines="30" w:line="360" w:lineRule="auto"/>
        <w:ind w:left="567" w:hanging="567"/>
        <w:jc w:val="left"/>
        <w:rPr>
          <w:sz w:val="24"/>
          <w:szCs w:val="24"/>
        </w:rPr>
      </w:pPr>
      <w:bookmarkStart w:id="96" w:name="_Toc306354323"/>
      <w:r>
        <w:rPr>
          <w:rFonts w:hint="eastAsia" w:ascii="Times New Roman" w:hAnsi="Times New Roman"/>
          <w:sz w:val="24"/>
          <w:szCs w:val="24"/>
        </w:rPr>
        <w:t xml:space="preserve"> 转让</w:t>
      </w:r>
      <w:r>
        <w:rPr>
          <w:rFonts w:hint="eastAsia"/>
          <w:sz w:val="24"/>
          <w:szCs w:val="24"/>
        </w:rPr>
        <w:t>和分包</w:t>
      </w:r>
      <w:bookmarkEnd w:id="96"/>
    </w:p>
    <w:p>
      <w:pPr>
        <w:widowControl/>
        <w:numPr>
          <w:ilvl w:val="0"/>
          <w:numId w:val="38"/>
        </w:numPr>
        <w:tabs>
          <w:tab w:val="left" w:pos="567"/>
          <w:tab w:val="left" w:pos="709"/>
        </w:tabs>
        <w:spacing w:before="93" w:beforeLines="30" w:after="93" w:afterLines="30" w:line="360" w:lineRule="auto"/>
        <w:ind w:left="567" w:hanging="567"/>
        <w:rPr>
          <w:sz w:val="24"/>
        </w:rPr>
      </w:pPr>
      <w:r>
        <w:rPr>
          <w:sz w:val="24"/>
        </w:rPr>
        <w:t>未经买方</w:t>
      </w:r>
      <w:r>
        <w:rPr>
          <w:rFonts w:hint="eastAsia"/>
          <w:sz w:val="24"/>
        </w:rPr>
        <w:t>事先</w:t>
      </w:r>
      <w:r>
        <w:rPr>
          <w:sz w:val="24"/>
        </w:rPr>
        <w:t>书面同意，卖方不得</w:t>
      </w:r>
      <w:r>
        <w:rPr>
          <w:rFonts w:hint="eastAsia"/>
          <w:sz w:val="24"/>
        </w:rPr>
        <w:t>将</w:t>
      </w:r>
      <w:r>
        <w:rPr>
          <w:sz w:val="24"/>
        </w:rPr>
        <w:t>其</w:t>
      </w:r>
      <w:r>
        <w:rPr>
          <w:rFonts w:hint="eastAsia"/>
          <w:sz w:val="24"/>
        </w:rPr>
        <w:t>在本</w:t>
      </w:r>
      <w:r>
        <w:rPr>
          <w:sz w:val="24"/>
        </w:rPr>
        <w:t>合同</w:t>
      </w:r>
      <w:r>
        <w:rPr>
          <w:rFonts w:hint="eastAsia"/>
          <w:sz w:val="24"/>
        </w:rPr>
        <w:t>项下</w:t>
      </w:r>
      <w:r>
        <w:rPr>
          <w:sz w:val="24"/>
        </w:rPr>
        <w:t>的</w:t>
      </w:r>
      <w:r>
        <w:rPr>
          <w:rFonts w:hint="eastAsia"/>
          <w:sz w:val="24"/>
        </w:rPr>
        <w:t>任何权利和</w:t>
      </w:r>
      <w:r>
        <w:rPr>
          <w:sz w:val="24"/>
        </w:rPr>
        <w:t>义务</w:t>
      </w:r>
      <w:r>
        <w:rPr>
          <w:rFonts w:hint="eastAsia"/>
          <w:sz w:val="24"/>
        </w:rPr>
        <w:t>全部或部分转让给任何第三方，包括卖方的关联企业</w:t>
      </w:r>
      <w:r>
        <w:rPr>
          <w:sz w:val="24"/>
        </w:rPr>
        <w:t>。</w:t>
      </w:r>
      <w:r>
        <w:rPr>
          <w:rFonts w:hint="eastAsia"/>
          <w:sz w:val="24"/>
        </w:rPr>
        <w:t>买方</w:t>
      </w:r>
      <w:r>
        <w:rPr>
          <w:sz w:val="24"/>
        </w:rPr>
        <w:t>可以</w:t>
      </w:r>
      <w:r>
        <w:rPr>
          <w:rFonts w:hint="eastAsia"/>
          <w:sz w:val="24"/>
        </w:rPr>
        <w:t>将其在</w:t>
      </w:r>
      <w:r>
        <w:rPr>
          <w:sz w:val="24"/>
        </w:rPr>
        <w:t>本合同</w:t>
      </w:r>
      <w:r>
        <w:rPr>
          <w:rFonts w:hint="eastAsia"/>
          <w:sz w:val="24"/>
        </w:rPr>
        <w:t>项下的</w:t>
      </w:r>
      <w:r>
        <w:rPr>
          <w:sz w:val="24"/>
        </w:rPr>
        <w:t>权利和义务</w:t>
      </w:r>
      <w:r>
        <w:rPr>
          <w:rFonts w:hint="eastAsia"/>
          <w:sz w:val="24"/>
        </w:rPr>
        <w:t>全部或部分</w:t>
      </w:r>
      <w:r>
        <w:rPr>
          <w:sz w:val="24"/>
        </w:rPr>
        <w:t>转让给</w:t>
      </w:r>
      <w:r>
        <w:rPr>
          <w:rFonts w:hint="eastAsia"/>
          <w:sz w:val="24"/>
        </w:rPr>
        <w:t>其关联企业</w:t>
      </w:r>
      <w:r>
        <w:rPr>
          <w:sz w:val="24"/>
        </w:rPr>
        <w:t>，</w:t>
      </w:r>
      <w:r>
        <w:rPr>
          <w:rFonts w:hint="eastAsia"/>
          <w:sz w:val="24"/>
        </w:rPr>
        <w:t>且无需</w:t>
      </w:r>
      <w:r>
        <w:rPr>
          <w:sz w:val="24"/>
        </w:rPr>
        <w:t>事先征得</w:t>
      </w:r>
      <w:r>
        <w:rPr>
          <w:rFonts w:hint="eastAsia"/>
          <w:sz w:val="24"/>
        </w:rPr>
        <w:t>卖方</w:t>
      </w:r>
      <w:r>
        <w:rPr>
          <w:sz w:val="24"/>
        </w:rPr>
        <w:t>的同意，但应书面通知</w:t>
      </w:r>
      <w:r>
        <w:rPr>
          <w:rFonts w:hint="eastAsia"/>
          <w:sz w:val="24"/>
        </w:rPr>
        <w:t>卖方</w:t>
      </w:r>
      <w:r>
        <w:rPr>
          <w:sz w:val="24"/>
        </w:rPr>
        <w:t>。</w:t>
      </w:r>
    </w:p>
    <w:p>
      <w:pPr>
        <w:widowControl/>
        <w:numPr>
          <w:ilvl w:val="0"/>
          <w:numId w:val="38"/>
        </w:numPr>
        <w:tabs>
          <w:tab w:val="left" w:pos="567"/>
          <w:tab w:val="left" w:pos="709"/>
        </w:tabs>
        <w:spacing w:before="93" w:beforeLines="30" w:after="93" w:afterLines="30" w:line="360" w:lineRule="auto"/>
        <w:ind w:left="567" w:hanging="567"/>
        <w:rPr>
          <w:sz w:val="24"/>
        </w:rPr>
      </w:pPr>
      <w:r>
        <w:rPr>
          <w:rFonts w:hint="eastAsia"/>
          <w:sz w:val="24"/>
        </w:rPr>
        <w:t>未经买方事先书面同意，卖方不得将其在本合同项下的任何义务分包给任何第三方，包括卖方的关联企业。</w:t>
      </w:r>
      <w:bookmarkStart w:id="97" w:name="_DV_C867"/>
      <w:r>
        <w:rPr>
          <w:rFonts w:hint="eastAsia"/>
          <w:sz w:val="24"/>
        </w:rPr>
        <w:t>卖方不得将本合同转包给任何第三方，包括其关联企业。</w:t>
      </w:r>
      <w:bookmarkEnd w:id="97"/>
    </w:p>
    <w:bookmarkEnd w:id="86"/>
    <w:bookmarkEnd w:id="87"/>
    <w:bookmarkEnd w:id="88"/>
    <w:bookmarkEnd w:id="89"/>
    <w:bookmarkEnd w:id="90"/>
    <w:p>
      <w:pPr>
        <w:pStyle w:val="18"/>
        <w:numPr>
          <w:ilvl w:val="0"/>
          <w:numId w:val="18"/>
        </w:numPr>
        <w:tabs>
          <w:tab w:val="left" w:pos="993"/>
        </w:tabs>
        <w:spacing w:before="93" w:beforeLines="30" w:after="93" w:afterLines="30" w:line="360" w:lineRule="auto"/>
        <w:ind w:left="567" w:hanging="567"/>
        <w:jc w:val="left"/>
        <w:rPr>
          <w:rFonts w:hAnsi="宋体"/>
          <w:color w:val="000000"/>
          <w:sz w:val="24"/>
          <w:szCs w:val="24"/>
        </w:rPr>
      </w:pPr>
      <w:bookmarkStart w:id="98" w:name="_Toc306354324"/>
      <w:r>
        <w:rPr>
          <w:rFonts w:hint="eastAsia" w:hAnsi="宋体"/>
          <w:color w:val="000000"/>
          <w:sz w:val="24"/>
          <w:szCs w:val="24"/>
        </w:rPr>
        <w:t xml:space="preserve"> 不可抗力</w:t>
      </w:r>
      <w:bookmarkEnd w:id="98"/>
    </w:p>
    <w:p>
      <w:pPr>
        <w:pStyle w:val="10"/>
        <w:widowControl/>
        <w:numPr>
          <w:ilvl w:val="0"/>
          <w:numId w:val="39"/>
        </w:numPr>
        <w:tabs>
          <w:tab w:val="left" w:pos="567"/>
        </w:tabs>
        <w:spacing w:before="93" w:beforeLines="30" w:after="93" w:afterLines="30" w:line="360" w:lineRule="auto"/>
        <w:ind w:left="567" w:hanging="567"/>
        <w:rPr>
          <w:sz w:val="24"/>
          <w:lang w:eastAsia="zh-CN"/>
        </w:rPr>
      </w:pPr>
      <w:r>
        <w:rPr>
          <w:rFonts w:hint="eastAsia"/>
          <w:sz w:val="24"/>
          <w:lang w:eastAsia="zh-CN"/>
        </w:rPr>
        <w:t>不可抗力系指本合同的履行过程中，任何一方经合理努力仍不可预见、不可避免并不能克服的客观情况。</w:t>
      </w:r>
      <w:r>
        <w:rPr>
          <w:sz w:val="24"/>
          <w:lang w:eastAsia="zh-CN"/>
        </w:rPr>
        <w:t>任何一方因不可抗力不能或延迟履行本合同，不承担违约责任。</w:t>
      </w:r>
    </w:p>
    <w:p>
      <w:pPr>
        <w:pStyle w:val="10"/>
        <w:widowControl/>
        <w:numPr>
          <w:ilvl w:val="0"/>
          <w:numId w:val="39"/>
        </w:numPr>
        <w:tabs>
          <w:tab w:val="left" w:pos="567"/>
        </w:tabs>
        <w:spacing w:before="93" w:beforeLines="30" w:after="93" w:afterLines="30" w:line="360" w:lineRule="auto"/>
        <w:ind w:left="567" w:hanging="567"/>
        <w:rPr>
          <w:sz w:val="24"/>
          <w:lang w:eastAsia="zh-CN"/>
        </w:rPr>
      </w:pPr>
      <w:r>
        <w:rPr>
          <w:sz w:val="24"/>
          <w:lang w:eastAsia="zh-CN"/>
        </w:rPr>
        <w:t>如果一方遭受不可抗力，应立即（不迟于24小时内）通知另一方，并采取一切合理、必要的措施减少损失及不可抗力的影响，恢复合同的履行。</w:t>
      </w:r>
      <w:r>
        <w:rPr>
          <w:rFonts w:hint="eastAsia"/>
          <w:sz w:val="24"/>
          <w:lang w:eastAsia="zh-CN"/>
        </w:rPr>
        <w:t>不可抗力结束后</w:t>
      </w:r>
      <w:r>
        <w:rPr>
          <w:sz w:val="24"/>
          <w:lang w:eastAsia="zh-CN"/>
        </w:rPr>
        <w:t>48</w:t>
      </w:r>
      <w:r>
        <w:rPr>
          <w:rFonts w:hint="eastAsia"/>
          <w:sz w:val="24"/>
          <w:lang w:eastAsia="zh-CN"/>
        </w:rPr>
        <w:t>小时内，遭受不可抗力的一方应向另一方通报不可抗力的情况，包括不可抗力造成的损害、延续时间、合同设备受影响的范围、补救措施等，如不可抗力持续发生，遭受不可抗力的一方应及时更新该等信息。</w:t>
      </w:r>
    </w:p>
    <w:p>
      <w:pPr>
        <w:pStyle w:val="10"/>
        <w:widowControl/>
        <w:numPr>
          <w:ilvl w:val="0"/>
          <w:numId w:val="39"/>
        </w:numPr>
        <w:tabs>
          <w:tab w:val="left" w:pos="567"/>
        </w:tabs>
        <w:spacing w:before="93" w:beforeLines="30" w:after="93" w:afterLines="30" w:line="360" w:lineRule="auto"/>
        <w:ind w:left="567" w:hanging="567"/>
        <w:rPr>
          <w:sz w:val="24"/>
          <w:lang w:eastAsia="zh-CN"/>
        </w:rPr>
      </w:pPr>
      <w:r>
        <w:rPr>
          <w:rFonts w:hint="eastAsia"/>
          <w:sz w:val="24"/>
          <w:lang w:eastAsia="zh-CN"/>
        </w:rPr>
        <w:t>如发生不可抗力，双方各自承担其人员和财产损失。一旦不可抗力停止或者影响消除，双方应立即履行其义务，合同的期限应该相应顺延。如果不可抗力的影响持续超过【</w:t>
      </w:r>
      <w:r>
        <w:rPr>
          <w:rFonts w:hint="eastAsia"/>
          <w:i/>
          <w:sz w:val="24"/>
          <w:lang w:eastAsia="zh-CN"/>
        </w:rPr>
        <w:t>60</w:t>
      </w:r>
      <w:r>
        <w:rPr>
          <w:rFonts w:hint="eastAsia"/>
          <w:sz w:val="24"/>
          <w:lang w:eastAsia="zh-CN"/>
        </w:rPr>
        <w:t>】日，双方应该共同商议应对措施。</w:t>
      </w:r>
    </w:p>
    <w:p>
      <w:pPr>
        <w:pStyle w:val="10"/>
        <w:widowControl/>
        <w:numPr>
          <w:ilvl w:val="0"/>
          <w:numId w:val="39"/>
        </w:numPr>
        <w:tabs>
          <w:tab w:val="left" w:pos="567"/>
        </w:tabs>
        <w:spacing w:before="93" w:beforeLines="30" w:after="93" w:afterLines="30" w:line="360" w:lineRule="auto"/>
        <w:ind w:left="567" w:hanging="567"/>
        <w:rPr>
          <w:sz w:val="24"/>
          <w:lang w:eastAsia="zh-CN"/>
        </w:rPr>
      </w:pPr>
      <w:r>
        <w:rPr>
          <w:rFonts w:hint="eastAsia"/>
          <w:sz w:val="24"/>
          <w:lang w:eastAsia="zh-CN"/>
        </w:rPr>
        <w:t>任何一方迟延履行合同后遭受不可抗力的，不得减少、免除该方在本合同项下的任何义务和责任。</w:t>
      </w:r>
    </w:p>
    <w:p>
      <w:pPr>
        <w:pStyle w:val="18"/>
        <w:numPr>
          <w:ilvl w:val="0"/>
          <w:numId w:val="18"/>
        </w:numPr>
        <w:tabs>
          <w:tab w:val="left" w:pos="993"/>
        </w:tabs>
        <w:spacing w:before="93" w:beforeLines="30" w:after="93" w:afterLines="30" w:line="360" w:lineRule="auto"/>
        <w:ind w:left="567" w:hanging="567"/>
        <w:jc w:val="left"/>
        <w:rPr>
          <w:sz w:val="24"/>
          <w:szCs w:val="24"/>
        </w:rPr>
      </w:pPr>
      <w:bookmarkStart w:id="99" w:name="_Toc298158360"/>
      <w:bookmarkStart w:id="100" w:name="_Toc306354326"/>
      <w:r>
        <w:rPr>
          <w:rFonts w:hint="eastAsia"/>
          <w:sz w:val="24"/>
          <w:szCs w:val="24"/>
        </w:rPr>
        <w:t xml:space="preserve"> 保密</w:t>
      </w:r>
      <w:bookmarkEnd w:id="99"/>
      <w:bookmarkEnd w:id="100"/>
    </w:p>
    <w:p>
      <w:pPr>
        <w:numPr>
          <w:ilvl w:val="0"/>
          <w:numId w:val="40"/>
        </w:numPr>
        <w:tabs>
          <w:tab w:val="left" w:pos="567"/>
          <w:tab w:val="left" w:pos="709"/>
        </w:tabs>
        <w:spacing w:before="93" w:beforeLines="30" w:after="93" w:afterLines="30" w:line="360" w:lineRule="auto"/>
        <w:ind w:left="567" w:hanging="567"/>
        <w:rPr>
          <w:sz w:val="24"/>
        </w:rPr>
      </w:pPr>
      <w:r>
        <w:rPr>
          <w:sz w:val="24"/>
        </w:rPr>
        <w:t>除非法律法规、政府机关另行强制要求，未经</w:t>
      </w:r>
      <w:r>
        <w:rPr>
          <w:rFonts w:hint="eastAsia"/>
          <w:sz w:val="24"/>
        </w:rPr>
        <w:t>买方</w:t>
      </w:r>
      <w:r>
        <w:rPr>
          <w:sz w:val="24"/>
        </w:rPr>
        <w:t>同意，</w:t>
      </w:r>
      <w:r>
        <w:rPr>
          <w:rFonts w:hint="eastAsia"/>
          <w:sz w:val="24"/>
        </w:rPr>
        <w:t>卖方</w:t>
      </w:r>
      <w:r>
        <w:rPr>
          <w:sz w:val="24"/>
        </w:rPr>
        <w:t>不得将</w:t>
      </w:r>
      <w:r>
        <w:rPr>
          <w:rFonts w:hint="eastAsia"/>
          <w:sz w:val="24"/>
        </w:rPr>
        <w:t>买</w:t>
      </w:r>
      <w:r>
        <w:rPr>
          <w:sz w:val="24"/>
        </w:rPr>
        <w:t>方保密信息披露给任何第三方（包括与合同无关的</w:t>
      </w:r>
      <w:r>
        <w:rPr>
          <w:rFonts w:hint="eastAsia"/>
          <w:sz w:val="24"/>
        </w:rPr>
        <w:t>卖</w:t>
      </w:r>
      <w:r>
        <w:rPr>
          <w:sz w:val="24"/>
        </w:rPr>
        <w:t>方员工和政府部门），亦不得将该等信息用于与本合同无关的用途。保密信息包括但不限于：合同内容；</w:t>
      </w:r>
      <w:r>
        <w:rPr>
          <w:rFonts w:hint="eastAsia"/>
          <w:sz w:val="24"/>
        </w:rPr>
        <w:t>买方提供的</w:t>
      </w:r>
      <w:r>
        <w:rPr>
          <w:sz w:val="24"/>
        </w:rPr>
        <w:t>与本合同有关的任何技术信息、图纸、样本、资料等；</w:t>
      </w:r>
      <w:r>
        <w:rPr>
          <w:rFonts w:hint="eastAsia"/>
          <w:sz w:val="24"/>
        </w:rPr>
        <w:t>买方</w:t>
      </w:r>
      <w:r>
        <w:rPr>
          <w:sz w:val="24"/>
        </w:rPr>
        <w:t>提供的或</w:t>
      </w:r>
      <w:r>
        <w:rPr>
          <w:rFonts w:hint="eastAsia"/>
          <w:sz w:val="24"/>
        </w:rPr>
        <w:t>卖方</w:t>
      </w:r>
      <w:r>
        <w:rPr>
          <w:sz w:val="24"/>
        </w:rPr>
        <w:t>获得的与项目或买方有关的任何技术和商务信息。</w:t>
      </w:r>
    </w:p>
    <w:p>
      <w:pPr>
        <w:pStyle w:val="18"/>
        <w:numPr>
          <w:ilvl w:val="0"/>
          <w:numId w:val="18"/>
        </w:numPr>
        <w:tabs>
          <w:tab w:val="left" w:pos="993"/>
        </w:tabs>
        <w:spacing w:before="93" w:beforeLines="30" w:after="93" w:afterLines="30" w:line="360" w:lineRule="auto"/>
        <w:ind w:left="567" w:hanging="567"/>
        <w:jc w:val="left"/>
        <w:rPr>
          <w:sz w:val="24"/>
          <w:szCs w:val="24"/>
        </w:rPr>
      </w:pPr>
      <w:bookmarkStart w:id="101" w:name="_Toc306354328"/>
      <w:r>
        <w:rPr>
          <w:rFonts w:hint="eastAsia"/>
          <w:sz w:val="24"/>
          <w:szCs w:val="24"/>
        </w:rPr>
        <w:t xml:space="preserve"> 审计、禁止商业贿赂和反腐败</w:t>
      </w:r>
    </w:p>
    <w:p>
      <w:pPr>
        <w:pStyle w:val="40"/>
        <w:numPr>
          <w:ilvl w:val="0"/>
          <w:numId w:val="41"/>
        </w:numPr>
        <w:adjustRightInd w:val="0"/>
        <w:snapToGrid w:val="0"/>
        <w:spacing w:before="93" w:beforeLines="30" w:after="93" w:afterLines="30" w:line="360" w:lineRule="auto"/>
        <w:ind w:left="567" w:hanging="567"/>
        <w:rPr>
          <w:rFonts w:asciiTheme="minorEastAsia" w:hAnsiTheme="minorEastAsia" w:eastAsiaTheme="minorEastAsia"/>
          <w:sz w:val="24"/>
        </w:rPr>
      </w:pPr>
      <w:r>
        <w:rPr>
          <w:rFonts w:hint="eastAsia" w:asciiTheme="minorEastAsia" w:hAnsiTheme="minorEastAsia" w:eastAsiaTheme="minorEastAsia"/>
          <w:sz w:val="24"/>
        </w:rPr>
        <w:t>卖方应根据买方要求，接受和配合买方或买方委托的会计师事务所进行的与本合同相关的审计。</w:t>
      </w:r>
    </w:p>
    <w:p>
      <w:pPr>
        <w:pStyle w:val="40"/>
        <w:numPr>
          <w:ilvl w:val="0"/>
          <w:numId w:val="41"/>
        </w:numPr>
        <w:adjustRightInd w:val="0"/>
        <w:snapToGrid w:val="0"/>
        <w:spacing w:before="93" w:beforeLines="30" w:after="93" w:afterLines="30" w:line="360" w:lineRule="auto"/>
        <w:ind w:left="567" w:hanging="567"/>
        <w:rPr>
          <w:rFonts w:asciiTheme="minorEastAsia" w:hAnsiTheme="minorEastAsia" w:eastAsiaTheme="minorEastAsia"/>
          <w:sz w:val="24"/>
        </w:rPr>
      </w:pPr>
      <w:r>
        <w:rPr>
          <w:rFonts w:hint="eastAsia" w:asciiTheme="minorEastAsia" w:hAnsiTheme="minorEastAsia" w:eastAsiaTheme="minorEastAsia"/>
          <w:sz w:val="24"/>
        </w:rPr>
        <w:t>卖方应保存与本合同相关的记录和账目，保存期限为本合同终止后【</w:t>
      </w:r>
      <w:r>
        <w:rPr>
          <w:rFonts w:hint="eastAsia" w:asciiTheme="minorEastAsia" w:hAnsiTheme="minorEastAsia" w:eastAsiaTheme="minorEastAsia"/>
          <w:i/>
          <w:sz w:val="24"/>
        </w:rPr>
        <w:t>十（</w:t>
      </w:r>
      <w:r>
        <w:rPr>
          <w:rFonts w:asciiTheme="minorEastAsia" w:hAnsiTheme="minorEastAsia" w:eastAsiaTheme="minorEastAsia"/>
          <w:i/>
          <w:sz w:val="24"/>
        </w:rPr>
        <w:t>10</w:t>
      </w:r>
      <w:r>
        <w:rPr>
          <w:rFonts w:hint="eastAsia" w:asciiTheme="minorEastAsia" w:hAnsiTheme="minorEastAsia" w:eastAsiaTheme="minorEastAsia"/>
          <w:i/>
          <w:sz w:val="24"/>
        </w:rPr>
        <w:t>）</w:t>
      </w:r>
      <w:r>
        <w:rPr>
          <w:rFonts w:hint="eastAsia" w:asciiTheme="minorEastAsia" w:hAnsiTheme="minorEastAsia" w:eastAsiaTheme="minorEastAsia"/>
          <w:sz w:val="24"/>
        </w:rPr>
        <w:t>】年或遵从所在国相关规定。经提前通知，买方或买方委托的会计师事务所有权检查并复制该等记录和账目。</w:t>
      </w:r>
    </w:p>
    <w:p>
      <w:pPr>
        <w:pStyle w:val="40"/>
        <w:numPr>
          <w:ilvl w:val="0"/>
          <w:numId w:val="41"/>
        </w:numPr>
        <w:spacing w:line="360" w:lineRule="auto"/>
        <w:ind w:left="567" w:hanging="567"/>
        <w:rPr>
          <w:rFonts w:asciiTheme="minorEastAsia" w:hAnsiTheme="minorEastAsia" w:eastAsiaTheme="minorEastAsia"/>
          <w:sz w:val="24"/>
        </w:rPr>
      </w:pPr>
      <w:r>
        <w:rPr>
          <w:rFonts w:hint="eastAsia" w:asciiTheme="minorEastAsia" w:hAnsiTheme="minorEastAsia" w:eastAsiaTheme="minorEastAsia"/>
          <w:sz w:val="24"/>
        </w:rPr>
        <w:t>双方确认并承诺，双方熟悉并了解合同签订地和履行地关于禁止商业贿赂和反腐败的法律、法规及商业政策，双方承诺双方的高级职员、员工、授权代表或者代理商将会严格遵守前述禁止商业贿赂和反腐败的法律、法规及商业政策。卖方应在其分包合同（如有）中要求分包商遵守相同的禁止商业贿赂及反腐败要求。违反禁止商业贿赂和反腐败法律、法规及商业政策的一方将承担相应的法律责任及所有不利后果，且守约方有权因此随时终止本合同。</w:t>
      </w:r>
    </w:p>
    <w:p>
      <w:pPr>
        <w:pStyle w:val="18"/>
        <w:numPr>
          <w:ilvl w:val="0"/>
          <w:numId w:val="18"/>
        </w:numPr>
        <w:tabs>
          <w:tab w:val="left" w:pos="993"/>
        </w:tabs>
        <w:spacing w:before="93" w:beforeLines="30" w:after="93" w:afterLines="30" w:line="360" w:lineRule="auto"/>
        <w:ind w:left="567" w:hanging="567"/>
        <w:jc w:val="left"/>
        <w:rPr>
          <w:sz w:val="24"/>
          <w:szCs w:val="24"/>
        </w:rPr>
      </w:pPr>
      <w:r>
        <w:rPr>
          <w:rFonts w:hint="eastAsia"/>
          <w:sz w:val="24"/>
          <w:szCs w:val="24"/>
        </w:rPr>
        <w:t xml:space="preserve"> 通知</w:t>
      </w:r>
      <w:bookmarkEnd w:id="101"/>
    </w:p>
    <w:p>
      <w:pPr>
        <w:widowControl/>
        <w:numPr>
          <w:ilvl w:val="0"/>
          <w:numId w:val="42"/>
        </w:numPr>
        <w:tabs>
          <w:tab w:val="left" w:pos="567"/>
          <w:tab w:val="left" w:pos="709"/>
        </w:tabs>
        <w:autoSpaceDE w:val="0"/>
        <w:autoSpaceDN w:val="0"/>
        <w:spacing w:before="93" w:beforeLines="30" w:after="93" w:afterLines="30" w:line="360" w:lineRule="auto"/>
        <w:ind w:left="567" w:hanging="567"/>
        <w:jc w:val="left"/>
        <w:textAlignment w:val="bottom"/>
        <w:rPr>
          <w:sz w:val="24"/>
        </w:rPr>
      </w:pPr>
      <w:r>
        <w:rPr>
          <w:rFonts w:hint="eastAsia"/>
          <w:sz w:val="24"/>
        </w:rPr>
        <w:t>通知应根据本合同规定以亲自递送、特快专递、传真等方式送达。</w:t>
      </w:r>
      <w:r>
        <w:rPr>
          <w:sz w:val="24"/>
        </w:rPr>
        <w:t>通知在下列情况视为</w:t>
      </w:r>
      <w:r>
        <w:rPr>
          <w:rFonts w:hint="eastAsia"/>
          <w:sz w:val="24"/>
        </w:rPr>
        <w:t>送达</w:t>
      </w:r>
      <w:r>
        <w:rPr>
          <w:sz w:val="24"/>
        </w:rPr>
        <w:t>：</w:t>
      </w:r>
    </w:p>
    <w:p>
      <w:pPr>
        <w:widowControl/>
        <w:numPr>
          <w:ilvl w:val="1"/>
          <w:numId w:val="43"/>
        </w:numPr>
        <w:tabs>
          <w:tab w:val="left" w:pos="567"/>
          <w:tab w:val="left" w:pos="993"/>
        </w:tabs>
        <w:spacing w:before="93" w:beforeLines="30" w:after="93" w:afterLines="30" w:line="360" w:lineRule="auto"/>
        <w:ind w:left="567" w:firstLine="0"/>
        <w:jc w:val="left"/>
        <w:rPr>
          <w:sz w:val="24"/>
        </w:rPr>
      </w:pPr>
      <w:r>
        <w:rPr>
          <w:sz w:val="24"/>
        </w:rPr>
        <w:t>如采</w:t>
      </w:r>
      <w:r>
        <w:rPr>
          <w:rFonts w:hint="eastAsia"/>
          <w:sz w:val="24"/>
        </w:rPr>
        <w:t>用</w:t>
      </w:r>
      <w:r>
        <w:rPr>
          <w:sz w:val="24"/>
        </w:rPr>
        <w:t>亲自递送方式，于</w:t>
      </w:r>
      <w:r>
        <w:rPr>
          <w:rFonts w:hint="eastAsia"/>
          <w:sz w:val="24"/>
        </w:rPr>
        <w:t>签收确认</w:t>
      </w:r>
      <w:r>
        <w:rPr>
          <w:sz w:val="24"/>
        </w:rPr>
        <w:t>之时；</w:t>
      </w:r>
    </w:p>
    <w:p>
      <w:pPr>
        <w:widowControl/>
        <w:numPr>
          <w:ilvl w:val="1"/>
          <w:numId w:val="43"/>
        </w:numPr>
        <w:tabs>
          <w:tab w:val="left" w:pos="567"/>
          <w:tab w:val="left" w:pos="993"/>
        </w:tabs>
        <w:spacing w:before="93" w:beforeLines="30" w:after="93" w:afterLines="30" w:line="360" w:lineRule="auto"/>
        <w:ind w:left="567" w:firstLine="0"/>
        <w:jc w:val="left"/>
        <w:rPr>
          <w:sz w:val="24"/>
        </w:rPr>
      </w:pPr>
      <w:r>
        <w:rPr>
          <w:sz w:val="24"/>
        </w:rPr>
        <w:t>如采</w:t>
      </w:r>
      <w:r>
        <w:rPr>
          <w:rFonts w:hint="eastAsia"/>
          <w:sz w:val="24"/>
        </w:rPr>
        <w:t>用特快专递</w:t>
      </w:r>
      <w:r>
        <w:rPr>
          <w:sz w:val="24"/>
        </w:rPr>
        <w:t>方式，于</w:t>
      </w:r>
      <w:r>
        <w:rPr>
          <w:rFonts w:hint="eastAsia"/>
          <w:sz w:val="24"/>
        </w:rPr>
        <w:t>收件人签收</w:t>
      </w:r>
      <w:r>
        <w:rPr>
          <w:sz w:val="24"/>
        </w:rPr>
        <w:t>之时</w:t>
      </w:r>
      <w:r>
        <w:rPr>
          <w:rFonts w:hint="eastAsia"/>
          <w:sz w:val="24"/>
        </w:rPr>
        <w:t>；</w:t>
      </w:r>
    </w:p>
    <w:p>
      <w:pPr>
        <w:widowControl/>
        <w:numPr>
          <w:ilvl w:val="1"/>
          <w:numId w:val="43"/>
        </w:numPr>
        <w:tabs>
          <w:tab w:val="left" w:pos="567"/>
          <w:tab w:val="left" w:pos="993"/>
        </w:tabs>
        <w:spacing w:before="93" w:beforeLines="30" w:after="93" w:afterLines="30" w:line="360" w:lineRule="auto"/>
        <w:ind w:left="567" w:firstLine="0"/>
        <w:jc w:val="left"/>
        <w:rPr>
          <w:sz w:val="24"/>
        </w:rPr>
      </w:pPr>
      <w:r>
        <w:rPr>
          <w:sz w:val="24"/>
        </w:rPr>
        <w:t>如采</w:t>
      </w:r>
      <w:r>
        <w:rPr>
          <w:rFonts w:hint="eastAsia"/>
          <w:sz w:val="24"/>
        </w:rPr>
        <w:t>用</w:t>
      </w:r>
      <w:r>
        <w:rPr>
          <w:sz w:val="24"/>
        </w:rPr>
        <w:t>传真方式，于确认传输之时</w:t>
      </w:r>
      <w:r>
        <w:rPr>
          <w:rFonts w:hint="eastAsia"/>
          <w:sz w:val="24"/>
        </w:rPr>
        <w:t>。</w:t>
      </w:r>
    </w:p>
    <w:p>
      <w:pPr>
        <w:pStyle w:val="10"/>
        <w:rPr>
          <w:rFonts w:hint="eastAsia" w:ascii="宋体" w:hAnsi="宋体" w:eastAsia="宋体"/>
          <w:lang w:val="en-US" w:eastAsia="zh-CN"/>
        </w:rPr>
      </w:pPr>
      <w:r>
        <w:rPr>
          <w:rFonts w:hint="eastAsia" w:ascii="宋体" w:hAnsi="宋体" w:eastAsia="宋体"/>
          <w:lang w:val="en-US" w:eastAsia="zh-CN"/>
        </w:rPr>
        <w:t>双方联系人及方式</w:t>
      </w:r>
    </w:p>
    <w:p>
      <w:pPr>
        <w:pStyle w:val="10"/>
        <w:rPr>
          <w:rFonts w:hint="eastAsia" w:ascii="宋体" w:hAnsi="宋体" w:eastAsia="宋体"/>
          <w:lang w:val="en-US" w:eastAsia="zh-CN"/>
        </w:rPr>
      </w:pPr>
      <w:r>
        <w:rPr>
          <w:rFonts w:hint="eastAsia" w:ascii="宋体" w:hAnsi="宋体" w:eastAsia="宋体"/>
          <w:lang w:val="en-US" w:eastAsia="zh-CN"/>
        </w:rPr>
        <w:t>买方：中海油天津化工研究设计院有限公司</w:t>
      </w:r>
    </w:p>
    <w:p>
      <w:pPr>
        <w:rPr>
          <w:rFonts w:hint="default"/>
          <w:lang w:val="en-US" w:eastAsia="zh-CN"/>
        </w:rPr>
      </w:pPr>
      <w:r>
        <w:rPr>
          <w:rFonts w:hint="eastAsia" w:ascii="宋体" w:hAnsi="宋体" w:eastAsia="宋体"/>
          <w:lang w:val="en-US" w:eastAsia="zh-CN"/>
        </w:rPr>
        <w:t xml:space="preserve">       地址：天津市红桥区丁字沽三号路85号</w:t>
      </w:r>
    </w:p>
    <w:p>
      <w:pPr>
        <w:pStyle w:val="10"/>
        <w:rPr>
          <w:rFonts w:hint="eastAsia" w:ascii="宋体" w:hAnsi="宋体" w:eastAsia="宋体"/>
          <w:highlight w:val="none"/>
          <w:lang w:eastAsia="zh-CN"/>
        </w:rPr>
      </w:pPr>
      <w:r>
        <w:rPr>
          <w:rFonts w:hint="eastAsia" w:ascii="宋体" w:hAnsi="宋体" w:eastAsia="宋体"/>
          <w:highlight w:val="none"/>
          <w:lang w:eastAsia="zh-CN"/>
        </w:rPr>
        <w:t>电子邮件：shengchg2@cnooc.com.cn</w:t>
      </w:r>
    </w:p>
    <w:p>
      <w:pPr>
        <w:pStyle w:val="10"/>
        <w:rPr>
          <w:rFonts w:hint="eastAsia" w:ascii="宋体" w:hAnsi="宋体" w:eastAsia="宋体"/>
          <w:highlight w:val="none"/>
          <w:lang w:val="en-US" w:eastAsia="zh-CN"/>
        </w:rPr>
      </w:pPr>
      <w:r>
        <w:rPr>
          <w:rFonts w:hint="eastAsia" w:ascii="宋体" w:hAnsi="宋体" w:eastAsia="宋体"/>
          <w:highlight w:val="none"/>
        </w:rPr>
        <w:t>联</w:t>
      </w:r>
      <w:r>
        <w:rPr>
          <w:rFonts w:hint="eastAsia" w:ascii="宋体" w:hAnsi="宋体" w:eastAsia="宋体"/>
          <w:highlight w:val="none"/>
          <w:lang w:val="en-US" w:eastAsia="zh-CN"/>
        </w:rPr>
        <w:t>系人：盛春光</w:t>
      </w:r>
    </w:p>
    <w:p>
      <w:pPr>
        <w:pStyle w:val="10"/>
        <w:rPr>
          <w:rFonts w:hint="eastAsia" w:ascii="宋体" w:hAnsi="宋体" w:eastAsia="宋体"/>
          <w:highlight w:val="none"/>
          <w:lang w:val="en-US" w:eastAsia="zh-CN"/>
        </w:rPr>
      </w:pPr>
      <w:r>
        <w:rPr>
          <w:rFonts w:hint="eastAsia" w:ascii="宋体" w:hAnsi="宋体" w:eastAsia="宋体"/>
          <w:highlight w:val="none"/>
          <w:lang w:val="en-US" w:eastAsia="zh-CN"/>
        </w:rPr>
        <w:t>电话：13682190439</w:t>
      </w:r>
    </w:p>
    <w:p>
      <w:pPr>
        <w:pStyle w:val="10"/>
        <w:rPr>
          <w:rFonts w:hint="eastAsia"/>
          <w:lang w:val="en-US" w:eastAsia="zh-CN"/>
        </w:rPr>
      </w:pPr>
    </w:p>
    <w:p>
      <w:pPr>
        <w:pStyle w:val="10"/>
        <w:rPr>
          <w:lang w:eastAsia="zh-CN"/>
        </w:rPr>
      </w:pPr>
      <w:r>
        <w:rPr>
          <w:rFonts w:hint="eastAsia"/>
          <w:lang w:val="en-US" w:eastAsia="zh-CN"/>
        </w:rPr>
        <w:t>卖</w:t>
      </w:r>
      <w:r>
        <w:rPr>
          <w:rFonts w:hint="eastAsia"/>
          <w:lang w:eastAsia="zh-CN"/>
        </w:rPr>
        <w:t xml:space="preserve">方： </w:t>
      </w:r>
    </w:p>
    <w:p>
      <w:pPr>
        <w:pStyle w:val="10"/>
        <w:rPr>
          <w:rFonts w:hint="eastAsia" w:ascii="宋体" w:hAnsi="宋体" w:eastAsia="宋体"/>
          <w:highlight w:val="none"/>
          <w:lang w:eastAsia="zh-CN"/>
        </w:rPr>
      </w:pPr>
      <w:r>
        <w:rPr>
          <w:rFonts w:hint="eastAsia" w:ascii="宋体" w:hAnsi="宋体" w:eastAsia="宋体"/>
          <w:highlight w:val="none"/>
          <w:lang w:eastAsia="zh-CN"/>
        </w:rPr>
        <w:t>地址：</w:t>
      </w:r>
    </w:p>
    <w:p>
      <w:pPr>
        <w:pStyle w:val="10"/>
        <w:rPr>
          <w:rFonts w:hint="eastAsia" w:ascii="宋体" w:hAnsi="宋体" w:eastAsia="宋体"/>
          <w:highlight w:val="none"/>
          <w:lang w:eastAsia="zh-CN"/>
        </w:rPr>
      </w:pPr>
      <w:r>
        <w:rPr>
          <w:rFonts w:hint="eastAsia" w:ascii="宋体" w:hAnsi="宋体" w:eastAsia="宋体"/>
          <w:highlight w:val="none"/>
          <w:lang w:eastAsia="zh-CN"/>
        </w:rPr>
        <w:t>电子邮件：</w:t>
      </w:r>
    </w:p>
    <w:p>
      <w:pPr>
        <w:pStyle w:val="10"/>
        <w:rPr>
          <w:rFonts w:hint="eastAsia" w:ascii="宋体" w:hAnsi="宋体" w:eastAsia="宋体"/>
          <w:highlight w:val="none"/>
          <w:lang w:eastAsia="zh-CN"/>
        </w:rPr>
      </w:pPr>
      <w:r>
        <w:rPr>
          <w:rFonts w:hint="eastAsia" w:ascii="宋体" w:hAnsi="宋体" w:eastAsia="宋体"/>
          <w:highlight w:val="none"/>
          <w:lang w:eastAsia="zh-CN"/>
        </w:rPr>
        <w:t>联系人：</w:t>
      </w:r>
    </w:p>
    <w:p>
      <w:pPr>
        <w:pStyle w:val="10"/>
        <w:rPr>
          <w:rFonts w:hint="default" w:ascii="宋体" w:hAnsi="宋体" w:eastAsia="宋体"/>
          <w:highlight w:val="none"/>
          <w:lang w:val="en-US" w:eastAsia="zh-CN"/>
        </w:rPr>
      </w:pPr>
      <w:r>
        <w:rPr>
          <w:rFonts w:hint="eastAsia" w:ascii="宋体" w:hAnsi="宋体" w:eastAsia="宋体"/>
          <w:highlight w:val="none"/>
          <w:lang w:eastAsia="zh-CN"/>
        </w:rPr>
        <w:t>电话：</w:t>
      </w:r>
    </w:p>
    <w:p>
      <w:pPr>
        <w:widowControl/>
        <w:numPr>
          <w:ilvl w:val="0"/>
          <w:numId w:val="42"/>
        </w:numPr>
        <w:tabs>
          <w:tab w:val="left" w:pos="567"/>
          <w:tab w:val="left" w:pos="709"/>
        </w:tabs>
        <w:autoSpaceDE w:val="0"/>
        <w:autoSpaceDN w:val="0"/>
        <w:spacing w:before="93" w:beforeLines="30" w:after="93" w:afterLines="30" w:line="360" w:lineRule="auto"/>
        <w:ind w:left="567" w:hanging="567"/>
        <w:jc w:val="left"/>
        <w:textAlignment w:val="bottom"/>
        <w:rPr>
          <w:sz w:val="24"/>
        </w:rPr>
      </w:pPr>
      <w:r>
        <w:rPr>
          <w:rFonts w:ascii="宋体" w:hAnsi="宋体"/>
          <w:sz w:val="24"/>
        </w:rPr>
        <w:t>除非一方另行</w:t>
      </w:r>
      <w:r>
        <w:rPr>
          <w:rFonts w:hint="eastAsia" w:ascii="宋体" w:hAnsi="宋体"/>
          <w:sz w:val="24"/>
        </w:rPr>
        <w:t>明确</w:t>
      </w:r>
      <w:r>
        <w:rPr>
          <w:rFonts w:ascii="宋体" w:hAnsi="宋体"/>
          <w:sz w:val="24"/>
        </w:rPr>
        <w:t>要求，双方可通过互联网电子邮件进行通讯联系或传送文件。因不能合理控制的原因导致任何互联网电子邮件遗失、延误、被截取、破坏或修改的，</w:t>
      </w:r>
      <w:r>
        <w:rPr>
          <w:rFonts w:hint="eastAsia" w:ascii="宋体" w:hAnsi="宋体"/>
          <w:sz w:val="24"/>
        </w:rPr>
        <w:t>通知发出方不承担</w:t>
      </w:r>
      <w:r>
        <w:rPr>
          <w:rFonts w:ascii="宋体" w:hAnsi="宋体"/>
          <w:sz w:val="24"/>
        </w:rPr>
        <w:t>因此造成的任何损失、损害、费用、伤害或不便。</w:t>
      </w:r>
    </w:p>
    <w:p>
      <w:pPr>
        <w:pStyle w:val="18"/>
        <w:numPr>
          <w:ilvl w:val="0"/>
          <w:numId w:val="18"/>
        </w:numPr>
        <w:tabs>
          <w:tab w:val="left" w:pos="567"/>
        </w:tabs>
        <w:spacing w:before="93" w:beforeLines="30" w:after="93" w:afterLines="30" w:line="360" w:lineRule="auto"/>
        <w:ind w:left="567" w:hanging="567"/>
        <w:jc w:val="left"/>
        <w:rPr>
          <w:sz w:val="24"/>
          <w:szCs w:val="24"/>
        </w:rPr>
      </w:pPr>
      <w:bookmarkStart w:id="102" w:name="_Toc306354329"/>
      <w:r>
        <w:rPr>
          <w:sz w:val="24"/>
          <w:szCs w:val="24"/>
        </w:rPr>
        <w:t>法律适用</w:t>
      </w:r>
      <w:r>
        <w:rPr>
          <w:rFonts w:hint="eastAsia"/>
          <w:sz w:val="24"/>
          <w:szCs w:val="24"/>
        </w:rPr>
        <w:t>和</w:t>
      </w:r>
      <w:r>
        <w:rPr>
          <w:sz w:val="24"/>
          <w:szCs w:val="24"/>
        </w:rPr>
        <w:t>争议解决</w:t>
      </w:r>
      <w:bookmarkEnd w:id="102"/>
    </w:p>
    <w:p>
      <w:pPr>
        <w:numPr>
          <w:ilvl w:val="1"/>
          <w:numId w:val="44"/>
        </w:numPr>
        <w:tabs>
          <w:tab w:val="left" w:pos="567"/>
        </w:tabs>
        <w:spacing w:before="93" w:beforeLines="30" w:after="93" w:afterLines="30" w:line="360" w:lineRule="auto"/>
        <w:ind w:left="567" w:hanging="567"/>
        <w:rPr>
          <w:rFonts w:ascii="宋体" w:hAnsi="宋体"/>
          <w:sz w:val="24"/>
        </w:rPr>
      </w:pPr>
      <w:bookmarkStart w:id="103" w:name="_Toc296959346"/>
      <w:bookmarkStart w:id="104" w:name="_Toc296955884"/>
      <w:r>
        <w:rPr>
          <w:rFonts w:hint="eastAsia" w:ascii="宋体" w:hAnsi="宋体"/>
          <w:sz w:val="24"/>
        </w:rPr>
        <w:t>本合同适用中华人民共和国（不含香港特别行政区、澳门特别行政区和台湾地区）法律。</w:t>
      </w:r>
    </w:p>
    <w:p>
      <w:pPr>
        <w:numPr>
          <w:ilvl w:val="1"/>
          <w:numId w:val="44"/>
        </w:numPr>
        <w:tabs>
          <w:tab w:val="left" w:pos="567"/>
        </w:tabs>
        <w:spacing w:before="93" w:beforeLines="30" w:after="93" w:afterLines="30" w:line="360" w:lineRule="auto"/>
        <w:ind w:left="567" w:hanging="567"/>
        <w:rPr>
          <w:rFonts w:ascii="宋体" w:hAnsi="宋体"/>
          <w:sz w:val="24"/>
        </w:rPr>
      </w:pPr>
      <w:r>
        <w:rPr>
          <w:rFonts w:ascii="宋体" w:hAnsi="宋体"/>
          <w:sz w:val="24"/>
        </w:rPr>
        <w:t>因履行</w:t>
      </w:r>
      <w:r>
        <w:rPr>
          <w:rFonts w:hint="eastAsia" w:ascii="宋体" w:hAnsi="宋体"/>
          <w:sz w:val="24"/>
        </w:rPr>
        <w:t>本</w:t>
      </w:r>
      <w:r>
        <w:rPr>
          <w:rFonts w:ascii="宋体" w:hAnsi="宋体"/>
          <w:sz w:val="24"/>
        </w:rPr>
        <w:t>合同发生的或与本合同有关的一切争议，双方</w:t>
      </w:r>
      <w:r>
        <w:rPr>
          <w:rFonts w:hint="eastAsia" w:ascii="宋体" w:hAnsi="宋体"/>
          <w:sz w:val="24"/>
        </w:rPr>
        <w:t>首先应</w:t>
      </w:r>
      <w:r>
        <w:rPr>
          <w:rFonts w:ascii="宋体" w:hAnsi="宋体"/>
          <w:sz w:val="24"/>
        </w:rPr>
        <w:t>友好协商解决，</w:t>
      </w:r>
      <w:r>
        <w:rPr>
          <w:rFonts w:hint="eastAsia" w:ascii="宋体" w:hAnsi="宋体"/>
          <w:sz w:val="24"/>
        </w:rPr>
        <w:t>如</w:t>
      </w:r>
      <w:r>
        <w:rPr>
          <w:rFonts w:ascii="宋体" w:hAnsi="宋体"/>
          <w:sz w:val="24"/>
        </w:rPr>
        <w:t>经协商</w:t>
      </w:r>
      <w:r>
        <w:rPr>
          <w:rFonts w:hint="eastAsia" w:ascii="宋体" w:hAnsi="宋体"/>
          <w:sz w:val="24"/>
        </w:rPr>
        <w:t>【</w:t>
      </w:r>
      <w:r>
        <w:rPr>
          <w:rFonts w:hAnsi="宋体"/>
          <w:i/>
          <w:sz w:val="24"/>
        </w:rPr>
        <w:t>六十（</w:t>
      </w:r>
      <w:r>
        <w:rPr>
          <w:i/>
          <w:sz w:val="24"/>
        </w:rPr>
        <w:t>60</w:t>
      </w:r>
      <w:r>
        <w:rPr>
          <w:rFonts w:hAnsi="宋体"/>
          <w:i/>
          <w:sz w:val="24"/>
        </w:rPr>
        <w:t>）</w:t>
      </w:r>
      <w:r>
        <w:rPr>
          <w:rFonts w:hint="eastAsia" w:ascii="宋体" w:hAnsi="宋体"/>
          <w:sz w:val="24"/>
        </w:rPr>
        <w:t>】日内</w:t>
      </w:r>
      <w:r>
        <w:rPr>
          <w:rFonts w:ascii="宋体" w:hAnsi="宋体"/>
          <w:sz w:val="24"/>
        </w:rPr>
        <w:t>仍不能解决</w:t>
      </w:r>
      <w:r>
        <w:rPr>
          <w:rFonts w:hint="eastAsia" w:ascii="宋体" w:hAnsi="宋体"/>
          <w:sz w:val="24"/>
        </w:rPr>
        <w:t>，</w:t>
      </w:r>
      <w:r>
        <w:rPr>
          <w:rFonts w:ascii="宋体" w:hAnsi="宋体"/>
          <w:sz w:val="24"/>
        </w:rPr>
        <w:t>双方同意：</w:t>
      </w:r>
    </w:p>
    <w:p>
      <w:pPr>
        <w:spacing w:before="72" w:beforeLines="30" w:after="72" w:afterLines="30" w:line="360" w:lineRule="auto"/>
        <w:ind w:left="567"/>
        <w:rPr>
          <w:rFonts w:hint="eastAsia" w:eastAsiaTheme="minorEastAsia"/>
          <w:sz w:val="24"/>
          <w:lang w:eastAsia="zh-CN"/>
        </w:rPr>
      </w:pPr>
      <w:r>
        <w:rPr>
          <w:rFonts w:hint="eastAsia"/>
        </w:rPr>
        <w:t>向买方所在地人民法院起诉</w:t>
      </w:r>
      <w:r>
        <w:rPr>
          <w:rFonts w:hint="eastAsia"/>
          <w:lang w:eastAsia="zh-CN"/>
        </w:rPr>
        <w:t>。</w:t>
      </w:r>
    </w:p>
    <w:p>
      <w:pPr>
        <w:numPr>
          <w:ilvl w:val="1"/>
          <w:numId w:val="44"/>
        </w:numPr>
        <w:tabs>
          <w:tab w:val="left" w:pos="567"/>
        </w:tabs>
        <w:spacing w:before="93" w:beforeLines="30" w:after="93" w:afterLines="30" w:line="360" w:lineRule="auto"/>
        <w:ind w:left="567" w:hanging="567"/>
        <w:rPr>
          <w:b/>
          <w:sz w:val="24"/>
        </w:rPr>
      </w:pPr>
      <w:r>
        <w:rPr>
          <w:rFonts w:hint="eastAsia" w:ascii="宋体" w:hAnsi="宋体"/>
          <w:sz w:val="24"/>
        </w:rPr>
        <w:t>争议解决期间</w:t>
      </w:r>
      <w:r>
        <w:rPr>
          <w:rFonts w:ascii="宋体" w:hAnsi="宋体"/>
          <w:sz w:val="24"/>
        </w:rPr>
        <w:t>，除争议事项外，双方应继续履行本合同。</w:t>
      </w:r>
    </w:p>
    <w:bookmarkEnd w:id="103"/>
    <w:bookmarkEnd w:id="104"/>
    <w:p>
      <w:pPr>
        <w:pStyle w:val="18"/>
        <w:numPr>
          <w:ilvl w:val="0"/>
          <w:numId w:val="18"/>
        </w:numPr>
        <w:tabs>
          <w:tab w:val="left" w:pos="567"/>
        </w:tabs>
        <w:spacing w:before="93" w:beforeLines="30" w:after="93" w:afterLines="30" w:line="360" w:lineRule="auto"/>
        <w:ind w:left="567" w:hanging="567"/>
        <w:jc w:val="left"/>
        <w:rPr>
          <w:sz w:val="24"/>
          <w:szCs w:val="24"/>
        </w:rPr>
      </w:pPr>
      <w:bookmarkStart w:id="105" w:name="_Toc306354330"/>
      <w:r>
        <w:rPr>
          <w:rFonts w:hint="eastAsia"/>
          <w:sz w:val="24"/>
          <w:szCs w:val="24"/>
        </w:rPr>
        <w:t xml:space="preserve"> </w:t>
      </w:r>
      <w:r>
        <w:rPr>
          <w:sz w:val="24"/>
          <w:szCs w:val="24"/>
        </w:rPr>
        <w:t>其它</w:t>
      </w:r>
      <w:bookmarkEnd w:id="105"/>
    </w:p>
    <w:p>
      <w:pPr>
        <w:numPr>
          <w:ilvl w:val="1"/>
          <w:numId w:val="45"/>
        </w:numPr>
        <w:tabs>
          <w:tab w:val="left" w:pos="567"/>
        </w:tabs>
        <w:spacing w:before="93" w:beforeLines="30" w:after="93" w:afterLines="30" w:line="360" w:lineRule="auto"/>
        <w:ind w:left="567" w:hanging="567"/>
        <w:rPr>
          <w:sz w:val="24"/>
        </w:rPr>
      </w:pPr>
      <w:r>
        <w:rPr>
          <w:rFonts w:hint="eastAsia"/>
          <w:sz w:val="24"/>
        </w:rPr>
        <w:t>在本合同签订时如卖方属于《保障中小企业款项支付条例》（“条例”）规定的中小企业，本合同所约定的付款期限、方式、条件和违约责任等交易条件应遵守该条例的规定。如本合同约定的任何交易条件违反该条例，买方应按照符合该条例规定的交易条件履行合同，并应按照条例的规定与卖方协商变更本合同的该等交易条件，以保障卖方享有条例规定的合法权益。</w:t>
      </w:r>
    </w:p>
    <w:p>
      <w:pPr>
        <w:numPr>
          <w:ilvl w:val="1"/>
          <w:numId w:val="45"/>
        </w:numPr>
        <w:tabs>
          <w:tab w:val="left" w:pos="567"/>
        </w:tabs>
        <w:spacing w:before="93" w:beforeLines="30" w:after="93" w:afterLines="30" w:line="360" w:lineRule="auto"/>
        <w:ind w:left="567" w:hanging="567"/>
        <w:rPr>
          <w:sz w:val="24"/>
        </w:rPr>
      </w:pPr>
      <w:r>
        <w:rPr>
          <w:sz w:val="24"/>
        </w:rPr>
        <w:t>本合同自买卖双方</w:t>
      </w:r>
      <w:r>
        <w:rPr>
          <w:rFonts w:hint="eastAsia"/>
          <w:sz w:val="24"/>
        </w:rPr>
        <w:t>法定代表人或授权代表</w:t>
      </w:r>
      <w:r>
        <w:rPr>
          <w:sz w:val="24"/>
        </w:rPr>
        <w:t>签</w:t>
      </w:r>
      <w:r>
        <w:rPr>
          <w:rFonts w:hint="eastAsia"/>
          <w:sz w:val="24"/>
        </w:rPr>
        <w:t>字并盖章</w:t>
      </w:r>
      <w:r>
        <w:rPr>
          <w:sz w:val="24"/>
        </w:rPr>
        <w:t>之日起生效</w:t>
      </w:r>
      <w:r>
        <w:rPr>
          <w:rFonts w:hint="eastAsia"/>
          <w:sz w:val="24"/>
        </w:rPr>
        <w:t>，</w:t>
      </w:r>
      <w:bookmarkStart w:id="106" w:name="OLE_LINK11"/>
      <w:bookmarkStart w:id="107" w:name="OLE_LINK12"/>
      <w:r>
        <w:rPr>
          <w:rFonts w:hint="eastAsia" w:ascii="宋体" w:hAnsi="宋体"/>
          <w:sz w:val="24"/>
        </w:rPr>
        <w:t>自双方履行完本合同项下全部权利和义务后终止</w:t>
      </w:r>
      <w:bookmarkEnd w:id="106"/>
      <w:bookmarkEnd w:id="107"/>
      <w:r>
        <w:rPr>
          <w:sz w:val="24"/>
        </w:rPr>
        <w:t>。</w:t>
      </w:r>
    </w:p>
    <w:p>
      <w:pPr>
        <w:numPr>
          <w:ilvl w:val="1"/>
          <w:numId w:val="45"/>
        </w:numPr>
        <w:tabs>
          <w:tab w:val="left" w:pos="567"/>
        </w:tabs>
        <w:spacing w:before="93" w:beforeLines="30" w:after="93" w:afterLines="30" w:line="360" w:lineRule="auto"/>
        <w:ind w:left="567" w:hanging="567"/>
        <w:rPr>
          <w:sz w:val="24"/>
        </w:rPr>
      </w:pPr>
      <w:r>
        <w:rPr>
          <w:rFonts w:hint="eastAsia"/>
          <w:sz w:val="24"/>
        </w:rPr>
        <w:t>本合同签署以前双方就本合同约定的货物买卖及</w:t>
      </w:r>
      <w:r>
        <w:rPr>
          <w:sz w:val="24"/>
        </w:rPr>
        <w:t>相关事宜</w:t>
      </w:r>
      <w:r>
        <w:rPr>
          <w:rFonts w:hint="eastAsia"/>
          <w:sz w:val="24"/>
        </w:rPr>
        <w:t>达成的所有口头和</w:t>
      </w:r>
      <w:r>
        <w:rPr>
          <w:sz w:val="24"/>
        </w:rPr>
        <w:t>/</w:t>
      </w:r>
      <w:r>
        <w:rPr>
          <w:rFonts w:hint="eastAsia"/>
          <w:sz w:val="24"/>
        </w:rPr>
        <w:t>或书面的声明、文件、信件及双方其它形式的通信在本合同生效后自动失效。</w:t>
      </w:r>
    </w:p>
    <w:p>
      <w:pPr>
        <w:numPr>
          <w:ilvl w:val="1"/>
          <w:numId w:val="45"/>
        </w:numPr>
        <w:tabs>
          <w:tab w:val="left" w:pos="567"/>
        </w:tabs>
        <w:spacing w:before="93" w:beforeLines="30" w:after="93" w:afterLines="30" w:line="360" w:lineRule="auto"/>
        <w:ind w:left="567" w:hanging="567"/>
        <w:rPr>
          <w:rFonts w:ascii="宋体" w:hAnsi="宋体"/>
          <w:sz w:val="24"/>
        </w:rPr>
      </w:pPr>
      <w:r>
        <w:rPr>
          <w:rFonts w:ascii="宋体" w:hAnsi="宋体"/>
          <w:sz w:val="24"/>
        </w:rPr>
        <w:t>未经另一方事先书面同意，任何一方不得以任何方式使用另一方的名称、商品商标、服务商标、企业标志、商号或品牌。</w:t>
      </w:r>
    </w:p>
    <w:p>
      <w:pPr>
        <w:numPr>
          <w:ilvl w:val="1"/>
          <w:numId w:val="45"/>
        </w:numPr>
        <w:tabs>
          <w:tab w:val="left" w:pos="567"/>
        </w:tabs>
        <w:spacing w:before="93" w:beforeLines="30" w:after="93" w:afterLines="30" w:line="360" w:lineRule="auto"/>
        <w:ind w:left="567" w:hanging="567"/>
        <w:rPr>
          <w:sz w:val="24"/>
        </w:rPr>
      </w:pPr>
      <w:r>
        <w:rPr>
          <w:sz w:val="24"/>
        </w:rPr>
        <w:t>如</w:t>
      </w:r>
      <w:r>
        <w:rPr>
          <w:rFonts w:hint="eastAsia"/>
          <w:sz w:val="24"/>
        </w:rPr>
        <w:t>果</w:t>
      </w:r>
      <w:r>
        <w:rPr>
          <w:sz w:val="24"/>
        </w:rPr>
        <w:t>本合同</w:t>
      </w:r>
      <w:r>
        <w:rPr>
          <w:rFonts w:hint="eastAsia"/>
          <w:sz w:val="24"/>
        </w:rPr>
        <w:t>的</w:t>
      </w:r>
      <w:r>
        <w:rPr>
          <w:sz w:val="24"/>
        </w:rPr>
        <w:t>任何条款</w:t>
      </w:r>
      <w:r>
        <w:rPr>
          <w:rFonts w:hint="eastAsia"/>
          <w:sz w:val="24"/>
        </w:rPr>
        <w:t>或规定</w:t>
      </w:r>
      <w:r>
        <w:rPr>
          <w:sz w:val="24"/>
        </w:rPr>
        <w:t>被裁定</w:t>
      </w:r>
      <w:r>
        <w:rPr>
          <w:rFonts w:hint="eastAsia"/>
          <w:sz w:val="24"/>
        </w:rPr>
        <w:t>为</w:t>
      </w:r>
      <w:r>
        <w:rPr>
          <w:sz w:val="24"/>
        </w:rPr>
        <w:t>无效、不合法或不可</w:t>
      </w:r>
      <w:r>
        <w:rPr>
          <w:rFonts w:hint="eastAsia"/>
          <w:sz w:val="24"/>
        </w:rPr>
        <w:t>强制</w:t>
      </w:r>
      <w:r>
        <w:rPr>
          <w:sz w:val="24"/>
        </w:rPr>
        <w:t>执行，</w:t>
      </w:r>
      <w:r>
        <w:rPr>
          <w:rFonts w:hint="eastAsia"/>
          <w:sz w:val="24"/>
        </w:rPr>
        <w:t>该条款或规定应视为被删除，本合同</w:t>
      </w:r>
      <w:r>
        <w:rPr>
          <w:sz w:val="24"/>
        </w:rPr>
        <w:t>其它条款</w:t>
      </w:r>
      <w:r>
        <w:rPr>
          <w:rFonts w:hint="eastAsia"/>
          <w:sz w:val="24"/>
        </w:rPr>
        <w:t>不受影响，</w:t>
      </w:r>
      <w:r>
        <w:rPr>
          <w:sz w:val="24"/>
        </w:rPr>
        <w:t>仍</w:t>
      </w:r>
      <w:r>
        <w:rPr>
          <w:rFonts w:hint="eastAsia"/>
          <w:sz w:val="24"/>
        </w:rPr>
        <w:t>继续</w:t>
      </w:r>
      <w:r>
        <w:rPr>
          <w:sz w:val="24"/>
        </w:rPr>
        <w:t>有效。</w:t>
      </w:r>
    </w:p>
    <w:p>
      <w:pPr>
        <w:numPr>
          <w:ilvl w:val="1"/>
          <w:numId w:val="45"/>
        </w:numPr>
        <w:tabs>
          <w:tab w:val="left" w:pos="567"/>
        </w:tabs>
        <w:spacing w:before="93" w:beforeLines="30" w:after="93" w:afterLines="30" w:line="360" w:lineRule="auto"/>
        <w:ind w:left="567" w:hanging="567"/>
        <w:rPr>
          <w:sz w:val="24"/>
        </w:rPr>
      </w:pPr>
      <w:r>
        <w:rPr>
          <w:sz w:val="24"/>
        </w:rPr>
        <w:t>本合同履行过程中，</w:t>
      </w:r>
      <w:r>
        <w:rPr>
          <w:rFonts w:hint="eastAsia"/>
          <w:sz w:val="24"/>
        </w:rPr>
        <w:t>如</w:t>
      </w:r>
      <w:r>
        <w:rPr>
          <w:sz w:val="24"/>
        </w:rPr>
        <w:t>卖方</w:t>
      </w:r>
      <w:r>
        <w:rPr>
          <w:rFonts w:hint="eastAsia"/>
          <w:sz w:val="24"/>
        </w:rPr>
        <w:t>发生重组、</w:t>
      </w:r>
      <w:r>
        <w:rPr>
          <w:sz w:val="24"/>
        </w:rPr>
        <w:t>合并、</w:t>
      </w:r>
      <w:r>
        <w:rPr>
          <w:rFonts w:hint="eastAsia"/>
          <w:sz w:val="24"/>
        </w:rPr>
        <w:t>分立、重大股权或资产转让，应及时通知买方。经买方事先书面同意，卖方应安排具有相应资质的主体继续履行本合同，否则卖方不得执行前述重组、合并、分立或转让。卖方应根据买方的要求，为继续履行本合同的主体安排履约担保。</w:t>
      </w:r>
    </w:p>
    <w:p>
      <w:pPr>
        <w:numPr>
          <w:ilvl w:val="1"/>
          <w:numId w:val="45"/>
        </w:numPr>
        <w:tabs>
          <w:tab w:val="left" w:pos="567"/>
        </w:tabs>
        <w:spacing w:before="93" w:beforeLines="30" w:after="93" w:afterLines="30" w:line="360" w:lineRule="auto"/>
        <w:ind w:left="567" w:hanging="567"/>
        <w:rPr>
          <w:sz w:val="24"/>
        </w:rPr>
      </w:pPr>
      <w:r>
        <w:rPr>
          <w:sz w:val="24"/>
        </w:rPr>
        <w:t>本合同</w:t>
      </w:r>
      <w:r>
        <w:rPr>
          <w:rFonts w:hint="eastAsia"/>
          <w:sz w:val="24"/>
        </w:rPr>
        <w:t>解除或终止</w:t>
      </w:r>
      <w:r>
        <w:rPr>
          <w:sz w:val="24"/>
        </w:rPr>
        <w:t>后</w:t>
      </w:r>
      <w:r>
        <w:rPr>
          <w:rFonts w:hint="eastAsia"/>
          <w:sz w:val="24"/>
        </w:rPr>
        <w:t>，本合同项下关于知识产权、保密、保证、责任、法律适用、争议解决和其它具有持续性效力的条款继续</w:t>
      </w:r>
      <w:r>
        <w:rPr>
          <w:sz w:val="24"/>
        </w:rPr>
        <w:t>有效。</w:t>
      </w:r>
    </w:p>
    <w:p>
      <w:pPr>
        <w:numPr>
          <w:ilvl w:val="1"/>
          <w:numId w:val="45"/>
        </w:numPr>
        <w:tabs>
          <w:tab w:val="left" w:pos="567"/>
        </w:tabs>
        <w:spacing w:before="93" w:beforeLines="30" w:after="93" w:afterLines="30" w:line="360" w:lineRule="auto"/>
        <w:ind w:left="567" w:hanging="567"/>
        <w:rPr>
          <w:sz w:val="24"/>
        </w:rPr>
      </w:pPr>
      <w:r>
        <w:rPr>
          <w:rFonts w:hint="eastAsia"/>
          <w:sz w:val="24"/>
        </w:rPr>
        <w:t>本</w:t>
      </w:r>
      <w:r>
        <w:rPr>
          <w:sz w:val="24"/>
        </w:rPr>
        <w:t>合同未尽事宜，应由双方协商</w:t>
      </w:r>
      <w:r>
        <w:rPr>
          <w:rFonts w:hint="eastAsia"/>
          <w:sz w:val="24"/>
        </w:rPr>
        <w:t>确定</w:t>
      </w:r>
      <w:r>
        <w:rPr>
          <w:sz w:val="24"/>
        </w:rPr>
        <w:t>，并签订补充协议，补充协议与本合同具有同等法律效力。</w:t>
      </w:r>
    </w:p>
    <w:p>
      <w:pPr>
        <w:numPr>
          <w:ilvl w:val="1"/>
          <w:numId w:val="45"/>
        </w:numPr>
        <w:tabs>
          <w:tab w:val="left" w:pos="567"/>
        </w:tabs>
        <w:spacing w:before="93" w:beforeLines="30" w:after="93" w:afterLines="30" w:line="360" w:lineRule="auto"/>
        <w:ind w:left="567" w:hanging="567"/>
        <w:rPr>
          <w:sz w:val="24"/>
        </w:rPr>
      </w:pPr>
      <w:r>
        <w:rPr>
          <w:sz w:val="24"/>
        </w:rPr>
        <w:t>本合同的任何变更、修改或增减，须经双方协商</w:t>
      </w:r>
      <w:r>
        <w:rPr>
          <w:rFonts w:hint="eastAsia"/>
          <w:sz w:val="24"/>
        </w:rPr>
        <w:t>一致、法定代表人或</w:t>
      </w:r>
      <w:r>
        <w:rPr>
          <w:sz w:val="24"/>
        </w:rPr>
        <w:t>授权代表签署书面文件</w:t>
      </w:r>
      <w:r>
        <w:rPr>
          <w:rFonts w:hint="eastAsia"/>
          <w:sz w:val="24"/>
        </w:rPr>
        <w:t>并盖章</w:t>
      </w:r>
      <w:r>
        <w:rPr>
          <w:sz w:val="24"/>
        </w:rPr>
        <w:t>后</w:t>
      </w:r>
      <w:r>
        <w:rPr>
          <w:rFonts w:hint="eastAsia"/>
          <w:sz w:val="24"/>
        </w:rPr>
        <w:t>生</w:t>
      </w:r>
      <w:r>
        <w:rPr>
          <w:sz w:val="24"/>
        </w:rPr>
        <w:t>效。</w:t>
      </w:r>
    </w:p>
    <w:p>
      <w:pPr>
        <w:numPr>
          <w:ilvl w:val="1"/>
          <w:numId w:val="45"/>
        </w:numPr>
        <w:tabs>
          <w:tab w:val="left" w:pos="567"/>
        </w:tabs>
        <w:spacing w:before="93" w:beforeLines="30" w:after="93" w:afterLines="30" w:line="360" w:lineRule="auto"/>
        <w:ind w:left="567" w:hanging="567"/>
        <w:rPr>
          <w:sz w:val="24"/>
        </w:rPr>
      </w:pPr>
      <w:r>
        <w:rPr>
          <w:rFonts w:hint="eastAsia"/>
          <w:sz w:val="24"/>
        </w:rPr>
        <w:t>任何一方未行使或延迟行使本合同项下的任何权利，不视为该方对该等权利的放弃。任何一方部分行使其在本合同项下的任何权利不妨碍其将来进一步行使该等权利或合同约定的其它权利。</w:t>
      </w:r>
    </w:p>
    <w:p>
      <w:pPr>
        <w:numPr>
          <w:ilvl w:val="1"/>
          <w:numId w:val="45"/>
        </w:numPr>
        <w:tabs>
          <w:tab w:val="left" w:pos="567"/>
        </w:tabs>
        <w:spacing w:before="93" w:beforeLines="30" w:after="93" w:afterLines="30" w:line="360" w:lineRule="auto"/>
        <w:ind w:left="567" w:hanging="567"/>
        <w:rPr>
          <w:sz w:val="24"/>
        </w:rPr>
      </w:pPr>
      <w:r>
        <w:rPr>
          <w:rFonts w:hint="eastAsia"/>
          <w:sz w:val="24"/>
        </w:rPr>
        <w:t>本合同系双方协商、讨论的结果，合同内容非一方当事人单方拟定。本合同不属于格式合同，条款内容不属于格式条款。</w:t>
      </w:r>
    </w:p>
    <w:p>
      <w:pPr>
        <w:numPr>
          <w:ilvl w:val="1"/>
          <w:numId w:val="45"/>
        </w:numPr>
        <w:tabs>
          <w:tab w:val="left" w:pos="567"/>
        </w:tabs>
        <w:spacing w:before="93" w:beforeLines="30" w:after="93" w:afterLines="30" w:line="360" w:lineRule="auto"/>
        <w:ind w:left="567" w:hanging="567"/>
        <w:rPr>
          <w:sz w:val="24"/>
        </w:rPr>
      </w:pPr>
      <w:r>
        <w:rPr>
          <w:rFonts w:hint="eastAsia"/>
          <w:sz w:val="24"/>
        </w:rPr>
        <w:t>本合同正文、附件及其后的修改文件和补充文件均应采用中文书写。附件及其后的修改文件和补充文件作为本合同不可分割的组成部分，与本合同正文具有同等法律效力。</w:t>
      </w:r>
    </w:p>
    <w:p>
      <w:pPr>
        <w:widowControl/>
        <w:numPr>
          <w:ilvl w:val="1"/>
          <w:numId w:val="45"/>
        </w:numPr>
        <w:tabs>
          <w:tab w:val="left" w:pos="567"/>
        </w:tabs>
        <w:spacing w:before="93" w:beforeLines="30" w:after="93" w:afterLines="30" w:line="360" w:lineRule="auto"/>
        <w:ind w:left="567" w:hanging="567"/>
        <w:jc w:val="left"/>
        <w:rPr>
          <w:sz w:val="24"/>
        </w:rPr>
      </w:pPr>
      <w:r>
        <w:rPr>
          <w:sz w:val="24"/>
        </w:rPr>
        <w:t>本合同一式</w:t>
      </w:r>
      <w:r>
        <w:rPr>
          <w:rFonts w:hint="eastAsia"/>
          <w:sz w:val="24"/>
        </w:rPr>
        <w:t>【</w:t>
      </w:r>
      <w:r>
        <w:rPr>
          <w:rFonts w:hint="eastAsia"/>
          <w:i/>
          <w:sz w:val="24"/>
        </w:rPr>
        <w:t>贰</w:t>
      </w:r>
      <w:r>
        <w:rPr>
          <w:rFonts w:hint="eastAsia"/>
          <w:sz w:val="24"/>
        </w:rPr>
        <w:t>】</w:t>
      </w:r>
      <w:r>
        <w:rPr>
          <w:sz w:val="24"/>
        </w:rPr>
        <w:t>份，</w:t>
      </w:r>
      <w:r>
        <w:rPr>
          <w:rFonts w:hint="eastAsia"/>
          <w:sz w:val="24"/>
        </w:rPr>
        <w:t>买卖双方各持【</w:t>
      </w:r>
      <w:r>
        <w:rPr>
          <w:rFonts w:hint="eastAsia"/>
          <w:i/>
          <w:sz w:val="24"/>
        </w:rPr>
        <w:t>壹</w:t>
      </w:r>
      <w:r>
        <w:rPr>
          <w:rFonts w:hint="eastAsia"/>
          <w:sz w:val="24"/>
        </w:rPr>
        <w:t>】份</w:t>
      </w:r>
      <w:r>
        <w:rPr>
          <w:sz w:val="24"/>
        </w:rPr>
        <w:t>，具有同等效力。</w:t>
      </w:r>
    </w:p>
    <w:p>
      <w:pPr>
        <w:pStyle w:val="20"/>
        <w:rPr>
          <w:sz w:val="24"/>
        </w:rPr>
      </w:pPr>
    </w:p>
    <w:p>
      <w:pPr>
        <w:rPr>
          <w:sz w:val="24"/>
        </w:rPr>
      </w:pPr>
    </w:p>
    <w:p>
      <w:pPr>
        <w:pStyle w:val="20"/>
      </w:pPr>
    </w:p>
    <w:p>
      <w:pPr>
        <w:widowControl/>
        <w:spacing w:before="93" w:beforeLines="30" w:after="93" w:afterLines="30" w:line="360" w:lineRule="auto"/>
        <w:jc w:val="left"/>
        <w:rPr>
          <w:sz w:val="24"/>
        </w:rPr>
      </w:pPr>
      <w:r>
        <w:rPr>
          <w:sz w:val="24"/>
        </w:rPr>
        <w:br w:type="page"/>
      </w:r>
    </w:p>
    <w:p>
      <w:pPr>
        <w:tabs>
          <w:tab w:val="left" w:pos="850"/>
        </w:tabs>
        <w:autoSpaceDE w:val="0"/>
        <w:autoSpaceDN w:val="0"/>
        <w:spacing w:before="93" w:beforeLines="30" w:after="93" w:afterLines="30" w:line="360" w:lineRule="auto"/>
        <w:jc w:val="center"/>
        <w:textAlignment w:val="bottom"/>
        <w:rPr>
          <w:b/>
          <w:sz w:val="24"/>
        </w:rPr>
      </w:pPr>
      <w:r>
        <w:rPr>
          <w:rFonts w:hint="eastAsia"/>
          <w:b/>
          <w:sz w:val="24"/>
        </w:rPr>
        <w:t>（本页无正文，为签章页）</w:t>
      </w:r>
    </w:p>
    <w:p>
      <w:pPr>
        <w:tabs>
          <w:tab w:val="left" w:pos="850"/>
        </w:tabs>
        <w:autoSpaceDE w:val="0"/>
        <w:autoSpaceDN w:val="0"/>
        <w:spacing w:before="93" w:beforeLines="30" w:after="93" w:afterLines="30" w:line="360" w:lineRule="auto"/>
        <w:ind w:firstLine="600"/>
        <w:textAlignment w:val="bottom"/>
        <w:rPr>
          <w:sz w:val="24"/>
        </w:rPr>
      </w:pPr>
    </w:p>
    <w:tbl>
      <w:tblPr>
        <w:tblStyle w:val="22"/>
        <w:tblW w:w="5000" w:type="pct"/>
        <w:tblInd w:w="0" w:type="dxa"/>
        <w:tblLayout w:type="autofit"/>
        <w:tblCellMar>
          <w:top w:w="0" w:type="dxa"/>
          <w:left w:w="108" w:type="dxa"/>
          <w:bottom w:w="0" w:type="dxa"/>
          <w:right w:w="108" w:type="dxa"/>
        </w:tblCellMar>
      </w:tblPr>
      <w:tblGrid>
        <w:gridCol w:w="4440"/>
        <w:gridCol w:w="4088"/>
      </w:tblGrid>
      <w:tr>
        <w:tblPrEx>
          <w:tblCellMar>
            <w:top w:w="0" w:type="dxa"/>
            <w:left w:w="108" w:type="dxa"/>
            <w:bottom w:w="0" w:type="dxa"/>
            <w:right w:w="108" w:type="dxa"/>
          </w:tblCellMar>
        </w:tblPrEx>
        <w:trPr>
          <w:trHeight w:val="2653" w:hRule="atLeast"/>
        </w:trPr>
        <w:tc>
          <w:tcPr>
            <w:tcW w:w="2603" w:type="pct"/>
          </w:tcPr>
          <w:p>
            <w:pPr>
              <w:tabs>
                <w:tab w:val="left" w:pos="850"/>
              </w:tabs>
              <w:autoSpaceDE w:val="0"/>
              <w:autoSpaceDN w:val="0"/>
              <w:spacing w:before="93" w:beforeLines="30" w:after="93" w:afterLines="30" w:line="360" w:lineRule="auto"/>
              <w:textAlignment w:val="bottom"/>
            </w:pPr>
          </w:p>
          <w:p>
            <w:pPr>
              <w:tabs>
                <w:tab w:val="left" w:pos="850"/>
              </w:tabs>
              <w:autoSpaceDE w:val="0"/>
              <w:autoSpaceDN w:val="0"/>
              <w:spacing w:before="93" w:beforeLines="30" w:after="93" w:afterLines="30" w:line="360" w:lineRule="auto"/>
              <w:textAlignment w:val="bottom"/>
            </w:pPr>
          </w:p>
          <w:p>
            <w:pPr>
              <w:tabs>
                <w:tab w:val="left" w:pos="850"/>
              </w:tabs>
              <w:autoSpaceDE w:val="0"/>
              <w:autoSpaceDN w:val="0"/>
              <w:spacing w:before="93" w:beforeLines="30" w:after="93" w:afterLines="30" w:line="360" w:lineRule="auto"/>
              <w:textAlignment w:val="bottom"/>
              <w:rPr>
                <w:rFonts w:hint="eastAsia"/>
                <w:sz w:val="24"/>
              </w:rPr>
            </w:pPr>
            <w:r>
              <w:rPr>
                <w:sz w:val="24"/>
              </w:rPr>
              <w:t>买方</w:t>
            </w:r>
            <w:r>
              <w:rPr>
                <w:rFonts w:hint="eastAsia"/>
                <w:sz w:val="24"/>
              </w:rPr>
              <w:t>（盖章）</w:t>
            </w:r>
          </w:p>
          <w:p>
            <w:pPr>
              <w:pStyle w:val="5"/>
            </w:pPr>
            <w:r>
              <w:rPr>
                <w:rFonts w:hint="eastAsia" w:eastAsia="宋体"/>
                <w:color w:val="auto"/>
                <w:sz w:val="24"/>
                <w:highlight w:val="none"/>
              </w:rPr>
              <w:t>中海油天津化工研究设计院有限公司</w:t>
            </w:r>
          </w:p>
        </w:tc>
        <w:tc>
          <w:tcPr>
            <w:tcW w:w="2397" w:type="pct"/>
          </w:tcPr>
          <w:p>
            <w:pPr>
              <w:tabs>
                <w:tab w:val="left" w:pos="850"/>
              </w:tabs>
              <w:autoSpaceDE w:val="0"/>
              <w:autoSpaceDN w:val="0"/>
              <w:spacing w:before="93" w:beforeLines="30" w:after="93" w:afterLines="30" w:line="360" w:lineRule="auto"/>
              <w:textAlignment w:val="bottom"/>
            </w:pPr>
          </w:p>
          <w:p>
            <w:pPr>
              <w:tabs>
                <w:tab w:val="left" w:pos="850"/>
              </w:tabs>
              <w:autoSpaceDE w:val="0"/>
              <w:autoSpaceDN w:val="0"/>
              <w:spacing w:before="93" w:beforeLines="30" w:after="93" w:afterLines="30" w:line="360" w:lineRule="auto"/>
              <w:textAlignment w:val="bottom"/>
            </w:pPr>
          </w:p>
          <w:p>
            <w:pPr>
              <w:tabs>
                <w:tab w:val="left" w:pos="850"/>
              </w:tabs>
              <w:autoSpaceDE w:val="0"/>
              <w:autoSpaceDN w:val="0"/>
              <w:spacing w:before="93" w:beforeLines="30" w:after="93" w:afterLines="30" w:line="360" w:lineRule="auto"/>
              <w:textAlignment w:val="bottom"/>
            </w:pPr>
            <w:r>
              <w:t>卖方</w:t>
            </w:r>
            <w:r>
              <w:rPr>
                <w:rFonts w:hint="eastAsia"/>
              </w:rPr>
              <w:t>（盖章）</w:t>
            </w:r>
          </w:p>
          <w:p>
            <w:pPr>
              <w:tabs>
                <w:tab w:val="left" w:pos="850"/>
              </w:tabs>
              <w:autoSpaceDE w:val="0"/>
              <w:autoSpaceDN w:val="0"/>
              <w:spacing w:before="93" w:beforeLines="30" w:after="93" w:afterLines="30" w:line="360" w:lineRule="auto"/>
              <w:textAlignment w:val="bottom"/>
              <w:rPr>
                <w:rFonts w:hint="eastAsia"/>
              </w:rPr>
            </w:pPr>
          </w:p>
          <w:p>
            <w:pPr>
              <w:pStyle w:val="20"/>
              <w:rPr>
                <w:rFonts w:hint="eastAsia"/>
                <w:sz w:val="24"/>
              </w:rPr>
            </w:pPr>
          </w:p>
          <w:p>
            <w:pPr>
              <w:pStyle w:val="20"/>
              <w:rPr>
                <w:rFonts w:hint="eastAsia"/>
                <w:sz w:val="24"/>
              </w:rPr>
            </w:pPr>
          </w:p>
          <w:p>
            <w:pPr>
              <w:pStyle w:val="20"/>
              <w:rPr>
                <w:rFonts w:hint="eastAsia"/>
                <w:sz w:val="24"/>
              </w:rPr>
            </w:pPr>
          </w:p>
        </w:tc>
      </w:tr>
      <w:tr>
        <w:tblPrEx>
          <w:tblCellMar>
            <w:top w:w="0" w:type="dxa"/>
            <w:left w:w="108" w:type="dxa"/>
            <w:bottom w:w="0" w:type="dxa"/>
            <w:right w:w="108" w:type="dxa"/>
          </w:tblCellMar>
        </w:tblPrEx>
        <w:trPr>
          <w:trHeight w:val="1084" w:hRule="atLeast"/>
        </w:trPr>
        <w:tc>
          <w:tcPr>
            <w:tcW w:w="2603" w:type="pct"/>
            <w:vAlign w:val="center"/>
          </w:tcPr>
          <w:p>
            <w:pPr>
              <w:tabs>
                <w:tab w:val="left" w:pos="850"/>
              </w:tabs>
              <w:autoSpaceDE w:val="0"/>
              <w:autoSpaceDN w:val="0"/>
              <w:spacing w:before="93" w:beforeLines="30" w:after="93" w:afterLines="30" w:line="360" w:lineRule="auto"/>
              <w:textAlignment w:val="bottom"/>
              <w:rPr>
                <w:sz w:val="24"/>
              </w:rPr>
            </w:pPr>
            <w:r>
              <w:rPr>
                <w:sz w:val="24"/>
              </w:rPr>
              <w:t>法定代表人或授权代表签字：</w:t>
            </w:r>
          </w:p>
          <w:p>
            <w:pPr>
              <w:tabs>
                <w:tab w:val="left" w:pos="850"/>
              </w:tabs>
              <w:autoSpaceDE w:val="0"/>
              <w:autoSpaceDN w:val="0"/>
              <w:spacing w:before="93" w:beforeLines="30" w:after="93" w:afterLines="30" w:line="360" w:lineRule="auto"/>
              <w:textAlignment w:val="bottom"/>
              <w:rPr>
                <w:sz w:val="24"/>
              </w:rPr>
            </w:pPr>
          </w:p>
          <w:p>
            <w:pPr>
              <w:tabs>
                <w:tab w:val="left" w:pos="850"/>
              </w:tabs>
              <w:autoSpaceDE w:val="0"/>
              <w:autoSpaceDN w:val="0"/>
              <w:spacing w:before="93" w:beforeLines="30" w:after="93" w:afterLines="30" w:line="360" w:lineRule="auto"/>
              <w:textAlignment w:val="bottom"/>
              <w:rPr>
                <w:sz w:val="24"/>
              </w:rPr>
            </w:pPr>
          </w:p>
          <w:p>
            <w:pPr>
              <w:tabs>
                <w:tab w:val="left" w:pos="850"/>
              </w:tabs>
              <w:autoSpaceDE w:val="0"/>
              <w:autoSpaceDN w:val="0"/>
              <w:spacing w:before="93" w:beforeLines="30" w:after="93" w:afterLines="30" w:line="360" w:lineRule="auto"/>
              <w:textAlignment w:val="bottom"/>
              <w:rPr>
                <w:sz w:val="24"/>
              </w:rPr>
            </w:pPr>
          </w:p>
          <w:p>
            <w:pPr>
              <w:tabs>
                <w:tab w:val="left" w:pos="850"/>
              </w:tabs>
              <w:autoSpaceDE w:val="0"/>
              <w:autoSpaceDN w:val="0"/>
              <w:spacing w:before="93" w:beforeLines="30" w:after="93" w:afterLines="30" w:line="360" w:lineRule="auto"/>
              <w:textAlignment w:val="bottom"/>
              <w:rPr>
                <w:sz w:val="24"/>
              </w:rPr>
            </w:pPr>
            <w:r>
              <w:rPr>
                <w:sz w:val="24"/>
                <w:u w:val="single"/>
              </w:rPr>
              <w:t xml:space="preserve">         </w:t>
            </w:r>
            <w:r>
              <w:rPr>
                <w:rFonts w:hint="eastAsia"/>
                <w:sz w:val="24"/>
                <w:u w:val="single"/>
              </w:rPr>
              <w:t xml:space="preserve">                     </w:t>
            </w:r>
            <w:r>
              <w:rPr>
                <w:sz w:val="24"/>
                <w:u w:val="single"/>
              </w:rPr>
              <w:t xml:space="preserve">    </w:t>
            </w:r>
          </w:p>
        </w:tc>
        <w:tc>
          <w:tcPr>
            <w:tcW w:w="2397" w:type="pct"/>
            <w:vAlign w:val="center"/>
          </w:tcPr>
          <w:p>
            <w:pPr>
              <w:tabs>
                <w:tab w:val="left" w:pos="850"/>
              </w:tabs>
              <w:autoSpaceDE w:val="0"/>
              <w:autoSpaceDN w:val="0"/>
              <w:spacing w:before="93" w:beforeLines="30" w:after="93" w:afterLines="30" w:line="360" w:lineRule="auto"/>
              <w:textAlignment w:val="bottom"/>
              <w:rPr>
                <w:sz w:val="24"/>
              </w:rPr>
            </w:pPr>
            <w:r>
              <w:rPr>
                <w:sz w:val="24"/>
              </w:rPr>
              <w:t>法定代表人或授权代表签字：</w:t>
            </w:r>
          </w:p>
          <w:p>
            <w:pPr>
              <w:tabs>
                <w:tab w:val="left" w:pos="850"/>
              </w:tabs>
              <w:autoSpaceDE w:val="0"/>
              <w:autoSpaceDN w:val="0"/>
              <w:spacing w:before="93" w:beforeLines="30" w:after="93" w:afterLines="30" w:line="360" w:lineRule="auto"/>
              <w:textAlignment w:val="bottom"/>
              <w:rPr>
                <w:sz w:val="24"/>
              </w:rPr>
            </w:pPr>
          </w:p>
          <w:p>
            <w:pPr>
              <w:tabs>
                <w:tab w:val="left" w:pos="850"/>
              </w:tabs>
              <w:autoSpaceDE w:val="0"/>
              <w:autoSpaceDN w:val="0"/>
              <w:spacing w:before="93" w:beforeLines="30" w:after="93" w:afterLines="30" w:line="360" w:lineRule="auto"/>
              <w:textAlignment w:val="bottom"/>
              <w:rPr>
                <w:sz w:val="24"/>
              </w:rPr>
            </w:pPr>
          </w:p>
          <w:p>
            <w:pPr>
              <w:tabs>
                <w:tab w:val="left" w:pos="850"/>
              </w:tabs>
              <w:autoSpaceDE w:val="0"/>
              <w:autoSpaceDN w:val="0"/>
              <w:spacing w:before="93" w:beforeLines="30" w:after="93" w:afterLines="30" w:line="360" w:lineRule="auto"/>
              <w:textAlignment w:val="bottom"/>
              <w:rPr>
                <w:sz w:val="24"/>
              </w:rPr>
            </w:pPr>
          </w:p>
          <w:p>
            <w:pPr>
              <w:tabs>
                <w:tab w:val="left" w:pos="850"/>
              </w:tabs>
              <w:autoSpaceDE w:val="0"/>
              <w:autoSpaceDN w:val="0"/>
              <w:spacing w:before="93" w:beforeLines="30" w:after="93" w:afterLines="30" w:line="360" w:lineRule="auto"/>
              <w:textAlignment w:val="bottom"/>
              <w:rPr>
                <w:sz w:val="24"/>
              </w:rPr>
            </w:pPr>
            <w:r>
              <w:rPr>
                <w:sz w:val="24"/>
                <w:u w:val="single"/>
              </w:rPr>
              <w:t xml:space="preserve">            </w:t>
            </w:r>
            <w:r>
              <w:rPr>
                <w:rFonts w:hint="eastAsia"/>
                <w:sz w:val="24"/>
                <w:u w:val="single"/>
              </w:rPr>
              <w:t xml:space="preserve">                 </w:t>
            </w:r>
            <w:r>
              <w:rPr>
                <w:sz w:val="24"/>
                <w:u w:val="single"/>
              </w:rPr>
              <w:t xml:space="preserve">   </w:t>
            </w:r>
          </w:p>
        </w:tc>
      </w:tr>
    </w:tbl>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sz w:val="24"/>
        </w:rPr>
      </w:pPr>
    </w:p>
    <w:p>
      <w:pPr>
        <w:widowControl/>
        <w:spacing w:before="93" w:beforeLines="30" w:after="93" w:afterLines="30" w:line="360" w:lineRule="auto"/>
        <w:jc w:val="left"/>
        <w:rPr>
          <w:b/>
          <w:bCs/>
          <w:iCs/>
          <w:kern w:val="0"/>
          <w:sz w:val="24"/>
        </w:rPr>
        <w:sectPr>
          <w:footerReference r:id="rId5" w:type="first"/>
          <w:headerReference r:id="rId3" w:type="default"/>
          <w:footerReference r:id="rId4" w:type="default"/>
          <w:pgSz w:w="11906" w:h="16838"/>
          <w:pgMar w:top="1440" w:right="1797" w:bottom="1440" w:left="1797" w:header="0" w:footer="992" w:gutter="0"/>
          <w:pgBorders>
            <w:top w:val="none" w:sz="0" w:space="0"/>
            <w:left w:val="none" w:sz="0" w:space="0"/>
            <w:bottom w:val="none" w:sz="0" w:space="0"/>
            <w:right w:val="none" w:sz="0" w:space="0"/>
          </w:pgBorders>
          <w:cols w:space="425" w:num="1"/>
          <w:docGrid w:type="lines" w:linePitch="312" w:charSpace="0"/>
        </w:sectPr>
      </w:pPr>
      <w:bookmarkStart w:id="108" w:name="_Toc291435952"/>
      <w:bookmarkStart w:id="109" w:name="_Toc358987523"/>
      <w:bookmarkStart w:id="110" w:name="_Toc291435885"/>
      <w:bookmarkStart w:id="111" w:name="_Toc296955897"/>
      <w:bookmarkStart w:id="112" w:name="_Toc300670376"/>
      <w:bookmarkStart w:id="113" w:name="_Toc300670448"/>
      <w:bookmarkStart w:id="114" w:name="_Toc366251493"/>
    </w:p>
    <w:p>
      <w:pPr>
        <w:widowControl/>
        <w:spacing w:before="93" w:beforeLines="30" w:after="93" w:afterLines="30" w:line="360" w:lineRule="auto"/>
        <w:jc w:val="left"/>
        <w:rPr>
          <w:b/>
          <w:bCs/>
          <w:iCs/>
          <w:kern w:val="0"/>
          <w:sz w:val="24"/>
        </w:rPr>
      </w:pPr>
      <w:r>
        <w:rPr>
          <w:rFonts w:hint="eastAsia"/>
          <w:b/>
          <w:bCs/>
          <w:iCs/>
          <w:kern w:val="0"/>
          <w:sz w:val="24"/>
        </w:rPr>
        <w:t>附件一：</w:t>
      </w:r>
      <w:bookmarkEnd w:id="108"/>
      <w:bookmarkEnd w:id="109"/>
      <w:bookmarkEnd w:id="110"/>
      <w:bookmarkEnd w:id="111"/>
      <w:bookmarkEnd w:id="112"/>
      <w:bookmarkEnd w:id="113"/>
      <w:bookmarkEnd w:id="114"/>
      <w:r>
        <w:rPr>
          <w:rFonts w:hint="eastAsia"/>
          <w:b/>
          <w:bCs/>
          <w:iCs/>
          <w:kern w:val="0"/>
          <w:sz w:val="24"/>
        </w:rPr>
        <w:t>价格表</w:t>
      </w:r>
    </w:p>
    <w:tbl>
      <w:tblPr>
        <w:tblStyle w:val="22"/>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056"/>
        <w:gridCol w:w="721"/>
        <w:gridCol w:w="1661"/>
        <w:gridCol w:w="653"/>
        <w:gridCol w:w="590"/>
        <w:gridCol w:w="996"/>
        <w:gridCol w:w="963"/>
        <w:gridCol w:w="889"/>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序号</w:t>
            </w:r>
          </w:p>
        </w:tc>
        <w:tc>
          <w:tcPr>
            <w:tcW w:w="105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val="en-US" w:eastAsia="zh-CN"/>
              </w:rPr>
              <w:t>物资编码</w:t>
            </w:r>
          </w:p>
        </w:tc>
        <w:tc>
          <w:tcPr>
            <w:tcW w:w="72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物资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eastAsia="en-US"/>
              </w:rPr>
              <w:t>名称</w:t>
            </w:r>
          </w:p>
        </w:tc>
        <w:tc>
          <w:tcPr>
            <w:tcW w:w="166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eastAsia="en-US"/>
              </w:rPr>
              <w:t>规格型号</w:t>
            </w:r>
          </w:p>
        </w:tc>
        <w:tc>
          <w:tcPr>
            <w:tcW w:w="653"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数量</w:t>
            </w:r>
          </w:p>
        </w:tc>
        <w:tc>
          <w:tcPr>
            <w:tcW w:w="590" w:type="dxa"/>
            <w:shd w:val="clear" w:color="auto" w:fill="auto"/>
            <w:vAlign w:val="center"/>
          </w:tcPr>
          <w:p>
            <w:pPr>
              <w:pStyle w:val="40"/>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单位</w:t>
            </w:r>
          </w:p>
        </w:tc>
        <w:tc>
          <w:tcPr>
            <w:tcW w:w="996"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不含税单价</w:t>
            </w:r>
          </w:p>
        </w:tc>
        <w:tc>
          <w:tcPr>
            <w:tcW w:w="963"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税率</w:t>
            </w:r>
          </w:p>
        </w:tc>
        <w:tc>
          <w:tcPr>
            <w:tcW w:w="889"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不含税小计</w:t>
            </w:r>
          </w:p>
        </w:tc>
        <w:tc>
          <w:tcPr>
            <w:tcW w:w="944"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asciiTheme="minorEastAsia" w:hAnsiTheme="minorEastAsia" w:eastAsiaTheme="minorEastAsia"/>
                <w:color w:val="000000" w:themeColor="text1"/>
                <w:sz w:val="21"/>
                <w:szCs w:val="21"/>
                <w:highlight w:val="none"/>
                <w14:textFill>
                  <w14:solidFill>
                    <w14:schemeClr w14:val="tx1"/>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shd w:val="clear" w:color="auto" w:fill="auto"/>
            <w:vAlign w:val="center"/>
          </w:tcPr>
          <w:p>
            <w:pPr>
              <w:pStyle w:val="40"/>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w:t>
            </w:r>
          </w:p>
        </w:tc>
        <w:tc>
          <w:tcPr>
            <w:tcW w:w="1056"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val="en-US" w:eastAsia="zh-CN"/>
              </w:rPr>
              <w:t>85331965</w:t>
            </w:r>
          </w:p>
        </w:tc>
        <w:tc>
          <w:tcPr>
            <w:tcW w:w="721"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auto"/>
                <w:kern w:val="0"/>
                <w:sz w:val="21"/>
                <w:szCs w:val="18"/>
                <w:highlight w:val="none"/>
                <w:lang w:val="en-US" w:eastAsia="zh-CN" w:bidi="ar-SA"/>
              </w:rPr>
              <w:t>低温精馏回流泵</w:t>
            </w:r>
          </w:p>
        </w:tc>
        <w:tc>
          <w:tcPr>
            <w:tcW w:w="1661" w:type="dxa"/>
            <w:shd w:val="clear" w:color="auto" w:fill="auto"/>
            <w:vAlign w:val="center"/>
          </w:tcPr>
          <w:p>
            <w:pPr>
              <w:keepNext w:val="0"/>
              <w:keepLines w:val="0"/>
              <w:widowControl w:val="0"/>
              <w:suppressLineNumbers w:val="0"/>
              <w:tabs>
                <w:tab w:val="center" w:pos="4153"/>
                <w:tab w:val="right" w:pos="8306"/>
              </w:tabs>
              <w:snapToGrid w:val="0"/>
              <w:spacing w:before="0" w:beforeAutospacing="0" w:after="0" w:afterAutospacing="0" w:line="400" w:lineRule="exact"/>
              <w:ind w:left="0" w:leftChars="0" w:right="0" w:rightChars="0" w:firstLine="0" w:firstLineChars="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auto"/>
                <w:kern w:val="0"/>
                <w:sz w:val="21"/>
                <w:szCs w:val="18"/>
                <w:highlight w:val="none"/>
                <w:lang w:val="en-US" w:eastAsia="zh-CN" w:bidi="ar-SA"/>
              </w:rPr>
              <w:t>介质：液体CO</w:t>
            </w:r>
            <w:r>
              <w:rPr>
                <w:rFonts w:hint="eastAsia" w:ascii="Times New Roman" w:hAnsi="Times New Roman" w:eastAsia="宋体" w:cs="Times New Roman"/>
                <w:b w:val="0"/>
                <w:bCs w:val="0"/>
                <w:color w:val="auto"/>
                <w:kern w:val="0"/>
                <w:sz w:val="21"/>
                <w:szCs w:val="18"/>
                <w:highlight w:val="none"/>
                <w:vertAlign w:val="subscript"/>
                <w:lang w:val="en-US" w:eastAsia="zh-CN" w:bidi="ar-SA"/>
              </w:rPr>
              <w:t>2</w:t>
            </w:r>
            <w:r>
              <w:rPr>
                <w:rFonts w:hint="eastAsia" w:ascii="Times New Roman" w:hAnsi="Times New Roman" w:eastAsia="宋体" w:cs="Times New Roman"/>
                <w:b w:val="0"/>
                <w:bCs w:val="0"/>
                <w:color w:val="auto"/>
                <w:kern w:val="0"/>
                <w:sz w:val="21"/>
                <w:szCs w:val="18"/>
                <w:highlight w:val="none"/>
                <w:lang w:val="en-US" w:eastAsia="zh-CN" w:bidi="ar-SA"/>
              </w:rPr>
              <w:t>/CH</w:t>
            </w:r>
            <w:r>
              <w:rPr>
                <w:rFonts w:hint="eastAsia" w:ascii="Times New Roman" w:hAnsi="Times New Roman" w:eastAsia="宋体" w:cs="Times New Roman"/>
                <w:b w:val="0"/>
                <w:bCs w:val="0"/>
                <w:color w:val="auto"/>
                <w:kern w:val="0"/>
                <w:sz w:val="21"/>
                <w:szCs w:val="18"/>
                <w:highlight w:val="none"/>
                <w:vertAlign w:val="subscript"/>
                <w:lang w:val="en-US" w:eastAsia="zh-CN" w:bidi="ar-SA"/>
              </w:rPr>
              <w:t>4</w:t>
            </w:r>
            <w:r>
              <w:rPr>
                <w:rFonts w:hint="eastAsia" w:ascii="Times New Roman" w:hAnsi="Times New Roman" w:eastAsia="宋体" w:cs="Times New Roman"/>
                <w:b w:val="0"/>
                <w:bCs w:val="0"/>
                <w:color w:val="auto"/>
                <w:kern w:val="0"/>
                <w:sz w:val="21"/>
                <w:szCs w:val="18"/>
                <w:highlight w:val="none"/>
                <w:lang w:val="en-US" w:eastAsia="zh-CN" w:bidi="ar-SA"/>
              </w:rPr>
              <w:t>，设计压力：8.235MPaG，设计温度：-55℃，泵额定流量：20m</w:t>
            </w:r>
            <w:r>
              <w:rPr>
                <w:rFonts w:hint="eastAsia" w:ascii="Times New Roman" w:hAnsi="Times New Roman" w:eastAsia="宋体" w:cs="Times New Roman"/>
                <w:b w:val="0"/>
                <w:bCs w:val="0"/>
                <w:color w:val="auto"/>
                <w:kern w:val="0"/>
                <w:sz w:val="21"/>
                <w:szCs w:val="18"/>
                <w:highlight w:val="none"/>
                <w:vertAlign w:val="superscript"/>
                <w:lang w:val="en-US" w:eastAsia="zh-CN" w:bidi="ar-SA"/>
              </w:rPr>
              <w:t>3</w:t>
            </w:r>
            <w:r>
              <w:rPr>
                <w:rFonts w:hint="eastAsia" w:ascii="Times New Roman" w:hAnsi="Times New Roman" w:eastAsia="宋体" w:cs="Times New Roman"/>
                <w:b w:val="0"/>
                <w:bCs w:val="0"/>
                <w:color w:val="auto"/>
                <w:kern w:val="0"/>
                <w:sz w:val="21"/>
                <w:szCs w:val="18"/>
                <w:highlight w:val="none"/>
                <w:lang w:val="en-US" w:eastAsia="zh-CN" w:bidi="ar-SA"/>
              </w:rPr>
              <w:t>/h，泵扬程：30m，泵入口操作压力：3.5MPaG，操作温度：-42℃。</w:t>
            </w:r>
          </w:p>
        </w:tc>
        <w:tc>
          <w:tcPr>
            <w:tcW w:w="653" w:type="dxa"/>
            <w:shd w:val="clear" w:color="auto" w:fill="auto"/>
            <w:vAlign w:val="center"/>
          </w:tcPr>
          <w:p>
            <w:pPr>
              <w:pStyle w:val="40"/>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2</w:t>
            </w:r>
          </w:p>
        </w:tc>
        <w:tc>
          <w:tcPr>
            <w:tcW w:w="590" w:type="dxa"/>
            <w:shd w:val="clear" w:color="auto" w:fill="auto"/>
            <w:vAlign w:val="center"/>
          </w:tcPr>
          <w:p>
            <w:pPr>
              <w:pStyle w:val="40"/>
              <w:spacing w:line="360" w:lineRule="auto"/>
              <w:ind w:firstLine="0"/>
              <w:jc w:val="center"/>
              <w:rPr>
                <w:rFonts w:hint="default"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件/EA</w:t>
            </w:r>
          </w:p>
        </w:tc>
        <w:tc>
          <w:tcPr>
            <w:tcW w:w="996"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c>
          <w:tcPr>
            <w:tcW w:w="963" w:type="dxa"/>
            <w:shd w:val="clear" w:color="auto" w:fill="auto"/>
            <w:vAlign w:val="center"/>
          </w:tcPr>
          <w:p>
            <w:pPr>
              <w:pStyle w:val="40"/>
              <w:spacing w:line="360" w:lineRule="auto"/>
              <w:ind w:firstLine="0"/>
              <w:jc w:val="center"/>
              <w:rPr>
                <w:rFonts w:hint="default"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13%</w:t>
            </w:r>
          </w:p>
        </w:tc>
        <w:tc>
          <w:tcPr>
            <w:tcW w:w="889"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c>
          <w:tcPr>
            <w:tcW w:w="944"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1" w:type="dxa"/>
            <w:gridSpan w:val="8"/>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合计</w:t>
            </w:r>
            <w:r>
              <w:rPr>
                <w:rFonts w:asciiTheme="minorEastAsia" w:hAnsiTheme="minorEastAsia" w:eastAsiaTheme="minorEastAsia"/>
                <w:color w:val="000000" w:themeColor="text1"/>
                <w:sz w:val="21"/>
                <w:szCs w:val="21"/>
                <w:highlight w:val="none"/>
                <w14:textFill>
                  <w14:solidFill>
                    <w14:schemeClr w14:val="tx1"/>
                  </w14:solidFill>
                </w14:textFill>
              </w:rPr>
              <w:t>：</w:t>
            </w:r>
          </w:p>
        </w:tc>
        <w:tc>
          <w:tcPr>
            <w:tcW w:w="889" w:type="dxa"/>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p>
        </w:tc>
        <w:tc>
          <w:tcPr>
            <w:tcW w:w="944" w:type="dxa"/>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gridSpan w:val="10"/>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不</w:t>
            </w: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asciiTheme="minorEastAsia" w:hAnsiTheme="minorEastAsia" w:eastAsiaTheme="minorEastAsia"/>
                <w:color w:val="000000" w:themeColor="text1"/>
                <w:sz w:val="21"/>
                <w:szCs w:val="21"/>
                <w:highlight w:val="none"/>
                <w14:textFill>
                  <w14:solidFill>
                    <w14:schemeClr w14:val="tx1"/>
                  </w14:solidFill>
                </w14:textFill>
              </w:rPr>
              <w:t>总价</w:t>
            </w:r>
            <w:r>
              <w:rPr>
                <w:rFonts w:hint="eastAsia" w:asciiTheme="minorEastAsia" w:hAnsiTheme="minorEastAsia" w:eastAsiaTheme="minorEastAsia"/>
                <w:color w:val="000000" w:themeColor="text1"/>
                <w:sz w:val="21"/>
                <w:szCs w:val="21"/>
                <w:highlight w:val="none"/>
                <w14:textFill>
                  <w14:solidFill>
                    <w14:schemeClr w14:val="tx1"/>
                  </w14:solidFill>
                </w14:textFill>
              </w:rPr>
              <w:t>（大写</w:t>
            </w:r>
            <w:r>
              <w:rPr>
                <w:rFonts w:asciiTheme="minorEastAsia" w:hAnsiTheme="minorEastAsia" w:eastAsiaTheme="minorEastAsia"/>
                <w:color w:val="000000" w:themeColor="text1"/>
                <w:sz w:val="21"/>
                <w:szCs w:val="21"/>
                <w:highlight w:val="none"/>
                <w14:textFill>
                  <w14:solidFill>
                    <w14:schemeClr w14:val="tx1"/>
                  </w14:solidFill>
                </w14:textFill>
              </w:rPr>
              <w:t>人民币</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gridSpan w:val="10"/>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asciiTheme="minorEastAsia" w:hAnsiTheme="minorEastAsia" w:eastAsiaTheme="minorEastAsia"/>
                <w:color w:val="000000" w:themeColor="text1"/>
                <w:sz w:val="21"/>
                <w:szCs w:val="21"/>
                <w:highlight w:val="none"/>
                <w14:textFill>
                  <w14:solidFill>
                    <w14:schemeClr w14:val="tx1"/>
                  </w14:solidFill>
                </w14:textFill>
              </w:rPr>
              <w:t>总价</w:t>
            </w:r>
            <w:r>
              <w:rPr>
                <w:rFonts w:hint="eastAsia" w:asciiTheme="minorEastAsia" w:hAnsiTheme="minorEastAsia" w:eastAsiaTheme="minorEastAsia"/>
                <w:color w:val="000000" w:themeColor="text1"/>
                <w:sz w:val="21"/>
                <w:szCs w:val="21"/>
                <w:highlight w:val="none"/>
                <w14:textFill>
                  <w14:solidFill>
                    <w14:schemeClr w14:val="tx1"/>
                  </w14:solidFill>
                </w14:textFill>
              </w:rPr>
              <w:t>（大写</w:t>
            </w:r>
            <w:r>
              <w:rPr>
                <w:rFonts w:asciiTheme="minorEastAsia" w:hAnsiTheme="minorEastAsia" w:eastAsiaTheme="minorEastAsia"/>
                <w:color w:val="000000" w:themeColor="text1"/>
                <w:sz w:val="21"/>
                <w:szCs w:val="21"/>
                <w:highlight w:val="none"/>
                <w14:textFill>
                  <w14:solidFill>
                    <w14:schemeClr w14:val="tx1"/>
                  </w14:solidFill>
                </w14:textFill>
              </w:rPr>
              <w:t>人民币</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tc>
      </w:tr>
    </w:tbl>
    <w:p>
      <w:pPr>
        <w:pStyle w:val="10"/>
        <w:ind w:left="0"/>
        <w:rPr>
          <w:lang w:eastAsia="zh-CN"/>
        </w:rPr>
      </w:pPr>
    </w:p>
    <w:p>
      <w:pPr>
        <w:widowControl/>
        <w:spacing w:before="93" w:beforeLines="30" w:after="93" w:afterLines="30" w:line="360" w:lineRule="auto"/>
        <w:jc w:val="left"/>
        <w:rPr>
          <w:b/>
          <w:bCs/>
          <w:iCs/>
          <w:kern w:val="0"/>
          <w:sz w:val="24"/>
        </w:rPr>
        <w:sectPr>
          <w:pgSz w:w="11906" w:h="16838"/>
          <w:pgMar w:top="1440" w:right="1797" w:bottom="1440" w:left="1797" w:header="0" w:footer="992" w:gutter="0"/>
          <w:pgBorders>
            <w:top w:val="none" w:sz="0" w:space="0"/>
            <w:left w:val="none" w:sz="0" w:space="0"/>
            <w:bottom w:val="none" w:sz="0" w:space="0"/>
            <w:right w:val="none" w:sz="0" w:space="0"/>
          </w:pgBorders>
          <w:cols w:space="425" w:num="1"/>
          <w:docGrid w:type="lines" w:linePitch="312" w:charSpace="0"/>
        </w:sectPr>
      </w:pPr>
      <w:r>
        <w:rPr>
          <w:b/>
          <w:bCs/>
          <w:iCs/>
          <w:kern w:val="0"/>
          <w:sz w:val="24"/>
        </w:rPr>
        <w:br w:type="page"/>
      </w:r>
    </w:p>
    <w:p>
      <w:pPr>
        <w:widowControl/>
        <w:spacing w:before="93" w:beforeLines="30" w:after="93" w:afterLines="30" w:line="360" w:lineRule="auto"/>
        <w:jc w:val="left"/>
        <w:rPr>
          <w:color w:val="auto"/>
          <w:sz w:val="24"/>
        </w:rPr>
      </w:pPr>
      <w:r>
        <w:rPr>
          <w:rFonts w:hint="eastAsia"/>
          <w:b/>
          <w:bCs/>
          <w:iCs/>
          <w:kern w:val="0"/>
          <w:sz w:val="24"/>
        </w:rPr>
        <w:t>附件</w:t>
      </w:r>
      <w:r>
        <w:rPr>
          <w:rFonts w:hint="eastAsia"/>
          <w:b/>
          <w:bCs/>
          <w:iCs/>
          <w:color w:val="auto"/>
          <w:kern w:val="0"/>
          <w:sz w:val="24"/>
        </w:rPr>
        <w:t>二：采办内容及技术要求</w:t>
      </w:r>
    </w:p>
    <w:p>
      <w:pPr>
        <w:ind w:firstLine="2520" w:firstLineChars="1200"/>
        <w:rPr>
          <w:rFonts w:ascii="黑体" w:hAnsi="黑体" w:eastAsia="黑体"/>
          <w:color w:val="000000" w:themeColor="text1"/>
          <w:sz w:val="21"/>
          <w:szCs w:val="21"/>
          <w:highlight w:val="none"/>
          <w14:textFill>
            <w14:solidFill>
              <w14:schemeClr w14:val="tx1"/>
            </w14:solidFill>
          </w14:textFill>
        </w:rPr>
      </w:pPr>
      <w:r>
        <w:rPr>
          <w:rFonts w:ascii="黑体" w:hAnsi="黑体" w:eastAsia="黑体"/>
          <w:color w:val="000000" w:themeColor="text1"/>
          <w:sz w:val="21"/>
          <w:szCs w:val="21"/>
          <w:highlight w:val="none"/>
          <w14:textFill>
            <w14:solidFill>
              <w14:schemeClr w14:val="tx1"/>
            </w14:solidFill>
          </w14:textFill>
        </w:rPr>
        <w:t>采</w:t>
      </w:r>
      <w:r>
        <w:rPr>
          <w:rFonts w:hint="eastAsia" w:ascii="黑体" w:hAnsi="黑体" w:eastAsia="黑体"/>
          <w:color w:val="000000" w:themeColor="text1"/>
          <w:sz w:val="21"/>
          <w:szCs w:val="21"/>
          <w:highlight w:val="none"/>
          <w:lang w:val="en-US" w:eastAsia="zh-CN"/>
          <w14:textFill>
            <w14:solidFill>
              <w14:schemeClr w14:val="tx1"/>
            </w14:solidFill>
          </w14:textFill>
        </w:rPr>
        <w:t>购</w:t>
      </w:r>
      <w:r>
        <w:rPr>
          <w:rFonts w:hint="eastAsia" w:ascii="黑体" w:hAnsi="黑体" w:eastAsia="黑体"/>
          <w:color w:val="000000" w:themeColor="text1"/>
          <w:sz w:val="21"/>
          <w:szCs w:val="21"/>
          <w:highlight w:val="none"/>
          <w14:textFill>
            <w14:solidFill>
              <w14:schemeClr w14:val="tx1"/>
            </w14:solidFill>
          </w14:textFill>
        </w:rPr>
        <w:t>内容及</w:t>
      </w:r>
      <w:r>
        <w:rPr>
          <w:rFonts w:ascii="黑体" w:hAnsi="黑体" w:eastAsia="黑体"/>
          <w:color w:val="000000" w:themeColor="text1"/>
          <w:sz w:val="21"/>
          <w:szCs w:val="21"/>
          <w:highlight w:val="none"/>
          <w14:textFill>
            <w14:solidFill>
              <w14:schemeClr w14:val="tx1"/>
            </w14:solidFill>
          </w14:textFill>
        </w:rPr>
        <w:t>技术要求</w:t>
      </w:r>
    </w:p>
    <w:p>
      <w:pPr>
        <w:ind w:firstLine="2520" w:firstLineChars="1200"/>
        <w:rPr>
          <w:rFonts w:ascii="黑体" w:hAnsi="黑体" w:eastAsia="黑体"/>
          <w:color w:val="000000" w:themeColor="text1"/>
          <w:sz w:val="21"/>
          <w:szCs w:val="21"/>
          <w:highlight w:val="none"/>
          <w14:textFill>
            <w14:solidFill>
              <w14:schemeClr w14:val="tx1"/>
            </w14:solidFill>
          </w14:textFill>
        </w:rPr>
      </w:pPr>
    </w:p>
    <w:p>
      <w:pPr>
        <w:pStyle w:val="55"/>
        <w:spacing w:before="120" w:after="120" w:line="300" w:lineRule="auto"/>
        <w:outlineLvl w:val="0"/>
        <w:rPr>
          <w:rFonts w:cs="Times New Roman" w:asciiTheme="minorEastAsia" w:hAnsiTheme="minorEastAsia" w:eastAsiaTheme="minorEastAsia"/>
          <w:bCs/>
          <w:color w:val="auto"/>
          <w:sz w:val="32"/>
          <w:szCs w:val="32"/>
        </w:rPr>
      </w:pPr>
      <w:r>
        <w:rPr>
          <w:rFonts w:cs="Times New Roman" w:asciiTheme="minorEastAsia" w:hAnsiTheme="minorEastAsia" w:eastAsiaTheme="minorEastAsia"/>
          <w:bCs/>
          <w:color w:val="auto"/>
          <w:sz w:val="32"/>
          <w:szCs w:val="32"/>
        </w:rPr>
        <w:t>一、项目概况及总体要求</w:t>
      </w:r>
    </w:p>
    <w:p>
      <w:pPr>
        <w:pStyle w:val="10"/>
        <w:keepNext w:val="0"/>
        <w:keepLines w:val="0"/>
        <w:pageBreakBefore w:val="0"/>
        <w:widowControl w:val="0"/>
        <w:kinsoku/>
        <w:wordWrap/>
        <w:overflowPunct/>
        <w:topLinePunct w:val="0"/>
        <w:autoSpaceDE/>
        <w:autoSpaceDN/>
        <w:bidi w:val="0"/>
        <w:adjustRightInd/>
        <w:snapToGrid/>
        <w:spacing w:line="300" w:lineRule="auto"/>
        <w:ind w:left="0" w:right="0" w:firstLine="480"/>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本次采购的</w:t>
      </w:r>
      <w:r>
        <w:rPr>
          <w:rFonts w:hint="eastAsia" w:ascii="Times New Roman" w:hAnsi="Times New Roman" w:eastAsia="宋体" w:cs="Times New Roman"/>
          <w:sz w:val="24"/>
          <w:szCs w:val="24"/>
          <w:highlight w:val="none"/>
          <w:lang w:val="en-US" w:eastAsia="zh-CN"/>
        </w:rPr>
        <w:t>低温精馏回流</w:t>
      </w:r>
      <w:r>
        <w:rPr>
          <w:rFonts w:hint="default" w:ascii="Times New Roman" w:hAnsi="Times New Roman" w:eastAsia="宋体" w:cs="Times New Roman"/>
          <w:sz w:val="24"/>
          <w:szCs w:val="24"/>
          <w:highlight w:val="none"/>
          <w:lang w:val="en-US" w:eastAsia="zh-CN"/>
        </w:rPr>
        <w:t>泵</w:t>
      </w:r>
      <w:r>
        <w:rPr>
          <w:rFonts w:hint="eastAsia" w:ascii="Times New Roman" w:hAnsi="Times New Roman" w:eastAsia="宋体" w:cs="Times New Roman"/>
          <w:sz w:val="24"/>
          <w:szCs w:val="24"/>
          <w:highlight w:val="none"/>
          <w:lang w:val="en-US" w:eastAsia="zh-CN"/>
        </w:rPr>
        <w:t>，用于东方1-1气田CCUS低温脱碳项目。</w:t>
      </w:r>
    </w:p>
    <w:p>
      <w:pPr>
        <w:spacing w:line="300" w:lineRule="auto"/>
        <w:ind w:firstLine="480" w:firstLineChars="200"/>
        <w:rPr>
          <w:rFonts w:hint="eastAsia" w:ascii="Times New Roman" w:hAnsi="Times New Roman" w:cs="Times New Roman"/>
          <w:bCs/>
          <w:sz w:val="24"/>
          <w:highlight w:val="none"/>
          <w:lang w:val="en-US" w:eastAsia="zh-CN"/>
        </w:rPr>
      </w:pPr>
      <w:r>
        <w:rPr>
          <w:rFonts w:hint="eastAsia" w:ascii="Times New Roman" w:hAnsi="Times New Roman" w:eastAsia="宋体" w:cs="Times New Roman"/>
          <w:kern w:val="0"/>
          <w:sz w:val="24"/>
          <w:szCs w:val="24"/>
          <w:highlight w:val="none"/>
          <w:lang w:val="en-US" w:eastAsia="zh-CN" w:bidi="ar-SA"/>
        </w:rPr>
        <w:t>标准应用情况概述：本次需求引用</w:t>
      </w:r>
      <w:r>
        <w:rPr>
          <w:rFonts w:ascii="Times New Roman" w:hAnsi="Times New Roman" w:cs="Times New Roman"/>
          <w:bCs/>
          <w:sz w:val="24"/>
          <w:highlight w:val="none"/>
          <w:lang w:eastAsia="zh-CN"/>
        </w:rPr>
        <w:t>API STD 610</w:t>
      </w:r>
      <w:r>
        <w:rPr>
          <w:rFonts w:hint="eastAsia" w:ascii="Times New Roman" w:hAnsi="Times New Roman" w:cs="Times New Roman"/>
          <w:bCs/>
          <w:sz w:val="24"/>
          <w:highlight w:val="none"/>
          <w:lang w:val="en-US" w:eastAsia="zh-CN"/>
        </w:rPr>
        <w:t>《石</w:t>
      </w:r>
      <w:r>
        <w:rPr>
          <w:rFonts w:hint="default" w:ascii="Times New Roman" w:hAnsi="Times New Roman" w:cs="Times New Roman"/>
          <w:bCs/>
          <w:sz w:val="24"/>
          <w:highlight w:val="none"/>
          <w:lang w:eastAsia="zh-CN"/>
        </w:rPr>
        <w:t>油、石化和天然气工业用离心泵</w:t>
      </w:r>
      <w:r>
        <w:rPr>
          <w:rFonts w:hint="eastAsia" w:ascii="Times New Roman" w:hAnsi="Times New Roman" w:cs="Times New Roman"/>
          <w:bCs/>
          <w:sz w:val="24"/>
          <w:highlight w:val="none"/>
          <w:lang w:eastAsia="zh-CN"/>
        </w:rPr>
        <w:t>》</w:t>
      </w:r>
      <w:r>
        <w:rPr>
          <w:rFonts w:hint="eastAsia" w:ascii="Times New Roman" w:hAnsi="Times New Roman" w:cs="Times New Roman"/>
          <w:bCs/>
          <w:sz w:val="24"/>
          <w:highlight w:val="none"/>
          <w:lang w:val="en-US" w:eastAsia="zh-CN"/>
        </w:rPr>
        <w:t>为完全引用（无补充引用）。</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highlight w:val="none"/>
          <w:lang w:val="en-US" w:eastAsia="zh-CN"/>
        </w:rPr>
      </w:pPr>
      <w:r>
        <w:rPr>
          <w:rFonts w:ascii="Times New Roman" w:hAnsi="Times New Roman" w:cs="Times New Roman"/>
          <w:bCs/>
          <w:sz w:val="24"/>
          <w:highlight w:val="none"/>
          <w:lang w:eastAsia="zh-CN"/>
        </w:rPr>
        <w:t>ASME B16.5</w:t>
      </w:r>
      <w:r>
        <w:rPr>
          <w:rFonts w:hint="eastAsia" w:ascii="Times New Roman" w:hAnsi="Times New Roman" w:cs="Times New Roman"/>
          <w:bCs/>
          <w:sz w:val="24"/>
          <w:highlight w:val="none"/>
          <w:lang w:eastAsia="zh-CN"/>
        </w:rPr>
        <w:t>《</w:t>
      </w:r>
      <w:r>
        <w:rPr>
          <w:rFonts w:hint="default" w:ascii="Times New Roman" w:hAnsi="Times New Roman" w:cs="Times New Roman"/>
          <w:bCs/>
          <w:sz w:val="24"/>
          <w:highlight w:val="none"/>
          <w:lang w:eastAsia="zh-CN"/>
        </w:rPr>
        <w:t>管法兰和法兰管件NPS 1/2至NPS 24公制/英寸标准</w:t>
      </w:r>
      <w:r>
        <w:rPr>
          <w:rFonts w:hint="eastAsia" w:ascii="Times New Roman" w:hAnsi="Times New Roman" w:cs="Times New Roman"/>
          <w:bCs/>
          <w:sz w:val="24"/>
          <w:highlight w:val="none"/>
          <w:lang w:eastAsia="zh-CN"/>
        </w:rPr>
        <w:t>》、</w:t>
      </w:r>
      <w:r>
        <w:rPr>
          <w:rFonts w:hint="default" w:ascii="Times New Roman" w:hAnsi="Times New Roman" w:cs="Times New Roman"/>
          <w:bCs/>
          <w:sz w:val="24"/>
          <w:highlight w:val="none"/>
          <w:lang w:val="en-US" w:eastAsia="zh-CN"/>
        </w:rPr>
        <w:t>GB/T 29529</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泵的噪声测量与评价方法</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GB/T 29531</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泵的振动测量与评价方法</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GB 18613</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中小型三相异步电动机能效限定值与能效等级</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GB/T13007</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离心泵效率</w:t>
      </w:r>
      <w:r>
        <w:rPr>
          <w:rFonts w:hint="eastAsia" w:ascii="Times New Roman" w:hAnsi="Times New Roman" w:cs="Times New Roman"/>
          <w:bCs/>
          <w:sz w:val="24"/>
          <w:highlight w:val="none"/>
          <w:lang w:val="en-US" w:eastAsia="zh-CN"/>
        </w:rPr>
        <w:t>》、GB/T 1032 《三相异步电动机试验方法》、《海上固定平台安全规则》、</w:t>
      </w:r>
      <w:r>
        <w:rPr>
          <w:rFonts w:hint="default" w:ascii="Times New Roman" w:hAnsi="Times New Roman" w:eastAsia="宋体" w:cs="Times New Roman"/>
          <w:color w:val="auto"/>
          <w:kern w:val="0"/>
          <w:sz w:val="24"/>
          <w:highlight w:val="none"/>
          <w:lang w:eastAsia="en-US"/>
        </w:rPr>
        <w:t>QBZH 11111.01-2024</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highlight w:val="none"/>
          <w:lang w:eastAsia="en-US"/>
        </w:rPr>
        <w:t>组块涂装规格书</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en-US"/>
        </w:rPr>
        <w:t xml:space="preserve">QBZH 11104.01-2021 </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eastAsia" w:ascii="Times New Roman" w:hAnsi="Times New Roman" w:eastAsia="宋体" w:cs="Times New Roman"/>
          <w:color w:val="auto"/>
          <w:kern w:val="0"/>
          <w:sz w:val="24"/>
          <w:highlight w:val="none"/>
          <w:lang w:eastAsia="en-US"/>
        </w:rPr>
        <w:t>成橇设备</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szCs w:val="22"/>
          <w:highlight w:val="none"/>
          <w:lang w:val="en-US" w:eastAsia="zh-CN" w:bidi="ar-SA"/>
        </w:rPr>
        <w:t xml:space="preserve">QBZH 11104.14-2021 </w:t>
      </w:r>
      <w:r>
        <w:rPr>
          <w:rFonts w:hint="eastAsia" w:ascii="Times New Roman" w:hAnsi="Times New Roman" w:eastAsia="宋体" w:cs="Times New Roman"/>
          <w:color w:val="auto"/>
          <w:kern w:val="0"/>
          <w:sz w:val="24"/>
          <w:szCs w:val="22"/>
          <w:highlight w:val="none"/>
          <w:lang w:val="en-US" w:eastAsia="zh-CN" w:bidi="ar-SA"/>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szCs w:val="22"/>
          <w:highlight w:val="none"/>
          <w:lang w:val="en-US" w:eastAsia="zh-CN" w:bidi="ar-SA"/>
        </w:rPr>
        <w:t xml:space="preserve">离心泵规格书 </w:t>
      </w:r>
      <w:r>
        <w:rPr>
          <w:rFonts w:hint="eastAsia" w:ascii="Times New Roman" w:hAnsi="Times New Roman" w:eastAsia="宋体" w:cs="Times New Roman"/>
          <w:color w:val="auto"/>
          <w:kern w:val="0"/>
          <w:sz w:val="24"/>
          <w:szCs w:val="22"/>
          <w:highlight w:val="none"/>
          <w:lang w:val="en-US" w:eastAsia="zh-CN" w:bidi="ar-SA"/>
        </w:rPr>
        <w:t>》均为部分引用（无补充引用）。</w:t>
      </w:r>
    </w:p>
    <w:p>
      <w:pPr>
        <w:pStyle w:val="55"/>
        <w:numPr>
          <w:ilvl w:val="0"/>
          <w:numId w:val="3"/>
        </w:numPr>
        <w:spacing w:before="120" w:after="120" w:line="300" w:lineRule="auto"/>
        <w:outlineLvl w:val="0"/>
        <w:rPr>
          <w:rFonts w:cs="Times New Roman" w:asciiTheme="minorEastAsia" w:hAnsiTheme="minorEastAsia" w:eastAsiaTheme="minorEastAsia"/>
          <w:bCs/>
          <w:color w:val="auto"/>
          <w:sz w:val="32"/>
          <w:szCs w:val="32"/>
          <w:highlight w:val="none"/>
        </w:rPr>
      </w:pPr>
      <w:r>
        <w:rPr>
          <w:rFonts w:cs="Times New Roman" w:asciiTheme="minorEastAsia" w:hAnsiTheme="minorEastAsia" w:eastAsiaTheme="minorEastAsia"/>
          <w:bCs/>
          <w:color w:val="auto"/>
          <w:sz w:val="32"/>
          <w:szCs w:val="32"/>
          <w:highlight w:val="none"/>
        </w:rPr>
        <w:t>需求一览表</w:t>
      </w:r>
    </w:p>
    <w:tbl>
      <w:tblPr>
        <w:tblStyle w:val="23"/>
        <w:tblW w:w="4314"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165"/>
        <w:gridCol w:w="871"/>
        <w:gridCol w:w="1736"/>
        <w:gridCol w:w="652"/>
        <w:gridCol w:w="676"/>
        <w:gridCol w:w="345"/>
        <w:gridCol w:w="864"/>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3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序号</w:t>
            </w:r>
          </w:p>
        </w:tc>
        <w:tc>
          <w:tcPr>
            <w:tcW w:w="11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物资编码</w:t>
            </w:r>
          </w:p>
        </w:tc>
        <w:tc>
          <w:tcPr>
            <w:tcW w:w="8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物资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名称</w:t>
            </w:r>
          </w:p>
        </w:tc>
        <w:tc>
          <w:tcPr>
            <w:tcW w:w="173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规格型号</w:t>
            </w:r>
          </w:p>
        </w:tc>
        <w:tc>
          <w:tcPr>
            <w:tcW w:w="6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中文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单位</w:t>
            </w:r>
          </w:p>
        </w:tc>
        <w:tc>
          <w:tcPr>
            <w:tcW w:w="6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基本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单位</w:t>
            </w:r>
          </w:p>
        </w:tc>
        <w:tc>
          <w:tcPr>
            <w:tcW w:w="3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数量</w:t>
            </w:r>
          </w:p>
        </w:tc>
        <w:tc>
          <w:tcPr>
            <w:tcW w:w="86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交货期</w:t>
            </w:r>
          </w:p>
        </w:tc>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39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1</w:t>
            </w:r>
          </w:p>
        </w:tc>
        <w:tc>
          <w:tcPr>
            <w:tcW w:w="116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firstLine="0" w:firstLineChars="0"/>
              <w:jc w:val="both"/>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85331965</w:t>
            </w:r>
          </w:p>
        </w:tc>
        <w:tc>
          <w:tcPr>
            <w:tcW w:w="871"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en-US"/>
              </w:rPr>
            </w:pPr>
            <w:r>
              <w:rPr>
                <w:rFonts w:hint="eastAsia" w:ascii="Times New Roman" w:hAnsi="Times New Roman" w:eastAsia="宋体" w:cs="Times New Roman"/>
                <w:b w:val="0"/>
                <w:bCs w:val="0"/>
                <w:color w:val="auto"/>
                <w:kern w:val="0"/>
                <w:sz w:val="21"/>
                <w:szCs w:val="18"/>
                <w:highlight w:val="none"/>
                <w:lang w:val="en-US" w:eastAsia="zh-CN" w:bidi="ar-SA"/>
              </w:rPr>
              <w:t>低温精馏回流泵</w:t>
            </w:r>
          </w:p>
        </w:tc>
        <w:tc>
          <w:tcPr>
            <w:tcW w:w="1736" w:type="dxa"/>
            <w:noWrap w:val="0"/>
            <w:vAlign w:val="center"/>
          </w:tcPr>
          <w:p>
            <w:pPr>
              <w:keepNext w:val="0"/>
              <w:keepLines w:val="0"/>
              <w:widowControl w:val="0"/>
              <w:suppressLineNumbers w:val="0"/>
              <w:tabs>
                <w:tab w:val="center" w:pos="4153"/>
                <w:tab w:val="right" w:pos="8306"/>
              </w:tabs>
              <w:snapToGrid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kern w:val="0"/>
                <w:sz w:val="21"/>
                <w:szCs w:val="18"/>
                <w:highlight w:val="none"/>
                <w:lang w:val="en-US" w:eastAsia="zh-CN" w:bidi="ar-SA"/>
              </w:rPr>
            </w:pPr>
            <w:r>
              <w:rPr>
                <w:rFonts w:hint="eastAsia" w:ascii="Times New Roman" w:hAnsi="Times New Roman" w:eastAsia="宋体" w:cs="Times New Roman"/>
                <w:b w:val="0"/>
                <w:bCs w:val="0"/>
                <w:color w:val="auto"/>
                <w:kern w:val="0"/>
                <w:sz w:val="21"/>
                <w:szCs w:val="18"/>
                <w:highlight w:val="none"/>
                <w:lang w:val="en-US" w:eastAsia="zh-CN" w:bidi="ar-SA"/>
              </w:rPr>
              <w:t>介质：液体CO</w:t>
            </w:r>
            <w:r>
              <w:rPr>
                <w:rFonts w:hint="eastAsia" w:ascii="Times New Roman" w:hAnsi="Times New Roman" w:eastAsia="宋体" w:cs="Times New Roman"/>
                <w:b w:val="0"/>
                <w:bCs w:val="0"/>
                <w:color w:val="auto"/>
                <w:kern w:val="0"/>
                <w:sz w:val="21"/>
                <w:szCs w:val="18"/>
                <w:highlight w:val="none"/>
                <w:vertAlign w:val="subscript"/>
                <w:lang w:val="en-US" w:eastAsia="zh-CN" w:bidi="ar-SA"/>
              </w:rPr>
              <w:t>2</w:t>
            </w:r>
            <w:r>
              <w:rPr>
                <w:rFonts w:hint="eastAsia" w:ascii="Times New Roman" w:hAnsi="Times New Roman" w:eastAsia="宋体" w:cs="Times New Roman"/>
                <w:b w:val="0"/>
                <w:bCs w:val="0"/>
                <w:color w:val="auto"/>
                <w:kern w:val="0"/>
                <w:sz w:val="21"/>
                <w:szCs w:val="18"/>
                <w:highlight w:val="none"/>
                <w:lang w:val="en-US" w:eastAsia="zh-CN" w:bidi="ar-SA"/>
              </w:rPr>
              <w:t>/CH</w:t>
            </w:r>
            <w:r>
              <w:rPr>
                <w:rFonts w:hint="eastAsia" w:ascii="Times New Roman" w:hAnsi="Times New Roman" w:eastAsia="宋体" w:cs="Times New Roman"/>
                <w:b w:val="0"/>
                <w:bCs w:val="0"/>
                <w:color w:val="auto"/>
                <w:kern w:val="0"/>
                <w:sz w:val="21"/>
                <w:szCs w:val="18"/>
                <w:highlight w:val="none"/>
                <w:vertAlign w:val="subscript"/>
                <w:lang w:val="en-US" w:eastAsia="zh-CN" w:bidi="ar-SA"/>
              </w:rPr>
              <w:t>4</w:t>
            </w:r>
            <w:r>
              <w:rPr>
                <w:rFonts w:hint="eastAsia" w:ascii="Times New Roman" w:hAnsi="Times New Roman" w:eastAsia="宋体" w:cs="Times New Roman"/>
                <w:b w:val="0"/>
                <w:bCs w:val="0"/>
                <w:color w:val="auto"/>
                <w:kern w:val="0"/>
                <w:sz w:val="21"/>
                <w:szCs w:val="18"/>
                <w:highlight w:val="none"/>
                <w:lang w:val="en-US" w:eastAsia="zh-CN" w:bidi="ar-SA"/>
              </w:rPr>
              <w:t>，设计压力：8.235MPaG，设计温度：-55℃，泵额定流量：20m</w:t>
            </w:r>
            <w:r>
              <w:rPr>
                <w:rFonts w:hint="eastAsia" w:ascii="Times New Roman" w:hAnsi="Times New Roman" w:eastAsia="宋体" w:cs="Times New Roman"/>
                <w:b w:val="0"/>
                <w:bCs w:val="0"/>
                <w:color w:val="auto"/>
                <w:kern w:val="0"/>
                <w:sz w:val="21"/>
                <w:szCs w:val="18"/>
                <w:highlight w:val="none"/>
                <w:vertAlign w:val="superscript"/>
                <w:lang w:val="en-US" w:eastAsia="zh-CN" w:bidi="ar-SA"/>
              </w:rPr>
              <w:t>3</w:t>
            </w:r>
            <w:r>
              <w:rPr>
                <w:rFonts w:hint="eastAsia" w:ascii="Times New Roman" w:hAnsi="Times New Roman" w:eastAsia="宋体" w:cs="Times New Roman"/>
                <w:b w:val="0"/>
                <w:bCs w:val="0"/>
                <w:color w:val="auto"/>
                <w:kern w:val="0"/>
                <w:sz w:val="21"/>
                <w:szCs w:val="18"/>
                <w:highlight w:val="none"/>
                <w:lang w:val="en-US" w:eastAsia="zh-CN" w:bidi="ar-SA"/>
              </w:rPr>
              <w:t>/h，泵扬程：30m，泵入口操作压力：3.5MPaG，操作温度：-42℃。</w:t>
            </w:r>
          </w:p>
        </w:tc>
        <w:tc>
          <w:tcPr>
            <w:tcW w:w="65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件</w:t>
            </w:r>
          </w:p>
        </w:tc>
        <w:tc>
          <w:tcPr>
            <w:tcW w:w="67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EA</w:t>
            </w:r>
          </w:p>
        </w:tc>
        <w:tc>
          <w:tcPr>
            <w:tcW w:w="34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spacing w:val="0"/>
                <w:kern w:val="0"/>
                <w:sz w:val="21"/>
                <w:szCs w:val="18"/>
                <w:highlight w:val="none"/>
                <w:lang w:val="en-US" w:eastAsia="zh-CN"/>
              </w:rPr>
              <w:t>2</w:t>
            </w:r>
          </w:p>
        </w:tc>
        <w:tc>
          <w:tcPr>
            <w:tcW w:w="864"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sz w:val="21"/>
                <w:szCs w:val="18"/>
                <w:highlight w:val="none"/>
                <w:lang w:val="en-US" w:eastAsia="zh-CN"/>
              </w:rPr>
            </w:pPr>
            <w:r>
              <w:rPr>
                <w:rFonts w:hint="eastAsia" w:ascii="Times New Roman" w:hAnsi="Times New Roman" w:eastAsia="宋体" w:cs="Times New Roman"/>
                <w:color w:val="auto"/>
                <w:kern w:val="0"/>
                <w:sz w:val="21"/>
                <w:szCs w:val="18"/>
                <w:highlight w:val="none"/>
                <w:lang w:val="en-US" w:eastAsia="zh-CN"/>
              </w:rPr>
              <w:t>合同签订之日起120天内供货</w:t>
            </w:r>
          </w:p>
        </w:tc>
        <w:tc>
          <w:tcPr>
            <w:tcW w:w="64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420" w:firstLineChars="200"/>
              <w:jc w:val="center"/>
              <w:textAlignment w:val="auto"/>
              <w:outlineLvl w:val="9"/>
              <w:rPr>
                <w:rFonts w:hint="default" w:ascii="Times New Roman" w:hAnsi="Times New Roman" w:eastAsia="宋体" w:cs="Times New Roman"/>
                <w:kern w:val="0"/>
                <w:sz w:val="21"/>
                <w:highlight w:val="none"/>
                <w:lang w:val="en-US" w:eastAsia="zh-CN"/>
              </w:rPr>
            </w:pPr>
          </w:p>
        </w:tc>
      </w:tr>
    </w:tbl>
    <w:p>
      <w:pPr>
        <w:pStyle w:val="55"/>
        <w:numPr>
          <w:ilvl w:val="0"/>
          <w:numId w:val="0"/>
        </w:numPr>
        <w:tabs>
          <w:tab w:val="left" w:pos="1040"/>
        </w:tabs>
        <w:snapToGrid w:val="0"/>
        <w:spacing w:line="360" w:lineRule="auto"/>
        <w:ind w:firstLine="480" w:firstLineChars="200"/>
        <w:rPr>
          <w:highlight w:val="none"/>
        </w:rPr>
      </w:pPr>
      <w:r>
        <w:rPr>
          <w:rFonts w:hint="eastAsia" w:ascii="Times New Roman" w:hAnsi="Times New Roman"/>
          <w:color w:val="auto"/>
          <w:sz w:val="24"/>
          <w:szCs w:val="24"/>
          <w:highlight w:val="none"/>
          <w:lang w:val="en-US" w:eastAsia="zh-CN"/>
        </w:rPr>
        <w:t>交货地点：</w:t>
      </w:r>
      <w:r>
        <w:rPr>
          <w:rFonts w:hint="eastAsia" w:ascii="Times New Roman" w:hAnsi="Times New Roman" w:eastAsia="宋体" w:cs="Times New Roman"/>
          <w:b w:val="0"/>
          <w:color w:val="auto"/>
          <w:sz w:val="24"/>
          <w:szCs w:val="24"/>
          <w:highlight w:val="none"/>
          <w:lang w:val="en-US" w:eastAsia="zh-CN"/>
        </w:rPr>
        <w:t>广东省湛江市坡头区南油码头</w:t>
      </w:r>
      <w:r>
        <w:rPr>
          <w:rFonts w:hint="eastAsia"/>
          <w:color w:val="auto"/>
          <w:sz w:val="24"/>
          <w:szCs w:val="24"/>
          <w:highlight w:val="none"/>
          <w:lang w:val="en-US" w:eastAsia="zh-CN"/>
        </w:rPr>
        <w:t>。</w:t>
      </w:r>
    </w:p>
    <w:p>
      <w:pPr>
        <w:pStyle w:val="10"/>
        <w:keepNext w:val="0"/>
        <w:keepLines w:val="0"/>
        <w:pageBreakBefore w:val="0"/>
        <w:widowControl w:val="0"/>
        <w:kinsoku/>
        <w:wordWrap w:val="0"/>
        <w:overflowPunct/>
        <w:topLinePunct/>
        <w:autoSpaceDE/>
        <w:autoSpaceDN/>
        <w:bidi w:val="0"/>
        <w:adjustRightInd w:val="0"/>
        <w:snapToGrid w:val="0"/>
        <w:spacing w:before="313" w:beforeLines="100" w:line="360" w:lineRule="auto"/>
        <w:ind w:left="0" w:leftChars="0" w:firstLine="0" w:firstLineChars="0"/>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总体要求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left"/>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lang w:eastAsia="zh-CN"/>
        </w:rPr>
        <w:t>应根据技术附件提供</w:t>
      </w:r>
      <w:r>
        <w:rPr>
          <w:rFonts w:hint="default" w:ascii="Times New Roman" w:hAnsi="Times New Roman" w:eastAsia="宋体" w:cs="Times New Roman"/>
          <w:sz w:val="24"/>
          <w:szCs w:val="24"/>
          <w:highlight w:val="none"/>
          <w:lang w:val="en-US" w:eastAsia="zh-CN"/>
        </w:rPr>
        <w:t>泵</w:t>
      </w:r>
      <w:r>
        <w:rPr>
          <w:rFonts w:hint="default" w:ascii="Times New Roman" w:hAnsi="Times New Roman" w:eastAsia="宋体" w:cs="Times New Roman"/>
          <w:sz w:val="24"/>
          <w:szCs w:val="24"/>
          <w:highlight w:val="none"/>
          <w:lang w:eastAsia="zh-CN"/>
        </w:rPr>
        <w:t>橇</w:t>
      </w:r>
      <w:r>
        <w:rPr>
          <w:rFonts w:hint="default" w:ascii="Times New Roman" w:hAnsi="Times New Roman" w:eastAsia="宋体" w:cs="Times New Roman"/>
          <w:sz w:val="24"/>
          <w:szCs w:val="24"/>
          <w:highlight w:val="none"/>
          <w:lang w:val="en-US" w:eastAsia="zh-CN"/>
        </w:rPr>
        <w:t>的整体橇装设备以及相关设计文件、完工文件</w:t>
      </w:r>
      <w:r>
        <w:rPr>
          <w:rFonts w:hint="default" w:ascii="Times New Roman" w:hAnsi="Times New Roman" w:eastAsia="宋体" w:cs="Times New Roman"/>
          <w:sz w:val="24"/>
          <w:szCs w:val="24"/>
          <w:highlight w:val="none"/>
          <w:lang w:eastAsia="zh-CN"/>
        </w:rPr>
        <w:t>，并按</w:t>
      </w:r>
      <w:r>
        <w:rPr>
          <w:rFonts w:hint="eastAsia" w:ascii="Times New Roman" w:hAnsi="Times New Roman" w:eastAsia="宋体" w:cs="Times New Roman"/>
          <w:sz w:val="24"/>
          <w:szCs w:val="24"/>
          <w:highlight w:val="none"/>
          <w:lang w:eastAsia="zh-CN"/>
        </w:rPr>
        <w:t>买方</w:t>
      </w:r>
      <w:r>
        <w:rPr>
          <w:rFonts w:hint="default" w:ascii="Times New Roman" w:hAnsi="Times New Roman" w:eastAsia="宋体" w:cs="Times New Roman"/>
          <w:sz w:val="24"/>
          <w:szCs w:val="24"/>
          <w:highlight w:val="none"/>
          <w:lang w:eastAsia="zh-CN"/>
        </w:rPr>
        <w:t>要求完成</w:t>
      </w:r>
      <w:r>
        <w:rPr>
          <w:rFonts w:hint="default" w:ascii="Times New Roman" w:hAnsi="Times New Roman" w:eastAsia="宋体" w:cs="Times New Roman"/>
          <w:sz w:val="24"/>
          <w:szCs w:val="24"/>
          <w:highlight w:val="none"/>
          <w:lang w:val="en-US" w:eastAsia="zh-CN"/>
        </w:rPr>
        <w:t>泵橇</w:t>
      </w:r>
      <w:r>
        <w:rPr>
          <w:rFonts w:hint="default" w:ascii="Times New Roman" w:hAnsi="Times New Roman" w:eastAsia="宋体" w:cs="Times New Roman"/>
          <w:sz w:val="24"/>
          <w:szCs w:val="24"/>
          <w:highlight w:val="none"/>
          <w:lang w:eastAsia="zh-CN"/>
        </w:rPr>
        <w:t>的</w:t>
      </w:r>
      <w:r>
        <w:rPr>
          <w:rFonts w:hint="default" w:ascii="Times New Roman" w:hAnsi="Times New Roman" w:eastAsia="宋体" w:cs="Times New Roman"/>
          <w:sz w:val="24"/>
          <w:szCs w:val="24"/>
          <w:highlight w:val="none"/>
          <w:lang w:val="en-US" w:eastAsia="zh-CN"/>
        </w:rPr>
        <w:t>设计、</w:t>
      </w:r>
      <w:r>
        <w:rPr>
          <w:rFonts w:hint="default" w:ascii="Times New Roman" w:hAnsi="Times New Roman" w:eastAsia="宋体" w:cs="Times New Roman"/>
          <w:sz w:val="24"/>
          <w:szCs w:val="24"/>
          <w:highlight w:val="none"/>
          <w:lang w:eastAsia="zh-CN"/>
        </w:rPr>
        <w:t>现场安装、调试、培训等相关服务；</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泵</w:t>
      </w:r>
      <w:r>
        <w:rPr>
          <w:rFonts w:hint="default" w:ascii="Times New Roman" w:hAnsi="Times New Roman" w:eastAsia="宋体" w:cs="Times New Roman"/>
          <w:sz w:val="24"/>
          <w:szCs w:val="24"/>
          <w:highlight w:val="none"/>
          <w:lang w:eastAsia="zh-CN"/>
        </w:rPr>
        <w:t>橇内设备的规格、数量、技术规范、性能指标等要求以及供货范围等详见第二部分的“需求一览表”和第五部分的“技术要求”；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应执行最新版本的《海上固定平台安全规则》</w:t>
      </w:r>
      <w:r>
        <w:rPr>
          <w:rFonts w:hint="eastAsia" w:ascii="Times New Roman" w:hAnsi="Times New Roman" w:eastAsia="宋体" w:cs="Times New Roman"/>
          <w:sz w:val="24"/>
          <w:szCs w:val="24"/>
          <w:highlight w:val="none"/>
          <w:lang w:val="en-US" w:eastAsia="zh-CN"/>
        </w:rPr>
        <w:t>第七章通用机械设备及管系中的一般规定，</w:t>
      </w:r>
      <w:r>
        <w:rPr>
          <w:rFonts w:hint="default" w:ascii="Times New Roman" w:hAnsi="Times New Roman" w:eastAsia="宋体" w:cs="Times New Roman"/>
          <w:sz w:val="24"/>
          <w:szCs w:val="24"/>
          <w:highlight w:val="none"/>
          <w:lang w:val="en-US" w:eastAsia="zh-CN"/>
        </w:rPr>
        <w:t>进行</w:t>
      </w:r>
      <w:r>
        <w:rPr>
          <w:rFonts w:hint="eastAsia" w:ascii="Times New Roman" w:hAnsi="Times New Roman" w:eastAsia="宋体" w:cs="Times New Roman"/>
          <w:sz w:val="24"/>
          <w:szCs w:val="24"/>
          <w:highlight w:val="none"/>
          <w:lang w:val="en-US" w:eastAsia="zh-CN"/>
        </w:rPr>
        <w:t>泵橇</w:t>
      </w:r>
      <w:r>
        <w:rPr>
          <w:rFonts w:hint="default" w:ascii="Times New Roman" w:hAnsi="Times New Roman" w:eastAsia="宋体" w:cs="Times New Roman"/>
          <w:sz w:val="24"/>
          <w:szCs w:val="24"/>
          <w:highlight w:val="none"/>
          <w:lang w:val="en-US" w:eastAsia="zh-CN"/>
        </w:rPr>
        <w:t>的生产、测试、现场安装、调试和交付</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所采用的标准规范均应该为最新版本</w:t>
      </w:r>
      <w:r>
        <w:rPr>
          <w:rFonts w:hint="eastAsia" w:ascii="Times New Roman" w:hAnsi="Times New Roman" w:eastAsia="宋体" w:cs="Times New Roman"/>
          <w:sz w:val="24"/>
          <w:szCs w:val="24"/>
          <w:highlight w:val="none"/>
          <w:lang w:val="en-US" w:eastAsia="zh-CN"/>
        </w:rPr>
        <w:t>。【本设备部分引用《海上平台安全规则》中第7.1.3，7.1.6，7.1.7，7.1.8条。】</w:t>
      </w:r>
    </w:p>
    <w:p>
      <w:pPr>
        <w:pStyle w:val="20"/>
        <w:ind w:left="0" w:leftChars="0" w:firstLine="480" w:firstLineChars="200"/>
        <w:rPr>
          <w:rFonts w:hint="default"/>
          <w:highlight w:val="none"/>
          <w:lang w:val="en-US" w:eastAsia="zh-CN"/>
        </w:rPr>
      </w:pPr>
      <w:r>
        <w:rPr>
          <w:rFonts w:hint="eastAsia" w:ascii="Times New Roman" w:hAnsi="Times New Roman" w:eastAsia="宋体" w:cs="Times New Roman"/>
          <w:sz w:val="24"/>
          <w:szCs w:val="24"/>
          <w:highlight w:val="none"/>
          <w:lang w:val="en-US" w:eastAsia="zh-CN"/>
        </w:rPr>
        <w:t>以下为引用标准中所列重要参数，纳入评议范围：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eastAsia" w:ascii="Times New Roman" w:hAnsi="Times New Roman" w:eastAsia="宋体" w:cs="Times New Roman"/>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Times New Roman" w:hAnsi="Times New Roman" w:eastAsia="宋体" w:cs="Times New Roman"/>
          <w:sz w:val="24"/>
          <w:szCs w:val="24"/>
          <w:highlight w:val="none"/>
          <w:lang w:val="en-US" w:eastAsia="zh-CN"/>
        </w:rPr>
        <w:t>7.1.3防护措施</w:t>
      </w:r>
    </w:p>
    <w:p>
      <w:pPr>
        <w:pStyle w:val="2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7.1.3.1机器、锅炉、压力容器及管系和附件的设计、安装和防护应充分考虑到使运动部件、热表面和其他危险对平台上人员的伤害可能性减少至最小程度。</w:t>
      </w:r>
    </w:p>
    <w:p>
      <w:pPr>
        <w:pStyle w:val="2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7.1.3.2为避免机械设备和管系在操作及转换中的差错，应在醒目处设有操作须知的标志牌。</w:t>
      </w:r>
    </w:p>
    <w:p>
      <w:pPr>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eastAsiaTheme="minorEastAsia"/>
          <w:sz w:val="24"/>
          <w:highlight w:val="none"/>
          <w:lang w:val="en-US" w:eastAsia="zh-CN"/>
        </w:rPr>
        <w:t>★</w:t>
      </w:r>
      <w:r>
        <w:rPr>
          <w:rFonts w:hint="eastAsia" w:ascii="Times New Roman" w:hAnsi="Times New Roman" w:eastAsia="宋体" w:cs="Times New Roman"/>
          <w:sz w:val="24"/>
          <w:szCs w:val="24"/>
          <w:highlight w:val="none"/>
          <w:lang w:val="en-US" w:eastAsia="zh-CN"/>
        </w:rPr>
        <w:t>7.1.6防腐蚀</w:t>
      </w:r>
    </w:p>
    <w:p>
      <w:pPr>
        <w:pStyle w:val="2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暴露于腐蚀环境的零部件应采用耐腐蚀的材料制成，或采取有效的防腐蚀措施。</w:t>
      </w:r>
    </w:p>
    <w:p>
      <w:pPr>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eastAsiaTheme="minorEastAsia"/>
          <w:sz w:val="24"/>
          <w:highlight w:val="none"/>
          <w:lang w:val="en-US" w:eastAsia="zh-CN"/>
        </w:rPr>
        <w:t>★</w:t>
      </w:r>
      <w:r>
        <w:rPr>
          <w:rFonts w:hint="eastAsia" w:ascii="Times New Roman" w:hAnsi="Times New Roman" w:eastAsia="宋体" w:cs="Times New Roman"/>
          <w:sz w:val="24"/>
          <w:szCs w:val="24"/>
          <w:highlight w:val="none"/>
          <w:lang w:val="en-US" w:eastAsia="zh-CN"/>
        </w:rPr>
        <w:t>7.1.7防污染设施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机器处所应设适当的设施，防止含油污水外溢，并使含油污水进入排放系统加以处理。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eastAsia" w:ascii="Times New Roman" w:hAnsi="Times New Roman" w:eastAsia="宋体" w:cs="Times New Roman"/>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Times New Roman" w:hAnsi="Times New Roman" w:eastAsia="宋体" w:cs="Times New Roman"/>
          <w:sz w:val="24"/>
          <w:szCs w:val="24"/>
          <w:highlight w:val="none"/>
          <w:lang w:val="en-US" w:eastAsia="zh-CN"/>
        </w:rPr>
        <w:t>7.1.8检验、试验与证书。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150" w:firstLine="240" w:firstLineChars="1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平台上所有的通用机械设备应有出厂合格证书。</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需要根据</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给出的设计条件</w:t>
      </w:r>
      <w:r>
        <w:rPr>
          <w:rFonts w:hint="eastAsia" w:ascii="Times New Roman" w:hAnsi="Times New Roman" w:eastAsia="宋体" w:cs="Times New Roman"/>
          <w:sz w:val="24"/>
          <w:szCs w:val="24"/>
          <w:highlight w:val="none"/>
          <w:lang w:val="en-US" w:eastAsia="zh-CN"/>
        </w:rPr>
        <w:t>（买方提供的数据表及需求一览表中的规格型号描述）</w:t>
      </w:r>
      <w:r>
        <w:rPr>
          <w:rFonts w:hint="default" w:ascii="Times New Roman" w:hAnsi="Times New Roman" w:eastAsia="宋体" w:cs="Times New Roman"/>
          <w:sz w:val="24"/>
          <w:szCs w:val="24"/>
          <w:highlight w:val="none"/>
          <w:lang w:val="en-US" w:eastAsia="zh-CN"/>
        </w:rPr>
        <w:t>进行泵橇的设计，设备完全满足海上平台设备的相关设计规范以及设备整体泵橇尺寸的空间要求；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供货时需提供泵橇的《海上固定设施产品检验证书》B类证书（证书检验机构：CCS或BV或ABS或DNV</w:t>
      </w:r>
      <w:r>
        <w:rPr>
          <w:rFonts w:hint="eastAsia" w:ascii="Times New Roman" w:hAnsi="Times New Roman" w:eastAsia="宋体" w:cs="Times New Roman"/>
          <w:sz w:val="24"/>
          <w:szCs w:val="24"/>
          <w:highlight w:val="none"/>
          <w:lang w:val="en-US" w:eastAsia="zh-CN"/>
        </w:rPr>
        <w:t>，其一即可</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供货时需提供泵橇内设备、阀门、仪表、管件等材质证明书和出厂合格证，仪表应提供防爆证书、防护证书、CCC证书和</w:t>
      </w:r>
      <w:r>
        <w:rPr>
          <w:rFonts w:hint="eastAsia" w:ascii="Times New Roman" w:hAnsi="Times New Roman" w:eastAsia="宋体" w:cs="Times New Roman"/>
          <w:sz w:val="24"/>
          <w:szCs w:val="24"/>
          <w:highlight w:val="none"/>
          <w:lang w:val="en-US" w:eastAsia="zh-CN"/>
        </w:rPr>
        <w:t>具有CNAS认证和CMA资质的</w:t>
      </w:r>
      <w:r>
        <w:rPr>
          <w:rFonts w:hint="default" w:ascii="Times New Roman" w:hAnsi="Times New Roman" w:eastAsia="宋体" w:cs="Times New Roman"/>
          <w:sz w:val="24"/>
          <w:szCs w:val="24"/>
          <w:highlight w:val="none"/>
          <w:lang w:val="en-US" w:eastAsia="zh-CN"/>
        </w:rPr>
        <w:t>第三方标定证书</w:t>
      </w:r>
      <w:r>
        <w:rPr>
          <w:rFonts w:hint="default" w:ascii="Times New Roman" w:hAnsi="Times New Roman" w:eastAsia="宋体" w:cs="Times New Roman"/>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泵橇内使用的电缆要求为船用铠装（阻燃）电缆，并根据安装要求需要配备</w:t>
      </w:r>
      <w:r>
        <w:rPr>
          <w:rFonts w:hint="default" w:ascii="Times New Roman" w:hAnsi="Times New Roman" w:eastAsia="宋体" w:cs="Times New Roman"/>
          <w:sz w:val="24"/>
          <w:szCs w:val="24"/>
          <w:highlight w:val="none"/>
          <w:lang w:eastAsia="zh-CN"/>
        </w:rPr>
        <w:t>船用阻燃铠装电缆</w:t>
      </w:r>
      <w:r>
        <w:rPr>
          <w:rFonts w:hint="default" w:ascii="Times New Roman" w:hAnsi="Times New Roman" w:eastAsia="宋体" w:cs="Times New Roman"/>
          <w:sz w:val="24"/>
          <w:szCs w:val="24"/>
          <w:highlight w:val="none"/>
          <w:lang w:val="en-US" w:eastAsia="zh-CN"/>
        </w:rPr>
        <w:t>电气连接的双密封防爆填料函（材质为</w:t>
      </w:r>
      <w:r>
        <w:rPr>
          <w:rFonts w:hint="eastAsia" w:ascii="Times New Roman" w:hAnsi="Times New Roman" w:eastAsia="宋体" w:cs="Times New Roman"/>
          <w:sz w:val="24"/>
          <w:szCs w:val="24"/>
          <w:highlight w:val="none"/>
          <w:lang w:val="en-US" w:eastAsia="zh-CN"/>
        </w:rPr>
        <w:t>不锈钢316</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配带整体泵橇及单体设备铭牌，相关铭牌信息按</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要求制作，整橇交付前铭牌需带船级社检验钢印；</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泵橇内手动阀门须符合API、ASME、ANSI中的相关标准，所有产品必须</w:t>
      </w:r>
      <w:r>
        <w:rPr>
          <w:rFonts w:hint="eastAsia" w:ascii="Times New Roman" w:hAnsi="Times New Roman" w:eastAsia="宋体" w:cs="Times New Roman"/>
          <w:sz w:val="24"/>
          <w:szCs w:val="24"/>
          <w:highlight w:val="none"/>
          <w:lang w:val="en-US" w:eastAsia="zh-CN"/>
        </w:rPr>
        <w:t>交货时</w:t>
      </w:r>
      <w:r>
        <w:rPr>
          <w:rFonts w:hint="default" w:ascii="Times New Roman" w:hAnsi="Times New Roman" w:eastAsia="宋体" w:cs="Times New Roman"/>
          <w:sz w:val="24"/>
          <w:szCs w:val="24"/>
          <w:highlight w:val="none"/>
          <w:lang w:val="en-US" w:eastAsia="zh-CN"/>
        </w:rPr>
        <w:t>提供材质证明书和出厂合格证</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对橇内防爆电仪部件， 防护等级</w:t>
      </w:r>
      <w:r>
        <w:rPr>
          <w:rFonts w:hint="eastAsia"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lang w:val="en-US" w:eastAsia="zh-CN"/>
        </w:rPr>
        <w:t>IP56</w:t>
      </w:r>
      <w:r>
        <w:rPr>
          <w:rFonts w:hint="eastAsia" w:ascii="Times New Roman" w:hAnsi="Times New Roman" w:eastAsia="宋体" w:cs="Times New Roman"/>
          <w:sz w:val="24"/>
          <w:szCs w:val="24"/>
          <w:highlight w:val="none"/>
          <w:lang w:val="en-US" w:eastAsia="zh-CN"/>
        </w:rPr>
        <w:t>或IP66</w:t>
      </w:r>
      <w:r>
        <w:rPr>
          <w:rFonts w:hint="default" w:ascii="Times New Roman" w:hAnsi="Times New Roman" w:eastAsia="宋体" w:cs="Times New Roman"/>
          <w:sz w:val="24"/>
          <w:szCs w:val="24"/>
          <w:highlight w:val="none"/>
          <w:lang w:val="en-US" w:eastAsia="zh-CN"/>
        </w:rPr>
        <w:t>，防爆等级为 Exd II BT 4。明确相应设备、部件的防护等级，并提供相应的防爆合格证书。可接受的防爆认证机构有：IECEx、FM、CSA、ATEX 或经中国机构 CQST 或 NEPSI 认可的其它机构，也可以直接由 CQST 或 NEPSI 认证</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泵橇内温度变送器、压力变送器</w:t>
      </w:r>
      <w:r>
        <w:rPr>
          <w:rFonts w:hint="eastAsia" w:ascii="Times New Roman" w:hAnsi="Times New Roman" w:eastAsia="宋体" w:cs="Times New Roman"/>
          <w:sz w:val="24"/>
          <w:szCs w:val="24"/>
          <w:highlight w:val="none"/>
          <w:lang w:val="en-US" w:eastAsia="zh-CN"/>
        </w:rPr>
        <w:t>（如果有）</w:t>
      </w:r>
      <w:r>
        <w:rPr>
          <w:rFonts w:hint="default" w:ascii="Times New Roman" w:hAnsi="Times New Roman" w:eastAsia="宋体" w:cs="Times New Roman"/>
          <w:sz w:val="24"/>
          <w:szCs w:val="24"/>
          <w:highlight w:val="none"/>
          <w:lang w:eastAsia="zh-CN"/>
        </w:rPr>
        <w:t>需</w:t>
      </w:r>
      <w:r>
        <w:rPr>
          <w:rFonts w:hint="default" w:ascii="Times New Roman" w:hAnsi="Times New Roman" w:eastAsia="宋体" w:cs="Times New Roman"/>
          <w:sz w:val="24"/>
          <w:szCs w:val="24"/>
          <w:highlight w:val="none"/>
          <w:lang w:val="en-US" w:eastAsia="zh-CN"/>
        </w:rPr>
        <w:t>单独</w:t>
      </w:r>
      <w:r>
        <w:rPr>
          <w:rFonts w:hint="default" w:ascii="Times New Roman" w:hAnsi="Times New Roman" w:eastAsia="宋体" w:cs="Times New Roman"/>
          <w:sz w:val="24"/>
          <w:szCs w:val="24"/>
          <w:highlight w:val="none"/>
          <w:lang w:eastAsia="zh-CN"/>
        </w:rPr>
        <w:t>取得船级社认证的B类海上固定设施产品检验证书，</w:t>
      </w:r>
      <w:r>
        <w:rPr>
          <w:rFonts w:hint="default" w:ascii="Times New Roman" w:hAnsi="Times New Roman" w:eastAsia="宋体" w:cs="Times New Roman"/>
          <w:sz w:val="24"/>
          <w:szCs w:val="24"/>
          <w:highlight w:val="none"/>
          <w:lang w:val="en-US" w:eastAsia="zh-CN"/>
        </w:rPr>
        <w:t>第三方标定证书，</w:t>
      </w:r>
      <w:r>
        <w:rPr>
          <w:rFonts w:hint="default" w:ascii="Times New Roman" w:hAnsi="Times New Roman" w:eastAsia="宋体" w:cs="Times New Roman"/>
          <w:sz w:val="24"/>
          <w:szCs w:val="24"/>
          <w:highlight w:val="none"/>
          <w:lang w:eastAsia="zh-CN"/>
        </w:rPr>
        <w:t>其中</w:t>
      </w:r>
      <w:r>
        <w:rPr>
          <w:rFonts w:hint="default" w:ascii="Times New Roman" w:hAnsi="Times New Roman" w:eastAsia="宋体" w:cs="Times New Roman"/>
          <w:sz w:val="24"/>
          <w:szCs w:val="24"/>
          <w:highlight w:val="none"/>
          <w:lang w:val="en-US" w:eastAsia="zh-CN"/>
        </w:rPr>
        <w:t>船级社应为DNV或ABS或CCS或BV</w:t>
      </w:r>
      <w:r>
        <w:rPr>
          <w:rFonts w:hint="eastAsia" w:ascii="Times New Roman" w:hAnsi="Times New Roman" w:eastAsia="宋体" w:cs="Times New Roman"/>
          <w:sz w:val="24"/>
          <w:szCs w:val="24"/>
          <w:highlight w:val="none"/>
          <w:lang w:val="en-US" w:eastAsia="zh-CN"/>
        </w:rPr>
        <w:t>（其一即可）</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产品</w:t>
      </w:r>
      <w:r>
        <w:rPr>
          <w:rFonts w:hint="default" w:ascii="Times New Roman" w:hAnsi="Times New Roman" w:eastAsia="宋体" w:cs="Times New Roman"/>
          <w:sz w:val="24"/>
          <w:szCs w:val="24"/>
          <w:highlight w:val="none"/>
          <w:lang w:eastAsia="zh-CN"/>
        </w:rPr>
        <w:t>防爆等级</w:t>
      </w:r>
      <w:r>
        <w:rPr>
          <w:rFonts w:hint="default"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lang w:eastAsia="zh-CN"/>
        </w:rPr>
        <w:t>Exd</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II</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BT4，防护等级</w:t>
      </w:r>
      <w:r>
        <w:rPr>
          <w:rFonts w:hint="default"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lang w:eastAsia="zh-CN"/>
        </w:rPr>
        <w:t>IP56或IP66</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变送器外壳材质为316SS，</w:t>
      </w:r>
      <w:r>
        <w:rPr>
          <w:rFonts w:hint="default" w:ascii="Times New Roman" w:hAnsi="Times New Roman" w:eastAsia="宋体" w:cs="Times New Roman"/>
          <w:sz w:val="24"/>
          <w:szCs w:val="24"/>
          <w:highlight w:val="none"/>
          <w:lang w:val="en-US" w:eastAsia="zh-CN"/>
        </w:rPr>
        <w:t>产品需要带有</w:t>
      </w:r>
      <w:r>
        <w:rPr>
          <w:rFonts w:hint="default" w:ascii="Times New Roman" w:hAnsi="Times New Roman" w:eastAsia="宋体" w:cs="Times New Roman"/>
          <w:sz w:val="24"/>
          <w:szCs w:val="24"/>
          <w:highlight w:val="none"/>
          <w:lang w:eastAsia="zh-CN"/>
        </w:rPr>
        <w:t>316不锈钢</w:t>
      </w:r>
      <w:r>
        <w:rPr>
          <w:rFonts w:hint="default" w:ascii="Times New Roman" w:hAnsi="Times New Roman" w:eastAsia="宋体" w:cs="Times New Roman"/>
          <w:sz w:val="24"/>
          <w:szCs w:val="24"/>
          <w:highlight w:val="none"/>
          <w:lang w:val="en-US" w:eastAsia="zh-CN"/>
        </w:rPr>
        <w:t>铭牌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并且使用316不锈钢的钢丝绳进行固定，</w:t>
      </w:r>
      <w:r>
        <w:rPr>
          <w:rFonts w:hint="default" w:ascii="Times New Roman" w:hAnsi="Times New Roman" w:eastAsia="宋体" w:cs="Times New Roman"/>
          <w:sz w:val="24"/>
          <w:szCs w:val="24"/>
          <w:highlight w:val="none"/>
          <w:lang w:eastAsia="zh-CN"/>
        </w:rPr>
        <w:t>铭牌上需明确标出设备型号、防爆等级</w:t>
      </w:r>
      <w:r>
        <w:rPr>
          <w:rFonts w:hint="default" w:ascii="Times New Roman" w:hAnsi="Times New Roman" w:eastAsia="宋体" w:cs="Times New Roman"/>
          <w:sz w:val="24"/>
          <w:szCs w:val="24"/>
          <w:highlight w:val="none"/>
          <w:lang w:val="en-US" w:eastAsia="zh-CN"/>
        </w:rPr>
        <w:t>标识</w:t>
      </w:r>
      <w:r>
        <w:rPr>
          <w:rFonts w:hint="default" w:ascii="Times New Roman" w:hAnsi="Times New Roman" w:eastAsia="宋体" w:cs="Times New Roman"/>
          <w:sz w:val="24"/>
          <w:szCs w:val="24"/>
          <w:highlight w:val="none"/>
          <w:lang w:eastAsia="zh-CN"/>
        </w:rPr>
        <w:t>、防爆证书编号、</w:t>
      </w:r>
      <w:r>
        <w:rPr>
          <w:rFonts w:hint="default" w:ascii="Times New Roman" w:hAnsi="Times New Roman" w:eastAsia="宋体" w:cs="Times New Roman"/>
          <w:sz w:val="24"/>
          <w:szCs w:val="24"/>
          <w:highlight w:val="none"/>
          <w:lang w:val="en-US" w:eastAsia="zh-CN"/>
        </w:rPr>
        <w:t>防护等级标识</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品牌</w:t>
      </w:r>
      <w:r>
        <w:rPr>
          <w:rFonts w:hint="eastAsia" w:ascii="Times New Roman" w:hAnsi="Times New Roman" w:eastAsia="宋体" w:cs="Times New Roman"/>
          <w:sz w:val="24"/>
          <w:szCs w:val="24"/>
          <w:highlight w:val="none"/>
          <w:lang w:val="en-US" w:eastAsia="zh-CN"/>
        </w:rPr>
        <w:t>等同或相当于</w:t>
      </w:r>
      <w:r>
        <w:rPr>
          <w:rFonts w:hint="default" w:ascii="Times New Roman" w:hAnsi="Times New Roman" w:eastAsia="宋体" w:cs="Times New Roman"/>
          <w:sz w:val="24"/>
          <w:szCs w:val="24"/>
          <w:highlight w:val="none"/>
          <w:lang w:val="en-US" w:eastAsia="zh-CN"/>
        </w:rPr>
        <w:t>ROSEMOUNT（美国）或HONEYWELL（美国）或WIKA或E+H；</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泵橇内的温度变送器、压力变送器的电气接口需配有用于船用阻燃铠装电缆电气连接的双密封防爆填料函，填料函材质为</w:t>
      </w:r>
      <w:r>
        <w:rPr>
          <w:rFonts w:hint="eastAsia" w:ascii="Times New Roman" w:hAnsi="Times New Roman" w:eastAsia="宋体" w:cs="Times New Roman"/>
          <w:sz w:val="24"/>
          <w:szCs w:val="24"/>
          <w:highlight w:val="none"/>
          <w:lang w:val="en-US" w:eastAsia="zh-CN"/>
        </w:rPr>
        <w:t>不锈钢316</w:t>
      </w:r>
      <w:r>
        <w:rPr>
          <w:rFonts w:hint="default" w:ascii="Times New Roman" w:hAnsi="Times New Roman" w:eastAsia="宋体" w:cs="Times New Roman"/>
          <w:sz w:val="24"/>
          <w:szCs w:val="24"/>
          <w:highlight w:val="none"/>
          <w:lang w:val="en-US" w:eastAsia="zh-CN"/>
        </w:rPr>
        <w:t>，防爆等级为Exd IIB T4，防护等级为IP56或IP66；未连接电缆的电气接口需要使用防爆丝堵进行密封，材质为</w:t>
      </w:r>
      <w:r>
        <w:rPr>
          <w:rFonts w:hint="eastAsia" w:ascii="Times New Roman" w:hAnsi="Times New Roman" w:eastAsia="宋体" w:cs="Times New Roman"/>
          <w:sz w:val="24"/>
          <w:szCs w:val="24"/>
          <w:highlight w:val="none"/>
          <w:lang w:val="en-US" w:eastAsia="zh-CN"/>
        </w:rPr>
        <w:t>不锈钢316</w:t>
      </w:r>
      <w:r>
        <w:rPr>
          <w:rFonts w:hint="default" w:ascii="Times New Roman" w:hAnsi="Times New Roman" w:eastAsia="宋体" w:cs="Times New Roman"/>
          <w:sz w:val="24"/>
          <w:szCs w:val="24"/>
          <w:highlight w:val="none"/>
          <w:lang w:val="en-US" w:eastAsia="zh-CN"/>
        </w:rPr>
        <w:t>，防爆等级为Exd IIB T4，防护等级为IP56或IP66；</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所有设备及支架的部件需要进行喷砂处理，油漆需要符合海上用漆要求</w:t>
      </w:r>
      <w:r>
        <w:rPr>
          <w:rFonts w:hint="eastAsia" w:ascii="Times New Roman" w:hAnsi="Times New Roman" w:eastAsia="宋体" w:cs="Times New Roman"/>
          <w:sz w:val="24"/>
          <w:szCs w:val="24"/>
          <w:highlight w:val="none"/>
          <w:lang w:val="en-US" w:eastAsia="zh-CN"/>
        </w:rPr>
        <w:t>，进行拉拔试验；</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泵橇内法兰、碳钢管道法兰、阀门应用的螺栓螺母材质为A193 Gr.B7/ A194 Gr 2H，表面需要渗锌处理</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316L管道法兰、阀门应用的螺栓螺母材质为</w:t>
      </w:r>
      <w:r>
        <w:rPr>
          <w:rFonts w:hint="default" w:ascii="Times New Roman" w:hAnsi="Times New Roman" w:eastAsia="宋体" w:cs="Times New Roman"/>
          <w:sz w:val="24"/>
          <w:szCs w:val="24"/>
          <w:highlight w:val="none"/>
          <w:lang w:eastAsia="zh-CN"/>
        </w:rPr>
        <w:t>A193 Gr.B8</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A194 Gr 8</w:t>
      </w:r>
      <w:r>
        <w:rPr>
          <w:rFonts w:hint="default" w:ascii="Times New Roman" w:hAnsi="Times New Roman" w:eastAsia="宋体" w:cs="Times New Roman"/>
          <w:sz w:val="24"/>
          <w:szCs w:val="24"/>
          <w:highlight w:val="none"/>
          <w:lang w:val="en-US" w:eastAsia="zh-CN"/>
        </w:rPr>
        <w:t>M，表面带有红色特氟龙涂层</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双相钢管道法兰、阀门应用的螺栓螺母材质为A193 Gr.B7/A194 Gr 2H，表面带有蓝色特氟龙涂层；</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 xml:space="preserve"> 泵</w:t>
      </w:r>
      <w:r>
        <w:rPr>
          <w:rFonts w:hint="default" w:ascii="Times New Roman" w:hAnsi="Times New Roman" w:eastAsia="宋体" w:cs="Times New Roman"/>
          <w:color w:val="auto"/>
          <w:sz w:val="24"/>
          <w:szCs w:val="24"/>
          <w:highlight w:val="none"/>
          <w:lang w:val="en-US" w:eastAsia="zh-CN"/>
        </w:rPr>
        <w:t>橇内电仪控制所需电缆及电缆铺设路径所需的马脚和托架（材质316L），托架为梯阶式带盖板，并完成支架、马脚的焊接和托架的安装工作，电缆托架端口要包裹完整。橇内气源主管路（材质为TP316L）和仪表管（英制tubing管，壁厚0.065英寸，材质</w:t>
      </w:r>
      <w:r>
        <w:rPr>
          <w:rFonts w:hint="default" w:ascii="Times New Roman" w:hAnsi="Times New Roman" w:eastAsia="宋体" w:cs="Times New Roman"/>
          <w:sz w:val="24"/>
          <w:szCs w:val="24"/>
          <w:highlight w:val="none"/>
          <w:lang w:val="en-US" w:eastAsia="zh-CN"/>
        </w:rPr>
        <w:t>不锈钢</w:t>
      </w:r>
      <w:r>
        <w:rPr>
          <w:rFonts w:hint="default" w:ascii="Times New Roman" w:hAnsi="Times New Roman" w:eastAsia="宋体" w:cs="Times New Roman"/>
          <w:color w:val="auto"/>
          <w:sz w:val="24"/>
          <w:szCs w:val="24"/>
          <w:highlight w:val="none"/>
          <w:lang w:val="en-US" w:eastAsia="zh-CN"/>
        </w:rPr>
        <w:t>316</w:t>
      </w:r>
      <w:r>
        <w:rPr>
          <w:rFonts w:hint="default" w:ascii="Times New Roman" w:hAnsi="Times New Roman" w:eastAsia="宋体" w:cs="Times New Roman"/>
          <w:sz w:val="24"/>
          <w:szCs w:val="24"/>
          <w:highlight w:val="none"/>
          <w:lang w:val="en-US" w:eastAsia="zh-CN"/>
        </w:rPr>
        <w:t>L</w:t>
      </w:r>
      <w:r>
        <w:rPr>
          <w:rFonts w:hint="default" w:ascii="Times New Roman" w:hAnsi="Times New Roman" w:eastAsia="宋体" w:cs="Times New Roman"/>
          <w:color w:val="auto"/>
          <w:sz w:val="24"/>
          <w:szCs w:val="24"/>
          <w:highlight w:val="none"/>
          <w:lang w:val="en-US" w:eastAsia="zh-CN"/>
        </w:rPr>
        <w:t>）的供货与安装，满足工艺与仪表控制要求</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电动机防爆型式的选择应满足所处防爆区域的要求，对于用在防爆2区的电机，防爆型式和防护等级见数据表，电机需考虑海上湿热带和盐雾腐蚀环境</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泵</w:t>
      </w:r>
      <w:r>
        <w:rPr>
          <w:rFonts w:hint="default" w:ascii="Times New Roman" w:hAnsi="Times New Roman" w:eastAsia="宋体" w:cs="Times New Roman"/>
          <w:sz w:val="24"/>
          <w:szCs w:val="24"/>
          <w:highlight w:val="none"/>
          <w:lang w:val="en-US" w:eastAsia="zh-CN"/>
        </w:rPr>
        <w:t>橇内的电气、仪表设备应分开单独接地，所有电气设备接地应汇接于一处，以便与现场接地系统连接</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仪表设备同理。橇体应设有防静电接地点，橇块应在橇底座对角位置设置2套接地装置；接地线规格应满足IEC规范要求，且接地线导体截面积不小于6 mm</w:t>
      </w:r>
      <w:r>
        <w:rPr>
          <w:rFonts w:hint="default" w:ascii="Times New Roman" w:hAnsi="Times New Roman" w:eastAsia="宋体" w:cs="Times New Roman"/>
          <w:sz w:val="24"/>
          <w:szCs w:val="24"/>
          <w:highlight w:val="none"/>
          <w:vertAlign w:val="superscript"/>
          <w:lang w:val="en-US" w:eastAsia="zh-CN"/>
        </w:rPr>
        <w:t>2</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textAlignment w:val="auto"/>
        <w:rPr>
          <w:rFonts w:hint="default"/>
          <w:highlight w:val="none"/>
          <w:lang w:val="en-US" w:eastAsia="zh-CN"/>
        </w:rPr>
      </w:pPr>
      <w:r>
        <w:rPr>
          <w:rFonts w:hint="eastAsia" w:ascii="Times New Roman" w:hAnsi="Times New Roman" w:eastAsia="宋体" w:cs="Times New Roman"/>
          <w:sz w:val="24"/>
          <w:szCs w:val="24"/>
          <w:highlight w:val="none"/>
          <w:lang w:val="en-US" w:eastAsia="zh-CN"/>
        </w:rPr>
        <w:t>泵橇内中压电动机</w:t>
      </w:r>
      <w:r>
        <w:rPr>
          <w:rFonts w:hint="default" w:ascii="Times New Roman" w:hAnsi="Times New Roman" w:eastAsia="宋体" w:cs="Times New Roman"/>
          <w:sz w:val="24"/>
          <w:szCs w:val="24"/>
          <w:highlight w:val="none"/>
          <w:lang w:val="en-US" w:eastAsia="zh-CN"/>
        </w:rPr>
        <w:t>品牌</w:t>
      </w:r>
      <w:r>
        <w:rPr>
          <w:rFonts w:hint="eastAsia" w:ascii="Times New Roman" w:hAnsi="Times New Roman" w:eastAsia="宋体" w:cs="Times New Roman"/>
          <w:sz w:val="24"/>
          <w:szCs w:val="24"/>
          <w:highlight w:val="none"/>
          <w:lang w:val="en-US" w:eastAsia="zh-CN"/>
        </w:rPr>
        <w:t>等同或相当于ATB或GE或南阳防爆或佳木斯。低压电动机品牌等同或相当于ATB或WEG或南阳防爆或佳木斯；</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单台</w:t>
      </w:r>
      <w:r>
        <w:rPr>
          <w:rFonts w:hint="default" w:ascii="Times New Roman" w:hAnsi="Times New Roman" w:eastAsia="宋体" w:cs="Times New Roman"/>
          <w:sz w:val="24"/>
          <w:szCs w:val="24"/>
          <w:highlight w:val="none"/>
          <w:lang w:val="en-US" w:eastAsia="zh-CN"/>
        </w:rPr>
        <w:t>泵橇尺寸</w:t>
      </w:r>
      <w:r>
        <w:rPr>
          <w:rFonts w:hint="eastAsia" w:ascii="Times New Roman" w:hAnsi="Times New Roman" w:eastAsia="宋体" w:cs="Times New Roman"/>
          <w:sz w:val="24"/>
          <w:szCs w:val="24"/>
          <w:highlight w:val="none"/>
          <w:lang w:val="en-US" w:eastAsia="zh-CN"/>
        </w:rPr>
        <w:t>长宽高</w:t>
      </w:r>
      <w:r>
        <w:rPr>
          <w:rFonts w:hint="default" w:ascii="Times New Roman" w:hAnsi="Times New Roman" w:eastAsia="宋体" w:cs="Times New Roman"/>
          <w:sz w:val="24"/>
          <w:szCs w:val="24"/>
          <w:highlight w:val="none"/>
          <w:lang w:val="en-US" w:eastAsia="zh-CN"/>
        </w:rPr>
        <w:t>要求</w:t>
      </w:r>
      <w:r>
        <w:rPr>
          <w:rFonts w:hint="eastAsia" w:ascii="Times New Roman" w:hAnsi="Times New Roman" w:eastAsia="宋体" w:cs="Times New Roman"/>
          <w:sz w:val="24"/>
          <w:szCs w:val="24"/>
          <w:highlight w:val="none"/>
          <w:lang w:val="en-US" w:eastAsia="zh-CN"/>
        </w:rPr>
        <w:t>不超过L2000（mm）×W1500（mm）×H2200（mm），单台泵橇重量不超过1吨</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在合同签订后，项目执行过程中，如对技术要求书中的内容发生变更，必须经过</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审核通过后才可执行，如果变更内容不能成立或不能生效，则仍然应按原技术要求的内容履行；</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所有供应的设备应是新的未被使用的；</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eastAsiaTheme="minorEastAsia"/>
          <w:sz w:val="24"/>
          <w:highlight w:val="none"/>
          <w:lang w:val="en-US" w:eastAsia="zh-CN"/>
        </w:rPr>
        <w:t>★</w:t>
      </w:r>
      <w:r>
        <w:rPr>
          <w:rFonts w:hint="eastAsia" w:ascii="Times New Roman" w:hAnsi="Times New Roman" w:eastAsia="宋体" w:cs="Times New Roman"/>
          <w:sz w:val="24"/>
          <w:szCs w:val="24"/>
          <w:highlight w:val="none"/>
          <w:lang w:val="en-US" w:eastAsia="zh-CN"/>
        </w:rPr>
        <w:t>卖方承诺</w:t>
      </w:r>
      <w:r>
        <w:rPr>
          <w:rFonts w:hint="default" w:ascii="Times New Roman" w:hAnsi="Times New Roman" w:eastAsia="宋体" w:cs="Times New Roman"/>
          <w:sz w:val="24"/>
          <w:szCs w:val="24"/>
          <w:highlight w:val="none"/>
          <w:lang w:val="en-US" w:eastAsia="zh-CN"/>
        </w:rPr>
        <w:t>签订合同后，未经</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同意，不允许分包给其他厂家；</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现场施工过程中</w:t>
      </w:r>
      <w:r>
        <w:rPr>
          <w:rFonts w:hint="eastAsia"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lang w:eastAsia="zh-CN"/>
        </w:rPr>
        <w:t>应按相关规程操作施工，</w:t>
      </w:r>
      <w:r>
        <w:rPr>
          <w:rFonts w:hint="default" w:ascii="Times New Roman" w:hAnsi="Times New Roman" w:eastAsia="宋体" w:cs="Times New Roman"/>
          <w:sz w:val="24"/>
          <w:szCs w:val="24"/>
          <w:highlight w:val="none"/>
          <w:lang w:val="en-US" w:eastAsia="zh-CN"/>
        </w:rPr>
        <w:t>因违反安全操作规程所产生的安全责任及造成损失由卖方承担，与买方无关</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因</w:t>
      </w:r>
      <w:r>
        <w:rPr>
          <w:rFonts w:hint="eastAsia"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lang w:eastAsia="zh-CN"/>
        </w:rPr>
        <w:t>原因导致超出的工作量，</w:t>
      </w:r>
      <w:r>
        <w:rPr>
          <w:rFonts w:hint="eastAsia" w:ascii="Times New Roman" w:hAnsi="Times New Roman" w:eastAsia="宋体" w:cs="Times New Roman"/>
          <w:sz w:val="24"/>
          <w:szCs w:val="24"/>
          <w:highlight w:val="none"/>
          <w:lang w:eastAsia="zh-CN"/>
        </w:rPr>
        <w:t>买方</w:t>
      </w:r>
      <w:r>
        <w:rPr>
          <w:rFonts w:hint="default" w:ascii="Times New Roman" w:hAnsi="Times New Roman" w:eastAsia="宋体" w:cs="Times New Roman"/>
          <w:sz w:val="24"/>
          <w:szCs w:val="24"/>
          <w:highlight w:val="none"/>
          <w:lang w:eastAsia="zh-CN"/>
        </w:rPr>
        <w:t>不予计量</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b w:val="0"/>
          <w:bCs/>
          <w:sz w:val="24"/>
          <w:szCs w:val="28"/>
          <w:highlight w:val="none"/>
        </w:rPr>
      </w:pPr>
      <w:r>
        <w:rPr>
          <w:rFonts w:hint="default" w:ascii="Times New Roman" w:hAnsi="Times New Roman" w:eastAsia="宋体" w:cs="Times New Roman"/>
          <w:sz w:val="24"/>
          <w:szCs w:val="24"/>
          <w:highlight w:val="none"/>
          <w:lang w:val="en-US" w:eastAsia="zh-CN"/>
        </w:rPr>
        <w:t>当</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认为某项或某部分工作需要聘请第三方或亲自（重新）进行检查时，</w:t>
      </w: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应清除所有外物如沙、夹渣、焊瘤、焊条、碎屑等，并安排足够的时间进行检查，如果检查结果不合格，</w:t>
      </w:r>
      <w:r>
        <w:rPr>
          <w:rFonts w:hint="eastAsia" w:ascii="Times New Roman" w:hAnsi="Times New Roman" w:eastAsia="宋体" w:cs="Times New Roman"/>
          <w:sz w:val="24"/>
          <w:szCs w:val="24"/>
          <w:highlight w:val="none"/>
          <w:lang w:val="en-US" w:eastAsia="zh-CN"/>
        </w:rPr>
        <w:t>卖方</w:t>
      </w:r>
      <w:r>
        <w:rPr>
          <w:rFonts w:hint="default" w:ascii="Times New Roman" w:hAnsi="Times New Roman" w:eastAsia="宋体" w:cs="Times New Roman"/>
          <w:sz w:val="24"/>
          <w:szCs w:val="24"/>
          <w:highlight w:val="none"/>
          <w:lang w:val="en-US" w:eastAsia="zh-CN"/>
        </w:rPr>
        <w:t>承担该项检查的全部责任，如果检查结果合格，</w:t>
      </w:r>
      <w:r>
        <w:rPr>
          <w:rFonts w:hint="eastAsia" w:ascii="Times New Roman" w:hAnsi="Times New Roman" w:eastAsia="宋体" w:cs="Times New Roman"/>
          <w:sz w:val="24"/>
          <w:szCs w:val="24"/>
          <w:highlight w:val="none"/>
          <w:lang w:val="en-US" w:eastAsia="zh-CN"/>
        </w:rPr>
        <w:t>买方</w:t>
      </w:r>
      <w:r>
        <w:rPr>
          <w:rFonts w:hint="default" w:ascii="Times New Roman" w:hAnsi="Times New Roman" w:eastAsia="宋体" w:cs="Times New Roman"/>
          <w:sz w:val="24"/>
          <w:szCs w:val="24"/>
          <w:highlight w:val="none"/>
          <w:lang w:val="en-US" w:eastAsia="zh-CN"/>
        </w:rPr>
        <w:t>承担该项检查的全部责任</w:t>
      </w:r>
      <w:r>
        <w:rPr>
          <w:rFonts w:hint="eastAsia" w:ascii="Times New Roman" w:hAnsi="Times New Roman" w:eastAsia="宋体" w:cs="Times New Roman"/>
          <w:sz w:val="24"/>
          <w:szCs w:val="24"/>
          <w:highlight w:val="none"/>
          <w:lang w:val="en-US" w:eastAsia="zh-CN"/>
        </w:rPr>
        <w:t>；</w:t>
      </w:r>
    </w:p>
    <w:p>
      <w:pPr>
        <w:pStyle w:val="10"/>
        <w:keepNext w:val="0"/>
        <w:keepLines w:val="0"/>
        <w:pageBreakBefore w:val="0"/>
        <w:widowControl w:val="0"/>
        <w:kinsoku/>
        <w:wordWrap w:val="0"/>
        <w:overflowPunct/>
        <w:topLinePunct/>
        <w:autoSpaceDE/>
        <w:autoSpaceDN/>
        <w:bidi w:val="0"/>
        <w:adjustRightInd w:val="0"/>
        <w:snapToGrid w:val="0"/>
        <w:spacing w:before="313" w:beforeLines="100" w:line="360" w:lineRule="auto"/>
        <w:ind w:left="0" w:leftChars="0" w:firstLine="0" w:firstLineChars="0"/>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 供货界面</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卖方供货时</w:t>
      </w:r>
      <w:r>
        <w:rPr>
          <w:rFonts w:hint="default" w:ascii="Times New Roman" w:hAnsi="Times New Roman" w:eastAsia="宋体" w:cs="Times New Roman"/>
          <w:sz w:val="24"/>
          <w:szCs w:val="24"/>
          <w:highlight w:val="none"/>
          <w:lang w:val="en-US" w:eastAsia="zh-CN"/>
        </w:rPr>
        <w:t>提供</w:t>
      </w:r>
      <w:r>
        <w:rPr>
          <w:rFonts w:hint="eastAsia" w:ascii="Times New Roman" w:hAnsi="Times New Roman" w:eastAsia="宋体" w:cs="Times New Roman"/>
          <w:sz w:val="24"/>
          <w:szCs w:val="24"/>
          <w:highlight w:val="none"/>
          <w:lang w:val="en-US" w:eastAsia="zh-CN"/>
        </w:rPr>
        <w:t>泵橇</w:t>
      </w:r>
      <w:r>
        <w:rPr>
          <w:rFonts w:hint="default" w:ascii="Times New Roman" w:hAnsi="Times New Roman" w:eastAsia="宋体" w:cs="Times New Roman"/>
          <w:sz w:val="24"/>
          <w:szCs w:val="24"/>
          <w:highlight w:val="none"/>
          <w:lang w:val="en-US" w:eastAsia="zh-CN"/>
        </w:rPr>
        <w:t>内所有配套设备、</w:t>
      </w:r>
      <w:r>
        <w:rPr>
          <w:rFonts w:hint="eastAsia" w:ascii="Times New Roman" w:hAnsi="Times New Roman" w:eastAsia="宋体" w:cs="Times New Roman"/>
          <w:sz w:val="24"/>
          <w:szCs w:val="24"/>
          <w:highlight w:val="none"/>
          <w:lang w:val="en-US" w:eastAsia="zh-CN"/>
        </w:rPr>
        <w:t>泵进出口配对法兰和变径、</w:t>
      </w:r>
      <w:r>
        <w:rPr>
          <w:rFonts w:hint="default" w:ascii="Times New Roman" w:hAnsi="Times New Roman" w:eastAsia="宋体" w:cs="Times New Roman"/>
          <w:sz w:val="24"/>
          <w:szCs w:val="24"/>
          <w:highlight w:val="none"/>
          <w:lang w:val="en-US" w:eastAsia="zh-CN"/>
        </w:rPr>
        <w:t>材料、管线、</w:t>
      </w:r>
      <w:r>
        <w:rPr>
          <w:rFonts w:hint="eastAsia" w:ascii="Times New Roman" w:hAnsi="Times New Roman" w:eastAsia="宋体" w:cs="Times New Roman"/>
          <w:sz w:val="24"/>
          <w:szCs w:val="24"/>
          <w:highlight w:val="none"/>
          <w:lang w:val="en-US" w:eastAsia="zh-CN"/>
        </w:rPr>
        <w:t>橇</w:t>
      </w:r>
      <w:r>
        <w:rPr>
          <w:rFonts w:hint="default" w:ascii="Times New Roman" w:hAnsi="Times New Roman" w:eastAsia="宋体" w:cs="Times New Roman"/>
          <w:sz w:val="24"/>
          <w:szCs w:val="24"/>
          <w:highlight w:val="none"/>
          <w:lang w:val="en-US" w:eastAsia="zh-CN"/>
        </w:rPr>
        <w:t>块底座、备品备件</w:t>
      </w:r>
      <w:r>
        <w:rPr>
          <w:rFonts w:hint="eastAsia" w:ascii="Times New Roman" w:hAnsi="Times New Roman" w:eastAsia="宋体" w:cs="Times New Roman"/>
          <w:sz w:val="24"/>
          <w:szCs w:val="24"/>
          <w:highlight w:val="none"/>
          <w:lang w:val="en-US" w:eastAsia="zh-CN"/>
        </w:rPr>
        <w:t>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卖方供货时提供所有必要的启动和调试备件，提供质保期备品备件。</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卖方在签订合同15日内提供泵的数据表、三维图(stp、RVM格式可导入PDMS)、外形安装图（总装图，含重量）、零部件图及清单，电机外形尺寸图，电机、风扇与空间加热器接线端子图等图纸文件。</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卖方在交货时提供泵的合格证、机械密封合格证、联轴器合格证、电机出厂合格证、电机出厂试验报告、各类安装使用说明书等。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后1个月内提供泵的材质质量检验报告、机械运转试验记录、性能试验报告与曲线图、噪声试验报告、振动试验报告、轴承温度试验报告、水压试验报告、静平衡试验报告、动平衡试验报告、探伤检测报告、船级社海上固定设施产品检验证书等证件报告。</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卖方在交货时提供发货清单明细与品牌清单、调试备品备件清单、质保期备品备件清单等。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卖方在签订合同15日内提供泵的检验和试验计划（ITP）、出厂验收试验程序（FAT）、操作维修手册与调试大纲。</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卖方在交货前7日内提供吊点/吊耳无损探伤检测报告，交货后30日内提交按买方要求制作的完工文件及各类证书。</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卖方在交货前15日提供泵铭牌图及照片。</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卖方交货时提供所有配套的材料、拆卸与维护工具、调试和生产用的一年备品备件等。</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卖方交货时提供所有必要的吊装设施及对应的吊装方案。</w:t>
      </w:r>
    </w:p>
    <w:p>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0" w:leftChars="0" w:firstLine="360" w:firstLineChars="15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卖方完成设备的现场安装、调试等相关服务，包括派人员到买方指定的交货地与海上平台完成设备的安装、调试、整改、试生产等工作，由买方按实际工作需求，安排卖方现场工作量，总计现场工作时不低于30人天（含陆地与海上），卖方因提供上述服务，产生的费用，均由卖方承担。因设备故障、整改等卖方原因导致超出的工作量，买方不予计量。</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三、执行标准/规范</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ascii="Times New Roman" w:hAnsi="Times New Roman" w:cs="Times New Roman"/>
          <w:bCs/>
          <w:sz w:val="24"/>
          <w:highlight w:val="none"/>
          <w:lang w:eastAsia="zh-CN"/>
        </w:rPr>
      </w:pPr>
      <w:r>
        <w:rPr>
          <w:rFonts w:hint="default" w:ascii="Times New Roman" w:hAnsi="Times New Roman" w:cs="Times New Roman"/>
          <w:bCs/>
          <w:sz w:val="24"/>
          <w:highlight w:val="none"/>
          <w:lang w:eastAsia="zh-CN"/>
        </w:rPr>
        <w:t>泵的设计、制造、认证和测试应符合以下规范、标准和法定法规：</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ascii="Times New Roman" w:hAnsi="Times New Roman" w:cs="Times New Roman"/>
          <w:bCs/>
          <w:sz w:val="24"/>
          <w:highlight w:val="none"/>
          <w:lang w:eastAsia="zh-CN"/>
        </w:rPr>
      </w:pPr>
      <w:r>
        <w:rPr>
          <w:rFonts w:ascii="Times New Roman" w:hAnsi="Times New Roman" w:cs="Times New Roman"/>
          <w:bCs/>
          <w:sz w:val="24"/>
          <w:highlight w:val="none"/>
          <w:lang w:eastAsia="zh-CN"/>
        </w:rPr>
        <w:t>API STD 610</w:t>
      </w:r>
      <w:r>
        <w:rPr>
          <w:rFonts w:hint="eastAsia" w:ascii="Times New Roman" w:hAnsi="Times New Roman" w:cs="Times New Roman"/>
          <w:bCs/>
          <w:sz w:val="24"/>
          <w:highlight w:val="none"/>
          <w:lang w:val="en-US" w:eastAsia="zh-CN"/>
        </w:rPr>
        <w:t xml:space="preserve"> 《石</w:t>
      </w:r>
      <w:r>
        <w:rPr>
          <w:rFonts w:hint="default" w:ascii="Times New Roman" w:hAnsi="Times New Roman" w:cs="Times New Roman"/>
          <w:bCs/>
          <w:sz w:val="24"/>
          <w:highlight w:val="none"/>
          <w:lang w:eastAsia="zh-CN"/>
        </w:rPr>
        <w:t>油、石化和天然气工业用离心泵</w:t>
      </w:r>
      <w:r>
        <w:rPr>
          <w:rFonts w:hint="eastAsia" w:ascii="Times New Roman" w:hAnsi="Times New Roman" w:cs="Times New Roman"/>
          <w:bCs/>
          <w:sz w:val="24"/>
          <w:highlight w:val="none"/>
          <w:lang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ascii="Times New Roman" w:hAnsi="Times New Roman" w:cs="Times New Roman"/>
          <w:bCs/>
          <w:sz w:val="24"/>
          <w:highlight w:val="none"/>
          <w:lang w:eastAsia="zh-CN"/>
        </w:rPr>
      </w:pPr>
      <w:r>
        <w:rPr>
          <w:rFonts w:ascii="Times New Roman" w:hAnsi="Times New Roman" w:cs="Times New Roman"/>
          <w:bCs/>
          <w:sz w:val="24"/>
          <w:highlight w:val="none"/>
          <w:lang w:eastAsia="zh-CN"/>
        </w:rPr>
        <w:t xml:space="preserve">ASME B16.5 </w:t>
      </w:r>
      <w:r>
        <w:rPr>
          <w:rFonts w:hint="eastAsia" w:ascii="Times New Roman" w:hAnsi="Times New Roman" w:cs="Times New Roman"/>
          <w:bCs/>
          <w:sz w:val="24"/>
          <w:highlight w:val="none"/>
          <w:lang w:eastAsia="zh-CN"/>
        </w:rPr>
        <w:t>《</w:t>
      </w:r>
      <w:r>
        <w:rPr>
          <w:rFonts w:hint="default" w:ascii="Times New Roman" w:hAnsi="Times New Roman" w:cs="Times New Roman"/>
          <w:bCs/>
          <w:sz w:val="24"/>
          <w:highlight w:val="none"/>
          <w:lang w:eastAsia="zh-CN"/>
        </w:rPr>
        <w:t>管法兰和法兰管件NPS 1/2至NPS 24公制/英寸标准</w:t>
      </w:r>
      <w:r>
        <w:rPr>
          <w:rFonts w:hint="eastAsia" w:ascii="Times New Roman" w:hAnsi="Times New Roman" w:cs="Times New Roman"/>
          <w:bCs/>
          <w:sz w:val="24"/>
          <w:highlight w:val="none"/>
          <w:lang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 xml:space="preserve">GB/T 29529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泵的噪声测量与评价方法</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 xml:space="preserve">GB/T 29531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泵的振动测量与评价方法</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eastAsia"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 xml:space="preserve">GB 18613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中小型三相异步电动机能效限定值与能效等级</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GB/T 1032   《三相异步电动机试验方法》</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GB/T</w:t>
      </w:r>
      <w:r>
        <w:rPr>
          <w:rFonts w:hint="eastAsia" w:ascii="Times New Roman" w:hAnsi="Times New Roman" w:cs="Times New Roman"/>
          <w:bCs/>
          <w:sz w:val="24"/>
          <w:highlight w:val="none"/>
          <w:lang w:val="en-US" w:eastAsia="zh-CN"/>
        </w:rPr>
        <w:t xml:space="preserve"> </w:t>
      </w:r>
      <w:r>
        <w:rPr>
          <w:rFonts w:hint="default" w:ascii="Times New Roman" w:hAnsi="Times New Roman" w:cs="Times New Roman"/>
          <w:bCs/>
          <w:sz w:val="24"/>
          <w:highlight w:val="none"/>
          <w:lang w:val="en-US" w:eastAsia="zh-CN"/>
        </w:rPr>
        <w:t xml:space="preserve">13007  </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离心泵效率</w:t>
      </w:r>
      <w:r>
        <w:rPr>
          <w:rFonts w:hint="eastAsia" w:ascii="Times New Roman" w:hAnsi="Times New Roman" w:cs="Times New Roman"/>
          <w:bCs/>
          <w:sz w:val="24"/>
          <w:highlight w:val="none"/>
          <w:lang w:val="en-US" w:eastAsia="zh-CN"/>
        </w:rPr>
        <w:t>》</w:t>
      </w:r>
    </w:p>
    <w:p>
      <w:pPr>
        <w:keepNext w:val="0"/>
        <w:keepLines w:val="0"/>
        <w:pageBreakBefore w:val="0"/>
        <w:widowControl w:val="0"/>
        <w:kinsoku/>
        <w:wordWrap/>
        <w:overflowPunct/>
        <w:topLinePunct w:val="0"/>
        <w:bidi w:val="0"/>
        <w:spacing w:line="300" w:lineRule="auto"/>
        <w:ind w:firstLine="480" w:firstLineChars="200"/>
        <w:jc w:val="left"/>
        <w:textAlignment w:val="auto"/>
        <w:rPr>
          <w:rFonts w:hint="default"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《海上固定平台安全规则》</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en-US"/>
        </w:rPr>
        <w:t>QBZH 11111.01-2024</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highlight w:val="none"/>
          <w:lang w:eastAsia="en-US"/>
        </w:rPr>
        <w:t>组块涂装规格书</w:t>
      </w:r>
      <w:r>
        <w:rPr>
          <w:rFonts w:hint="eastAsia" w:ascii="Times New Roman" w:hAnsi="Times New Roman" w:eastAsia="宋体" w:cs="Times New Roman"/>
          <w:color w:val="auto"/>
          <w:kern w:val="0"/>
          <w:sz w:val="24"/>
          <w:highlight w:val="none"/>
          <w:lang w:eastAsia="zh-CN"/>
        </w:rPr>
        <w:t>》</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en-US"/>
        </w:rPr>
        <w:t xml:space="preserve">QBZH 11104.01-2021 </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eastAsia" w:ascii="Times New Roman" w:hAnsi="Times New Roman" w:eastAsia="宋体" w:cs="Times New Roman"/>
          <w:color w:val="auto"/>
          <w:kern w:val="0"/>
          <w:sz w:val="24"/>
          <w:highlight w:val="none"/>
          <w:lang w:eastAsia="en-US"/>
        </w:rPr>
        <w:t>成橇设备</w:t>
      </w:r>
      <w:r>
        <w:rPr>
          <w:rFonts w:hint="eastAsia" w:ascii="Times New Roman" w:hAnsi="Times New Roman" w:eastAsia="宋体" w:cs="Times New Roman"/>
          <w:color w:val="auto"/>
          <w:kern w:val="0"/>
          <w:sz w:val="24"/>
          <w:highlight w:val="none"/>
          <w:lang w:eastAsia="zh-CN"/>
        </w:rPr>
        <w:t>》</w:t>
      </w:r>
    </w:p>
    <w:p>
      <w:pPr>
        <w:pStyle w:val="20"/>
        <w:keepNext w:val="0"/>
        <w:keepLines w:val="0"/>
        <w:pageBreakBefore w:val="0"/>
        <w:widowControl w:val="0"/>
        <w:kinsoku/>
        <w:wordWrap/>
        <w:overflowPunct/>
        <w:topLinePunct w:val="0"/>
        <w:bidi w:val="0"/>
        <w:ind w:left="0" w:leftChars="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 xml:space="preserve">QBZH 11104.14-2021 </w:t>
      </w:r>
      <w:r>
        <w:rPr>
          <w:rFonts w:hint="eastAsia" w:ascii="Times New Roman" w:hAnsi="Times New Roman" w:eastAsia="宋体" w:cs="Times New Roman"/>
          <w:color w:val="auto"/>
          <w:kern w:val="0"/>
          <w:sz w:val="24"/>
          <w:szCs w:val="22"/>
          <w:highlight w:val="none"/>
          <w:lang w:val="en-US" w:eastAsia="zh-CN" w:bidi="ar-SA"/>
        </w:rPr>
        <w:t>《</w:t>
      </w:r>
      <w:r>
        <w:rPr>
          <w:rFonts w:hint="eastAsia" w:ascii="Times New Roman" w:hAnsi="Times New Roman" w:eastAsia="宋体" w:cs="Times New Roman"/>
          <w:color w:val="auto"/>
          <w:kern w:val="0"/>
          <w:sz w:val="24"/>
          <w:highlight w:val="none"/>
          <w:lang w:val="en-US" w:eastAsia="zh-CN"/>
        </w:rPr>
        <w:t>中国境内海上油气田通用技术规格书-</w:t>
      </w:r>
      <w:r>
        <w:rPr>
          <w:rFonts w:hint="default" w:ascii="Times New Roman" w:hAnsi="Times New Roman" w:eastAsia="宋体" w:cs="Times New Roman"/>
          <w:color w:val="auto"/>
          <w:kern w:val="0"/>
          <w:sz w:val="24"/>
          <w:szCs w:val="22"/>
          <w:highlight w:val="none"/>
          <w:lang w:val="en-US" w:eastAsia="zh-CN" w:bidi="ar-SA"/>
        </w:rPr>
        <w:t xml:space="preserve">离心泵规格书 </w:t>
      </w:r>
      <w:r>
        <w:rPr>
          <w:rFonts w:hint="eastAsia" w:ascii="Times New Roman" w:hAnsi="Times New Roman" w:eastAsia="宋体" w:cs="Times New Roman"/>
          <w:color w:val="auto"/>
          <w:kern w:val="0"/>
          <w:sz w:val="24"/>
          <w:szCs w:val="22"/>
          <w:highlight w:val="none"/>
          <w:lang w:val="en-US" w:eastAsia="zh-CN" w:bidi="ar-SA"/>
        </w:rPr>
        <w:t>》</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以上凡没有标注版本日期的引用文件，其最新版本适用于本采购技术要求书。如上述标准与卖方所执行的标准发生矛盾时，应按较高标准执行。当标准、规范和买方要求对同一问题的规定不一致时，按较高要求执行。</w:t>
      </w:r>
    </w:p>
    <w:p>
      <w:pPr>
        <w:keepNext w:val="0"/>
        <w:keepLines w:val="0"/>
        <w:pageBreakBefore w:val="0"/>
        <w:widowControl w:val="0"/>
        <w:tabs>
          <w:tab w:val="left" w:pos="988"/>
        </w:tabs>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说明应用或执行的标准或规范，应为国家标准、行业标准或集团公司标准，如为内控标准，则需提供相应标准文件。</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四</w:t>
      </w:r>
      <w:r>
        <w:rPr>
          <w:rFonts w:cs="Times New Roman" w:asciiTheme="minorEastAsia" w:hAnsiTheme="minorEastAsia" w:eastAsiaTheme="minorEastAsia"/>
          <w:bCs/>
          <w:color w:val="auto"/>
          <w:sz w:val="32"/>
          <w:szCs w:val="32"/>
          <w:highlight w:val="none"/>
        </w:rPr>
        <w:t>、</w:t>
      </w:r>
      <w:r>
        <w:rPr>
          <w:rFonts w:hint="eastAsia" w:cs="Times New Roman" w:asciiTheme="minorEastAsia" w:hAnsiTheme="minorEastAsia" w:eastAsiaTheme="minorEastAsia"/>
          <w:bCs/>
          <w:color w:val="auto"/>
          <w:sz w:val="32"/>
          <w:szCs w:val="32"/>
          <w:highlight w:val="none"/>
        </w:rPr>
        <w:t>设计/使用条件</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作业环境、安装位置：户外，海上</w:t>
      </w:r>
      <w:r>
        <w:rPr>
          <w:rFonts w:hint="eastAsia" w:asciiTheme="minorEastAsia" w:hAnsiTheme="minorEastAsia" w:eastAsiaTheme="minorEastAsia"/>
          <w:sz w:val="24"/>
          <w:highlight w:val="none"/>
          <w:lang w:val="en-US" w:eastAsia="zh-CN"/>
        </w:rPr>
        <w:t>固定</w:t>
      </w:r>
      <w:r>
        <w:rPr>
          <w:rFonts w:hint="eastAsia" w:asciiTheme="minorEastAsia" w:hAnsiTheme="minorEastAsia" w:eastAsiaTheme="minorEastAsia"/>
          <w:sz w:val="24"/>
          <w:highlight w:val="none"/>
          <w:lang w:eastAsia="zh-CN"/>
        </w:rPr>
        <w:t>平台。</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环境温度：</w:t>
      </w:r>
      <w:r>
        <w:rPr>
          <w:rFonts w:hint="eastAsia" w:asciiTheme="minorEastAsia" w:hAnsiTheme="minorEastAsia" w:eastAsiaTheme="minorEastAsia"/>
          <w:sz w:val="24"/>
          <w:highlight w:val="none"/>
          <w:lang w:val="en-US" w:eastAsia="zh-CN"/>
        </w:rPr>
        <w:t>11.5</w:t>
      </w:r>
      <w:r>
        <w:rPr>
          <w:rFonts w:hint="eastAsia" w:asciiTheme="minorEastAsia" w:hAnsiTheme="minorEastAsia" w:eastAsiaTheme="minorEastAsia"/>
          <w:sz w:val="24"/>
          <w:highlight w:val="none"/>
          <w:lang w:eastAsia="zh-CN"/>
        </w:rPr>
        <w:t>℃～</w:t>
      </w:r>
      <w:r>
        <w:rPr>
          <w:rFonts w:asciiTheme="minorEastAsia" w:hAnsiTheme="minorEastAsia" w:eastAsiaTheme="minorEastAsia"/>
          <w:sz w:val="24"/>
          <w:highlight w:val="none"/>
          <w:lang w:eastAsia="zh-CN"/>
        </w:rPr>
        <w:t>3</w:t>
      </w:r>
      <w:r>
        <w:rPr>
          <w:rFonts w:hint="eastAsia" w:asciiTheme="minorEastAsia" w:hAnsiTheme="minorEastAsia" w:eastAsiaTheme="minorEastAsia"/>
          <w:sz w:val="24"/>
          <w:highlight w:val="none"/>
          <w:lang w:val="en-US" w:eastAsia="zh-CN"/>
        </w:rPr>
        <w:t>6</w:t>
      </w:r>
      <w:r>
        <w:rPr>
          <w:rFonts w:hint="eastAsia" w:asciiTheme="minorEastAsia" w:hAnsiTheme="minorEastAsia" w:eastAsiaTheme="minorEastAsia"/>
          <w:sz w:val="24"/>
          <w:highlight w:val="none"/>
          <w:lang w:eastAsia="zh-CN"/>
        </w:rPr>
        <w:t>℃。</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相对湿度：</w:t>
      </w:r>
      <w:r>
        <w:rPr>
          <w:rFonts w:asciiTheme="minorEastAsia" w:hAnsiTheme="minorEastAsia" w:eastAsiaTheme="minorEastAsia"/>
          <w:sz w:val="24"/>
          <w:highlight w:val="none"/>
          <w:lang w:eastAsia="zh-CN"/>
        </w:rPr>
        <w:t>45</w:t>
      </w:r>
      <w:r>
        <w:rPr>
          <w:rFonts w:hint="eastAsia" w:asciiTheme="minorEastAsia" w:hAnsiTheme="minorEastAsia" w:eastAsiaTheme="minorEastAsia"/>
          <w:sz w:val="24"/>
          <w:highlight w:val="none"/>
          <w:lang w:eastAsia="zh-CN"/>
        </w:rPr>
        <w:t>%～</w:t>
      </w:r>
      <w:r>
        <w:rPr>
          <w:rFonts w:asciiTheme="minorEastAsia" w:hAnsiTheme="minorEastAsia" w:eastAsiaTheme="minorEastAsia"/>
          <w:sz w:val="24"/>
          <w:highlight w:val="none"/>
          <w:lang w:eastAsia="zh-CN"/>
        </w:rPr>
        <w:t>100</w:t>
      </w:r>
      <w:r>
        <w:rPr>
          <w:rFonts w:hint="eastAsia" w:asciiTheme="minorEastAsia" w:hAnsiTheme="minorEastAsia" w:eastAsiaTheme="minorEastAsia"/>
          <w:sz w:val="24"/>
          <w:highlight w:val="none"/>
          <w:lang w:eastAsia="zh-CN"/>
        </w:rPr>
        <w:t>%，</w:t>
      </w:r>
      <w:r>
        <w:rPr>
          <w:rFonts w:hint="eastAsia" w:asciiTheme="minorEastAsia" w:hAnsiTheme="minorEastAsia" w:eastAsiaTheme="minorEastAsia"/>
          <w:sz w:val="24"/>
          <w:highlight w:val="none"/>
          <w:lang w:val="en-US" w:eastAsia="zh-CN"/>
        </w:rPr>
        <w:t>高盐雾</w:t>
      </w:r>
      <w:r>
        <w:rPr>
          <w:rFonts w:hint="eastAsia" w:asciiTheme="minorEastAsia" w:hAnsiTheme="minorEastAsia" w:eastAsiaTheme="minorEastAsia"/>
          <w:sz w:val="24"/>
          <w:highlight w:val="none"/>
          <w:lang w:eastAsia="zh-CN"/>
        </w:rPr>
        <w:t>。</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买方提供电源：380V，3ph，3wire，50Hz，neutral insulated；220V，1ph，2wire，50Hz，neutral insulated；10.5kV,3ph，3wire，50Hz，neutral insulated。</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买方提供公用压缩空气：压力450-750kPaG，露点-40℃；</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1440" w:firstLineChars="600"/>
        <w:textAlignment w:val="auto"/>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4"/>
          <w:highlight w:val="none"/>
          <w:lang w:val="en-US" w:eastAsia="zh-CN"/>
        </w:rPr>
        <w:t>海水冷却水（温度</w:t>
      </w:r>
      <w:r>
        <w:rPr>
          <w:rFonts w:hint="default" w:ascii="Times New Roman" w:hAnsi="Times New Roman" w:cs="Times New Roman" w:eastAsiaTheme="minorEastAsia"/>
          <w:sz w:val="24"/>
          <w:highlight w:val="none"/>
          <w:lang w:val="en-US" w:eastAsia="zh-CN"/>
        </w:rPr>
        <w:t>20.6~27.9℃</w:t>
      </w:r>
      <w:r>
        <w:rPr>
          <w:rFonts w:hint="eastAsia" w:asciiTheme="minorEastAsia" w:hAnsiTheme="minorEastAsia" w:eastAsiaTheme="minorEastAsia"/>
          <w:sz w:val="24"/>
          <w:highlight w:val="none"/>
          <w:lang w:val="en-US" w:eastAsia="zh-CN"/>
        </w:rPr>
        <w:t>）。</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油漆防腐要求：</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需要提供油漆防腐</w:t>
      </w:r>
      <w:r>
        <w:rPr>
          <w:rFonts w:hint="eastAsia" w:asciiTheme="minorEastAsia" w:hAnsiTheme="minorEastAsia" w:eastAsiaTheme="minorEastAsia"/>
          <w:sz w:val="24"/>
          <w:highlight w:val="none"/>
          <w:lang w:val="en-US" w:eastAsia="zh-CN"/>
        </w:rPr>
        <w:t>规格书（施工方案）</w:t>
      </w:r>
      <w:r>
        <w:rPr>
          <w:rFonts w:hint="eastAsia" w:asciiTheme="minorEastAsia" w:hAnsiTheme="minorEastAsia" w:eastAsiaTheme="minorEastAsia"/>
          <w:sz w:val="24"/>
          <w:highlight w:val="none"/>
          <w:lang w:eastAsia="zh-CN"/>
        </w:rPr>
        <w:t>，经</w:t>
      </w:r>
      <w:r>
        <w:rPr>
          <w:rFonts w:hint="eastAsia" w:asciiTheme="minorEastAsia" w:hAnsiTheme="minorEastAsia" w:eastAsiaTheme="minorEastAsia"/>
          <w:sz w:val="24"/>
          <w:highlight w:val="none"/>
          <w:lang w:val="en-US" w:eastAsia="zh-CN"/>
        </w:rPr>
        <w:t>买方</w:t>
      </w:r>
      <w:r>
        <w:rPr>
          <w:rFonts w:hint="eastAsia" w:asciiTheme="minorEastAsia" w:hAnsiTheme="minorEastAsia" w:eastAsiaTheme="minorEastAsia"/>
          <w:sz w:val="24"/>
          <w:highlight w:val="none"/>
          <w:lang w:eastAsia="zh-CN"/>
        </w:rPr>
        <w:t>审核通过，方可实施。</w:t>
      </w:r>
    </w:p>
    <w:p>
      <w:pPr>
        <w:pStyle w:val="10"/>
        <w:keepNext w:val="0"/>
        <w:keepLines w:val="0"/>
        <w:pageBreakBefore w:val="0"/>
        <w:widowControl w:val="0"/>
        <w:numPr>
          <w:ilvl w:val="0"/>
          <w:numId w:val="6"/>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资料和</w:t>
      </w:r>
      <w:r>
        <w:rPr>
          <w:rFonts w:hint="eastAsia" w:asciiTheme="minorEastAsia" w:hAnsiTheme="minorEastAsia" w:eastAsiaTheme="minorEastAsia"/>
          <w:sz w:val="24"/>
          <w:highlight w:val="none"/>
          <w:lang w:eastAsia="zh-CN"/>
        </w:rPr>
        <w:t>图纸要求：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textAlignment w:val="auto"/>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4"/>
          <w:highlight w:val="none"/>
          <w:lang w:val="en-US" w:eastAsia="zh-CN"/>
        </w:rPr>
        <w:t xml:space="preserve">   卖方应按照API610中关于图纸资料交付的相关条款要求，向买方提交下述资料（不限于此）。其中泵组总布置图应列出泵和驱动机的主要性能参数、单机外形尺寸、连接尺寸、维修和拆卸空间所需尺寸、各单机质量、总橇的尺寸和重量等。泵组管道和仪表控制流程图应标出流量、压力、温度正常值、报警值、停机值，管道规格，法兰标准等。</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default"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图5.1 图纸资料交付清单</w:t>
      </w:r>
    </w:p>
    <w:tbl>
      <w:tblPr>
        <w:tblStyle w:val="23"/>
        <w:tblW w:w="768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313"/>
        <w:gridCol w:w="792"/>
        <w:gridCol w:w="702"/>
        <w:gridCol w:w="589"/>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0" w:type="dxa"/>
            <w:gridSpan w:val="6"/>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1列    卖方中标后签订合同前提供的资料</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2列    中标之日起2周内提供的资料</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3列    设计协调会后2周内提供的资料</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4列    交货时装订成册的资料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序号</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资料名称</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2</w:t>
            </w: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w:t>
            </w: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泵组主要设备数据表</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2</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泵组总布置图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泵总装配图、主要部件图及零件清单</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4</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泵预期性能曲线</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5</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机械密封外形图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6</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机械密封辅助系统布置图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7</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泵橇管道和仪表控制流程图（包括润滑油、轴系检测、密封冲洗系统等）</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8</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泵组报警及连锁逻辑框图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9</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泵组接线箱外形图和内部端子及接线图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10</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泵组仪表数据表</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11</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电动机、联轴器外形图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12</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电动机工厂试验报告</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13</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电动机端子接线图</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14</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泵组水、电、气消耗指标汇总表</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589"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c>
          <w:tcPr>
            <w:tcW w:w="616" w:type="dxa"/>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Theme="minorEastAsia" w:hAnsiTheme="minorEastAsia" w:eastAsiaTheme="minorEastAsia" w:cstheme="minorBidi"/>
                <w:kern w:val="0"/>
                <w:sz w:val="21"/>
                <w:szCs w:val="21"/>
                <w:highlight w:val="none"/>
                <w:vertAlign w:val="baseline"/>
                <w:lang w:val="en-US" w:eastAsia="zh-CN" w:bidi="ar-SA"/>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15</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泵组安装使用说明书</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16</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电机使用说明书</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17</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工厂试验、检验报告、所有设备合格证书及按照容规规定的压力容器有关取证资料</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18</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备件及特殊工具清单</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19</w:t>
            </w:r>
          </w:p>
        </w:tc>
        <w:tc>
          <w:tcPr>
            <w:tcW w:w="4313"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装箱单及其它</w:t>
            </w:r>
          </w:p>
        </w:tc>
        <w:tc>
          <w:tcPr>
            <w:tcW w:w="79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70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58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p>
        </w:tc>
        <w:tc>
          <w:tcPr>
            <w:tcW w:w="616"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bl>
    <w:p>
      <w:pPr>
        <w:pStyle w:val="55"/>
        <w:numPr>
          <w:ilvl w:val="0"/>
          <w:numId w:val="7"/>
        </w:numPr>
        <w:spacing w:before="120" w:after="120" w:line="300" w:lineRule="auto"/>
        <w:outlineLvl w:val="0"/>
        <w:rPr>
          <w:rFonts w:hint="eastAsia"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技术要求</w:t>
      </w:r>
    </w:p>
    <w:p>
      <w:pPr>
        <w:keepNext w:val="0"/>
        <w:keepLines w:val="0"/>
        <w:pageBreakBefore w:val="0"/>
        <w:widowControl w:val="0"/>
        <w:kinsoku/>
        <w:wordWrap w:val="0"/>
        <w:overflowPunct/>
        <w:topLinePunct/>
        <w:autoSpaceDE/>
        <w:autoSpaceDN/>
        <w:bidi w:val="0"/>
        <w:adjustRightInd w:val="0"/>
        <w:snapToGrid w:val="0"/>
        <w:spacing w:before="313" w:beforeLines="100" w:line="360" w:lineRule="auto"/>
        <w:ind w:firstLine="562" w:firstLineChars="200"/>
        <w:jc w:val="both"/>
        <w:textAlignment w:val="auto"/>
        <w:outlineLvl w:val="1"/>
        <w:rPr>
          <w:rFonts w:hint="eastAsia" w:cs="Times New Roman" w:asciiTheme="minorEastAsia" w:hAnsiTheme="minorEastAsia" w:eastAsiaTheme="minorEastAsia"/>
          <w:bCs/>
          <w:color w:val="auto"/>
          <w:sz w:val="32"/>
          <w:szCs w:val="32"/>
          <w:highlight w:val="none"/>
        </w:rPr>
      </w:pPr>
      <w:r>
        <w:rPr>
          <w:rFonts w:hint="eastAsia" w:ascii="Times New Roman" w:hAnsi="Times New Roman" w:eastAsia="宋体" w:cs="Times New Roman"/>
          <w:b/>
          <w:bCs/>
          <w:color w:val="auto"/>
          <w:kern w:val="0"/>
          <w:sz w:val="28"/>
          <w:szCs w:val="28"/>
          <w:highlight w:val="none"/>
          <w:lang w:val="en-US" w:eastAsia="zh-CN" w:bidi="ar-SA"/>
        </w:rPr>
        <w:t>1.橇</w:t>
      </w:r>
      <w:r>
        <w:rPr>
          <w:rFonts w:hint="default" w:ascii="Times New Roman" w:hAnsi="Times New Roman" w:eastAsia="宋体" w:cs="Times New Roman"/>
          <w:b/>
          <w:bCs/>
          <w:color w:val="auto"/>
          <w:kern w:val="0"/>
          <w:sz w:val="28"/>
          <w:szCs w:val="28"/>
          <w:highlight w:val="none"/>
          <w:lang w:val="en-US" w:eastAsia="en-US" w:bidi="ar-SA"/>
        </w:rPr>
        <w:t>总体</w:t>
      </w:r>
      <w:r>
        <w:rPr>
          <w:rFonts w:hint="eastAsia" w:ascii="Times New Roman" w:hAnsi="Times New Roman" w:eastAsia="宋体" w:cs="Times New Roman"/>
          <w:b/>
          <w:bCs/>
          <w:color w:val="auto"/>
          <w:kern w:val="0"/>
          <w:sz w:val="28"/>
          <w:szCs w:val="28"/>
          <w:highlight w:val="none"/>
          <w:lang w:val="en-US" w:eastAsia="zh-CN" w:bidi="ar-SA"/>
        </w:rPr>
        <w:t>技术</w:t>
      </w:r>
      <w:r>
        <w:rPr>
          <w:rFonts w:hint="default" w:ascii="Times New Roman" w:hAnsi="Times New Roman" w:eastAsia="宋体" w:cs="Times New Roman"/>
          <w:b/>
          <w:bCs/>
          <w:color w:val="auto"/>
          <w:kern w:val="0"/>
          <w:sz w:val="28"/>
          <w:szCs w:val="28"/>
          <w:highlight w:val="none"/>
          <w:lang w:val="en-US" w:eastAsia="en-US" w:bidi="ar-SA"/>
        </w:rPr>
        <w:t>要求</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本次采购的</w:t>
      </w:r>
      <w:r>
        <w:rPr>
          <w:rFonts w:hint="eastAsia" w:ascii="Times New Roman" w:hAnsi="Times New Roman" w:cs="Times New Roman" w:eastAsiaTheme="minorEastAsia"/>
          <w:sz w:val="24"/>
          <w:highlight w:val="none"/>
          <w:lang w:val="en-US" w:eastAsia="zh-CN"/>
        </w:rPr>
        <w:t>低温精馏回流</w:t>
      </w:r>
      <w:r>
        <w:rPr>
          <w:rFonts w:hint="default" w:ascii="Times New Roman" w:hAnsi="Times New Roman" w:cs="Times New Roman" w:eastAsiaTheme="minorEastAsia"/>
          <w:sz w:val="24"/>
          <w:highlight w:val="none"/>
          <w:lang w:val="en-US" w:eastAsia="zh-CN"/>
        </w:rPr>
        <w:t>泵包括但不限于泵体、泵盖、叶轮、泵轴、轴承、密封装置、电机轴、联轴器及护罩、底座、进出口配对法兰及变径接头</w:t>
      </w:r>
      <w:r>
        <w:rPr>
          <w:rFonts w:hint="eastAsia" w:ascii="Times New Roman" w:hAnsi="Times New Roman" w:cs="Times New Roman" w:eastAsiaTheme="minorEastAsia"/>
          <w:sz w:val="24"/>
          <w:highlight w:val="none"/>
          <w:lang w:val="en-US" w:eastAsia="zh-CN"/>
        </w:rPr>
        <w:t>（ASME CL900）</w:t>
      </w:r>
      <w:r>
        <w:rPr>
          <w:rFonts w:hint="default" w:ascii="Times New Roman" w:hAnsi="Times New Roman" w:cs="Times New Roman" w:eastAsiaTheme="minorEastAsia"/>
          <w:sz w:val="24"/>
          <w:highlight w:val="none"/>
          <w:lang w:val="en-US" w:eastAsia="zh-CN"/>
        </w:rPr>
        <w:t>、紧固件、电机、接线盒、填料函、铭牌等，满足API610标准离心泵的相关标准及完整功能。</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★卖方承诺低温精馏回流</w:t>
      </w:r>
      <w:r>
        <w:rPr>
          <w:rFonts w:hint="default" w:ascii="Times New Roman" w:hAnsi="Times New Roman" w:cs="Times New Roman" w:eastAsiaTheme="minorEastAsia"/>
          <w:sz w:val="24"/>
          <w:highlight w:val="none"/>
          <w:lang w:val="en-US" w:eastAsia="zh-CN"/>
        </w:rPr>
        <w:t>泵选用</w:t>
      </w:r>
      <w:r>
        <w:rPr>
          <w:rFonts w:hint="eastAsia" w:ascii="Times New Roman" w:hAnsi="Times New Roman" w:cs="Times New Roman" w:eastAsiaTheme="minorEastAsia"/>
          <w:sz w:val="24"/>
          <w:highlight w:val="none"/>
          <w:lang w:val="en-US" w:eastAsia="zh-CN"/>
        </w:rPr>
        <w:t>单级悬臂式离心</w:t>
      </w:r>
      <w:r>
        <w:rPr>
          <w:rFonts w:hint="default" w:ascii="Times New Roman" w:hAnsi="Times New Roman" w:cs="Times New Roman" w:eastAsiaTheme="minorEastAsia"/>
          <w:sz w:val="24"/>
          <w:highlight w:val="none"/>
          <w:lang w:val="en-US" w:eastAsia="zh-CN"/>
        </w:rPr>
        <w:t>泵（</w:t>
      </w:r>
      <w:r>
        <w:rPr>
          <w:rFonts w:hint="eastAsia" w:ascii="Times New Roman" w:hAnsi="Times New Roman" w:cs="Times New Roman" w:eastAsiaTheme="minorEastAsia"/>
          <w:sz w:val="24"/>
          <w:highlight w:val="none"/>
          <w:lang w:val="en-US" w:eastAsia="zh-CN"/>
        </w:rPr>
        <w:t>API标准OH2型</w:t>
      </w:r>
      <w:r>
        <w:rPr>
          <w:rFonts w:hint="default" w:ascii="Times New Roman" w:hAnsi="Times New Roman" w:cs="Times New Roman" w:eastAsiaTheme="minorEastAsia"/>
          <w:sz w:val="24"/>
          <w:highlight w:val="none"/>
          <w:lang w:val="en-US" w:eastAsia="zh-CN"/>
        </w:rPr>
        <w:t>），泵的具体型式见数据表。泵制造厂应对整个机组包括泵、驱动机、控制及仪表、联轴器、相关的辅助设备和管道系统及其之间的合理匹配等负全部责任，并对整个系统的总成套设计、制造、性能、检验、试验、质量、供货、服务等责任。</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提供的</w:t>
      </w:r>
      <w:r>
        <w:rPr>
          <w:rFonts w:hint="eastAsia" w:ascii="Times New Roman" w:hAnsi="Times New Roman" w:cs="Times New Roman" w:eastAsiaTheme="minorEastAsia"/>
          <w:sz w:val="24"/>
          <w:highlight w:val="none"/>
          <w:lang w:val="en-US" w:eastAsia="zh-CN"/>
        </w:rPr>
        <w:t>泵</w:t>
      </w:r>
      <w:r>
        <w:rPr>
          <w:rFonts w:hint="default" w:ascii="Times New Roman" w:hAnsi="Times New Roman" w:cs="Times New Roman" w:eastAsiaTheme="minorEastAsia"/>
          <w:sz w:val="24"/>
          <w:highlight w:val="none"/>
          <w:lang w:val="en-US" w:eastAsia="zh-CN"/>
        </w:rPr>
        <w:t>橇内电气、仪表设备防爆等级应不低于Exd IIB T4，防护等级</w:t>
      </w:r>
      <w:r>
        <w:rPr>
          <w:rFonts w:hint="eastAsia" w:ascii="Times New Roman" w:hAnsi="Times New Roman" w:cs="Times New Roman" w:eastAsiaTheme="minorEastAsia"/>
          <w:sz w:val="24"/>
          <w:highlight w:val="none"/>
          <w:lang w:val="en-US" w:eastAsia="zh-CN"/>
        </w:rPr>
        <w:t>为</w:t>
      </w:r>
      <w:r>
        <w:rPr>
          <w:rFonts w:hint="default" w:ascii="Times New Roman" w:hAnsi="Times New Roman" w:cs="Times New Roman" w:eastAsiaTheme="minorEastAsia"/>
          <w:sz w:val="24"/>
          <w:highlight w:val="none"/>
          <w:lang w:val="en-US" w:eastAsia="zh-CN"/>
        </w:rPr>
        <w:t>IP56</w:t>
      </w:r>
      <w:r>
        <w:rPr>
          <w:rFonts w:hint="eastAsia" w:ascii="Times New Roman" w:hAnsi="Times New Roman" w:cs="Times New Roman" w:eastAsiaTheme="minorEastAsia"/>
          <w:sz w:val="24"/>
          <w:highlight w:val="none"/>
          <w:lang w:val="en-US" w:eastAsia="zh-CN"/>
        </w:rPr>
        <w:t>或IP66</w:t>
      </w:r>
      <w:r>
        <w:rPr>
          <w:rFonts w:hint="default" w:ascii="Times New Roman" w:hAnsi="Times New Roman" w:cs="Times New Roman" w:eastAsiaTheme="minorEastAsia"/>
          <w:sz w:val="24"/>
          <w:highlight w:val="none"/>
          <w:lang w:val="en-US" w:eastAsia="zh-CN"/>
        </w:rPr>
        <w:t>，</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提供橇内</w:t>
      </w:r>
      <w:r>
        <w:rPr>
          <w:rFonts w:hint="eastAsia" w:ascii="Times New Roman" w:hAnsi="Times New Roman" w:cs="Times New Roman" w:eastAsiaTheme="minorEastAsia"/>
          <w:sz w:val="24"/>
          <w:highlight w:val="none"/>
          <w:lang w:val="en-US" w:eastAsia="zh-CN"/>
        </w:rPr>
        <w:t>设备</w:t>
      </w:r>
      <w:r>
        <w:rPr>
          <w:rFonts w:hint="default" w:ascii="Times New Roman" w:hAnsi="Times New Roman" w:cs="Times New Roman" w:eastAsiaTheme="minorEastAsia"/>
          <w:sz w:val="24"/>
          <w:highlight w:val="none"/>
          <w:lang w:val="en-US" w:eastAsia="zh-CN"/>
        </w:rPr>
        <w:t>、管线、阀门等关键性组件的材质证书；</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整套泵组海上平台露天安装，泵、驱动机及辅助设备应在规定的环境条件下（高湿度的含盐环境）适用于启动和连续操作，应采取相应的安全和防护措施。输送介质为低温液态CO</w:t>
      </w:r>
      <w:r>
        <w:rPr>
          <w:rFonts w:hint="default" w:ascii="Times New Roman" w:hAnsi="Times New Roman" w:cs="Times New Roman" w:eastAsiaTheme="minorEastAsia"/>
          <w:sz w:val="24"/>
          <w:highlight w:val="none"/>
          <w:vertAlign w:val="subscript"/>
          <w:lang w:val="en-US" w:eastAsia="zh-CN"/>
        </w:rPr>
        <w:t>2</w:t>
      </w:r>
      <w:r>
        <w:rPr>
          <w:rFonts w:hint="default" w:ascii="Times New Roman" w:hAnsi="Times New Roman" w:cs="Times New Roman" w:eastAsiaTheme="minorEastAsia"/>
          <w:sz w:val="24"/>
          <w:highlight w:val="none"/>
          <w:lang w:val="en-US" w:eastAsia="zh-CN"/>
        </w:rPr>
        <w:t>，</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应高度重视泵材料的选择，泵材料应执行API610附录G及附录H的规定</w:t>
      </w:r>
      <w:r>
        <w:rPr>
          <w:rFonts w:hint="eastAsia" w:ascii="Times New Roman" w:hAnsi="Times New Roman" w:cs="Times New Roman" w:eastAsiaTheme="minorEastAsia"/>
          <w:sz w:val="24"/>
          <w:highlight w:val="none"/>
          <w:lang w:val="en-US" w:eastAsia="zh-CN"/>
        </w:rPr>
        <w:t>（详见附件引用标准）</w:t>
      </w:r>
      <w:r>
        <w:rPr>
          <w:rFonts w:hint="default" w:ascii="Times New Roman" w:hAnsi="Times New Roman" w:cs="Times New Roman" w:eastAsiaTheme="minorEastAsia"/>
          <w:sz w:val="24"/>
          <w:highlight w:val="none"/>
          <w:lang w:val="en-US" w:eastAsia="zh-CN"/>
        </w:rPr>
        <w:t>，也可以提供同等或更优质的材料，并经</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确认，确保所提供的材料适用于操作和外部环境。</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泵橇内的设备、阀门、仪表、管道、钢结构的防腐等级须达到C5M，</w:t>
      </w:r>
      <w:r>
        <w:rPr>
          <w:rFonts w:hint="eastAsia" w:ascii="Times New Roman" w:hAnsi="Times New Roman" w:cs="Times New Roman" w:eastAsiaTheme="minorEastAsia"/>
          <w:sz w:val="24"/>
          <w:highlight w:val="none"/>
          <w:lang w:val="en-US" w:eastAsia="zh-CN"/>
        </w:rPr>
        <w:t>卖方对泵橇内的防腐部分需满足【</w:t>
      </w:r>
      <w:r>
        <w:rPr>
          <w:rFonts w:hint="default" w:ascii="Times New Roman" w:hAnsi="Times New Roman" w:cs="Times New Roman" w:eastAsiaTheme="minorEastAsia"/>
          <w:sz w:val="24"/>
          <w:highlight w:val="none"/>
          <w:lang w:val="en-US" w:eastAsia="zh-CN"/>
        </w:rPr>
        <w:t>《中国境内海上油气田通用技术规格书-组块涂装规格书》QBZH 11111.01-2024</w:t>
      </w:r>
      <w:r>
        <w:rPr>
          <w:rFonts w:hint="eastAsia" w:ascii="Times New Roman" w:hAnsi="Times New Roman" w:cs="Times New Roman" w:eastAsiaTheme="minorEastAsia"/>
          <w:sz w:val="24"/>
          <w:highlight w:val="none"/>
          <w:lang w:val="en-US" w:eastAsia="zh-CN"/>
        </w:rPr>
        <w:t>中第4.2.2部分。】</w:t>
      </w:r>
    </w:p>
    <w:p>
      <w:pP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 xml:space="preserve">        以下为引用标准中所列重要参数，纳入评议范围：</w:t>
      </w:r>
    </w:p>
    <w:p>
      <w:pPr>
        <w:rPr>
          <w:rFonts w:hint="default"/>
          <w:highlight w:val="none"/>
          <w:lang w:val="en-US" w:eastAsia="zh-CN"/>
        </w:rPr>
      </w:pPr>
    </w:p>
    <w:p>
      <w:pPr>
        <w:jc w:val="center"/>
        <w:rPr>
          <w:rFonts w:hint="default"/>
          <w:highlight w:val="none"/>
          <w:lang w:val="en-US" w:eastAsia="zh-CN"/>
        </w:rPr>
      </w:pPr>
      <w:r>
        <w:rPr>
          <w:rFonts w:hint="default"/>
          <w:highlight w:val="none"/>
          <w:lang w:val="en-US" w:eastAsia="zh-CN"/>
        </w:rPr>
        <w:drawing>
          <wp:inline distT="0" distB="0" distL="114300" distR="114300">
            <wp:extent cx="4476750" cy="4801870"/>
            <wp:effectExtent l="0" t="0" r="0" b="17780"/>
            <wp:docPr id="4" name="图片 4" descr="AE741A7D-25F9-42f2-8053-B949D5037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E741A7D-25F9-42f2-8053-B949D5037A44"/>
                    <pic:cNvPicPr>
                      <a:picLocks noChangeAspect="1"/>
                    </pic:cNvPicPr>
                  </pic:nvPicPr>
                  <pic:blipFill>
                    <a:blip r:embed="rId9"/>
                    <a:stretch>
                      <a:fillRect/>
                    </a:stretch>
                  </pic:blipFill>
                  <pic:spPr>
                    <a:xfrm>
                      <a:off x="0" y="0"/>
                      <a:ext cx="4476750" cy="4801870"/>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在要求的介质、温度等工作条件下，所有泵体、叶轮、冲洗冷却部件等泵结构接液的材质应耐腐蚀，保证使用不出现腐蚀情况。</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jc w:val="left"/>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每台泵应能安全、平稳运行，振动、噪声、轴承温度应</w:t>
      </w:r>
      <w:r>
        <w:rPr>
          <w:rFonts w:hint="eastAsia" w:ascii="Times New Roman" w:hAnsi="Times New Roman" w:cs="Times New Roman" w:eastAsiaTheme="minorEastAsia"/>
          <w:sz w:val="24"/>
          <w:highlight w:val="none"/>
          <w:lang w:val="en-US" w:eastAsia="zh-CN"/>
        </w:rPr>
        <w:t>满足</w:t>
      </w:r>
      <w:r>
        <w:rPr>
          <w:rFonts w:hint="default" w:ascii="Times New Roman" w:hAnsi="Times New Roman" w:cs="Times New Roman" w:eastAsiaTheme="minorEastAsia"/>
          <w:sz w:val="24"/>
          <w:highlight w:val="none"/>
          <w:lang w:val="en-US" w:eastAsia="zh-CN"/>
        </w:rPr>
        <w:t>GB/T 29529 《泵的噪声测量与评价方法》</w:t>
      </w:r>
      <w:r>
        <w:rPr>
          <w:rFonts w:hint="eastAsia" w:ascii="Times New Roman" w:hAnsi="Times New Roman" w:cs="Times New Roman" w:eastAsiaTheme="minorEastAsia"/>
          <w:sz w:val="24"/>
          <w:highlight w:val="none"/>
          <w:lang w:val="en-US" w:eastAsia="zh-CN"/>
        </w:rPr>
        <w:t>中第5部分和</w:t>
      </w:r>
      <w:r>
        <w:rPr>
          <w:rFonts w:hint="default" w:ascii="Times New Roman" w:hAnsi="Times New Roman" w:cs="Times New Roman" w:eastAsiaTheme="minorEastAsia"/>
          <w:sz w:val="24"/>
          <w:highlight w:val="none"/>
          <w:lang w:val="en-US" w:eastAsia="zh-CN"/>
        </w:rPr>
        <w:t>GB/T 29531《泵的振动测量与评价方法》</w:t>
      </w:r>
      <w:r>
        <w:rPr>
          <w:rFonts w:hint="eastAsia" w:ascii="Times New Roman" w:hAnsi="Times New Roman" w:cs="Times New Roman" w:eastAsiaTheme="minorEastAsia"/>
          <w:sz w:val="24"/>
          <w:highlight w:val="none"/>
          <w:lang w:val="en-US" w:eastAsia="zh-CN"/>
        </w:rPr>
        <w:t>中第6部分</w:t>
      </w:r>
      <w:r>
        <w:rPr>
          <w:rFonts w:hint="default" w:ascii="Times New Roman" w:hAnsi="Times New Roman" w:cs="Times New Roman" w:eastAsiaTheme="minorEastAsia"/>
          <w:sz w:val="24"/>
          <w:highlight w:val="none"/>
          <w:lang w:val="en-US" w:eastAsia="zh-CN"/>
        </w:rPr>
        <w:t>相关标准要求，</w:t>
      </w:r>
      <w:r>
        <w:rPr>
          <w:rFonts w:hint="eastAsia" w:ascii="Times New Roman" w:hAnsi="Times New Roman" w:cs="Times New Roman" w:eastAsiaTheme="minorEastAsia"/>
          <w:sz w:val="24"/>
          <w:highlight w:val="none"/>
          <w:lang w:val="en-US" w:eastAsia="zh-CN"/>
        </w:rPr>
        <w:t>满足</w:t>
      </w:r>
      <w:r>
        <w:rPr>
          <w:rFonts w:hint="default" w:ascii="Times New Roman" w:hAnsi="Times New Roman" w:cs="Times New Roman" w:eastAsiaTheme="minorEastAsia"/>
          <w:sz w:val="24"/>
          <w:highlight w:val="none"/>
          <w:lang w:val="en-US" w:eastAsia="zh-CN"/>
        </w:rPr>
        <w:t>QBZH 11104.14-2021《中国境内海上油气田通用技术规格书-离心泵规格书 》</w:t>
      </w:r>
      <w:r>
        <w:rPr>
          <w:rFonts w:hint="eastAsia" w:ascii="Times New Roman" w:hAnsi="Times New Roman" w:cs="Times New Roman" w:eastAsiaTheme="minorEastAsia"/>
          <w:sz w:val="24"/>
          <w:highlight w:val="none"/>
          <w:lang w:val="en-US" w:eastAsia="zh-CN"/>
        </w:rPr>
        <w:t>中第4部分</w:t>
      </w:r>
      <w:r>
        <w:rPr>
          <w:rFonts w:hint="default" w:ascii="Times New Roman" w:hAnsi="Times New Roman" w:cs="Times New Roman" w:eastAsiaTheme="minorEastAsia"/>
          <w:sz w:val="24"/>
          <w:highlight w:val="none"/>
          <w:lang w:val="en-US" w:eastAsia="zh-CN"/>
        </w:rPr>
        <w:t>要求，其中振动级别不得低于B。</w:t>
      </w:r>
    </w:p>
    <w:p>
      <w:pPr>
        <w:ind w:left="960" w:hanging="960" w:hangingChars="4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 xml:space="preserve">           泵的噪声测量方法需满足标准【《泵的噪声测量与评价方法》GB/T 29529中第5.2条。】</w:t>
      </w:r>
    </w:p>
    <w:p>
      <w:pPr>
        <w:ind w:left="916" w:leftChars="436" w:firstLine="0" w:firstLineChars="0"/>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以下为引用标准中所列重要参数，纳入评议范围：</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960" w:hanging="960" w:hangingChars="400"/>
        <w:textAlignment w:val="auto"/>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sz w:val="24"/>
          <w:highlight w:val="none"/>
          <w:lang w:val="en-US" w:eastAsia="zh-CN"/>
        </w:rPr>
        <w:t xml:space="preserve"> </w:t>
      </w:r>
      <w:r>
        <w:rPr>
          <w:rFonts w:hint="eastAsia" w:ascii="Times New Roman" w:hAnsi="Times New Roman" w:cs="Times New Roman" w:eastAsiaTheme="minorEastAsia"/>
          <w:kern w:val="0"/>
          <w:sz w:val="24"/>
          <w:szCs w:val="21"/>
          <w:highlight w:val="none"/>
          <w:lang w:val="en-US" w:eastAsia="zh-CN" w:bidi="ar-SA"/>
        </w:rPr>
        <w:t xml:space="preserve"> </w:t>
      </w:r>
      <w:r>
        <w:rPr>
          <w:rFonts w:hint="eastAsia" w:ascii="Times New Roman" w:hAnsi="Times New Roman" w:cs="Times New Roman"/>
          <w:kern w:val="0"/>
          <w:sz w:val="24"/>
          <w:szCs w:val="21"/>
          <w:highlight w:val="none"/>
          <w:lang w:val="en-US" w:eastAsia="zh-CN" w:bidi="ar-SA"/>
        </w:rPr>
        <w:t xml:space="preserve">   </w:t>
      </w:r>
      <w:r>
        <w:rPr>
          <w:rFonts w:hint="eastAsia" w:ascii="Times New Roman" w:hAnsi="Times New Roman" w:cs="Times New Roman" w:eastAsiaTheme="minorEastAsia"/>
          <w:kern w:val="0"/>
          <w:sz w:val="24"/>
          <w:szCs w:val="21"/>
          <w:highlight w:val="none"/>
          <w:lang w:val="en-US" w:eastAsia="zh-CN" w:bidi="ar-SA"/>
        </w:rPr>
        <w:t xml:space="preserve">      </w:t>
      </w:r>
      <w:r>
        <w:rPr>
          <w:rFonts w:hint="eastAsia" w:ascii="Times New Roman" w:hAnsi="Times New Roman" w:cs="Times New Roman" w:eastAsiaTheme="minorEastAsia"/>
          <w:sz w:val="24"/>
          <w:highlight w:val="none"/>
          <w:lang w:val="en-US" w:eastAsia="zh-CN"/>
        </w:rPr>
        <w:t>5.2 每次测量前后，应当用准确度校准±0.3dB声校准器在测试的频率范围内的一个或多个频率上对整个测量系统进行校准。声校准器和测量系统应当经过计量检定合格且在检定有效期内。</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960" w:hanging="960" w:hangingChars="400"/>
        <w:textAlignment w:val="auto"/>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 xml:space="preserve">           泵的振动测量方法需满足标准【</w:t>
      </w:r>
      <w:r>
        <w:rPr>
          <w:rFonts w:hint="default" w:ascii="Times New Roman" w:hAnsi="Times New Roman" w:cs="Times New Roman" w:eastAsiaTheme="minorEastAsia"/>
          <w:sz w:val="24"/>
          <w:highlight w:val="none"/>
          <w:lang w:val="en-US" w:eastAsia="zh-CN"/>
        </w:rPr>
        <w:t>《泵的振动测量与评价方法》GB/T 29531</w:t>
      </w:r>
      <w:r>
        <w:rPr>
          <w:rFonts w:hint="eastAsia" w:ascii="Times New Roman" w:hAnsi="Times New Roman" w:cs="Times New Roman" w:eastAsiaTheme="minorEastAsia"/>
          <w:sz w:val="24"/>
          <w:highlight w:val="none"/>
          <w:lang w:val="en-US" w:eastAsia="zh-CN"/>
        </w:rPr>
        <w:t>中第6.3条。】</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960" w:firstLineChars="400"/>
        <w:textAlignment w:val="auto"/>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以下为引用标准中所列重要参数，纳入评议范围：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3455035" cy="4221480"/>
            <wp:effectExtent l="0" t="0" r="12065" b="7620"/>
            <wp:docPr id="5" name="图片 5" descr="4DE91055-DF27-4157-955B-4E2132FEA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E91055-DF27-4157-955B-4E2132FEAB60"/>
                    <pic:cNvPicPr>
                      <a:picLocks noChangeAspect="1"/>
                    </pic:cNvPicPr>
                  </pic:nvPicPr>
                  <pic:blipFill>
                    <a:blip r:embed="rId10"/>
                    <a:stretch>
                      <a:fillRect/>
                    </a:stretch>
                  </pic:blipFill>
                  <pic:spPr>
                    <a:xfrm>
                      <a:off x="0" y="0"/>
                      <a:ext cx="3455035" cy="4221480"/>
                    </a:xfrm>
                    <a:prstGeom prst="rect">
                      <a:avLst/>
                    </a:prstGeom>
                  </pic:spPr>
                </pic:pic>
              </a:graphicData>
            </a:graphic>
          </wp:inline>
        </w:drawing>
      </w:r>
    </w:p>
    <w:p>
      <w:pPr>
        <w:pStyle w:val="20"/>
        <w:ind w:left="916" w:leftChars="436" w:firstLine="480" w:firstLineChars="200"/>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泵的振动要求需满足标准【</w:t>
      </w:r>
      <w:r>
        <w:rPr>
          <w:rFonts w:hint="default" w:ascii="Times New Roman" w:hAnsi="Times New Roman" w:cs="Times New Roman" w:eastAsiaTheme="minorEastAsia"/>
          <w:sz w:val="24"/>
          <w:highlight w:val="none"/>
          <w:lang w:val="en-US" w:eastAsia="zh-CN"/>
        </w:rPr>
        <w:t>《中国境内海上油气田通用技术规格书-离心泵规格书 》QBZH 11104.14-2021</w:t>
      </w:r>
      <w:r>
        <w:rPr>
          <w:rFonts w:hint="eastAsia" w:ascii="Times New Roman" w:hAnsi="Times New Roman" w:cs="Times New Roman" w:eastAsiaTheme="minorEastAsia"/>
          <w:sz w:val="24"/>
          <w:highlight w:val="none"/>
          <w:lang w:val="en-US" w:eastAsia="zh-CN"/>
        </w:rPr>
        <w:t>中第4.2.5条。】</w:t>
      </w:r>
    </w:p>
    <w:p>
      <w:pPr>
        <w:pStyle w:val="20"/>
        <w:ind w:left="916" w:leftChars="436" w:firstLine="480" w:firstLineChars="200"/>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以下为引用标准中所列重要参数，纳入评议范围：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3310255" cy="3218815"/>
            <wp:effectExtent l="0" t="0" r="4445" b="635"/>
            <wp:docPr id="6" name="图片 6" descr="30F3944C08584e3eB21795096ECA8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F3944C08584e3eB21795096ECA8D8C"/>
                    <pic:cNvPicPr>
                      <a:picLocks noChangeAspect="1"/>
                    </pic:cNvPicPr>
                  </pic:nvPicPr>
                  <pic:blipFill>
                    <a:blip r:embed="rId11"/>
                    <a:stretch>
                      <a:fillRect/>
                    </a:stretch>
                  </pic:blipFill>
                  <pic:spPr>
                    <a:xfrm>
                      <a:off x="0" y="0"/>
                      <a:ext cx="3310255" cy="321881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泵的流量、扬程、材质应满足数据表中对应的要求</w:t>
      </w:r>
      <w:r>
        <w:rPr>
          <w:rFonts w:hint="eastAsia" w:ascii="Times New Roman" w:hAnsi="Times New Roman" w:cs="Times New Roman" w:eastAsiaTheme="minorEastAsia"/>
          <w:sz w:val="24"/>
          <w:highlight w:val="none"/>
          <w:lang w:val="en-US" w:eastAsia="zh-CN"/>
        </w:rPr>
        <w:t>，卖方应在投标文件中补充完整买方提供的数据表。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应根据规定的材料等级</w:t>
      </w:r>
      <w:r>
        <w:rPr>
          <w:rFonts w:hint="eastAsia" w:ascii="Times New Roman" w:hAnsi="Times New Roman" w:cs="Times New Roman" w:eastAsiaTheme="minorEastAsia"/>
          <w:sz w:val="24"/>
          <w:highlight w:val="none"/>
          <w:lang w:val="en-US" w:eastAsia="zh-CN"/>
        </w:rPr>
        <w:t>、</w:t>
      </w:r>
      <w:r>
        <w:rPr>
          <w:rFonts w:hint="default" w:ascii="Times New Roman" w:hAnsi="Times New Roman" w:cs="Times New Roman" w:eastAsiaTheme="minorEastAsia"/>
          <w:sz w:val="24"/>
          <w:highlight w:val="none"/>
          <w:lang w:val="en-US" w:eastAsia="zh-CN"/>
        </w:rPr>
        <w:t>规定的操作条件负责最终的材料选择，并在数据表上标明主要零部件（例如：筒体/端盖/壳体、叶轮、轴、口环、平衡鼓等）的具体牌号。</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铸件要求及其质量控制应按照API610规定，若铸件质量存在问题需要修复，铸件的修复方法应提交</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批准。</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泵的效率应满足</w:t>
      </w:r>
      <w:r>
        <w:rPr>
          <w:rFonts w:hint="eastAsia" w:ascii="Times New Roman" w:hAnsi="Times New Roman" w:cs="Times New Roman" w:eastAsiaTheme="minorEastAsia"/>
          <w:sz w:val="24"/>
          <w:highlight w:val="none"/>
          <w:lang w:val="en-US" w:eastAsia="zh-CN"/>
        </w:rPr>
        <w:t>标准【</w:t>
      </w:r>
      <w:r>
        <w:rPr>
          <w:rFonts w:hint="default" w:ascii="Times New Roman" w:hAnsi="Times New Roman" w:cs="Times New Roman" w:eastAsiaTheme="minorEastAsia"/>
          <w:sz w:val="24"/>
          <w:highlight w:val="none"/>
          <w:lang w:val="en-US" w:eastAsia="zh-CN"/>
        </w:rPr>
        <w:t>《离心泵效率》GB/T13007</w:t>
      </w:r>
      <w:r>
        <w:rPr>
          <w:rFonts w:hint="eastAsia" w:ascii="Times New Roman" w:hAnsi="Times New Roman" w:cs="Times New Roman" w:eastAsiaTheme="minorEastAsia"/>
          <w:sz w:val="24"/>
          <w:highlight w:val="none"/>
          <w:lang w:val="en-US" w:eastAsia="zh-CN"/>
        </w:rPr>
        <w:t>中第5部分</w:t>
      </w:r>
      <w:r>
        <w:rPr>
          <w:rFonts w:hint="default" w:ascii="Times New Roman" w:hAnsi="Times New Roman" w:cs="Times New Roman" w:eastAsiaTheme="minorEastAsia"/>
          <w:sz w:val="24"/>
          <w:highlight w:val="none"/>
          <w:lang w:val="en-US" w:eastAsia="zh-CN"/>
        </w:rPr>
        <w:t>的要求</w:t>
      </w:r>
      <w:r>
        <w:rPr>
          <w:rFonts w:hint="eastAsia" w:ascii="Times New Roman" w:hAnsi="Times New Roman" w:cs="Times New Roman" w:eastAsiaTheme="minorEastAsia"/>
          <w:sz w:val="24"/>
          <w:highlight w:val="none"/>
          <w:lang w:val="en-US"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firstLine="480" w:firstLine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以下为引用标中所列重要参数，纳入评议范围：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4228465" cy="2208530"/>
            <wp:effectExtent l="0" t="0" r="635" b="1270"/>
            <wp:docPr id="18" name="图片 18" descr="4CDC6806-B7D8-46c0-8FA5-921D0538E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CDC6806-B7D8-46c0-8FA5-921D0538E8DC"/>
                    <pic:cNvPicPr>
                      <a:picLocks noChangeAspect="1"/>
                    </pic:cNvPicPr>
                  </pic:nvPicPr>
                  <pic:blipFill>
                    <a:blip r:embed="rId12"/>
                    <a:stretch>
                      <a:fillRect/>
                    </a:stretch>
                  </pic:blipFill>
                  <pic:spPr>
                    <a:xfrm>
                      <a:off x="0" y="0"/>
                      <a:ext cx="4228465" cy="2208530"/>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从泵的最小连续稳定流量至额定点流量范围内，NPSHa都应大于NPSHr至少10%以上，且不得小于1m</w:t>
      </w:r>
      <w:r>
        <w:rPr>
          <w:rFonts w:hint="eastAsia" w:ascii="Times New Roman" w:hAnsi="Times New Roman" w:cs="Times New Roman" w:eastAsiaTheme="minorEastAsia"/>
          <w:sz w:val="24"/>
          <w:highlight w:val="none"/>
          <w:lang w:val="en-US" w:eastAsia="zh-CN"/>
        </w:rPr>
        <w:t>；</w:t>
      </w:r>
      <w:r>
        <w:rPr>
          <w:rFonts w:hint="default" w:ascii="Times New Roman" w:hAnsi="Times New Roman" w:cs="Times New Roman" w:eastAsiaTheme="minorEastAsia"/>
          <w:sz w:val="24"/>
          <w:highlight w:val="none"/>
          <w:lang w:val="en-US" w:eastAsia="zh-CN"/>
        </w:rPr>
        <w:t>当泵的吸入口压力为负压时，NPSHa应大于NPSHr至少2m。</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所选泵的最佳效率点流量宜在正常流量和额定流量之间，正常流量应在最佳效率点流量的70%~100%范围之间。</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泵的选型应具备，在更大直径叶轮或不同的水</w:t>
      </w:r>
      <w:r>
        <w:rPr>
          <w:rFonts w:hint="eastAsia" w:ascii="Times New Roman" w:hAnsi="Times New Roman" w:cs="Times New Roman" w:eastAsiaTheme="minorEastAsia"/>
          <w:sz w:val="24"/>
          <w:highlight w:val="none"/>
          <w:lang w:val="en-US" w:eastAsia="zh-CN"/>
        </w:rPr>
        <w:t>力</w:t>
      </w:r>
      <w:r>
        <w:rPr>
          <w:rFonts w:hint="default" w:ascii="Times New Roman" w:hAnsi="Times New Roman" w:cs="Times New Roman" w:eastAsiaTheme="minorEastAsia"/>
          <w:sz w:val="24"/>
          <w:highlight w:val="none"/>
          <w:lang w:val="en-US" w:eastAsia="zh-CN"/>
        </w:rPr>
        <w:t>设计的叶轮之后，在额定工况下泵的扬程至少升高5%。</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泵的结构设计应满足在不拆除泵进、出口管线的情况下，方便抽出转子或内壳体。</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泵叶轮在轴上采用每个叶轮单独固定，以防止叶轮轴向移动。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转子的每一个主要转动部件或整个转子做动、静平衡试验，静平衡精度等级为G6.3，动平衡精度等级为G2.5。</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泵的压力泵壳，包括吸入室，应按</w:t>
      </w:r>
      <w:r>
        <w:rPr>
          <w:rFonts w:hint="eastAsia" w:ascii="Times New Roman" w:hAnsi="Times New Roman" w:cs="Times New Roman" w:eastAsiaTheme="minorEastAsia"/>
          <w:sz w:val="24"/>
          <w:highlight w:val="none"/>
          <w:lang w:val="en-US" w:eastAsia="zh-CN"/>
        </w:rPr>
        <w:t>低温精馏塔设计</w:t>
      </w:r>
      <w:r>
        <w:rPr>
          <w:rFonts w:hint="default" w:ascii="Times New Roman" w:hAnsi="Times New Roman" w:cs="Times New Roman" w:eastAsiaTheme="minorEastAsia"/>
          <w:sz w:val="24"/>
          <w:highlight w:val="none"/>
          <w:lang w:val="en-US" w:eastAsia="zh-CN"/>
        </w:rPr>
        <w:t>压力</w:t>
      </w:r>
      <w:r>
        <w:rPr>
          <w:rFonts w:hint="eastAsia" w:ascii="Times New Roman" w:hAnsi="Times New Roman" w:cs="Times New Roman" w:eastAsiaTheme="minorEastAsia"/>
          <w:sz w:val="24"/>
          <w:highlight w:val="none"/>
          <w:lang w:val="en-US" w:eastAsia="zh-CN"/>
        </w:rPr>
        <w:t>8.235MPaG</w:t>
      </w:r>
      <w:r>
        <w:rPr>
          <w:rFonts w:hint="default" w:ascii="Times New Roman" w:hAnsi="Times New Roman" w:cs="Times New Roman" w:eastAsiaTheme="minorEastAsia"/>
          <w:sz w:val="24"/>
          <w:highlight w:val="none"/>
          <w:lang w:val="en-US" w:eastAsia="zh-CN"/>
        </w:rPr>
        <w:t>设计和进行压力试验</w:t>
      </w:r>
      <w:r>
        <w:rPr>
          <w:rFonts w:hint="eastAsia" w:ascii="Times New Roman" w:hAnsi="Times New Roman" w:cs="Times New Roman" w:eastAsiaTheme="minorEastAsia"/>
          <w:sz w:val="24"/>
          <w:highlight w:val="none"/>
          <w:lang w:val="en-US" w:eastAsia="zh-CN"/>
        </w:rPr>
        <w:t>，水压试验压力为设计压力的1.25倍</w:t>
      </w:r>
      <w:r>
        <w:rPr>
          <w:rFonts w:hint="default" w:ascii="Times New Roman" w:hAnsi="Times New Roman" w:cs="Times New Roman" w:eastAsiaTheme="minorEastAsia"/>
          <w:sz w:val="24"/>
          <w:highlight w:val="none"/>
          <w:lang w:val="en-US" w:eastAsia="zh-CN"/>
        </w:rPr>
        <w:t>。</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轴承和轴承箱应符合API610第6.10条规定，轴承型式应按照API610表10确定。当泵组采用自润滑时，泵轴承箱体应安装油位的油窗和自动补油油杯。泵轴承箱上应按API610标准要求，预留用于油雾润滑的油雾接口、配套堵头。</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组采用整体联合底座，联合底座应为具有足够的结构刚性的重型底座，设有排液面板、集液槽、吊耳等。底座范围内的所有设备及附属管线（包括冷却水系统、密封系统、各支管、电气仪表接线及接线盒）都应完全预制安装完毕，所有与用户接口均匀法兰形式接至底座边缘。底座带有G1〞的接口供集中排凝</w:t>
      </w:r>
      <w:r>
        <w:rPr>
          <w:rFonts w:hint="eastAsia" w:ascii="Times New Roman" w:hAnsi="Times New Roman" w:cs="Times New Roman" w:eastAsiaTheme="minorEastAsia"/>
          <w:sz w:val="24"/>
          <w:highlight w:val="none"/>
          <w:lang w:val="en-US" w:eastAsia="zh-CN"/>
        </w:rPr>
        <w:t>；【泵组成橇需满足标准</w:t>
      </w:r>
      <w:r>
        <w:rPr>
          <w:rFonts w:hint="default" w:ascii="Times New Roman" w:hAnsi="Times New Roman" w:cs="Times New Roman" w:eastAsiaTheme="minorEastAsia"/>
          <w:sz w:val="24"/>
          <w:highlight w:val="none"/>
          <w:lang w:val="en-US" w:eastAsia="zh-CN"/>
        </w:rPr>
        <w:t xml:space="preserve">《中国境内海上油气田通用技术规格书-成橇设备》QBZH 11104.01-2021 </w:t>
      </w:r>
      <w:r>
        <w:rPr>
          <w:rFonts w:hint="eastAsia" w:ascii="Times New Roman" w:hAnsi="Times New Roman" w:cs="Times New Roman" w:eastAsiaTheme="minorEastAsia"/>
          <w:sz w:val="24"/>
          <w:highlight w:val="none"/>
          <w:lang w:val="en-US" w:eastAsia="zh-CN"/>
        </w:rPr>
        <w:t>中第4.3、4.5部分要求。】</w:t>
      </w:r>
    </w:p>
    <w:p>
      <w:pPr>
        <w:rPr>
          <w:rFonts w:hint="default"/>
          <w:highlight w:val="none"/>
          <w:lang w:val="en-US" w:eastAsia="zh-CN"/>
        </w:rPr>
      </w:pPr>
      <w:r>
        <w:rPr>
          <w:rFonts w:hint="eastAsia" w:ascii="Times New Roman" w:hAnsi="Times New Roman" w:cs="Times New Roman"/>
          <w:sz w:val="24"/>
          <w:highlight w:val="none"/>
          <w:lang w:val="en-US" w:eastAsia="zh-CN"/>
        </w:rPr>
        <w:t xml:space="preserve">        以下为引用标准中所列重要参数，纳入评议范围：</w:t>
      </w:r>
    </w:p>
    <w:p>
      <w:pPr>
        <w:jc w:val="center"/>
        <w:rPr>
          <w:rFonts w:hint="default"/>
          <w:highlight w:val="none"/>
          <w:lang w:val="en-US" w:eastAsia="zh-CN"/>
        </w:rPr>
      </w:pPr>
      <w:r>
        <w:rPr>
          <w:rFonts w:hint="default"/>
          <w:highlight w:val="none"/>
          <w:lang w:val="en-US" w:eastAsia="zh-CN"/>
        </w:rPr>
        <w:drawing>
          <wp:inline distT="0" distB="0" distL="114300" distR="114300">
            <wp:extent cx="3574415" cy="3574415"/>
            <wp:effectExtent l="0" t="0" r="6985" b="6985"/>
            <wp:docPr id="19" name="图片 19" descr="1AAB2C4F-E2DA-495b-A39B-B160142F6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AAB2C4F-E2DA-495b-A39B-B160142F65F2"/>
                    <pic:cNvPicPr>
                      <a:picLocks noChangeAspect="1"/>
                    </pic:cNvPicPr>
                  </pic:nvPicPr>
                  <pic:blipFill>
                    <a:blip r:embed="rId13"/>
                    <a:stretch>
                      <a:fillRect/>
                    </a:stretch>
                  </pic:blipFill>
                  <pic:spPr>
                    <a:xfrm>
                      <a:off x="0" y="0"/>
                      <a:ext cx="3574415" cy="3574415"/>
                    </a:xfrm>
                    <a:prstGeom prst="rect">
                      <a:avLst/>
                    </a:prstGeom>
                  </pic:spPr>
                </pic:pic>
              </a:graphicData>
            </a:graphic>
          </wp:inline>
        </w:drawing>
      </w:r>
    </w:p>
    <w:p>
      <w:pPr>
        <w:pStyle w:val="20"/>
        <w:jc w:val="center"/>
        <w:rPr>
          <w:rFonts w:hint="default"/>
          <w:highlight w:val="none"/>
          <w:lang w:val="en-US" w:eastAsia="zh-CN"/>
        </w:rPr>
      </w:pPr>
      <w:r>
        <w:rPr>
          <w:rFonts w:hint="default"/>
          <w:highlight w:val="none"/>
          <w:lang w:val="en-US" w:eastAsia="zh-CN"/>
        </w:rPr>
        <w:drawing>
          <wp:inline distT="0" distB="0" distL="114300" distR="114300">
            <wp:extent cx="3001010" cy="3159125"/>
            <wp:effectExtent l="0" t="0" r="8890" b="3175"/>
            <wp:docPr id="20" name="图片 20" descr="80CA51FB-FFCC-461b-8814-928C037A3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0CA51FB-FFCC-461b-8814-928C037A39BB"/>
                    <pic:cNvPicPr>
                      <a:picLocks noChangeAspect="1"/>
                    </pic:cNvPicPr>
                  </pic:nvPicPr>
                  <pic:blipFill>
                    <a:blip r:embed="rId14"/>
                    <a:stretch>
                      <a:fillRect/>
                    </a:stretch>
                  </pic:blipFill>
                  <pic:spPr>
                    <a:xfrm>
                      <a:off x="0" y="0"/>
                      <a:ext cx="3001010" cy="3159125"/>
                    </a:xfrm>
                    <a:prstGeom prst="rect">
                      <a:avLst/>
                    </a:prstGeom>
                  </pic:spPr>
                </pic:pic>
              </a:graphicData>
            </a:graphic>
          </wp:inline>
        </w:drawing>
      </w:r>
    </w:p>
    <w:p>
      <w:pPr>
        <w:jc w:val="center"/>
        <w:rPr>
          <w:rFonts w:hint="default"/>
          <w:highlight w:val="none"/>
          <w:lang w:val="en-US" w:eastAsia="zh-CN"/>
        </w:rPr>
      </w:pPr>
      <w:r>
        <w:rPr>
          <w:rFonts w:hint="default"/>
          <w:highlight w:val="none"/>
          <w:lang w:val="en-US" w:eastAsia="zh-CN"/>
        </w:rPr>
        <w:drawing>
          <wp:inline distT="0" distB="0" distL="114300" distR="114300">
            <wp:extent cx="3622675" cy="2350135"/>
            <wp:effectExtent l="0" t="0" r="15875" b="12065"/>
            <wp:docPr id="21" name="图片 21" descr="8B46D398-B68F-4a4e-A7D4-6C095750E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B46D398-B68F-4a4e-A7D4-6C095750EC46"/>
                    <pic:cNvPicPr>
                      <a:picLocks noChangeAspect="1"/>
                    </pic:cNvPicPr>
                  </pic:nvPicPr>
                  <pic:blipFill>
                    <a:blip r:embed="rId15"/>
                    <a:stretch>
                      <a:fillRect/>
                    </a:stretch>
                  </pic:blipFill>
                  <pic:spPr>
                    <a:xfrm>
                      <a:off x="0" y="0"/>
                      <a:ext cx="3622675" cy="2350135"/>
                    </a:xfrm>
                    <a:prstGeom prst="rect">
                      <a:avLst/>
                    </a:prstGeom>
                  </pic:spPr>
                </pic:pic>
              </a:graphicData>
            </a:graphic>
          </wp:inline>
        </w:drawing>
      </w:r>
    </w:p>
    <w:p>
      <w:pPr>
        <w:pStyle w:val="20"/>
        <w:jc w:val="center"/>
        <w:rPr>
          <w:rFonts w:hint="default"/>
          <w:highlight w:val="none"/>
          <w:lang w:val="en-US" w:eastAsia="zh-CN"/>
        </w:rPr>
      </w:pPr>
      <w:r>
        <w:rPr>
          <w:rFonts w:hint="default"/>
          <w:highlight w:val="none"/>
          <w:lang w:val="en-US" w:eastAsia="zh-CN"/>
        </w:rPr>
        <w:drawing>
          <wp:inline distT="0" distB="0" distL="114300" distR="114300">
            <wp:extent cx="3600450" cy="4142105"/>
            <wp:effectExtent l="0" t="0" r="0" b="10795"/>
            <wp:docPr id="22" name="图片 22" descr="58620911-0C63-4043-AA91-873309C51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8620911-0C63-4043-AA91-873309C516B0"/>
                    <pic:cNvPicPr>
                      <a:picLocks noChangeAspect="1"/>
                    </pic:cNvPicPr>
                  </pic:nvPicPr>
                  <pic:blipFill>
                    <a:blip r:embed="rId16"/>
                    <a:stretch>
                      <a:fillRect/>
                    </a:stretch>
                  </pic:blipFill>
                  <pic:spPr>
                    <a:xfrm>
                      <a:off x="0" y="0"/>
                      <a:ext cx="3600450" cy="414210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泵组辅助管道应符合API610相关条款的规定，在制造厂供货范围内如含压力管道，制造厂必须按照压力管道的相关国家标准进行设计、制造、安装和检验。泵组内所有供货范围内的冷却水、密封冲洗、放空、排凝和其他辅助管线，包括所有安装附件如仪表、阀门等，应完全配好，并彻底清洗和经压力试验后，整齐的安装在泵上或在泵的底座范围内。</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泵橇内的管道和设备应设计和布置，要易于检修和拆卸，阀门操作位置、仪表监测位置、设备检修位置、法兰连接位置等布置应易于接近。所有与用户接口均应为法兰连接，且提供配对法兰、垫片和螺栓。</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泵橇内现场安装的所有就地仪表、一次检测元件、一次发讯元件、就地盘及盘上安装仪表及其全部安装材料应</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成套供货。现场安装的所有就地仪表和接线箱应满足泵组所在防爆区域的要求，现场仪表的防爆等级不低于Exd IIBT4，防护等级</w:t>
      </w:r>
      <w:r>
        <w:rPr>
          <w:rFonts w:hint="eastAsia" w:ascii="Times New Roman" w:hAnsi="Times New Roman" w:cs="Times New Roman" w:eastAsiaTheme="minorEastAsia"/>
          <w:sz w:val="24"/>
          <w:highlight w:val="none"/>
          <w:lang w:val="en-US" w:eastAsia="zh-CN"/>
        </w:rPr>
        <w:t>为IP56或</w:t>
      </w:r>
      <w:r>
        <w:rPr>
          <w:rFonts w:hint="default" w:ascii="Times New Roman" w:hAnsi="Times New Roman" w:cs="Times New Roman" w:eastAsiaTheme="minorEastAsia"/>
          <w:sz w:val="24"/>
          <w:highlight w:val="none"/>
          <w:lang w:val="en-US" w:eastAsia="zh-CN"/>
        </w:rPr>
        <w:t>IP</w:t>
      </w:r>
      <w:r>
        <w:rPr>
          <w:rFonts w:hint="eastAsia" w:ascii="Times New Roman" w:hAnsi="Times New Roman" w:cs="Times New Roman" w:eastAsiaTheme="minorEastAsia"/>
          <w:sz w:val="24"/>
          <w:highlight w:val="none"/>
          <w:lang w:val="en-US" w:eastAsia="zh-CN"/>
        </w:rPr>
        <w:t>6</w:t>
      </w:r>
      <w:r>
        <w:rPr>
          <w:rFonts w:hint="default" w:ascii="Times New Roman" w:hAnsi="Times New Roman" w:cs="Times New Roman" w:eastAsiaTheme="minorEastAsia"/>
          <w:sz w:val="24"/>
          <w:highlight w:val="none"/>
          <w:lang w:val="en-US" w:eastAsia="zh-CN"/>
        </w:rPr>
        <w:t>6，变送器（压力、流量、液位等）为智能型，带HART协议和液晶显示，变送器外壳为316SS，带不锈钢铭牌。</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泵组内现场仪表如需远传信号至LCP或控制室，应设置现场接线箱、仪表信号首先接入现场接线箱，从现场仪表至接线箱的电缆、电缆保护管由</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供货。接线箱及接线箱进出线防爆格兰由</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供货，从泵组接线箱到LCP或控制室的仪表电缆由</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负责。</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泵的进出口需按照</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要求，配备变径接头、配对法兰、垫片及螺栓紧固件</w:t>
      </w:r>
      <w:r>
        <w:rPr>
          <w:rFonts w:hint="eastAsia" w:ascii="Times New Roman" w:hAnsi="Times New Roman" w:cs="Times New Roman" w:eastAsiaTheme="minorEastAsia"/>
          <w:sz w:val="24"/>
          <w:highlight w:val="none"/>
          <w:lang w:val="en-US" w:eastAsia="zh-CN"/>
        </w:rPr>
        <w:t>，本设备进出口配对法兰及变径需满足标准【《管法兰和法兰管件》</w:t>
      </w:r>
      <w:r>
        <w:rPr>
          <w:rFonts w:hint="default" w:ascii="Times New Roman" w:hAnsi="Times New Roman" w:cs="Times New Roman" w:eastAsiaTheme="minorEastAsia"/>
          <w:sz w:val="24"/>
          <w:highlight w:val="none"/>
          <w:lang w:val="en-US" w:eastAsia="zh-CN"/>
        </w:rPr>
        <w:t>ASME B16.5</w:t>
      </w:r>
      <w:r>
        <w:rPr>
          <w:rFonts w:hint="eastAsia" w:ascii="Times New Roman" w:hAnsi="Times New Roman" w:cs="Times New Roman" w:eastAsiaTheme="minorEastAsia"/>
          <w:sz w:val="24"/>
          <w:highlight w:val="none"/>
          <w:lang w:val="en-US" w:eastAsia="zh-CN"/>
        </w:rPr>
        <w:t>中第5、6中材料和尺寸的要求</w:t>
      </w:r>
      <w:r>
        <w:rPr>
          <w:rFonts w:hint="default" w:ascii="Times New Roman" w:hAnsi="Times New Roman" w:cs="Times New Roman" w:eastAsiaTheme="minorEastAsia"/>
          <w:sz w:val="24"/>
          <w:highlight w:val="none"/>
          <w:lang w:val="en-US" w:eastAsia="zh-CN"/>
        </w:rPr>
        <w:t>。</w:t>
      </w:r>
      <w:r>
        <w:rPr>
          <w:rFonts w:hint="eastAsia" w:ascii="Times New Roman" w:hAnsi="Times New Roman" w:cs="Times New Roman" w:eastAsiaTheme="minorEastAsia"/>
          <w:sz w:val="24"/>
          <w:highlight w:val="none"/>
          <w:lang w:val="en-US"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jc w:val="both"/>
        <w:textAlignment w:val="auto"/>
        <w:rPr>
          <w:rFonts w:hint="default"/>
          <w:highlight w:val="none"/>
          <w:lang w:val="en-US" w:eastAsia="zh-CN"/>
        </w:rPr>
      </w:pPr>
      <w:r>
        <w:rPr>
          <w:rFonts w:hint="eastAsia"/>
          <w:highlight w:val="none"/>
          <w:lang w:val="en-US" w:eastAsia="zh-CN"/>
        </w:rPr>
        <w:t xml:space="preserve">     </w:t>
      </w:r>
      <w:r>
        <w:rPr>
          <w:rFonts w:hint="eastAsia" w:ascii="Times New Roman" w:hAnsi="Times New Roman" w:eastAsia="宋体" w:cs="Times New Roman"/>
          <w:kern w:val="0"/>
          <w:sz w:val="24"/>
          <w:highlight w:val="none"/>
          <w:lang w:val="en-US" w:eastAsia="zh-CN"/>
        </w:rPr>
        <w:t>以下为引用标准中所列重要参数，纳入评议范围：</w:t>
      </w:r>
    </w:p>
    <w:p>
      <w:pPr>
        <w:rPr>
          <w:rFonts w:hint="default"/>
          <w:highlight w:val="none"/>
          <w:lang w:val="en-US" w:eastAsia="zh-CN"/>
        </w:rPr>
      </w:pPr>
    </w:p>
    <w:p>
      <w:pPr>
        <w:jc w:val="center"/>
        <w:rPr>
          <w:rFonts w:hint="default"/>
          <w:highlight w:val="none"/>
          <w:lang w:val="en-US" w:eastAsia="zh-CN"/>
        </w:rPr>
      </w:pPr>
      <w:r>
        <w:rPr>
          <w:rFonts w:hint="default"/>
          <w:highlight w:val="none"/>
          <w:lang w:val="en-US" w:eastAsia="zh-CN"/>
        </w:rPr>
        <w:drawing>
          <wp:inline distT="0" distB="0" distL="114300" distR="114300">
            <wp:extent cx="5022850" cy="7233920"/>
            <wp:effectExtent l="0" t="0" r="6350" b="5080"/>
            <wp:docPr id="23" name="图片 23" descr="6CCC775F-A7CC-4be3-BF91-C9535EED9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CCC775F-A7CC-4be3-BF91-C9535EED95AE"/>
                    <pic:cNvPicPr>
                      <a:picLocks noChangeAspect="1"/>
                    </pic:cNvPicPr>
                  </pic:nvPicPr>
                  <pic:blipFill>
                    <a:blip r:embed="rId17"/>
                    <a:stretch>
                      <a:fillRect/>
                    </a:stretch>
                  </pic:blipFill>
                  <pic:spPr>
                    <a:xfrm>
                      <a:off x="0" y="0"/>
                      <a:ext cx="5022850" cy="7233920"/>
                    </a:xfrm>
                    <a:prstGeom prst="rect">
                      <a:avLst/>
                    </a:prstGeom>
                  </pic:spPr>
                </pic:pic>
              </a:graphicData>
            </a:graphic>
          </wp:inline>
        </w:drawing>
      </w:r>
    </w:p>
    <w:p>
      <w:pPr>
        <w:pStyle w:val="20"/>
        <w:rPr>
          <w:rFonts w:hint="default"/>
          <w:highlight w:val="none"/>
          <w:lang w:val="en-US" w:eastAsia="zh-CN"/>
        </w:rPr>
      </w:pPr>
      <w:r>
        <w:rPr>
          <w:rFonts w:hint="default"/>
          <w:highlight w:val="none"/>
          <w:lang w:val="en-US" w:eastAsia="zh-CN"/>
        </w:rPr>
        <w:drawing>
          <wp:inline distT="0" distB="0" distL="114300" distR="114300">
            <wp:extent cx="4858385" cy="5846445"/>
            <wp:effectExtent l="0" t="0" r="18415" b="1905"/>
            <wp:docPr id="24" name="图片 24" descr="52653C6D-8759-4880-B38B-C2221483C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2653C6D-8759-4880-B38B-C2221483C969"/>
                    <pic:cNvPicPr>
                      <a:picLocks noChangeAspect="1"/>
                    </pic:cNvPicPr>
                  </pic:nvPicPr>
                  <pic:blipFill>
                    <a:blip r:embed="rId18"/>
                    <a:stretch>
                      <a:fillRect/>
                    </a:stretch>
                  </pic:blipFill>
                  <pic:spPr>
                    <a:xfrm>
                      <a:off x="0" y="0"/>
                      <a:ext cx="4858385" cy="5846445"/>
                    </a:xfrm>
                    <a:prstGeom prst="rect">
                      <a:avLst/>
                    </a:prstGeom>
                  </pic:spPr>
                </pic:pic>
              </a:graphicData>
            </a:graphic>
          </wp:inline>
        </w:drawing>
      </w:r>
    </w:p>
    <w:p>
      <w:pPr>
        <w:jc w:val="center"/>
        <w:rPr>
          <w:rFonts w:hint="default"/>
          <w:highlight w:val="none"/>
          <w:lang w:val="en-US" w:eastAsia="zh-CN"/>
        </w:rPr>
      </w:pPr>
      <w:r>
        <w:rPr>
          <w:rFonts w:hint="default"/>
          <w:highlight w:val="none"/>
          <w:lang w:val="en-US" w:eastAsia="zh-CN"/>
        </w:rPr>
        <w:drawing>
          <wp:inline distT="0" distB="0" distL="114300" distR="114300">
            <wp:extent cx="4808220" cy="5225415"/>
            <wp:effectExtent l="0" t="0" r="11430" b="13335"/>
            <wp:docPr id="25" name="图片 25" descr="0E070F04-4A67-401f-A862-D3175C6EF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E070F04-4A67-401f-A862-D3175C6EF976"/>
                    <pic:cNvPicPr>
                      <a:picLocks noChangeAspect="1"/>
                    </pic:cNvPicPr>
                  </pic:nvPicPr>
                  <pic:blipFill>
                    <a:blip r:embed="rId19"/>
                    <a:stretch>
                      <a:fillRect/>
                    </a:stretch>
                  </pic:blipFill>
                  <pic:spPr>
                    <a:xfrm>
                      <a:off x="0" y="0"/>
                      <a:ext cx="4808220" cy="522541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泵组应具有足够的刚性，泵进、出口至少在API610标准规定值的3倍管口允许的力和力矩条件下，安全可靠的操作。</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泵要求带底座（材质为Q235B），配置2套接地端子（材质为316SS），底座上按</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要求设置排液口，底座要求配置满足吊装要求的吊耳。</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组内各部件，例如：泵、电机之间的联结采用带中间加长段的弹性膜片式联轴器，以满足不拆卸主电机和泵进出口管路的情况下，对泵轴承或机封进行拆装维护、检修或更换。联轴器的设计、制造和安装应参照API的要求，联轴器应配置开启式无火花型防护罩，该护罩应有足够刚度，以保证不会因正常体重90kg施加于其上而发生挠性变形。</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★卖方承诺轴封选用双端面机械密封，</w:t>
      </w:r>
      <w:r>
        <w:rPr>
          <w:rFonts w:hint="default" w:ascii="Times New Roman" w:hAnsi="Times New Roman" w:cs="Times New Roman" w:eastAsiaTheme="minorEastAsia"/>
          <w:sz w:val="24"/>
          <w:highlight w:val="none"/>
          <w:lang w:val="en-US" w:eastAsia="zh-CN"/>
        </w:rPr>
        <w:t>机封需按耐介质腐蚀要求选用双相钢或316L不锈钢等材质，动环静环选用碳化硅，辅助密封件选用氟橡胶；同一批泵的机封需选择</w:t>
      </w:r>
      <w:r>
        <w:rPr>
          <w:rFonts w:hint="eastAsia" w:ascii="Times New Roman" w:hAnsi="Times New Roman" w:cs="Times New Roman" w:eastAsiaTheme="minorEastAsia"/>
          <w:sz w:val="24"/>
          <w:highlight w:val="none"/>
          <w:lang w:val="en-US" w:eastAsia="zh-CN"/>
        </w:rPr>
        <w:t>等同或相当于</w:t>
      </w:r>
      <w:r>
        <w:rPr>
          <w:rFonts w:hint="default" w:ascii="Times New Roman" w:hAnsi="Times New Roman" w:cs="Times New Roman" w:eastAsiaTheme="minorEastAsia"/>
          <w:sz w:val="24"/>
          <w:highlight w:val="none"/>
          <w:lang w:val="en-US" w:eastAsia="zh-CN"/>
        </w:rPr>
        <w:t>以下品牌中的一种且只能同一种品牌供货：约翰克兰（John Crane），博格曼（Burgmann）、克隆（colossus）。</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应根据泵输送介质的特性选择适宜的密封及系统，保证密封的使用寿命和有效控制密封泄漏量。所有机封应为集装式，泵的设计应能保证拆装密封时不用移动驱动装置及管线，机械密封的密封腔、端盖及泵轴全跳动量不大于0.125mm，密封端面跳动量不大于0.5μm。在固定的操作条件下，密封及系统预期连续运转周期不小于25000h。</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优先采用认证试验过的密封。密封系统及支撑应由密封制造厂提供，由泵厂负责安装在泵的底座上，并以法兰型式和用户管道连接。</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密封制造厂应对密封承压件进行液压试验，试验压力不小于密封腔最高允许工作压力1.5倍，至少维持30min，切勿泄露，并提供相关报告。</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宋体" w:hAnsi="宋体" w:eastAsia="宋体" w:cs="宋体"/>
          <w:sz w:val="24"/>
          <w:highlight w:val="none"/>
          <w:lang w:val="en-US" w:eastAsia="zh-CN"/>
        </w:rPr>
        <w:t>★卖方承诺</w:t>
      </w:r>
      <w:r>
        <w:rPr>
          <w:rFonts w:hint="default" w:ascii="Times New Roman" w:hAnsi="Times New Roman" w:cs="Times New Roman" w:eastAsiaTheme="minorEastAsia"/>
          <w:sz w:val="24"/>
          <w:highlight w:val="none"/>
          <w:lang w:val="en-US" w:eastAsia="zh-CN"/>
        </w:rPr>
        <w:t>同一批泵的轴承需</w:t>
      </w:r>
      <w:r>
        <w:rPr>
          <w:rFonts w:hint="eastAsia" w:ascii="Times New Roman" w:hAnsi="Times New Roman" w:cs="Times New Roman" w:eastAsiaTheme="minorEastAsia"/>
          <w:sz w:val="24"/>
          <w:highlight w:val="none"/>
          <w:lang w:val="en-US" w:eastAsia="zh-CN"/>
        </w:rPr>
        <w:t>选择等同或相当于</w:t>
      </w:r>
      <w:r>
        <w:rPr>
          <w:rFonts w:hint="default" w:ascii="Times New Roman" w:hAnsi="Times New Roman" w:cs="Times New Roman" w:eastAsiaTheme="minorEastAsia"/>
          <w:sz w:val="24"/>
          <w:highlight w:val="none"/>
          <w:lang w:val="en-US" w:eastAsia="zh-CN"/>
        </w:rPr>
        <w:t>以下品牌中的一种且只能同一种品牌供货：SKF、NSK、FAG。</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泵体与电机需配带符合要求的吊环。</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宋体" w:hAnsi="宋体" w:eastAsia="宋体" w:cs="宋体"/>
          <w:sz w:val="24"/>
          <w:highlight w:val="none"/>
          <w:lang w:val="en-US" w:eastAsia="zh-CN"/>
        </w:rPr>
        <w:t>★</w:t>
      </w: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提供的</w:t>
      </w:r>
      <w:r>
        <w:rPr>
          <w:rFonts w:hint="eastAsia" w:ascii="Times New Roman" w:hAnsi="Times New Roman" w:cs="Times New Roman" w:eastAsiaTheme="minorEastAsia"/>
          <w:sz w:val="24"/>
          <w:highlight w:val="none"/>
          <w:lang w:val="en-US" w:eastAsia="zh-CN"/>
        </w:rPr>
        <w:t>防爆</w:t>
      </w:r>
      <w:r>
        <w:rPr>
          <w:rFonts w:hint="default" w:ascii="Times New Roman" w:hAnsi="Times New Roman" w:cs="Times New Roman" w:eastAsiaTheme="minorEastAsia"/>
          <w:sz w:val="24"/>
          <w:highlight w:val="none"/>
          <w:lang w:val="en-US" w:eastAsia="zh-CN"/>
        </w:rPr>
        <w:t>电机应适用于海洋环境</w:t>
      </w:r>
      <w:r>
        <w:rPr>
          <w:rFonts w:hint="eastAsia" w:ascii="Times New Roman" w:hAnsi="Times New Roman" w:cs="Times New Roman" w:eastAsiaTheme="minorEastAsia"/>
          <w:sz w:val="24"/>
          <w:highlight w:val="none"/>
          <w:lang w:val="en-US" w:eastAsia="zh-CN"/>
        </w:rPr>
        <w:t>，并</w:t>
      </w:r>
      <w:r>
        <w:rPr>
          <w:rFonts w:hint="default" w:ascii="Times New Roman" w:hAnsi="Times New Roman" w:cs="Times New Roman" w:eastAsiaTheme="minorEastAsia"/>
          <w:sz w:val="24"/>
          <w:highlight w:val="none"/>
          <w:lang w:val="en-US" w:eastAsia="zh-CN"/>
        </w:rPr>
        <w:t>由授权认证机构之一（ABS、DNV、BV</w:t>
      </w:r>
      <w:r>
        <w:rPr>
          <w:rFonts w:hint="eastAsia" w:ascii="Times New Roman" w:hAnsi="Times New Roman" w:cs="Times New Roman" w:eastAsiaTheme="minorEastAsia"/>
          <w:sz w:val="24"/>
          <w:highlight w:val="none"/>
          <w:lang w:val="en-US" w:eastAsia="zh-CN"/>
        </w:rPr>
        <w:t>或</w:t>
      </w:r>
      <w:r>
        <w:rPr>
          <w:rFonts w:hint="default" w:ascii="Times New Roman" w:hAnsi="Times New Roman" w:cs="Times New Roman" w:eastAsiaTheme="minorEastAsia"/>
          <w:sz w:val="24"/>
          <w:highlight w:val="none"/>
          <w:lang w:val="en-US" w:eastAsia="zh-CN"/>
        </w:rPr>
        <w:t>CCS</w:t>
      </w:r>
      <w:r>
        <w:rPr>
          <w:rFonts w:hint="eastAsia" w:ascii="Times New Roman" w:hAnsi="Times New Roman" w:cs="Times New Roman" w:eastAsiaTheme="minorEastAsia"/>
          <w:sz w:val="24"/>
          <w:highlight w:val="none"/>
          <w:lang w:val="en-US" w:eastAsia="zh-CN"/>
        </w:rPr>
        <w:t>，其一即可</w:t>
      </w:r>
      <w:r>
        <w:rPr>
          <w:rFonts w:hint="default" w:ascii="Times New Roman" w:hAnsi="Times New Roman" w:cs="Times New Roman" w:eastAsiaTheme="minorEastAsia"/>
          <w:sz w:val="24"/>
          <w:highlight w:val="none"/>
          <w:lang w:val="en-US" w:eastAsia="zh-CN"/>
        </w:rPr>
        <w:t>）颁发的</w:t>
      </w:r>
      <w:r>
        <w:rPr>
          <w:rFonts w:hint="eastAsia" w:ascii="Times New Roman" w:hAnsi="Times New Roman" w:cs="Times New Roman" w:eastAsiaTheme="minorEastAsia"/>
          <w:sz w:val="24"/>
          <w:highlight w:val="none"/>
          <w:lang w:val="en-US" w:eastAsia="zh-CN"/>
        </w:rPr>
        <w:t>B类</w:t>
      </w:r>
      <w:r>
        <w:rPr>
          <w:rFonts w:hint="default" w:ascii="Times New Roman" w:hAnsi="Times New Roman" w:cs="Times New Roman" w:eastAsiaTheme="minorEastAsia"/>
          <w:sz w:val="24"/>
          <w:highlight w:val="none"/>
          <w:lang w:val="en-US" w:eastAsia="zh-CN"/>
        </w:rPr>
        <w:t>证书</w:t>
      </w:r>
      <w:r>
        <w:rPr>
          <w:rFonts w:hint="eastAsia" w:ascii="Times New Roman" w:hAnsi="Times New Roman" w:cs="Times New Roman" w:eastAsiaTheme="minorEastAsia"/>
          <w:sz w:val="24"/>
          <w:highlight w:val="none"/>
          <w:lang w:val="en-US" w:eastAsia="zh-CN"/>
        </w:rPr>
        <w:t>，并于交货后30日内提供</w:t>
      </w:r>
      <w:r>
        <w:rPr>
          <w:rFonts w:hint="default" w:ascii="Times New Roman" w:hAnsi="Times New Roman" w:cs="Times New Roman" w:eastAsiaTheme="minorEastAsia"/>
          <w:sz w:val="24"/>
          <w:highlight w:val="none"/>
          <w:lang w:val="en-US" w:eastAsia="zh-CN"/>
        </w:rPr>
        <w:t>。</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电动机应符合</w:t>
      </w:r>
      <w:r>
        <w:rPr>
          <w:rFonts w:hint="default" w:ascii="Times New Roman" w:hAnsi="Times New Roman" w:cs="Times New Roman" w:eastAsiaTheme="minorEastAsia"/>
          <w:sz w:val="24"/>
          <w:highlight w:val="none"/>
          <w:lang w:val="en-US" w:eastAsia="zh-CN"/>
        </w:rPr>
        <w:fldChar w:fldCharType="begin"/>
      </w:r>
      <w:r>
        <w:rPr>
          <w:rFonts w:hint="default" w:ascii="Times New Roman" w:hAnsi="Times New Roman" w:cs="Times New Roman" w:eastAsiaTheme="minorEastAsia"/>
          <w:sz w:val="24"/>
          <w:highlight w:val="none"/>
          <w:lang w:val="en-US" w:eastAsia="zh-CN"/>
        </w:rPr>
        <w:instrText xml:space="preserve"> HYPERLINK "http://www.baidu.com/link?url=D-e6P1PSaIWwUFPE3TakJ7h-Mf-1vqEP6eBy7WM08iZ7dZkwbLNVQtfLcgb44xxmqa1hoN_pDU9WGmF1JE6siF3pnvoSZNEqicYFiUOFgsojfHHjSCWaJRBXaKSvzV9F" \t "https://www.baidu.com/_blank" </w:instrText>
      </w:r>
      <w:r>
        <w:rPr>
          <w:rFonts w:hint="default" w:ascii="Times New Roman" w:hAnsi="Times New Roman" w:cs="Times New Roman" w:eastAsiaTheme="minorEastAsia"/>
          <w:sz w:val="24"/>
          <w:highlight w:val="none"/>
          <w:lang w:val="en-US" w:eastAsia="zh-CN"/>
        </w:rPr>
        <w:fldChar w:fldCharType="separate"/>
      </w:r>
      <w:r>
        <w:rPr>
          <w:rFonts w:hint="default" w:ascii="Times New Roman" w:hAnsi="Times New Roman" w:cs="Times New Roman" w:eastAsiaTheme="minorEastAsia"/>
          <w:sz w:val="24"/>
          <w:highlight w:val="none"/>
          <w:lang w:val="en-US" w:eastAsia="zh-CN"/>
        </w:rPr>
        <w:t>低压鼠笼式电动机技术标准</w:t>
      </w:r>
      <w:r>
        <w:rPr>
          <w:rFonts w:hint="default" w:ascii="Times New Roman" w:hAnsi="Times New Roman" w:cs="Times New Roman" w:eastAsiaTheme="minorEastAsia"/>
          <w:sz w:val="24"/>
          <w:highlight w:val="none"/>
          <w:lang w:val="en-US" w:eastAsia="zh-CN"/>
        </w:rPr>
        <w:fldChar w:fldCharType="end"/>
      </w:r>
      <w:r>
        <w:rPr>
          <w:rFonts w:hint="default" w:ascii="Times New Roman" w:hAnsi="Times New Roman" w:cs="Times New Roman" w:eastAsiaTheme="minorEastAsia"/>
          <w:sz w:val="24"/>
          <w:highlight w:val="none"/>
          <w:lang w:val="en-US" w:eastAsia="zh-CN"/>
        </w:rPr>
        <w:t>的要求。主驱动电机功率选择，应考虑各种传动损失以及泵效率的合理偏差范围，至少为泵额定工况下轴功率的1.1倍。</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应按</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要求设计电机接线口的尺寸与朝向。</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除非另有规定，泵组供货范围内使用的电动机能效应不低于GB18613标准最新版中</w:t>
      </w:r>
      <w:r>
        <w:rPr>
          <w:rFonts w:hint="eastAsia" w:ascii="Times New Roman" w:hAnsi="Times New Roman" w:cs="Times New Roman" w:eastAsiaTheme="minorEastAsia"/>
          <w:sz w:val="24"/>
          <w:highlight w:val="none"/>
          <w:lang w:val="en-US" w:eastAsia="zh-CN"/>
        </w:rPr>
        <w:t>第4部分1</w:t>
      </w:r>
      <w:r>
        <w:rPr>
          <w:rFonts w:hint="default" w:ascii="Times New Roman" w:hAnsi="Times New Roman" w:cs="Times New Roman" w:eastAsiaTheme="minorEastAsia"/>
          <w:sz w:val="24"/>
          <w:highlight w:val="none"/>
          <w:lang w:val="en-US" w:eastAsia="zh-CN"/>
        </w:rPr>
        <w:t>级能效要求的限定值，并提供相应能效标识。</w:t>
      </w:r>
      <w:r>
        <w:rPr>
          <w:rFonts w:hint="eastAsia" w:ascii="Times New Roman" w:hAnsi="Times New Roman" w:cs="Times New Roman" w:eastAsiaTheme="minorEastAsia"/>
          <w:sz w:val="24"/>
          <w:highlight w:val="none"/>
          <w:lang w:val="en-US" w:eastAsia="zh-CN"/>
        </w:rPr>
        <w:t>本泵组中电机能效等级需满足标准【《电动机能效限定值及能效等级》</w:t>
      </w:r>
      <w:r>
        <w:rPr>
          <w:rFonts w:hint="default" w:ascii="Times New Roman" w:hAnsi="Times New Roman" w:cs="Times New Roman" w:eastAsiaTheme="minorEastAsia"/>
          <w:sz w:val="24"/>
          <w:highlight w:val="none"/>
          <w:lang w:val="en-US" w:eastAsia="zh-CN"/>
        </w:rPr>
        <w:t>GB18613</w:t>
      </w:r>
      <w:r>
        <w:rPr>
          <w:rFonts w:hint="eastAsia" w:ascii="Times New Roman" w:hAnsi="Times New Roman" w:cs="Times New Roman" w:eastAsiaTheme="minorEastAsia"/>
          <w:sz w:val="24"/>
          <w:highlight w:val="none"/>
          <w:lang w:val="en-US" w:eastAsia="zh-CN"/>
        </w:rPr>
        <w:t>中第4部分。】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firstLine="480" w:firstLineChars="200"/>
        <w:jc w:val="both"/>
        <w:textAlignment w:val="auto"/>
        <w:rPr>
          <w:rFonts w:hint="default"/>
          <w:highlight w:val="none"/>
          <w:lang w:val="en-US" w:eastAsia="zh-CN"/>
        </w:rPr>
      </w:pPr>
      <w:r>
        <w:rPr>
          <w:rFonts w:hint="eastAsia" w:ascii="Times New Roman" w:hAnsi="Times New Roman" w:eastAsia="宋体" w:cs="Times New Roman"/>
          <w:kern w:val="0"/>
          <w:sz w:val="24"/>
          <w:highlight w:val="none"/>
          <w:lang w:val="en-US" w:eastAsia="zh-CN"/>
        </w:rPr>
        <w:t>以下为引用标准中所列重要参数，纳入评议范围：</w:t>
      </w:r>
    </w:p>
    <w:p>
      <w:pPr>
        <w:rPr>
          <w:rFonts w:hint="default" w:ascii="Times New Roman" w:hAnsi="Times New Roman" w:cs="Times New Roman" w:eastAsiaTheme="minorEastAsia"/>
          <w:sz w:val="24"/>
          <w:highlight w:val="none"/>
          <w:lang w:val="en-US" w:eastAsia="zh-CN"/>
        </w:rPr>
      </w:pPr>
    </w:p>
    <w:p>
      <w:pPr>
        <w:pStyle w:val="20"/>
        <w:jc w:val="center"/>
        <w:rPr>
          <w:rFonts w:hint="default"/>
          <w:highlight w:val="none"/>
          <w:lang w:val="en-US" w:eastAsia="zh-CN"/>
        </w:rPr>
      </w:pPr>
      <w:r>
        <w:rPr>
          <w:rFonts w:hint="default"/>
          <w:highlight w:val="none"/>
          <w:lang w:val="en-US" w:eastAsia="zh-CN"/>
        </w:rPr>
        <w:drawing>
          <wp:inline distT="0" distB="0" distL="114300" distR="114300">
            <wp:extent cx="4594860" cy="6097905"/>
            <wp:effectExtent l="0" t="0" r="15240" b="17145"/>
            <wp:docPr id="26" name="图片 26" descr="53F3A1E3-F25A-4776-9EF3-6BD3AD6A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3F3A1E3-F25A-4776-9EF3-6BD3AD6A6850"/>
                    <pic:cNvPicPr>
                      <a:picLocks noChangeAspect="1"/>
                    </pic:cNvPicPr>
                  </pic:nvPicPr>
                  <pic:blipFill>
                    <a:blip r:embed="rId20"/>
                    <a:stretch>
                      <a:fillRect/>
                    </a:stretch>
                  </pic:blipFill>
                  <pic:spPr>
                    <a:xfrm>
                      <a:off x="0" y="0"/>
                      <a:ext cx="4594860" cy="6097905"/>
                    </a:xfrm>
                    <a:prstGeom prst="rect">
                      <a:avLst/>
                    </a:prstGeom>
                  </pic:spPr>
                </pic:pic>
              </a:graphicData>
            </a:graphic>
          </wp:inline>
        </w:drawing>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除非另有规定，电机功率≥220kW时，采用高压电机（电压等级为10kV）。电机功率≥5kW需配备防潮空间加热器，加热时，其表面温度不超过200℃。</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主电机电源、加热器电源、定子测温需配单独接线盒。</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宋体" w:hAnsi="宋体" w:eastAsia="宋体" w:cs="宋体"/>
          <w:sz w:val="24"/>
          <w:highlight w:val="none"/>
          <w:lang w:val="en-US" w:eastAsia="zh-CN"/>
        </w:rPr>
        <w:t>★卖方承诺</w:t>
      </w:r>
      <w:r>
        <w:rPr>
          <w:rFonts w:hint="default" w:ascii="Times New Roman" w:hAnsi="Times New Roman" w:cs="Times New Roman" w:eastAsiaTheme="minorEastAsia"/>
          <w:sz w:val="24"/>
          <w:highlight w:val="none"/>
          <w:lang w:val="en-US" w:eastAsia="zh-CN"/>
        </w:rPr>
        <w:t>电机至少为F</w:t>
      </w:r>
      <w:r>
        <w:rPr>
          <w:rFonts w:hint="eastAsia" w:ascii="Times New Roman" w:hAnsi="Times New Roman" w:cs="Times New Roman" w:eastAsiaTheme="minorEastAsia"/>
          <w:sz w:val="24"/>
          <w:highlight w:val="none"/>
          <w:lang w:val="en-US" w:eastAsia="zh-CN"/>
        </w:rPr>
        <w:t>级</w:t>
      </w:r>
      <w:r>
        <w:rPr>
          <w:rFonts w:hint="default" w:ascii="Times New Roman" w:hAnsi="Times New Roman" w:cs="Times New Roman" w:eastAsiaTheme="minorEastAsia"/>
          <w:sz w:val="24"/>
          <w:highlight w:val="none"/>
          <w:lang w:val="en-US" w:eastAsia="zh-CN"/>
        </w:rPr>
        <w:t>绝缘，温升为B级，主体防护等级</w:t>
      </w:r>
      <w:r>
        <w:rPr>
          <w:rFonts w:hint="eastAsia" w:ascii="Times New Roman" w:hAnsi="Times New Roman" w:cs="Times New Roman" w:eastAsiaTheme="minorEastAsia"/>
          <w:sz w:val="24"/>
          <w:highlight w:val="none"/>
          <w:lang w:val="en-US" w:eastAsia="zh-CN"/>
        </w:rPr>
        <w:t>为IP56或</w:t>
      </w:r>
      <w:r>
        <w:rPr>
          <w:rFonts w:hint="default" w:ascii="Times New Roman" w:hAnsi="Times New Roman" w:cs="Times New Roman" w:eastAsiaTheme="minorEastAsia"/>
          <w:sz w:val="24"/>
          <w:highlight w:val="none"/>
          <w:lang w:val="en-US" w:eastAsia="zh-CN"/>
        </w:rPr>
        <w:t>IP</w:t>
      </w:r>
      <w:r>
        <w:rPr>
          <w:rFonts w:hint="eastAsia" w:ascii="Times New Roman" w:hAnsi="Times New Roman" w:cs="Times New Roman" w:eastAsiaTheme="minorEastAsia"/>
          <w:sz w:val="24"/>
          <w:highlight w:val="none"/>
          <w:lang w:val="en-US" w:eastAsia="zh-CN"/>
        </w:rPr>
        <w:t>6</w:t>
      </w:r>
      <w:r>
        <w:rPr>
          <w:rFonts w:hint="default" w:ascii="Times New Roman" w:hAnsi="Times New Roman" w:cs="Times New Roman" w:eastAsiaTheme="minorEastAsia"/>
          <w:sz w:val="24"/>
          <w:highlight w:val="none"/>
          <w:lang w:val="en-US" w:eastAsia="zh-CN"/>
        </w:rPr>
        <w:t>6，接线盒防护等级</w:t>
      </w:r>
      <w:r>
        <w:rPr>
          <w:rFonts w:hint="eastAsia" w:ascii="Times New Roman" w:hAnsi="Times New Roman" w:cs="Times New Roman" w:eastAsiaTheme="minorEastAsia"/>
          <w:sz w:val="24"/>
          <w:highlight w:val="none"/>
          <w:lang w:val="en-US" w:eastAsia="zh-CN"/>
        </w:rPr>
        <w:t>为IP56或</w:t>
      </w:r>
      <w:r>
        <w:rPr>
          <w:rFonts w:hint="default" w:ascii="Times New Roman" w:hAnsi="Times New Roman" w:cs="Times New Roman" w:eastAsiaTheme="minorEastAsia"/>
          <w:sz w:val="24"/>
          <w:highlight w:val="none"/>
          <w:lang w:val="en-US" w:eastAsia="zh-CN"/>
        </w:rPr>
        <w:t>IP</w:t>
      </w:r>
      <w:r>
        <w:rPr>
          <w:rFonts w:hint="eastAsia" w:ascii="Times New Roman" w:hAnsi="Times New Roman" w:cs="Times New Roman" w:eastAsiaTheme="minorEastAsia"/>
          <w:sz w:val="24"/>
          <w:highlight w:val="none"/>
          <w:lang w:val="en-US" w:eastAsia="zh-CN"/>
        </w:rPr>
        <w:t>6</w:t>
      </w:r>
      <w:r>
        <w:rPr>
          <w:rFonts w:hint="default" w:ascii="Times New Roman" w:hAnsi="Times New Roman" w:cs="Times New Roman" w:eastAsiaTheme="minorEastAsia"/>
          <w:sz w:val="24"/>
          <w:highlight w:val="none"/>
          <w:lang w:val="en-US" w:eastAsia="zh-CN"/>
        </w:rPr>
        <w:t>6。</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eastAsia="zh-CN"/>
        </w:rPr>
      </w:pPr>
      <w:r>
        <w:rPr>
          <w:rFonts w:hint="eastAsia" w:ascii="Times New Roman" w:hAnsi="Times New Roman" w:cs="Times New Roman" w:eastAsiaTheme="minorEastAsia"/>
          <w:sz w:val="24"/>
          <w:highlight w:val="none"/>
          <w:lang w:val="en-US" w:eastAsia="zh-CN"/>
        </w:rPr>
        <w:t>泵橇内</w:t>
      </w:r>
      <w:r>
        <w:rPr>
          <w:rFonts w:hint="default" w:ascii="Times New Roman" w:hAnsi="Times New Roman" w:cs="Times New Roman" w:eastAsiaTheme="minorEastAsia"/>
          <w:sz w:val="24"/>
          <w:highlight w:val="none"/>
          <w:lang w:eastAsia="zh-CN"/>
        </w:rPr>
        <w:t>使用的电缆要求为船用铠装（阻燃）电缆，适用于海洋石油平台特殊环境条件，阻燃等级达到IEC60332-3规定的成束燃烧A类水平，具备低烟无卤、低毒、耐油、抗电磁干扰等特殊性能，能承受一定的机械外力的作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eastAsia="zh-CN"/>
        </w:rPr>
        <w:t>泵组配带所需的双密封型铠装电缆接线防爆填料函和堵头，防爆等级Exd IIB T4，防护等级IP56，材质为</w:t>
      </w:r>
      <w:r>
        <w:rPr>
          <w:rFonts w:hint="eastAsia" w:ascii="Times New Roman" w:hAnsi="Times New Roman" w:cs="Times New Roman" w:eastAsiaTheme="minorEastAsia"/>
          <w:sz w:val="24"/>
          <w:highlight w:val="none"/>
          <w:lang w:val="en-US" w:eastAsia="zh-CN"/>
        </w:rPr>
        <w:t>不锈钢316</w:t>
      </w:r>
      <w:r>
        <w:rPr>
          <w:rFonts w:hint="default" w:ascii="Times New Roman" w:hAnsi="Times New Roman" w:cs="Times New Roman" w:eastAsiaTheme="minorEastAsia"/>
          <w:sz w:val="24"/>
          <w:highlight w:val="none"/>
          <w:lang w:eastAsia="zh-CN"/>
        </w:rPr>
        <w:t>。</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泵与电机配带铭牌、位号牌、转动标识，材质均为</w:t>
      </w:r>
      <w:r>
        <w:rPr>
          <w:rFonts w:hint="eastAsia" w:ascii="Times New Roman" w:hAnsi="Times New Roman" w:cs="Times New Roman" w:eastAsiaTheme="minorEastAsia"/>
          <w:sz w:val="24"/>
          <w:highlight w:val="none"/>
          <w:lang w:val="en-US" w:eastAsia="zh-CN"/>
        </w:rPr>
        <w:t>不锈钢</w:t>
      </w:r>
      <w:r>
        <w:rPr>
          <w:rFonts w:hint="default" w:ascii="Times New Roman" w:hAnsi="Times New Roman" w:cs="Times New Roman" w:eastAsiaTheme="minorEastAsia"/>
          <w:sz w:val="24"/>
          <w:highlight w:val="none"/>
          <w:lang w:val="en-US" w:eastAsia="zh-CN"/>
        </w:rPr>
        <w:t>316</w:t>
      </w:r>
      <w:r>
        <w:rPr>
          <w:rFonts w:hint="eastAsia" w:ascii="Times New Roman" w:hAnsi="Times New Roman" w:cs="Times New Roman" w:eastAsiaTheme="minorEastAsia"/>
          <w:sz w:val="24"/>
          <w:highlight w:val="none"/>
          <w:lang w:val="en-US" w:eastAsia="zh-CN"/>
        </w:rPr>
        <w:t>L</w:t>
      </w:r>
      <w:r>
        <w:rPr>
          <w:rFonts w:hint="default" w:ascii="Times New Roman" w:hAnsi="Times New Roman" w:cs="Times New Roman" w:eastAsiaTheme="minorEastAsia"/>
          <w:sz w:val="24"/>
          <w:highlight w:val="none"/>
          <w:lang w:val="en-US" w:eastAsia="zh-CN"/>
        </w:rPr>
        <w:t>，信息按</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要求制作。</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泵出厂前或到货后应充满泵润滑油和电机润滑脂，保证泵长周期稳定运行。</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提供每台泵</w:t>
      </w:r>
      <w:r>
        <w:rPr>
          <w:rFonts w:hint="eastAsia" w:ascii="Times New Roman" w:hAnsi="Times New Roman" w:cs="Times New Roman" w:eastAsiaTheme="minorEastAsia"/>
          <w:sz w:val="24"/>
          <w:highlight w:val="none"/>
          <w:lang w:val="en-US" w:eastAsia="zh-CN"/>
        </w:rPr>
        <w:t>橇</w:t>
      </w:r>
      <w:r>
        <w:rPr>
          <w:rFonts w:hint="default" w:ascii="Times New Roman" w:hAnsi="Times New Roman" w:cs="Times New Roman" w:eastAsiaTheme="minorEastAsia"/>
          <w:sz w:val="24"/>
          <w:highlight w:val="none"/>
          <w:lang w:val="en-US" w:eastAsia="zh-CN"/>
        </w:rPr>
        <w:t>的船级社海上固定设施产品检验</w:t>
      </w:r>
      <w:r>
        <w:rPr>
          <w:rFonts w:hint="eastAsia" w:ascii="Times New Roman" w:hAnsi="Times New Roman" w:cs="Times New Roman" w:eastAsiaTheme="minorEastAsia"/>
          <w:sz w:val="24"/>
          <w:highlight w:val="none"/>
          <w:lang w:val="en-US" w:eastAsia="zh-CN"/>
        </w:rPr>
        <w:t>B类</w:t>
      </w:r>
      <w:r>
        <w:rPr>
          <w:rFonts w:hint="default" w:ascii="Times New Roman" w:hAnsi="Times New Roman" w:cs="Times New Roman" w:eastAsiaTheme="minorEastAsia"/>
          <w:sz w:val="24"/>
          <w:highlight w:val="none"/>
          <w:lang w:val="en-US" w:eastAsia="zh-CN"/>
        </w:rPr>
        <w:t>证书，船级社检验机构ABS、DNV、BV或CCS</w:t>
      </w:r>
      <w:r>
        <w:rPr>
          <w:rFonts w:hint="eastAsia" w:ascii="Times New Roman" w:hAnsi="Times New Roman" w:cs="Times New Roman" w:eastAsiaTheme="minorEastAsia"/>
          <w:sz w:val="24"/>
          <w:highlight w:val="none"/>
          <w:lang w:val="en-US" w:eastAsia="zh-CN"/>
        </w:rPr>
        <w:t>，其一即可，并于泵橇交货后30日内提供。</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提供泵材质质量检验证明。</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本文件中未约束的其他要求详见泵和电机的规格书。</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w:t>
      </w:r>
      <w:r>
        <w:rPr>
          <w:rFonts w:hint="default" w:ascii="Times New Roman" w:hAnsi="Times New Roman" w:cs="Times New Roman" w:eastAsiaTheme="minorEastAsia"/>
          <w:sz w:val="24"/>
          <w:highlight w:val="none"/>
          <w:lang w:eastAsia="zh-CN"/>
        </w:rPr>
        <w:t>底座为型钢焊接，底座按</w:t>
      </w:r>
      <w:r>
        <w:rPr>
          <w:rFonts w:hint="eastAsia" w:ascii="Times New Roman" w:hAnsi="Times New Roman" w:cs="Times New Roman" w:eastAsiaTheme="minorEastAsia"/>
          <w:sz w:val="24"/>
          <w:highlight w:val="none"/>
          <w:lang w:eastAsia="zh-CN"/>
        </w:rPr>
        <w:t>卖方</w:t>
      </w:r>
      <w:r>
        <w:rPr>
          <w:rFonts w:hint="default" w:ascii="Times New Roman" w:hAnsi="Times New Roman" w:cs="Times New Roman" w:eastAsiaTheme="minorEastAsia"/>
          <w:sz w:val="24"/>
          <w:highlight w:val="none"/>
          <w:lang w:eastAsia="zh-CN"/>
        </w:rPr>
        <w:t>要求设置挡水板（</w:t>
      </w:r>
      <w:r>
        <w:rPr>
          <w:rFonts w:hint="default" w:ascii="Times New Roman" w:hAnsi="Times New Roman" w:cs="Times New Roman" w:eastAsiaTheme="minorEastAsia"/>
          <w:sz w:val="24"/>
          <w:highlight w:val="none"/>
          <w:lang w:val="en-US" w:eastAsia="zh-CN"/>
        </w:rPr>
        <w:t>围堰</w:t>
      </w:r>
      <w:r>
        <w:rPr>
          <w:rFonts w:hint="default" w:ascii="Times New Roman" w:hAnsi="Times New Roman" w:cs="Times New Roman" w:eastAsiaTheme="minorEastAsia"/>
          <w:sz w:val="24"/>
          <w:highlight w:val="none"/>
          <w:lang w:eastAsia="zh-CN"/>
        </w:rPr>
        <w:t>）和地漏，带</w:t>
      </w:r>
      <w:r>
        <w:rPr>
          <w:rFonts w:hint="default" w:ascii="Times New Roman" w:hAnsi="Times New Roman" w:cs="Times New Roman" w:eastAsiaTheme="minorEastAsia"/>
          <w:sz w:val="24"/>
          <w:highlight w:val="none"/>
          <w:lang w:val="en-US" w:eastAsia="zh-CN"/>
        </w:rPr>
        <w:t>法兰式排污口</w:t>
      </w:r>
      <w:r>
        <w:rPr>
          <w:rFonts w:hint="default" w:ascii="Times New Roman" w:hAnsi="Times New Roman" w:cs="Times New Roman" w:eastAsiaTheme="minorEastAsia"/>
          <w:sz w:val="24"/>
          <w:highlight w:val="none"/>
          <w:lang w:eastAsia="zh-CN"/>
        </w:rPr>
        <w:t>和吊耳；所有钢材必须具有生产厂出具的质量检验证明书，钢材表面不允许存在裂纹、接吧、折叠、气泡和夹杂；</w:t>
      </w:r>
      <w:r>
        <w:rPr>
          <w:rFonts w:hint="default" w:ascii="Times New Roman" w:hAnsi="Times New Roman" w:cs="Times New Roman" w:eastAsiaTheme="minorEastAsia"/>
          <w:sz w:val="24"/>
          <w:highlight w:val="none"/>
          <w:lang w:val="en-US" w:eastAsia="zh-CN"/>
        </w:rPr>
        <w:t>构件在组装时必须清除被焊部位30～50mm范围内的黄锈、熔渣、污垢和水分等，重要构件的焊缝部位的清理应使用砂轮打磨直至呈现出金属光泽。</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泵、电机与底座的油漆防腐涂装设计与施工应遵循附件规格书涂装要求；涂装前，应对外表面清洁，去除油脂，经过喷砂处理，达到Sa2.5级，喷砂后4小时内涂底漆，否则涂车间底漆；涂装前，应对表面结构缺陷进行检查，磨圆和平整锐边、角落、点焊缝等，打磨电焊飞溅、火焰气割自由边等；油漆均需采用海洋漆，不允许两种及以上品牌混用。</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填料函规格由</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按照电缆参数信息选型，并按有20％余量提供备用件，不少于1套，备用开孔带</w:t>
      </w:r>
      <w:r>
        <w:rPr>
          <w:rFonts w:hint="eastAsia" w:ascii="Times New Roman" w:hAnsi="Times New Roman" w:cs="Times New Roman" w:eastAsiaTheme="minorEastAsia"/>
          <w:sz w:val="24"/>
          <w:highlight w:val="none"/>
          <w:lang w:val="en-US" w:eastAsia="zh-CN"/>
        </w:rPr>
        <w:t>不锈钢316</w:t>
      </w:r>
      <w:r>
        <w:rPr>
          <w:rFonts w:hint="default" w:ascii="Times New Roman" w:hAnsi="Times New Roman" w:cs="Times New Roman" w:eastAsiaTheme="minorEastAsia"/>
          <w:sz w:val="24"/>
          <w:highlight w:val="none"/>
          <w:lang w:val="en-US" w:eastAsia="zh-CN"/>
        </w:rPr>
        <w:t>防爆堵头。</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需完成泵进出口</w:t>
      </w:r>
      <w:r>
        <w:rPr>
          <w:rFonts w:hint="eastAsia" w:ascii="Times New Roman" w:hAnsi="Times New Roman" w:cs="Times New Roman" w:eastAsiaTheme="minorEastAsia"/>
          <w:sz w:val="24"/>
          <w:highlight w:val="none"/>
          <w:lang w:val="en-US" w:eastAsia="zh-CN"/>
        </w:rPr>
        <w:t>配对</w:t>
      </w:r>
      <w:r>
        <w:rPr>
          <w:rFonts w:hint="default" w:ascii="Times New Roman" w:hAnsi="Times New Roman" w:cs="Times New Roman" w:eastAsiaTheme="minorEastAsia"/>
          <w:sz w:val="24"/>
          <w:highlight w:val="none"/>
          <w:lang w:val="en-US" w:eastAsia="zh-CN"/>
        </w:rPr>
        <w:t>法兰的跨接及防静电接地设计和现场安装工作，跨接材料采用BVR-16多股铜芯软导线；完成电机的良好接地工作。</w:t>
      </w:r>
    </w:p>
    <w:p>
      <w:pPr>
        <w:pStyle w:val="10"/>
        <w:keepNext w:val="0"/>
        <w:keepLines w:val="0"/>
        <w:pageBreakBefore w:val="0"/>
        <w:widowControl w:val="0"/>
        <w:numPr>
          <w:ilvl w:val="0"/>
          <w:numId w:val="8"/>
        </w:numPr>
        <w:kinsoku/>
        <w:wordWrap/>
        <w:overflowPunct/>
        <w:topLinePunct w:val="0"/>
        <w:autoSpaceDE/>
        <w:autoSpaceDN/>
        <w:bidi w:val="0"/>
        <w:adjustRightInd/>
        <w:snapToGrid/>
        <w:spacing w:line="300" w:lineRule="auto"/>
        <w:ind w:left="900" w:leftChars="200" w:hanging="480" w:hanging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防爆电机的铭牌上必须有防爆标志信息，信息（包含证号、取证日期等）必须跟证书保持一致。</w:t>
      </w:r>
    </w:p>
    <w:p>
      <w:pPr>
        <w:pStyle w:val="10"/>
        <w:numPr>
          <w:ilvl w:val="0"/>
          <w:numId w:val="8"/>
        </w:numPr>
        <w:spacing w:line="300" w:lineRule="auto"/>
        <w:ind w:left="900" w:leftChars="200" w:hanging="480" w:hangingChars="200"/>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完成泵的现场安装、调试、培训等相关服务，现场服务地点（包括海上平台）由</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指定。</w:t>
      </w:r>
    </w:p>
    <w:p>
      <w:pPr>
        <w:pStyle w:val="10"/>
        <w:numPr>
          <w:ilvl w:val="0"/>
          <w:numId w:val="8"/>
        </w:numPr>
        <w:spacing w:line="300" w:lineRule="auto"/>
        <w:ind w:left="900" w:leftChars="200" w:hanging="480" w:hangingChars="200"/>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eastAsiaTheme="minorEastAsia"/>
          <w:sz w:val="24"/>
          <w:highlight w:val="none"/>
          <w:lang w:val="en-US" w:eastAsia="zh-CN"/>
        </w:rPr>
        <w:t>★卖方承诺</w:t>
      </w:r>
      <w:r>
        <w:rPr>
          <w:rFonts w:hint="default" w:ascii="Times New Roman" w:hAnsi="Times New Roman" w:cs="Times New Roman" w:eastAsiaTheme="minorEastAsia"/>
          <w:sz w:val="24"/>
          <w:highlight w:val="none"/>
          <w:lang w:val="en-US" w:eastAsia="zh-CN"/>
        </w:rPr>
        <w:t>供货周期：双方签订合同后，</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须在</w:t>
      </w:r>
      <w:r>
        <w:rPr>
          <w:rFonts w:hint="eastAsia" w:ascii="Times New Roman" w:hAnsi="Times New Roman" w:cs="Times New Roman" w:eastAsiaTheme="minorEastAsia"/>
          <w:sz w:val="24"/>
          <w:highlight w:val="none"/>
          <w:lang w:val="en-US" w:eastAsia="zh-CN"/>
        </w:rPr>
        <w:t>120</w:t>
      </w:r>
      <w:r>
        <w:rPr>
          <w:rFonts w:hint="default" w:ascii="Times New Roman" w:hAnsi="Times New Roman" w:cs="Times New Roman" w:eastAsiaTheme="minorEastAsia"/>
          <w:sz w:val="24"/>
          <w:highlight w:val="none"/>
          <w:lang w:val="en-US" w:eastAsia="zh-CN"/>
        </w:rPr>
        <w:t>天内完成</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签署合格的产品出厂验收试验程序（FAT）并将订单上所有产品运至</w:t>
      </w:r>
      <w:r>
        <w:rPr>
          <w:rFonts w:hint="eastAsia" w:ascii="Times New Roman" w:hAnsi="Times New Roman" w:cs="Times New Roman" w:eastAsiaTheme="minorEastAsia"/>
          <w:sz w:val="24"/>
          <w:highlight w:val="none"/>
          <w:lang w:val="en-US" w:eastAsia="zh-CN"/>
        </w:rPr>
        <w:t>买方</w:t>
      </w:r>
      <w:r>
        <w:rPr>
          <w:rFonts w:hint="default" w:ascii="Times New Roman" w:hAnsi="Times New Roman" w:cs="Times New Roman" w:eastAsiaTheme="minorEastAsia"/>
          <w:sz w:val="24"/>
          <w:highlight w:val="none"/>
          <w:lang w:val="en-US" w:eastAsia="zh-CN"/>
        </w:rPr>
        <w:t>要求交货点。</w:t>
      </w:r>
    </w:p>
    <w:p>
      <w:pPr>
        <w:pStyle w:val="10"/>
        <w:numPr>
          <w:ilvl w:val="0"/>
          <w:numId w:val="8"/>
        </w:numPr>
        <w:spacing w:line="300" w:lineRule="auto"/>
        <w:ind w:left="900" w:leftChars="200" w:hanging="480" w:hangingChars="200"/>
        <w:rPr>
          <w:rFonts w:hint="default" w:asciiTheme="minorHAnsi" w:hAnsiTheme="minorHAnsi" w:eastAsiaTheme="minorEastAsia"/>
          <w:sz w:val="22"/>
          <w:highlight w:val="none"/>
          <w:lang w:val="en-US" w:eastAsia="zh-CN"/>
        </w:rPr>
      </w:pP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遵守招标文件和所有随附文件的规定并不能免除</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对设备和材料的责任，</w:t>
      </w:r>
      <w:r>
        <w:rPr>
          <w:rFonts w:hint="eastAsia" w:ascii="Times New Roman" w:hAnsi="Times New Roman" w:cs="Times New Roman" w:eastAsiaTheme="minorEastAsia"/>
          <w:sz w:val="24"/>
          <w:highlight w:val="none"/>
          <w:lang w:val="en-US" w:eastAsia="zh-CN"/>
        </w:rPr>
        <w:t>卖方</w:t>
      </w:r>
      <w:r>
        <w:rPr>
          <w:rFonts w:hint="default" w:ascii="Times New Roman" w:hAnsi="Times New Roman" w:cs="Times New Roman" w:eastAsiaTheme="minorEastAsia"/>
          <w:sz w:val="24"/>
          <w:highlight w:val="none"/>
          <w:lang w:val="en-US" w:eastAsia="zh-CN"/>
        </w:rPr>
        <w:t>提供的设备和材料应符合规定的使用条件以及原产地有效的任何未列出的健康和安全规范。</w:t>
      </w:r>
    </w:p>
    <w:p>
      <w:pPr>
        <w:keepNext w:val="0"/>
        <w:keepLines w:val="0"/>
        <w:pageBreakBefore w:val="0"/>
        <w:widowControl w:val="0"/>
        <w:kinsoku/>
        <w:wordWrap w:val="0"/>
        <w:overflowPunct/>
        <w:topLinePunct/>
        <w:autoSpaceDE/>
        <w:autoSpaceDN/>
        <w:bidi w:val="0"/>
        <w:adjustRightInd w:val="0"/>
        <w:snapToGrid w:val="0"/>
        <w:spacing w:before="313" w:beforeLines="100" w:line="360" w:lineRule="auto"/>
        <w:ind w:firstLine="562" w:firstLineChars="200"/>
        <w:jc w:val="both"/>
        <w:textAlignment w:val="auto"/>
        <w:outlineLvl w:val="1"/>
        <w:rPr>
          <w:rFonts w:hint="eastAsia" w:ascii="Times New Roman" w:hAnsi="Times New Roman" w:eastAsia="宋体" w:cs="Times New Roman"/>
          <w:b/>
          <w:bCs/>
          <w:color w:val="auto"/>
          <w:kern w:val="0"/>
          <w:sz w:val="28"/>
          <w:szCs w:val="28"/>
          <w:highlight w:val="none"/>
          <w:lang w:val="en-US" w:eastAsia="zh-CN" w:bidi="ar-SA"/>
        </w:rPr>
      </w:pPr>
      <w:r>
        <w:rPr>
          <w:rFonts w:hint="eastAsia" w:ascii="Times New Roman" w:hAnsi="Times New Roman" w:eastAsia="宋体" w:cs="Times New Roman"/>
          <w:b/>
          <w:bCs/>
          <w:color w:val="auto"/>
          <w:kern w:val="0"/>
          <w:sz w:val="28"/>
          <w:szCs w:val="28"/>
          <w:highlight w:val="none"/>
          <w:lang w:val="en-US" w:eastAsia="zh-CN" w:bidi="ar-SA"/>
        </w:rPr>
        <w:t>2</w:t>
      </w:r>
      <w:r>
        <w:rPr>
          <w:rFonts w:hint="default" w:ascii="Times New Roman" w:hAnsi="Times New Roman" w:eastAsia="宋体" w:cs="Times New Roman"/>
          <w:b/>
          <w:bCs/>
          <w:color w:val="auto"/>
          <w:kern w:val="0"/>
          <w:sz w:val="28"/>
          <w:szCs w:val="28"/>
          <w:highlight w:val="none"/>
          <w:lang w:val="en-US" w:eastAsia="en-US" w:bidi="ar-SA"/>
        </w:rPr>
        <w:t xml:space="preserve">. </w:t>
      </w:r>
      <w:r>
        <w:rPr>
          <w:rFonts w:hint="eastAsia" w:ascii="Times New Roman" w:hAnsi="Times New Roman" w:eastAsia="宋体" w:cs="Times New Roman"/>
          <w:b/>
          <w:bCs/>
          <w:color w:val="auto"/>
          <w:kern w:val="0"/>
          <w:sz w:val="28"/>
          <w:szCs w:val="28"/>
          <w:highlight w:val="none"/>
          <w:lang w:val="en-US" w:eastAsia="zh-CN" w:bidi="ar-SA"/>
        </w:rPr>
        <w:t>供货范围</w:t>
      </w:r>
    </w:p>
    <w:p>
      <w:pPr>
        <w:spacing w:line="360" w:lineRule="auto"/>
        <w:ind w:firstLine="480" w:firstLineChars="200"/>
        <w:jc w:val="left"/>
        <w:rPr>
          <w:rFonts w:hint="default"/>
          <w:highlight w:val="none"/>
          <w:lang w:val="en-US" w:eastAsia="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1  低温精馏回流泵橇需求表</w:t>
      </w:r>
    </w:p>
    <w:tbl>
      <w:tblPr>
        <w:tblStyle w:val="23"/>
        <w:tblpPr w:leftFromText="180" w:rightFromText="180" w:vertAnchor="text" w:horzAnchor="page" w:tblpX="2341" w:tblpY="463"/>
        <w:tblOverlap w:val="never"/>
        <w:tblW w:w="46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608"/>
        <w:gridCol w:w="3626"/>
        <w:gridCol w:w="625"/>
        <w:gridCol w:w="4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2"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序号</w:t>
            </w:r>
          </w:p>
        </w:tc>
        <w:tc>
          <w:tcPr>
            <w:tcW w:w="1017"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物资名称</w:t>
            </w:r>
          </w:p>
        </w:tc>
        <w:tc>
          <w:tcPr>
            <w:tcW w:w="2294"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rPr>
              <w:t>规格</w:t>
            </w:r>
            <w:r>
              <w:rPr>
                <w:rFonts w:hint="eastAsia" w:ascii="宋体" w:hAnsi="宋体" w:eastAsia="宋体" w:cs="宋体"/>
                <w:spacing w:val="0"/>
                <w:sz w:val="21"/>
                <w:szCs w:val="21"/>
                <w:highlight w:val="none"/>
                <w:lang w:val="en-US" w:eastAsia="zh-CN"/>
              </w:rPr>
              <w:t>参数</w:t>
            </w:r>
          </w:p>
        </w:tc>
        <w:tc>
          <w:tcPr>
            <w:tcW w:w="395"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数量</w:t>
            </w:r>
          </w:p>
        </w:tc>
        <w:tc>
          <w:tcPr>
            <w:tcW w:w="315"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单位</w:t>
            </w:r>
          </w:p>
        </w:tc>
        <w:tc>
          <w:tcPr>
            <w:tcW w:w="694" w:type="pct"/>
            <w:vAlign w:val="center"/>
          </w:tcPr>
          <w:p>
            <w:pPr>
              <w:pStyle w:val="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低温精馏回流</w:t>
            </w:r>
            <w:r>
              <w:rPr>
                <w:rFonts w:hint="default" w:ascii="Times New Roman" w:hAnsi="Times New Roman" w:eastAsia="宋体" w:cs="Times New Roman"/>
                <w:i w:val="0"/>
                <w:iCs w:val="0"/>
                <w:color w:val="000000"/>
                <w:kern w:val="0"/>
                <w:sz w:val="21"/>
                <w:szCs w:val="21"/>
                <w:highlight w:val="none"/>
                <w:u w:val="none"/>
                <w:lang w:val="en-US" w:eastAsia="zh-CN" w:bidi="ar"/>
              </w:rPr>
              <w:t>泵</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介质：液体CO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eastAsia" w:ascii="Times New Roman" w:hAnsi="Times New Roman" w:eastAsia="宋体" w:cs="Times New Roman"/>
                <w:i w:val="0"/>
                <w:iCs w:val="0"/>
                <w:color w:val="000000"/>
                <w:kern w:val="0"/>
                <w:sz w:val="21"/>
                <w:szCs w:val="21"/>
                <w:highlight w:val="none"/>
                <w:u w:val="none"/>
                <w:vertAlign w:val="baseline"/>
                <w:lang w:val="en-US" w:eastAsia="zh-CN" w:bidi="ar"/>
              </w:rPr>
              <w:t>/甲烷；泵设计压力：8.235MPaG；设计温度：-55℃；</w:t>
            </w:r>
            <w:r>
              <w:rPr>
                <w:rFonts w:hint="default" w:ascii="Times New Roman" w:hAnsi="Times New Roman" w:eastAsia="宋体" w:cs="Times New Roman"/>
                <w:i w:val="0"/>
                <w:iCs w:val="0"/>
                <w:color w:val="000000"/>
                <w:kern w:val="0"/>
                <w:sz w:val="21"/>
                <w:szCs w:val="21"/>
                <w:highlight w:val="none"/>
                <w:u w:val="none"/>
                <w:vertAlign w:val="baseline"/>
                <w:lang w:val="en-US" w:eastAsia="zh-CN" w:bidi="ar"/>
              </w:rPr>
              <w:t>操作</w:t>
            </w:r>
            <w:r>
              <w:rPr>
                <w:rFonts w:hint="default" w:ascii="Times New Roman" w:hAnsi="Times New Roman" w:eastAsia="宋体" w:cs="Times New Roman"/>
                <w:i w:val="0"/>
                <w:iCs w:val="0"/>
                <w:color w:val="000000"/>
                <w:kern w:val="0"/>
                <w:sz w:val="21"/>
                <w:szCs w:val="21"/>
                <w:highlight w:val="none"/>
                <w:u w:val="none"/>
                <w:lang w:val="en-US" w:eastAsia="zh-CN" w:bidi="ar"/>
              </w:rPr>
              <w:t>温度：-</w:t>
            </w:r>
            <w:r>
              <w:rPr>
                <w:rFonts w:hint="eastAsia" w:ascii="Times New Roman" w:hAnsi="Times New Roman" w:eastAsia="宋体" w:cs="Times New Roman"/>
                <w:i w:val="0"/>
                <w:iCs w:val="0"/>
                <w:color w:val="000000"/>
                <w:kern w:val="0"/>
                <w:sz w:val="21"/>
                <w:szCs w:val="21"/>
                <w:highlight w:val="none"/>
                <w:u w:val="none"/>
                <w:lang w:val="en-US" w:eastAsia="zh-CN" w:bidi="ar"/>
              </w:rPr>
              <w:t>42</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ascii="Times New Roman" w:hAnsi="Times New Roman" w:eastAsia="宋体" w:cs="Times New Roman"/>
                <w:i w:val="0"/>
                <w:iCs w:val="0"/>
                <w:color w:val="000000"/>
                <w:kern w:val="0"/>
                <w:sz w:val="21"/>
                <w:szCs w:val="21"/>
                <w:highlight w:val="none"/>
                <w:u w:val="none"/>
                <w:lang w:val="en-US" w:eastAsia="zh-CN" w:bidi="ar"/>
              </w:rPr>
              <w:t>额定</w:t>
            </w:r>
            <w:r>
              <w:rPr>
                <w:rFonts w:hint="default" w:ascii="Times New Roman" w:hAnsi="Times New Roman" w:eastAsia="宋体" w:cs="Times New Roman"/>
                <w:i w:val="0"/>
                <w:iCs w:val="0"/>
                <w:color w:val="000000"/>
                <w:kern w:val="0"/>
                <w:sz w:val="21"/>
                <w:szCs w:val="21"/>
                <w:highlight w:val="none"/>
                <w:u w:val="none"/>
                <w:lang w:val="en-US" w:eastAsia="zh-CN" w:bidi="ar"/>
              </w:rPr>
              <w:t>流量：</w:t>
            </w:r>
            <w:r>
              <w:rPr>
                <w:rFonts w:hint="eastAsia" w:ascii="Times New Roman" w:hAnsi="Times New Roman" w:eastAsia="宋体" w:cs="Times New Roman"/>
                <w:i w:val="0"/>
                <w:iCs w:val="0"/>
                <w:color w:val="000000"/>
                <w:kern w:val="0"/>
                <w:sz w:val="21"/>
                <w:szCs w:val="21"/>
                <w:highlight w:val="none"/>
                <w:u w:val="none"/>
                <w:lang w:val="en-US" w:eastAsia="zh-CN" w:bidi="ar"/>
              </w:rPr>
              <w:t>20</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m³/h ；泵</w:t>
            </w:r>
            <w:r>
              <w:rPr>
                <w:rFonts w:hint="eastAsia" w:ascii="Times New Roman" w:hAnsi="Times New Roman" w:eastAsia="宋体" w:cs="Times New Roman"/>
                <w:i w:val="0"/>
                <w:iCs w:val="0"/>
                <w:color w:val="000000"/>
                <w:kern w:val="0"/>
                <w:sz w:val="21"/>
                <w:szCs w:val="21"/>
                <w:highlight w:val="none"/>
                <w:u w:val="none"/>
                <w:lang w:val="en-US" w:eastAsia="zh-CN" w:bidi="ar"/>
              </w:rPr>
              <w:t>入</w:t>
            </w:r>
            <w:r>
              <w:rPr>
                <w:rFonts w:hint="default" w:ascii="Times New Roman" w:hAnsi="Times New Roman" w:eastAsia="宋体" w:cs="Times New Roman"/>
                <w:i w:val="0"/>
                <w:iCs w:val="0"/>
                <w:color w:val="000000"/>
                <w:kern w:val="0"/>
                <w:sz w:val="21"/>
                <w:szCs w:val="21"/>
                <w:highlight w:val="none"/>
                <w:u w:val="none"/>
                <w:lang w:val="en-US" w:eastAsia="zh-CN" w:bidi="ar"/>
              </w:rPr>
              <w:t>口压力：3.5MPaG；泵</w:t>
            </w:r>
            <w:r>
              <w:rPr>
                <w:rFonts w:hint="eastAsia" w:ascii="Times New Roman" w:hAnsi="Times New Roman" w:eastAsia="宋体" w:cs="Times New Roman"/>
                <w:i w:val="0"/>
                <w:iCs w:val="0"/>
                <w:color w:val="000000"/>
                <w:kern w:val="0"/>
                <w:sz w:val="21"/>
                <w:szCs w:val="21"/>
                <w:highlight w:val="none"/>
                <w:u w:val="none"/>
                <w:lang w:val="en-US" w:eastAsia="zh-CN" w:bidi="ar"/>
              </w:rPr>
              <w:t>扬程：30m；材质：A-7（API610）</w:t>
            </w:r>
          </w:p>
        </w:tc>
        <w:tc>
          <w:tcPr>
            <w:tcW w:w="395"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rPr>
            </w:pP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315"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台</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泵型式为OH2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主电机</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船用隔爆型，防护等级：IP56，一级能效</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台</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配套回流泵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3</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集装式机械密封及密封冲洗系统</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4</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带无火花护罩的膜片</w:t>
            </w:r>
            <w:r>
              <w:rPr>
                <w:rFonts w:hint="default" w:ascii="Times New Roman" w:hAnsi="Times New Roman" w:eastAsia="宋体" w:cs="Times New Roman"/>
                <w:i w:val="0"/>
                <w:iCs w:val="0"/>
                <w:color w:val="000000"/>
                <w:kern w:val="0"/>
                <w:sz w:val="21"/>
                <w:szCs w:val="21"/>
                <w:highlight w:val="none"/>
                <w:u w:val="none"/>
                <w:lang w:val="en-US" w:eastAsia="zh-CN" w:bidi="ar"/>
              </w:rPr>
              <w:t>联轴器</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件</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重载型钢焊接</w:t>
            </w:r>
            <w:r>
              <w:rPr>
                <w:rFonts w:hint="default" w:ascii="Times New Roman" w:hAnsi="Times New Roman" w:eastAsia="宋体" w:cs="Times New Roman"/>
                <w:i w:val="0"/>
                <w:iCs w:val="0"/>
                <w:color w:val="000000"/>
                <w:kern w:val="0"/>
                <w:sz w:val="21"/>
                <w:szCs w:val="21"/>
                <w:highlight w:val="none"/>
                <w:u w:val="none"/>
                <w:lang w:val="en-US" w:eastAsia="zh-CN" w:bidi="ar"/>
              </w:rPr>
              <w:t>泵橇底座</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材质：Q235B</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6</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泵</w:t>
            </w:r>
            <w:r>
              <w:rPr>
                <w:rFonts w:hint="eastAsia" w:ascii="Times New Roman" w:hAnsi="Times New Roman" w:eastAsia="宋体" w:cs="Times New Roman"/>
                <w:i w:val="0"/>
                <w:iCs w:val="0"/>
                <w:color w:val="000000"/>
                <w:kern w:val="0"/>
                <w:sz w:val="21"/>
                <w:szCs w:val="21"/>
                <w:highlight w:val="none"/>
                <w:u w:val="none"/>
                <w:lang w:val="en-US" w:eastAsia="zh-CN" w:bidi="ar"/>
              </w:rPr>
              <w:t>橇</w:t>
            </w:r>
            <w:r>
              <w:rPr>
                <w:rFonts w:hint="default" w:ascii="Times New Roman" w:hAnsi="Times New Roman" w:eastAsia="宋体" w:cs="Times New Roman"/>
                <w:i w:val="0"/>
                <w:iCs w:val="0"/>
                <w:color w:val="000000"/>
                <w:kern w:val="0"/>
                <w:sz w:val="21"/>
                <w:szCs w:val="21"/>
                <w:highlight w:val="none"/>
                <w:u w:val="none"/>
                <w:lang w:val="en-US" w:eastAsia="zh-CN" w:bidi="ar"/>
              </w:rPr>
              <w:t>就地仪表、仪表架、接线盒</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泵橇范围内，带电缆引入格兰、压盖，以接线盒出现端子为界。</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7</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所有与用户连接的法兰及</w:t>
            </w:r>
            <w:r>
              <w:rPr>
                <w:rFonts w:hint="eastAsia" w:ascii="Times New Roman" w:hAnsi="Times New Roman" w:eastAsia="宋体" w:cs="Times New Roman"/>
                <w:i w:val="0"/>
                <w:iCs w:val="0"/>
                <w:color w:val="000000"/>
                <w:kern w:val="0"/>
                <w:sz w:val="21"/>
                <w:szCs w:val="21"/>
                <w:highlight w:val="none"/>
                <w:u w:val="none"/>
                <w:lang w:val="en-US" w:eastAsia="zh-CN" w:bidi="ar"/>
              </w:rPr>
              <w:t>配对</w:t>
            </w:r>
            <w:r>
              <w:rPr>
                <w:rFonts w:hint="default" w:ascii="Times New Roman" w:hAnsi="Times New Roman" w:eastAsia="宋体" w:cs="Times New Roman"/>
                <w:i w:val="0"/>
                <w:iCs w:val="0"/>
                <w:color w:val="000000"/>
                <w:kern w:val="0"/>
                <w:sz w:val="21"/>
                <w:szCs w:val="21"/>
                <w:highlight w:val="none"/>
                <w:u w:val="none"/>
                <w:lang w:val="en-US" w:eastAsia="zh-CN" w:bidi="ar"/>
              </w:rPr>
              <w:t>法兰、螺栓螺母、垫片等</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8</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底座范围内的所有冷却水、润滑由、密封冲洗及泵排液管线</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回流</w:t>
            </w:r>
            <w:r>
              <w:rPr>
                <w:rFonts w:hint="default" w:ascii="Times New Roman" w:hAnsi="Times New Roman" w:eastAsia="宋体" w:cs="Times New Roman"/>
                <w:i w:val="0"/>
                <w:iCs w:val="0"/>
                <w:color w:val="000000"/>
                <w:kern w:val="0"/>
                <w:sz w:val="21"/>
                <w:szCs w:val="21"/>
                <w:highlight w:val="none"/>
                <w:u w:val="none"/>
                <w:lang w:val="en-US" w:eastAsia="zh-CN" w:bidi="ar"/>
              </w:rPr>
              <w:t>泵使用的配件</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9</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专用拆装工具</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w:t>
            </w:r>
          </w:p>
        </w:tc>
        <w:tc>
          <w:tcPr>
            <w:tcW w:w="10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开工备件</w:t>
            </w:r>
          </w:p>
        </w:tc>
        <w:tc>
          <w:tcPr>
            <w:tcW w:w="2294" w:type="pct"/>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泵用的所有垫片和O型圈、机封、轴承等。</w:t>
            </w:r>
          </w:p>
        </w:tc>
        <w:tc>
          <w:tcPr>
            <w:tcW w:w="395" w:type="pct"/>
            <w:vAlign w:val="center"/>
          </w:tcPr>
          <w:p>
            <w:pPr>
              <w:jc w:val="center"/>
              <w:rPr>
                <w:rFonts w:hint="default" w:ascii="Times New Roman" w:hAnsi="Times New Roman" w:eastAsia="宋体" w:cs="Times New Roman"/>
                <w:spacing w:val="0"/>
                <w:kern w:val="0"/>
                <w:sz w:val="21"/>
                <w:szCs w:val="21"/>
                <w:highlight w:val="none"/>
                <w:lang w:val="en-US" w:eastAsia="zh-CN" w:bidi="ar-SA"/>
              </w:rPr>
            </w:pPr>
            <w:r>
              <w:rPr>
                <w:rFonts w:hint="eastAsia" w:ascii="Times New Roman" w:hAnsi="Times New Roman" w:eastAsia="宋体" w:cs="Times New Roman"/>
                <w:spacing w:val="0"/>
                <w:kern w:val="0"/>
                <w:sz w:val="21"/>
                <w:szCs w:val="21"/>
                <w:highlight w:val="none"/>
                <w:lang w:val="en-US" w:eastAsia="zh-CN" w:bidi="ar-SA"/>
              </w:rPr>
              <w:t>2</w:t>
            </w:r>
          </w:p>
        </w:tc>
        <w:tc>
          <w:tcPr>
            <w:tcW w:w="315" w:type="pct"/>
            <w:vAlign w:val="center"/>
          </w:tcPr>
          <w:p>
            <w:pPr>
              <w:jc w:val="center"/>
              <w:rPr>
                <w:rFonts w:hint="eastAsia"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highlight w:val="none"/>
                <w:lang w:val="en-US" w:eastAsia="zh-CN" w:bidi="ar-SA"/>
              </w:rPr>
              <w:t>套</w:t>
            </w:r>
          </w:p>
        </w:tc>
        <w:tc>
          <w:tcPr>
            <w:tcW w:w="69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bl>
    <w:p>
      <w:pPr>
        <w:rPr>
          <w:rFonts w:hint="default"/>
          <w:highlight w:val="none"/>
          <w:lang w:val="en-US" w:eastAsia="zh-CN"/>
        </w:rPr>
      </w:pPr>
    </w:p>
    <w:p>
      <w:pPr>
        <w:spacing w:line="360" w:lineRule="auto"/>
        <w:ind w:firstLine="480" w:firstLineChars="200"/>
        <w:jc w:val="left"/>
        <w:rPr>
          <w:rFonts w:hint="default"/>
          <w:highlight w:val="none"/>
          <w:lang w:val="en-US" w:eastAsia="en-US"/>
        </w:rPr>
      </w:pP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2  低温精馏回流泵橇备品备件清单（含在总价内）</w:t>
      </w:r>
    </w:p>
    <w:tbl>
      <w:tblPr>
        <w:tblStyle w:val="23"/>
        <w:tblW w:w="0" w:type="auto"/>
        <w:tblInd w:w="5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294"/>
        <w:gridCol w:w="184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序号</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名称</w:t>
            </w:r>
          </w:p>
        </w:tc>
        <w:tc>
          <w:tcPr>
            <w:tcW w:w="1842"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数量</w:t>
            </w:r>
          </w:p>
        </w:tc>
        <w:tc>
          <w:tcPr>
            <w:tcW w:w="2131"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集装式机械密封</w:t>
            </w:r>
          </w:p>
        </w:tc>
        <w:tc>
          <w:tcPr>
            <w:tcW w:w="1842"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2台套</w:t>
            </w:r>
          </w:p>
        </w:tc>
        <w:tc>
          <w:tcPr>
            <w:tcW w:w="2131"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2台泵各一台套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机封压盖垫片、轴套垫或O型圈</w:t>
            </w:r>
          </w:p>
        </w:tc>
        <w:tc>
          <w:tcPr>
            <w:tcW w:w="1842"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2台套</w:t>
            </w:r>
          </w:p>
        </w:tc>
        <w:tc>
          <w:tcPr>
            <w:tcW w:w="2131"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2台泵各一台套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w:t>
            </w:r>
          </w:p>
        </w:tc>
        <w:tc>
          <w:tcPr>
            <w:tcW w:w="3294" w:type="dxa"/>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泵用O型圈垫片、泵盖垫</w:t>
            </w:r>
          </w:p>
        </w:tc>
        <w:tc>
          <w:tcPr>
            <w:tcW w:w="1842"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2台套</w:t>
            </w:r>
          </w:p>
        </w:tc>
        <w:tc>
          <w:tcPr>
            <w:tcW w:w="2131" w:type="dxa"/>
            <w:vAlign w:val="top"/>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2台泵各一台套</w:t>
            </w:r>
          </w:p>
        </w:tc>
      </w:tr>
    </w:tbl>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六、检测和试验</w:t>
      </w:r>
    </w:p>
    <w:p>
      <w:pPr>
        <w:pStyle w:val="10"/>
        <w:spacing w:line="300" w:lineRule="auto"/>
        <w:ind w:left="220" w:right="125" w:firstLine="480"/>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泵的生产建造和出厂检验需</w:t>
      </w:r>
      <w:r>
        <w:rPr>
          <w:rFonts w:asciiTheme="minorEastAsia" w:hAnsiTheme="minorEastAsia" w:eastAsiaTheme="minorEastAsia"/>
          <w:sz w:val="24"/>
          <w:highlight w:val="none"/>
          <w:lang w:eastAsia="zh-CN"/>
        </w:rPr>
        <w:t>采用公认的或已颁布的标准检验方法</w:t>
      </w:r>
      <w:r>
        <w:rPr>
          <w:rFonts w:hint="eastAsia" w:asciiTheme="minorEastAsia" w:hAnsiTheme="minorEastAsia" w:eastAsiaTheme="minorEastAsia"/>
          <w:sz w:val="24"/>
          <w:highlight w:val="none"/>
          <w:lang w:eastAsia="zh-CN"/>
        </w:rPr>
        <w:t>，泵厂家需要向卖方提供生产建造、试验检验和出厂检验等相关资料文件。</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卖方应对泵的主要零件如：外筒体（壳体）、端盖、叶轮、轴、平衡鼓盘、端盖螺栓和螺母等，进行材料的机械性能或化学成分分析，并出具报告。</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泵承压部件应做静压试验，结果应符合相关标准要求。</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推荐的泵的无损探伤项目：</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default"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表6.1 无损探伤项目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7"/>
        <w:gridCol w:w="1018"/>
        <w:gridCol w:w="1099"/>
        <w:gridCol w:w="115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项目</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磁粉MT</w:t>
            </w: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着色PT</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超声波UT</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射线RT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外筒体（壳体）/端盖</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外筒体管口焊缝（如需要）</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叶轮</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轴</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端盖螺栓</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端盖螺母</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平衡盘、平衡板（如需要）</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 xml:space="preserve">Y </w:t>
            </w: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滑动轴承</w:t>
            </w:r>
          </w:p>
        </w:tc>
        <w:tc>
          <w:tcPr>
            <w:tcW w:w="101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09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154"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985"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Theme="minorEastAsia" w:hAnsiTheme="minorEastAsia" w:eastAsiaTheme="minorEastAsia"/>
          <w:sz w:val="24"/>
          <w:highlight w:val="none"/>
          <w:lang w:val="en-US" w:eastAsia="zh-CN"/>
        </w:rPr>
      </w:pP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主要的工厂试验内容如下：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1"/>
          <w:szCs w:val="21"/>
          <w:highlight w:val="none"/>
          <w:lang w:val="en-US" w:eastAsia="zh-CN"/>
        </w:rPr>
        <w:t>表6.2 工厂试验项目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687"/>
        <w:gridCol w:w="1619"/>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试验项目</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见证试验</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非见证试验</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水压试验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性能试验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NPSH试验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机械运转试验</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0"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试验后的拆装检查</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Y</w:t>
            </w:r>
          </w:p>
        </w:tc>
        <w:tc>
          <w:tcPr>
            <w:tcW w:w="1619"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Theme="minorEastAsia" w:hAnsiTheme="minorEastAsia" w:eastAsiaTheme="minorEastAsia"/>
                <w:sz w:val="21"/>
                <w:szCs w:val="21"/>
                <w:highlight w:val="none"/>
                <w:vertAlign w:val="baseline"/>
                <w:lang w:val="en-US" w:eastAsia="zh-CN"/>
              </w:rPr>
            </w:pP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Theme="minorEastAsia" w:hAnsiTheme="minorEastAsia" w:eastAsiaTheme="minorEastAsia"/>
          <w:sz w:val="24"/>
          <w:highlight w:val="none"/>
          <w:lang w:eastAsia="zh-CN"/>
        </w:rPr>
      </w:pP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泵应在工厂做原速（操作转速）性能试验，电机可采用工厂试验电机。若采用降速试验方案，需要得到卖方的认可。</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性能试验包括连续一小时运行的机械检测，机械检测应在轴承温度基本稳定后再进行。</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当NPSHa和NPSHr的差值小于1.0m或买方有需求时，应进行NPSHr试验。</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泵在性能试验合格后，出厂前应使用合同电机、合同轴承、合同密封、合同联轴器等进行不少于四小时的整套机组的机械运转试验。</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买方在进行泵组试验之前，应提交详细的试验方案供卖方审核同意。</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imes New Roman" w:hAnsi="Times New Roman" w:cs="Times New Roman" w:eastAsiaTheme="minorEastAsia"/>
          <w:sz w:val="24"/>
          <w:highlight w:val="none"/>
          <w:lang w:val="en-US" w:eastAsia="zh-CN"/>
        </w:rPr>
        <w:t>★卖方承诺</w:t>
      </w:r>
      <w:r>
        <w:rPr>
          <w:rFonts w:hint="eastAsia" w:asciiTheme="minorEastAsia" w:hAnsiTheme="minorEastAsia" w:eastAsiaTheme="minorEastAsia"/>
          <w:sz w:val="24"/>
          <w:highlight w:val="none"/>
          <w:lang w:val="en-US" w:eastAsia="zh-CN"/>
        </w:rPr>
        <w:t>电机在出厂前应在电机制造厂进行运转试验和型式试验，对本设备电动机运转试验方法需满足标准【《三相异步电动机试验方法》GB/T1032中第9部分。】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firstLine="720" w:firstLineChars="300"/>
        <w:jc w:val="both"/>
        <w:textAlignment w:val="auto"/>
        <w:rPr>
          <w:rFonts w:hint="eastAsia"/>
          <w:highlight w:val="none"/>
          <w:lang w:eastAsia="zh-CN"/>
        </w:rPr>
      </w:pPr>
      <w:r>
        <w:rPr>
          <w:rFonts w:hint="eastAsia" w:ascii="Times New Roman" w:hAnsi="Times New Roman" w:eastAsia="宋体" w:cs="Times New Roman"/>
          <w:kern w:val="0"/>
          <w:sz w:val="24"/>
          <w:highlight w:val="none"/>
          <w:lang w:val="en-US" w:eastAsia="zh-CN"/>
        </w:rPr>
        <w:t>以下为引用标准中所列重要参数，纳入评议范围：</w:t>
      </w:r>
    </w:p>
    <w:p>
      <w:pPr>
        <w:jc w:val="center"/>
        <w:rPr>
          <w:rFonts w:hint="eastAsia"/>
          <w:highlight w:val="none"/>
          <w:lang w:eastAsia="zh-CN"/>
        </w:rPr>
      </w:pPr>
      <w:r>
        <w:rPr>
          <w:rFonts w:hint="eastAsia"/>
          <w:highlight w:val="none"/>
          <w:lang w:eastAsia="zh-CN"/>
        </w:rPr>
        <w:drawing>
          <wp:inline distT="0" distB="0" distL="114300" distR="114300">
            <wp:extent cx="4550410" cy="5053330"/>
            <wp:effectExtent l="0" t="0" r="2540" b="13970"/>
            <wp:docPr id="27" name="图片 27" descr="690C0F66-CC57-4c9e-8579-31E440F0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90C0F66-CC57-4c9e-8579-31E440F09793"/>
                    <pic:cNvPicPr>
                      <a:picLocks noChangeAspect="1"/>
                    </pic:cNvPicPr>
                  </pic:nvPicPr>
                  <pic:blipFill>
                    <a:blip r:embed="rId21"/>
                    <a:stretch>
                      <a:fillRect/>
                    </a:stretch>
                  </pic:blipFill>
                  <pic:spPr>
                    <a:xfrm>
                      <a:off x="0" y="0"/>
                      <a:ext cx="4550410" cy="5053330"/>
                    </a:xfrm>
                    <a:prstGeom prst="rect">
                      <a:avLst/>
                    </a:prstGeom>
                  </pic:spPr>
                </pic:pic>
              </a:graphicData>
            </a:graphic>
          </wp:inline>
        </w:drawing>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性能试验时达到如下要求：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ind w:left="440" w:leftChars="0"/>
        <w:jc w:val="center"/>
        <w:textAlignment w:val="auto"/>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1"/>
          <w:szCs w:val="21"/>
          <w:highlight w:val="none"/>
          <w:lang w:val="en-US" w:eastAsia="zh-CN"/>
        </w:rPr>
        <w:t>表6.3 性能试验控制指标</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168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项目</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单位</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径向轴承温度</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推力轴承温度</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泵噪声</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dB(A)</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泵振动</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mm/s</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轴位移</w:t>
            </w:r>
          </w:p>
        </w:tc>
        <w:tc>
          <w:tcPr>
            <w:tcW w:w="1687"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mm</w:t>
            </w:r>
          </w:p>
        </w:tc>
        <w:tc>
          <w:tcPr>
            <w:tcW w:w="1528"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Theme="minorEastAsia" w:hAnsiTheme="minorEastAsia" w:eastAsiaTheme="minorEastAsia"/>
                <w:sz w:val="21"/>
                <w:szCs w:val="21"/>
                <w:highlight w:val="none"/>
                <w:vertAlign w:val="baseline"/>
                <w:lang w:val="en-US" w:eastAsia="zh-CN"/>
              </w:rPr>
            </w:pPr>
            <w:r>
              <w:rPr>
                <w:rFonts w:hint="eastAsia" w:asciiTheme="minorEastAsia" w:hAnsiTheme="minorEastAsia" w:eastAsiaTheme="minorEastAsia"/>
                <w:sz w:val="21"/>
                <w:szCs w:val="21"/>
                <w:highlight w:val="none"/>
                <w:vertAlign w:val="baseline"/>
                <w:lang w:val="en-US" w:eastAsia="zh-CN"/>
              </w:rPr>
              <w:t>≯±0.5</w:t>
            </w: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Theme="minorEastAsia" w:hAnsiTheme="minorEastAsia" w:eastAsiaTheme="minorEastAsia"/>
          <w:sz w:val="24"/>
          <w:highlight w:val="none"/>
          <w:lang w:eastAsia="zh-CN"/>
        </w:rPr>
      </w:pP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泵建造过程中厂家向卖方提前提供检验和试验计划（ITP）和出厂验收试验程序（FAT）；</w:t>
      </w:r>
    </w:p>
    <w:p>
      <w:pPr>
        <w:pStyle w:val="10"/>
        <w:keepNext w:val="0"/>
        <w:keepLines w:val="0"/>
        <w:pageBreakBefore w:val="0"/>
        <w:widowControl w:val="0"/>
        <w:numPr>
          <w:ilvl w:val="0"/>
          <w:numId w:val="9"/>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泵出厂前，</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需要根据生产、试验条件与货期情况申请</w:t>
      </w:r>
      <w:r>
        <w:rPr>
          <w:rFonts w:hint="eastAsia" w:asciiTheme="minorEastAsia" w:hAnsiTheme="minorEastAsia" w:eastAsiaTheme="minorEastAsia"/>
          <w:sz w:val="24"/>
          <w:highlight w:val="none"/>
          <w:lang w:val="en-US" w:eastAsia="zh-CN"/>
        </w:rPr>
        <w:t>买方</w:t>
      </w:r>
      <w:r>
        <w:rPr>
          <w:rFonts w:hint="eastAsia" w:asciiTheme="minorEastAsia" w:hAnsiTheme="minorEastAsia" w:eastAsiaTheme="minorEastAsia"/>
          <w:sz w:val="24"/>
          <w:highlight w:val="none"/>
          <w:lang w:eastAsia="zh-CN"/>
        </w:rPr>
        <w:t>到现场对泵进行生产过程检验与出厂检验，经</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方检验合格后，方可出厂发货。</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七、标识、包装和运输</w:t>
      </w:r>
    </w:p>
    <w:p>
      <w:pPr>
        <w:spacing w:line="300" w:lineRule="auto"/>
        <w:ind w:firstLine="480" w:firstLineChars="200"/>
        <w:rPr>
          <w:rFonts w:asciiTheme="minorEastAsia" w:hAnsiTheme="minorEastAsia"/>
          <w:bCs/>
          <w:sz w:val="24"/>
          <w:highlight w:val="none"/>
          <w:lang w:eastAsia="zh-CN"/>
        </w:rPr>
      </w:pPr>
      <w:r>
        <w:rPr>
          <w:rFonts w:asciiTheme="minorEastAsia" w:hAnsiTheme="minorEastAsia"/>
          <w:bCs/>
          <w:sz w:val="24"/>
          <w:highlight w:val="none"/>
          <w:lang w:eastAsia="zh-CN"/>
        </w:rPr>
        <w:t>1</w:t>
      </w:r>
      <w:r>
        <w:rPr>
          <w:rFonts w:hint="eastAsia" w:asciiTheme="minorEastAsia" w:hAnsiTheme="minorEastAsia"/>
          <w:bCs/>
          <w:sz w:val="24"/>
          <w:highlight w:val="none"/>
          <w:lang w:eastAsia="zh-CN"/>
        </w:rPr>
        <w:t>、包装</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泵组的装运工作应在检查和试验验收合格后，经买方同意，方可进行。</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应按设备及其辅机将在现场没有任何保护的情况下储存至少6个月考虑，泵组内表面涂一层与润滑油相容的溶性油防锈剂。暴露的轴和联轴器应用防水的塑料涂蜡织物或气相腐蚀抑制剂纸包裹，接缝处应用防油胶带密封住，对所有零部件进行清洁、防锈和妥善的保护处理。所有的开口法兰开口陪着一个至少</w:t>
      </w:r>
      <w:r>
        <w:rPr>
          <w:rFonts w:hint="default" w:ascii="Times New Roman" w:hAnsi="Times New Roman" w:cs="Times New Roman"/>
          <w:sz w:val="24"/>
          <w:szCs w:val="24"/>
          <w:highlight w:val="none"/>
          <w:lang w:val="en-US" w:eastAsia="zh-CN"/>
        </w:rPr>
        <w:t>2~3mm</w:t>
      </w:r>
      <w:r>
        <w:rPr>
          <w:rFonts w:hint="eastAsia" w:asciiTheme="minorEastAsia" w:hAnsiTheme="minorEastAsia"/>
          <w:sz w:val="24"/>
          <w:szCs w:val="24"/>
          <w:highlight w:val="none"/>
          <w:lang w:val="en-US" w:eastAsia="zh-CN"/>
        </w:rPr>
        <w:t>厚度的金属板，并带有橡胶垫和至少2个配该法兰螺栓孔直径的螺栓，所有螺纹孔用堵头堵上，所有设备和材料都应妥善包装，可靠固定，产生费用由卖方承担。</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除合同另有规定外，卖方提供的设备应按标准保护措施进行包装，这类包装应适应于远距离运输、防潮、防震、防锈和防野蛮装卸，以确保货物安全无损运抵指定现场。</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每个包装箱内应附两份详细的装箱单，一份在箱子外，一份在箱子内，外面的需要有防湿措施。</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所附专用工具和备品、备件如数量不多时，允许与设备放在同一包装箱内，但必须加以特别保护，防止损伤和锈蚀，并在包装外标明。</w:t>
      </w:r>
    </w:p>
    <w:p>
      <w:pPr>
        <w:pStyle w:val="40"/>
        <w:keepNext w:val="0"/>
        <w:keepLines w:val="0"/>
        <w:pageBreakBefore w:val="0"/>
        <w:widowControl/>
        <w:numPr>
          <w:ilvl w:val="1"/>
          <w:numId w:val="10"/>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不用包装箱包装的货物，也应作必要的包装保护，防止运输过程中的碰撞损坏。</w:t>
      </w:r>
    </w:p>
    <w:p>
      <w:pPr>
        <w:spacing w:line="300" w:lineRule="auto"/>
        <w:ind w:firstLine="480" w:firstLineChars="200"/>
        <w:rPr>
          <w:rFonts w:asciiTheme="minorEastAsia" w:hAnsiTheme="minorEastAsia"/>
          <w:bCs/>
          <w:sz w:val="24"/>
          <w:highlight w:val="none"/>
        </w:rPr>
      </w:pPr>
      <w:r>
        <w:rPr>
          <w:rFonts w:hint="eastAsia" w:asciiTheme="minorEastAsia" w:hAnsiTheme="minorEastAsia"/>
          <w:bCs/>
          <w:sz w:val="24"/>
          <w:highlight w:val="none"/>
        </w:rPr>
        <w:t>2、运输</w:t>
      </w:r>
      <w:r>
        <w:rPr>
          <w:rFonts w:asciiTheme="minorEastAsia" w:hAnsiTheme="minorEastAsia"/>
          <w:bCs/>
          <w:sz w:val="24"/>
          <w:highlight w:val="none"/>
        </w:rPr>
        <w:t>要求</w:t>
      </w:r>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卖方负责设备从卖方工厂到买方指定地点现场的运输工作。</w:t>
      </w:r>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在预制/制造大尺寸货物时，卖方应从有关管理机关取得铁路和公路运输的尺寸限制，货物尺寸应符合相关规定，以保证货物顺利抵达目的地。</w:t>
      </w:r>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每个货物集装箱、板条箱、包装箱都必须在上面或侧面用油漆或其它方式刷上清晰可读的运输防护标志，如防水、防晒、不准倒置等标志。需标识吊装重心，并在装卸时严格遵守相关要求。</w:t>
      </w:r>
    </w:p>
    <w:p>
      <w:pPr>
        <w:pStyle w:val="40"/>
        <w:keepNext w:val="0"/>
        <w:keepLines w:val="0"/>
        <w:pageBreakBefore w:val="0"/>
        <w:widowControl/>
        <w:numPr>
          <w:ilvl w:val="1"/>
          <w:numId w:val="11"/>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设备运输到现场应完好，满足立刻安装条件。</w:t>
      </w:r>
    </w:p>
    <w:p>
      <w:pPr>
        <w:pStyle w:val="55"/>
        <w:numPr>
          <w:ilvl w:val="0"/>
          <w:numId w:val="12"/>
        </w:numPr>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技术文件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cs="Times New Roman"/>
          <w:sz w:val="24"/>
          <w:szCs w:val="21"/>
          <w:highlight w:val="none"/>
          <w:lang w:val="en-US" w:eastAsia="zh-CN"/>
        </w:rPr>
      </w:pPr>
      <w:r>
        <w:rPr>
          <w:rFonts w:hint="eastAsia" w:ascii="Times New Roman" w:hAnsi="Times New Roman" w:cs="Times New Roman"/>
          <w:sz w:val="24"/>
          <w:szCs w:val="21"/>
          <w:highlight w:val="none"/>
          <w:lang w:val="en-US" w:eastAsia="zh-CN"/>
        </w:rPr>
        <w:t>卖方在交货后30日内需向买方单独交付产品完工资料（不随设备发）的纸质版原件与电子扫描件，卖</w:t>
      </w:r>
      <w:r>
        <w:rPr>
          <w:rFonts w:hint="eastAsia" w:ascii="Times New Roman" w:hAnsi="Times New Roman" w:cs="Times New Roman"/>
          <w:sz w:val="24"/>
          <w:szCs w:val="21"/>
          <w:highlight w:val="none"/>
          <w:lang w:eastAsia="zh-CN"/>
        </w:rPr>
        <w:t>方应提供</w:t>
      </w:r>
      <w:r>
        <w:rPr>
          <w:rFonts w:hint="eastAsia" w:ascii="Times New Roman" w:hAnsi="Times New Roman" w:cs="Times New Roman"/>
          <w:sz w:val="24"/>
          <w:szCs w:val="21"/>
          <w:highlight w:val="none"/>
          <w:lang w:val="en-US" w:eastAsia="zh-CN"/>
        </w:rPr>
        <w:t>完整的</w:t>
      </w:r>
      <w:r>
        <w:rPr>
          <w:rFonts w:hint="eastAsia" w:ascii="Times New Roman" w:hAnsi="Times New Roman" w:cs="Times New Roman"/>
          <w:sz w:val="24"/>
          <w:szCs w:val="21"/>
          <w:highlight w:val="none"/>
          <w:lang w:eastAsia="zh-CN"/>
        </w:rPr>
        <w:t>完工文件</w:t>
      </w:r>
      <w:r>
        <w:rPr>
          <w:rFonts w:hint="eastAsia" w:ascii="Times New Roman" w:hAnsi="Times New Roman" w:cs="Times New Roman"/>
          <w:sz w:val="24"/>
          <w:szCs w:val="21"/>
          <w:highlight w:val="none"/>
          <w:lang w:val="en-US" w:eastAsia="zh-CN"/>
        </w:rPr>
        <w:t>至少为</w:t>
      </w:r>
      <w:r>
        <w:rPr>
          <w:rFonts w:hint="eastAsia" w:ascii="Times New Roman" w:hAnsi="Times New Roman" w:cs="Times New Roman"/>
          <w:sz w:val="24"/>
          <w:szCs w:val="21"/>
          <w:highlight w:val="none"/>
          <w:lang w:eastAsia="zh-CN"/>
        </w:rPr>
        <w:t>纸质版</w:t>
      </w:r>
      <w:r>
        <w:rPr>
          <w:rFonts w:hint="eastAsia" w:ascii="Times New Roman" w:hAnsi="Times New Roman" w:cs="Times New Roman"/>
          <w:sz w:val="24"/>
          <w:szCs w:val="21"/>
          <w:highlight w:val="none"/>
          <w:lang w:val="en-US" w:eastAsia="zh-CN"/>
        </w:rPr>
        <w:t>5套（</w:t>
      </w:r>
      <w:r>
        <w:rPr>
          <w:rFonts w:ascii="Times New Roman" w:hAnsi="Times New Roman" w:cs="Times New Roman"/>
          <w:sz w:val="24"/>
          <w:szCs w:val="21"/>
          <w:highlight w:val="none"/>
          <w:lang w:eastAsia="zh-CN"/>
        </w:rPr>
        <w:t>1</w:t>
      </w:r>
      <w:r>
        <w:rPr>
          <w:rFonts w:hint="eastAsia" w:ascii="Times New Roman" w:hAnsi="Times New Roman" w:cs="Times New Roman"/>
          <w:sz w:val="24"/>
          <w:szCs w:val="21"/>
          <w:highlight w:val="none"/>
          <w:lang w:eastAsia="zh-CN"/>
        </w:rPr>
        <w:t>正本、</w:t>
      </w:r>
      <w:r>
        <w:rPr>
          <w:rFonts w:ascii="Times New Roman" w:hAnsi="Times New Roman" w:cs="Times New Roman"/>
          <w:sz w:val="24"/>
          <w:szCs w:val="21"/>
          <w:highlight w:val="none"/>
          <w:lang w:eastAsia="zh-CN"/>
        </w:rPr>
        <w:t>4</w:t>
      </w:r>
      <w:r>
        <w:rPr>
          <w:rFonts w:hint="eastAsia" w:ascii="Times New Roman" w:hAnsi="Times New Roman" w:cs="Times New Roman"/>
          <w:sz w:val="24"/>
          <w:szCs w:val="21"/>
          <w:highlight w:val="none"/>
          <w:lang w:eastAsia="zh-CN"/>
        </w:rPr>
        <w:t>副本</w:t>
      </w:r>
      <w:r>
        <w:rPr>
          <w:rFonts w:hint="eastAsia" w:ascii="Times New Roman" w:hAnsi="Times New Roman" w:cs="Times New Roman"/>
          <w:sz w:val="24"/>
          <w:szCs w:val="21"/>
          <w:highlight w:val="none"/>
          <w:lang w:val="en-US" w:eastAsia="zh-CN"/>
        </w:rPr>
        <w:t>）</w:t>
      </w:r>
      <w:r>
        <w:rPr>
          <w:rFonts w:hint="eastAsia" w:ascii="Times New Roman" w:hAnsi="Times New Roman" w:cs="Times New Roman"/>
          <w:sz w:val="24"/>
          <w:szCs w:val="21"/>
          <w:highlight w:val="none"/>
          <w:lang w:eastAsia="zh-CN"/>
        </w:rPr>
        <w:t>、电子版</w:t>
      </w:r>
      <w:r>
        <w:rPr>
          <w:rFonts w:ascii="Times New Roman" w:hAnsi="Times New Roman" w:cs="Times New Roman"/>
          <w:sz w:val="24"/>
          <w:szCs w:val="21"/>
          <w:highlight w:val="none"/>
          <w:lang w:eastAsia="zh-CN"/>
        </w:rPr>
        <w:t>5</w:t>
      </w:r>
      <w:r>
        <w:rPr>
          <w:rFonts w:hint="eastAsia" w:ascii="Times New Roman" w:hAnsi="Times New Roman" w:cs="Times New Roman"/>
          <w:sz w:val="24"/>
          <w:szCs w:val="21"/>
          <w:highlight w:val="none"/>
          <w:lang w:eastAsia="zh-CN"/>
        </w:rPr>
        <w:t>套，</w:t>
      </w:r>
      <w:r>
        <w:rPr>
          <w:rFonts w:hint="eastAsia" w:ascii="Times New Roman" w:hAnsi="Times New Roman" w:cs="Times New Roman"/>
          <w:sz w:val="24"/>
          <w:szCs w:val="21"/>
          <w:highlight w:val="none"/>
          <w:lang w:val="en-US" w:eastAsia="zh-CN"/>
        </w:rPr>
        <w:t>完工资料满足EDIS要求。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cs="Times New Roman"/>
          <w:sz w:val="24"/>
          <w:szCs w:val="21"/>
          <w:highlight w:val="none"/>
          <w:lang w:val="en-US" w:eastAsia="zh-CN"/>
        </w:rPr>
      </w:pPr>
      <w:r>
        <w:rPr>
          <w:rFonts w:hint="eastAsia" w:ascii="Times New Roman" w:hAnsi="Times New Roman" w:cs="Times New Roman"/>
          <w:sz w:val="24"/>
          <w:szCs w:val="21"/>
          <w:highlight w:val="none"/>
          <w:lang w:val="en-US" w:eastAsia="zh-CN"/>
        </w:rPr>
        <w:t>除上述要求外，签订合同后，卖方需按买方要求的时间节点提供包括但不限于以下文件：</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卖方按照买方提供的</w:t>
      </w:r>
      <w:r>
        <w:rPr>
          <w:rFonts w:hint="eastAsia" w:asciiTheme="minorEastAsia" w:hAnsiTheme="minorEastAsia" w:eastAsiaTheme="minorEastAsia"/>
          <w:sz w:val="24"/>
          <w:highlight w:val="none"/>
          <w:lang w:eastAsia="zh-CN"/>
        </w:rPr>
        <w:t>泵数据表，补充</w:t>
      </w:r>
      <w:r>
        <w:rPr>
          <w:rFonts w:hint="eastAsia" w:asciiTheme="minorEastAsia" w:hAnsiTheme="minorEastAsia" w:eastAsiaTheme="minorEastAsia"/>
          <w:sz w:val="24"/>
          <w:highlight w:val="none"/>
          <w:lang w:val="en-US" w:eastAsia="zh-CN"/>
        </w:rPr>
        <w:t>完整</w:t>
      </w:r>
      <w:r>
        <w:rPr>
          <w:rFonts w:hint="eastAsia" w:asciiTheme="minorEastAsia" w:hAnsiTheme="minorEastAsia" w:eastAsiaTheme="minorEastAsia"/>
          <w:sz w:val="24"/>
          <w:highlight w:val="none"/>
          <w:lang w:eastAsia="zh-CN"/>
        </w:rPr>
        <w:t>数据表中</w:t>
      </w:r>
      <w:r>
        <w:rPr>
          <w:rFonts w:hint="eastAsia" w:asciiTheme="minorEastAsia" w:hAnsiTheme="minorEastAsia" w:eastAsiaTheme="minorEastAsia"/>
          <w:sz w:val="24"/>
          <w:highlight w:val="none"/>
          <w:lang w:val="en-US" w:eastAsia="zh-CN"/>
        </w:rPr>
        <w:t>的</w:t>
      </w:r>
      <w:r>
        <w:rPr>
          <w:rFonts w:hint="eastAsia" w:asciiTheme="minorEastAsia" w:hAnsiTheme="minorEastAsia" w:eastAsiaTheme="minorEastAsia"/>
          <w:sz w:val="24"/>
          <w:highlight w:val="none"/>
          <w:lang w:eastAsia="zh-CN"/>
        </w:rPr>
        <w:t>厂家资料</w:t>
      </w:r>
      <w:r>
        <w:rPr>
          <w:rFonts w:hint="eastAsia" w:asciiTheme="minorEastAsia" w:hAnsiTheme="minorEastAsia" w:eastAsiaTheme="minorEastAsia"/>
          <w:sz w:val="24"/>
          <w:highlight w:val="none"/>
          <w:lang w:val="en-US" w:eastAsia="zh-CN"/>
        </w:rPr>
        <w:t>等其他要求</w:t>
      </w:r>
      <w:r>
        <w:rPr>
          <w:rFonts w:hint="eastAsia" w:asciiTheme="minorEastAsia" w:hAnsiTheme="minorEastAsia" w:eastAsiaTheme="minorEastAsia"/>
          <w:sz w:val="24"/>
          <w:highlight w:val="none"/>
          <w:lang w:eastAsia="zh-CN"/>
        </w:rPr>
        <w:t xml:space="preserve">； </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签订</w:t>
      </w:r>
      <w:r>
        <w:rPr>
          <w:rFonts w:hint="eastAsia" w:asciiTheme="minorEastAsia" w:hAnsiTheme="minorEastAsia" w:eastAsiaTheme="minorEastAsia"/>
          <w:sz w:val="24"/>
          <w:highlight w:val="none"/>
          <w:lang w:val="en-US" w:eastAsia="zh-CN"/>
        </w:rPr>
        <w:t>合同</w:t>
      </w:r>
      <w:r>
        <w:rPr>
          <w:rFonts w:hint="eastAsia" w:asciiTheme="minorEastAsia" w:hAnsiTheme="minorEastAsia" w:eastAsiaTheme="minorEastAsia"/>
          <w:sz w:val="24"/>
          <w:highlight w:val="none"/>
          <w:lang w:eastAsia="zh-CN"/>
        </w:rPr>
        <w:t>后，</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需提供生产计划安排与执行进度表，</w:t>
      </w:r>
      <w:r>
        <w:rPr>
          <w:rFonts w:hint="eastAsia" w:asciiTheme="minorEastAsia" w:hAnsiTheme="minorEastAsia" w:eastAsiaTheme="minorEastAsia"/>
          <w:sz w:val="24"/>
          <w:highlight w:val="none"/>
          <w:lang w:val="en-US" w:eastAsia="zh-CN"/>
        </w:rPr>
        <w:t>工作周报</w:t>
      </w:r>
      <w:r>
        <w:rPr>
          <w:rFonts w:hint="eastAsia" w:asciiTheme="minorEastAsia" w:hAnsiTheme="minorEastAsia" w:eastAsiaTheme="minorEastAsia"/>
          <w:sz w:val="24"/>
          <w:highlight w:val="none"/>
          <w:lang w:eastAsia="zh-CN"/>
        </w:rPr>
        <w:t>；</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w:t>
      </w:r>
      <w:r>
        <w:rPr>
          <w:rFonts w:hint="eastAsia" w:asciiTheme="minorEastAsia" w:hAnsiTheme="minorEastAsia" w:eastAsiaTheme="minorEastAsia"/>
          <w:sz w:val="24"/>
          <w:highlight w:val="none"/>
          <w:lang w:val="en-US" w:eastAsia="zh-CN"/>
        </w:rPr>
        <w:t>橇</w:t>
      </w:r>
      <w:r>
        <w:rPr>
          <w:rFonts w:hint="eastAsia" w:asciiTheme="minorEastAsia" w:hAnsiTheme="minorEastAsia" w:eastAsiaTheme="minorEastAsia"/>
          <w:sz w:val="24"/>
          <w:highlight w:val="none"/>
          <w:lang w:eastAsia="zh-CN"/>
        </w:rPr>
        <w:t>需要</w:t>
      </w:r>
      <w:r>
        <w:rPr>
          <w:rFonts w:hint="eastAsia" w:asciiTheme="minorEastAsia" w:hAnsiTheme="minorEastAsia" w:eastAsiaTheme="minorEastAsia"/>
          <w:sz w:val="24"/>
          <w:highlight w:val="none"/>
          <w:lang w:val="en-US" w:eastAsia="zh-CN"/>
        </w:rPr>
        <w:t>由买方指定的</w:t>
      </w:r>
      <w:r>
        <w:rPr>
          <w:rFonts w:hint="eastAsia" w:asciiTheme="minorEastAsia" w:hAnsiTheme="minorEastAsia" w:eastAsiaTheme="minorEastAsia"/>
          <w:sz w:val="24"/>
          <w:highlight w:val="none"/>
          <w:lang w:eastAsia="zh-CN"/>
        </w:rPr>
        <w:t>船级社</w:t>
      </w:r>
      <w:r>
        <w:rPr>
          <w:rFonts w:hint="eastAsia" w:asciiTheme="minorEastAsia" w:hAnsiTheme="minorEastAsia" w:eastAsiaTheme="minorEastAsia"/>
          <w:sz w:val="24"/>
          <w:highlight w:val="none"/>
          <w:lang w:val="en-US" w:eastAsia="zh-CN"/>
        </w:rPr>
        <w:t>进行</w:t>
      </w:r>
      <w:r>
        <w:rPr>
          <w:rFonts w:hint="eastAsia" w:asciiTheme="minorEastAsia" w:hAnsiTheme="minorEastAsia" w:eastAsiaTheme="minorEastAsia"/>
          <w:sz w:val="24"/>
          <w:highlight w:val="none"/>
          <w:lang w:eastAsia="zh-CN"/>
        </w:rPr>
        <w:t>第三方检验（</w:t>
      </w:r>
      <w:r>
        <w:rPr>
          <w:rFonts w:hint="default" w:ascii="Times New Roman" w:hAnsi="Times New Roman" w:cs="Times New Roman" w:eastAsiaTheme="minorEastAsia"/>
          <w:sz w:val="24"/>
          <w:highlight w:val="none"/>
          <w:lang w:val="en-US" w:eastAsia="zh-CN"/>
        </w:rPr>
        <w:t>ABS、DNV、BV或CCS</w:t>
      </w:r>
      <w:r>
        <w:rPr>
          <w:rFonts w:hint="eastAsia" w:ascii="Times New Roman" w:hAnsi="Times New Roman" w:cs="Times New Roman" w:eastAsiaTheme="minorEastAsia"/>
          <w:sz w:val="24"/>
          <w:highlight w:val="none"/>
          <w:lang w:val="en-US" w:eastAsia="zh-CN"/>
        </w:rPr>
        <w:t>，其一即可</w:t>
      </w:r>
      <w:r>
        <w:rPr>
          <w:rFonts w:hint="eastAsia" w:asciiTheme="minorEastAsia" w:hAnsiTheme="minorEastAsia" w:eastAsiaTheme="minorEastAsia"/>
          <w:sz w:val="24"/>
          <w:highlight w:val="none"/>
          <w:lang w:eastAsia="zh-CN"/>
        </w:rPr>
        <w:t>），并提供船级社检验认证证书；</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泵发货前，</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需要向</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方单独递交出厂验收资料（不随泵发）的纸质版原件与电子扫描件，包括出厂合格证书（产品质量合格证书）、材质证明（材质化验报告）、泵安装与操作使用说明书（含用润滑油型号）、船级社检验认证证书、</w:t>
      </w:r>
      <w:r>
        <w:rPr>
          <w:rFonts w:hint="eastAsia" w:asciiTheme="minorEastAsia" w:hAnsiTheme="minorEastAsia" w:eastAsiaTheme="minorEastAsia"/>
          <w:sz w:val="24"/>
          <w:highlight w:val="none"/>
          <w:lang w:val="en-US" w:eastAsia="zh-CN"/>
        </w:rPr>
        <w:t>防爆证书、</w:t>
      </w:r>
      <w:r>
        <w:rPr>
          <w:rFonts w:hint="eastAsia" w:asciiTheme="minorEastAsia" w:hAnsiTheme="minorEastAsia" w:eastAsiaTheme="minorEastAsia"/>
          <w:sz w:val="24"/>
          <w:highlight w:val="none"/>
          <w:lang w:eastAsia="zh-CN"/>
        </w:rPr>
        <w:t>防护证书、发货清单等；</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val="en-US" w:eastAsia="zh-CN"/>
        </w:rPr>
        <w:t>所有递交文件应满足“二、需求一览表”中“2.2供货界面”的要求；</w:t>
      </w:r>
    </w:p>
    <w:p>
      <w:pPr>
        <w:pStyle w:val="10"/>
        <w:keepNext w:val="0"/>
        <w:keepLines w:val="0"/>
        <w:pageBreakBefore w:val="0"/>
        <w:widowControl w:val="0"/>
        <w:numPr>
          <w:ilvl w:val="0"/>
          <w:numId w:val="13"/>
        </w:numPr>
        <w:kinsoku/>
        <w:wordWrap/>
        <w:overflowPunct/>
        <w:topLinePunct w:val="0"/>
        <w:autoSpaceDE/>
        <w:autoSpaceDN/>
        <w:bidi w:val="0"/>
        <w:adjustRightInd/>
        <w:snapToGrid/>
        <w:spacing w:line="300" w:lineRule="auto"/>
        <w:ind w:left="900" w:leftChars="200" w:hanging="480" w:hangingChars="200"/>
        <w:textAlignment w:val="auto"/>
        <w:rPr>
          <w:rFonts w:hint="eastAsia" w:asciiTheme="minorEastAsia" w:hAnsiTheme="minorEastAsia" w:eastAsiaTheme="minorEastAsia"/>
          <w:sz w:val="24"/>
          <w:highlight w:val="none"/>
          <w:lang w:eastAsia="zh-CN"/>
        </w:rPr>
      </w:pPr>
      <w:r>
        <w:rPr>
          <w:rFonts w:hint="eastAsia" w:asciiTheme="minorEastAsia" w:hAnsiTheme="minorEastAsia" w:eastAsiaTheme="minorEastAsia"/>
          <w:sz w:val="24"/>
          <w:highlight w:val="none"/>
          <w:lang w:eastAsia="zh-CN"/>
        </w:rPr>
        <w:t>在</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方对泵出厂检验和对</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应递交的文件检验均合格后，</w:t>
      </w:r>
      <w:r>
        <w:rPr>
          <w:rFonts w:hint="eastAsia" w:asciiTheme="minorEastAsia" w:hAnsiTheme="minorEastAsia" w:eastAsiaTheme="minorEastAsia"/>
          <w:sz w:val="24"/>
          <w:highlight w:val="none"/>
          <w:lang w:val="en-US" w:eastAsia="zh-CN"/>
        </w:rPr>
        <w:t>卖方</w:t>
      </w:r>
      <w:r>
        <w:rPr>
          <w:rFonts w:hint="eastAsia" w:asciiTheme="minorEastAsia" w:hAnsiTheme="minorEastAsia" w:eastAsiaTheme="minorEastAsia"/>
          <w:sz w:val="24"/>
          <w:highlight w:val="none"/>
          <w:lang w:eastAsia="zh-CN"/>
        </w:rPr>
        <w:t>经</w:t>
      </w:r>
      <w:r>
        <w:rPr>
          <w:rFonts w:hint="eastAsia" w:asciiTheme="minorEastAsia" w:hAnsiTheme="minorEastAsia" w:eastAsiaTheme="minorEastAsia"/>
          <w:sz w:val="24"/>
          <w:highlight w:val="none"/>
          <w:lang w:val="en-US" w:eastAsia="zh-CN"/>
        </w:rPr>
        <w:t>买</w:t>
      </w:r>
      <w:r>
        <w:rPr>
          <w:rFonts w:hint="eastAsia" w:asciiTheme="minorEastAsia" w:hAnsiTheme="minorEastAsia" w:eastAsiaTheme="minorEastAsia"/>
          <w:sz w:val="24"/>
          <w:highlight w:val="none"/>
          <w:lang w:eastAsia="zh-CN"/>
        </w:rPr>
        <w:t>方确认方可发货，提供发货信息和包装、装车照片。</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九、技术服务与售后服务</w:t>
      </w:r>
    </w:p>
    <w:p>
      <w:pPr>
        <w:spacing w:line="300" w:lineRule="auto"/>
        <w:ind w:firstLine="480" w:firstLineChars="200"/>
        <w:rPr>
          <w:rFonts w:asciiTheme="minorEastAsia" w:hAnsiTheme="minorEastAsia"/>
          <w:bCs/>
          <w:sz w:val="24"/>
          <w:highlight w:val="none"/>
        </w:rPr>
      </w:pPr>
      <w:r>
        <w:rPr>
          <w:rFonts w:asciiTheme="minorEastAsia" w:hAnsiTheme="minorEastAsia"/>
          <w:bCs/>
          <w:sz w:val="24"/>
          <w:highlight w:val="none"/>
        </w:rPr>
        <w:t>1</w:t>
      </w:r>
      <w:r>
        <w:rPr>
          <w:rFonts w:hint="eastAsia" w:asciiTheme="minorEastAsia" w:hAnsiTheme="minorEastAsia"/>
          <w:bCs/>
          <w:sz w:val="24"/>
          <w:highlight w:val="none"/>
        </w:rPr>
        <w:t>、技术服务</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卖方应提供现场调试安装需要的特殊工具和消耗品，对提供的所有设备（包括分包商提供的配套件）的安装、调试和开车提供免费技术指导。</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当买方通知卖方要投产运行时，卖方应派有经验的工程师进行现场服务，提供必要的技术支持，并监督试运和运行工作。并向买方提供预定工程师的简历以征得卖方认可，买方有权否决卖方所派人员，指定替换人员。</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卖方有责任赔偿由于服务人员履行职责期间疏忽大意而造成人员及设备的损失费用。</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服务人员在现场有以下责任和义务（但不限于如下）：①设备到达现场后的开箱检查及验收工作；②指导装配安装工作；③指导检查安装找正工作；④指导泵组仪表的调试工作；⑤指导、判断泵组是否具备开车条件；⑥指导泵组的调试及试车工作。</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泵组在现场安装、调试、试车过程中，卖方服务人员应在现场提供技术支持，在买方没有最终书面签字确认服务结束之前，卖方服务人员不得擅自离开。</w:t>
      </w:r>
    </w:p>
    <w:p>
      <w:pPr>
        <w:pStyle w:val="40"/>
        <w:keepNext w:val="0"/>
        <w:keepLines w:val="0"/>
        <w:pageBreakBefore w:val="0"/>
        <w:widowControl/>
        <w:numPr>
          <w:ilvl w:val="1"/>
          <w:numId w:val="14"/>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调试过程中技术服务的费用由卖方承担。</w:t>
      </w:r>
    </w:p>
    <w:p>
      <w:pPr>
        <w:keepNext w:val="0"/>
        <w:keepLines w:val="0"/>
        <w:pageBreakBefore w:val="0"/>
        <w:kinsoku/>
        <w:wordWrap/>
        <w:overflowPunct/>
        <w:topLinePunct w:val="0"/>
        <w:autoSpaceDE/>
        <w:autoSpaceDN/>
        <w:bidi w:val="0"/>
        <w:adjustRightInd/>
        <w:snapToGrid/>
        <w:spacing w:line="300" w:lineRule="auto"/>
        <w:ind w:left="1020" w:leftChars="200" w:hanging="600" w:hangingChars="250"/>
        <w:jc w:val="both"/>
        <w:textAlignment w:val="auto"/>
        <w:rPr>
          <w:rFonts w:asciiTheme="minorEastAsia" w:hAnsiTheme="minorEastAsia"/>
          <w:bCs/>
          <w:sz w:val="24"/>
          <w:highlight w:val="none"/>
        </w:rPr>
      </w:pPr>
      <w:r>
        <w:rPr>
          <w:rFonts w:asciiTheme="minorEastAsia" w:hAnsiTheme="minorEastAsia"/>
          <w:bCs/>
          <w:sz w:val="24"/>
          <w:highlight w:val="none"/>
        </w:rPr>
        <w:t>2</w:t>
      </w:r>
      <w:r>
        <w:rPr>
          <w:rFonts w:hint="eastAsia" w:asciiTheme="minorEastAsia" w:hAnsiTheme="minorEastAsia"/>
          <w:bCs/>
          <w:sz w:val="24"/>
          <w:highlight w:val="none"/>
        </w:rPr>
        <w:t>、售后服务</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卖方在货物清关和商检过程中，依据国家的有关规定和买方的要求，提供货物单据、证明材料等文件，配合买方办理通关商检。</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卖方在中华人民共和国境内常设服务机构，应昼夜24小时提供足够的备品、备件和技术服务。</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当设备出现故障或不能满足买方要求时，卖方应按买方要求排除故障，直到买方满意为止。</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在保修期内，当设备需要维修或更换部件时，在买方的要求下，卖方应派有经验的工程师到现场进行技术支持。</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当买方需要供货商提供服务时，卖方在获得信息后应在12小时内作出答复，(如必要)在24小时内派服务工程师到现场。确需国外派员时不超过5天。</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在质保期内，卖方负责对买方提出的质量异疑做出书面明确答复。确属质量问题时，卖方应及时采取保护措施且负责免费更换。并相应延长其保质期。</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在合同规定的质保期内，因卖方原因导致的产品损坏，卖方负全责。</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产品寿命期内，卖方应确保所有零备件的供应。</w:t>
      </w:r>
    </w:p>
    <w:p>
      <w:pPr>
        <w:pStyle w:val="40"/>
        <w:keepNext w:val="0"/>
        <w:keepLines w:val="0"/>
        <w:pageBreakBefore w:val="0"/>
        <w:widowControl/>
        <w:numPr>
          <w:ilvl w:val="1"/>
          <w:numId w:val="15"/>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卖方对零备件的供应，国内调配时间不超过48小时，国外调配时间不超过20天。</w:t>
      </w:r>
    </w:p>
    <w:p>
      <w:pPr>
        <w:pStyle w:val="55"/>
        <w:spacing w:before="120" w:after="120" w:line="300" w:lineRule="auto"/>
        <w:outlineLvl w:val="0"/>
        <w:rPr>
          <w:rFonts w:cs="Times New Roman" w:asciiTheme="minorEastAsia" w:hAnsiTheme="minorEastAsia" w:eastAsiaTheme="minorEastAsia"/>
          <w:bCs/>
          <w:color w:val="auto"/>
          <w:sz w:val="32"/>
          <w:szCs w:val="32"/>
          <w:highlight w:val="none"/>
        </w:rPr>
      </w:pPr>
      <w:r>
        <w:rPr>
          <w:rFonts w:hint="eastAsia" w:cs="Times New Roman" w:asciiTheme="minorEastAsia" w:hAnsiTheme="minorEastAsia" w:eastAsiaTheme="minorEastAsia"/>
          <w:bCs/>
          <w:color w:val="auto"/>
          <w:sz w:val="32"/>
          <w:szCs w:val="32"/>
          <w:highlight w:val="none"/>
        </w:rPr>
        <w:t>十、质量保证</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卖方应保证所供设备设计满足业主所提供的工艺参数的要求，并对所提供的设备负全面技术责任。</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卖方为买方提供所选用的设计方案，并回答买方提出的有关问题，提供有关技术资料。</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负责指导设备的安装、投产、现场性能测试、现场服务。泵组保证质量，泵体设计寿命20年以上，泵组在正常维护前提下连续运转不低于25000小时，机械密封的保证使用寿命为25000小时，轴承的保证使用寿命为25000小时，卖方承诺泵到现场免于解体。按双方确定的验收标准，达到要求后，移交业主管理。</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应保证：在现场验收后12个月质保期和保修期内，设备的设计制造不存在任何缺陷，如在保证期内发现设备有任何不良性能或出现缺陷，卖方应保证给予必要的变更、维修和更换，上述一切费用连同现场劳务费用均应由卖方承担。</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保证期应持续至设备正式投产之日算起12个月。</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在质保期内，如因产品有问题造成停机或无法投用，质保期期限将相应延长，延长计算方法为：由于卖方原因引起的停机或无法投用，每次凡是超过一天的，质保期便按照停机或无法投用的时间作相应的延长；</w:t>
      </w:r>
    </w:p>
    <w:p>
      <w:pPr>
        <w:pStyle w:val="40"/>
        <w:keepNext w:val="0"/>
        <w:keepLines w:val="0"/>
        <w:pageBreakBefore w:val="0"/>
        <w:widowControl/>
        <w:numPr>
          <w:ilvl w:val="1"/>
          <w:numId w:val="16"/>
        </w:numPr>
        <w:kinsoku/>
        <w:wordWrap/>
        <w:overflowPunct/>
        <w:topLinePunct w:val="0"/>
        <w:autoSpaceDE/>
        <w:autoSpaceDN/>
        <w:bidi w:val="0"/>
        <w:adjustRightInd/>
        <w:snapToGrid/>
        <w:spacing w:line="300" w:lineRule="auto"/>
        <w:ind w:left="930" w:leftChars="100" w:hanging="720" w:hangingChars="300"/>
        <w:jc w:val="both"/>
        <w:textAlignment w:val="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卖方对本技术规格书的确认，卖方应对本招标文件的技术条款逐条作出响应和说明，并填写技术条款偏差表，对每一项，卖方必须在适当的框内画上记号，没有说明或不回答的条款将被视为确认。</w:t>
      </w:r>
    </w:p>
    <w:p>
      <w:pPr>
        <w:widowControl/>
        <w:jc w:val="left"/>
      </w:pPr>
      <w:r>
        <w:br w:type="page"/>
      </w:r>
    </w:p>
    <w:p>
      <w:pPr>
        <w:keepNext/>
        <w:keepLines/>
        <w:spacing w:before="360" w:after="360" w:line="360" w:lineRule="auto"/>
        <w:jc w:val="left"/>
        <w:outlineLvl w:val="1"/>
        <w:rPr>
          <w:rFonts w:ascii="宋体" w:hAnsi="宋体"/>
          <w:b/>
          <w:bCs/>
          <w:sz w:val="24"/>
          <w:szCs w:val="24"/>
        </w:rPr>
      </w:pPr>
      <w:r>
        <w:rPr>
          <w:rFonts w:hint="eastAsia"/>
          <w:b/>
          <w:bCs/>
          <w:iCs/>
          <w:kern w:val="0"/>
          <w:sz w:val="24"/>
        </w:rPr>
        <w:t>附件三：</w:t>
      </w:r>
      <w:r>
        <w:rPr>
          <w:rFonts w:hint="eastAsia" w:ascii="宋体" w:hAnsi="宋体"/>
          <w:b/>
          <w:bCs/>
          <w:sz w:val="24"/>
          <w:szCs w:val="24"/>
        </w:rPr>
        <w:t>健康安全环保要求</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15" w:name="_Toc298193051"/>
      <w:r>
        <w:rPr>
          <w:rFonts w:hint="eastAsia" w:ascii="宋体" w:hAnsi="宋体" w:eastAsia="宋体" w:cs="宋体"/>
          <w:b/>
          <w:bCs/>
          <w:color w:val="000000"/>
          <w:kern w:val="0"/>
          <w:sz w:val="24"/>
          <w:szCs w:val="24"/>
          <w:lang w:val="zh-CN"/>
        </w:rPr>
        <w:t>第一章</w:t>
      </w:r>
      <w:bookmarkStart w:id="116" w:name="_Hlt127853529"/>
      <w:bookmarkStart w:id="117" w:name="_Hlt127689087"/>
      <w:bookmarkStart w:id="118" w:name="_Hlt127689088"/>
      <w:r>
        <w:rPr>
          <w:rFonts w:hint="eastAsia" w:ascii="宋体" w:hAnsi="宋体" w:eastAsia="宋体" w:cs="宋体"/>
          <w:b/>
          <w:bCs/>
          <w:color w:val="000000"/>
          <w:kern w:val="0"/>
          <w:sz w:val="24"/>
          <w:szCs w:val="24"/>
          <w:lang w:val="zh-CN"/>
        </w:rPr>
        <w:t xml:space="preserve"> </w:t>
      </w:r>
      <w:r>
        <w:fldChar w:fldCharType="begin"/>
      </w:r>
      <w:r>
        <w:instrText xml:space="preserve"> HYPERLINK \l "_第一章__总" </w:instrText>
      </w:r>
      <w:r>
        <w:fldChar w:fldCharType="separate"/>
      </w:r>
      <w:r>
        <w:rPr>
          <w:rFonts w:ascii="宋体" w:hAnsi="宋体" w:eastAsia="宋体" w:cs="宋体"/>
          <w:b/>
          <w:bCs/>
          <w:color w:val="000000"/>
          <w:kern w:val="0"/>
          <w:sz w:val="24"/>
          <w:szCs w:val="24"/>
          <w:lang w:val="zh-CN"/>
        </w:rPr>
        <w:t>总则</w:t>
      </w:r>
      <w:bookmarkEnd w:id="115"/>
      <w:r>
        <w:rPr>
          <w:rFonts w:ascii="宋体" w:hAnsi="宋体" w:eastAsia="宋体" w:cs="宋体"/>
          <w:b/>
          <w:bCs/>
          <w:color w:val="000000"/>
          <w:kern w:val="0"/>
          <w:sz w:val="24"/>
          <w:szCs w:val="24"/>
          <w:lang w:val="zh-CN"/>
        </w:rPr>
        <w:fldChar w:fldCharType="end"/>
      </w:r>
      <w:bookmarkEnd w:id="116"/>
      <w:bookmarkEnd w:id="117"/>
      <w:bookmarkEnd w:id="118"/>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根据国家法律法规、总公司和海油发展</w:t>
      </w:r>
      <w:r>
        <w:rPr>
          <w:rFonts w:ascii="宋体" w:hAnsi="宋体" w:eastAsia="宋体" w:cs="Times New Roman"/>
          <w:color w:val="000000"/>
          <w:szCs w:val="21"/>
        </w:rPr>
        <w:t>的</w:t>
      </w:r>
      <w:r>
        <w:rPr>
          <w:rFonts w:hint="eastAsia" w:ascii="宋体" w:hAnsi="宋体" w:eastAsia="宋体" w:cs="Times New Roman"/>
          <w:color w:val="000000"/>
          <w:szCs w:val="21"/>
        </w:rPr>
        <w:t>承包商相关</w:t>
      </w:r>
      <w:r>
        <w:rPr>
          <w:rFonts w:ascii="宋体" w:hAnsi="宋体" w:eastAsia="宋体" w:cs="Times New Roman"/>
          <w:color w:val="000000"/>
          <w:szCs w:val="21"/>
        </w:rPr>
        <w:t>要求，</w:t>
      </w:r>
      <w:r>
        <w:rPr>
          <w:rFonts w:hint="eastAsia" w:ascii="宋体" w:hAnsi="宋体" w:eastAsia="宋体" w:cs="Times New Roman"/>
          <w:color w:val="000000"/>
          <w:szCs w:val="21"/>
        </w:rPr>
        <w:t>为了在工程和作业服务合同中，明确提出</w:t>
      </w:r>
      <w:r>
        <w:rPr>
          <w:rFonts w:hint="eastAsia" w:ascii="宋体" w:hAnsi="宋体" w:eastAsia="宋体" w:cs="Times New Roman"/>
          <w:color w:val="000000"/>
          <w:szCs w:val="21"/>
          <w:lang w:val="en-US" w:eastAsia="zh-CN"/>
        </w:rPr>
        <w:t>中海油天津化工研究设计院有限公司</w:t>
      </w:r>
      <w:r>
        <w:rPr>
          <w:rFonts w:hint="eastAsia" w:ascii="宋体" w:hAnsi="宋体" w:eastAsia="宋体" w:cs="Times New Roman"/>
          <w:color w:val="000000"/>
          <w:szCs w:val="21"/>
        </w:rPr>
        <w:t>（以下简称：公司）对乙方的基本健康安全环保（以下简称为：HSE）要求，促使公司与乙方在履行合同过程中共同做好HSE管理工作。</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本要求旨在指导公司所属分公司在与乙方签订合同时，乙方需要遵守的公司基本HSE要求。</w:t>
      </w:r>
      <w:r>
        <w:rPr>
          <w:rFonts w:ascii="宋体" w:hAnsi="宋体" w:eastAsia="宋体" w:cs="Times New Roman"/>
          <w:color w:val="000000"/>
          <w:szCs w:val="21"/>
        </w:rPr>
        <w:t>HSE</w:t>
      </w:r>
      <w:r>
        <w:rPr>
          <w:rFonts w:hint="eastAsia" w:ascii="宋体" w:hAnsi="宋体" w:eastAsia="宋体" w:cs="Times New Roman"/>
          <w:color w:val="000000"/>
          <w:szCs w:val="21"/>
        </w:rPr>
        <w:t>协议的期限应与项目承包合同的期限一致。如果变更承包合同的期限，也应同步变更</w:t>
      </w:r>
      <w:r>
        <w:rPr>
          <w:rFonts w:ascii="宋体" w:hAnsi="宋体" w:eastAsia="宋体" w:cs="Times New Roman"/>
          <w:color w:val="000000"/>
          <w:szCs w:val="21"/>
        </w:rPr>
        <w:t>HSE</w:t>
      </w:r>
      <w:r>
        <w:rPr>
          <w:rFonts w:hint="eastAsia" w:ascii="宋体" w:hAnsi="宋体" w:eastAsia="宋体" w:cs="Times New Roman"/>
          <w:color w:val="000000"/>
          <w:szCs w:val="21"/>
        </w:rPr>
        <w:t>协议的期限。</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本要求是乙方安全作业的HSE总体目标。</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第四条  如果本要求任一条款与国家的有关法律、法规和规定有冲突，则该条款以国家的相关要求为准，其它条款仍然使用。</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第五条  本要求第二章及其以后的HSE内容，是本要求提议的乙方应遵守的具体内容，不代表公司对乙方的基本HSE要求的全部内容。各分公司应根据本要求的要求，结合合同形式、服务内容、安全生产以及乙方类型，确定合同中的HSE协议的具体条款、内容和形式。</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19" w:name="_Toc298193052"/>
      <w:r>
        <w:rPr>
          <w:rFonts w:hint="eastAsia" w:ascii="宋体" w:hAnsi="宋体" w:eastAsia="宋体" w:cs="宋体"/>
          <w:b/>
          <w:bCs/>
          <w:color w:val="000000"/>
          <w:kern w:val="0"/>
          <w:sz w:val="24"/>
          <w:szCs w:val="24"/>
          <w:lang w:val="zh-CN"/>
        </w:rPr>
        <w:t>第二章</w:t>
      </w:r>
      <w:r>
        <w:fldChar w:fldCharType="begin"/>
      </w:r>
      <w:r>
        <w:instrText xml:space="preserve"> HYPERLINK \l "_第一章__总" </w:instrText>
      </w:r>
      <w:r>
        <w:fldChar w:fldCharType="separate"/>
      </w:r>
      <w:r>
        <w:rPr>
          <w:rFonts w:hint="eastAsia" w:ascii="宋体" w:hAnsi="宋体" w:eastAsia="宋体" w:cs="宋体"/>
          <w:b/>
          <w:bCs/>
          <w:color w:val="000000"/>
          <w:kern w:val="0"/>
          <w:sz w:val="24"/>
          <w:szCs w:val="24"/>
          <w:lang w:val="zh-CN"/>
        </w:rPr>
        <w:t>公司的HSE方针</w:t>
      </w:r>
      <w:bookmarkEnd w:id="119"/>
      <w:r>
        <w:rPr>
          <w:rFonts w:hint="eastAsia" w:ascii="宋体" w:hAnsi="宋体" w:eastAsia="宋体" w:cs="宋体"/>
          <w:b/>
          <w:bCs/>
          <w:color w:val="000000"/>
          <w:kern w:val="0"/>
          <w:sz w:val="24"/>
          <w:szCs w:val="24"/>
          <w:lang w:val="zh-CN"/>
        </w:rPr>
        <w:fldChar w:fldCharType="end"/>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双方应贯彻</w:t>
      </w:r>
      <w:r>
        <w:rPr>
          <w:rFonts w:ascii="宋体" w:hAnsi="宋体" w:eastAsia="宋体" w:cs="Times New Roman"/>
          <w:color w:val="000000"/>
          <w:szCs w:val="21"/>
        </w:rPr>
        <w:t>“</w:t>
      </w:r>
      <w:r>
        <w:rPr>
          <w:rFonts w:hint="eastAsia" w:ascii="宋体" w:hAnsi="宋体" w:eastAsia="宋体" w:cs="Times New Roman"/>
          <w:color w:val="000000"/>
          <w:szCs w:val="21"/>
        </w:rPr>
        <w:t>安全第一、预防为主、综合治理</w:t>
      </w:r>
      <w:r>
        <w:rPr>
          <w:rFonts w:ascii="宋体" w:hAnsi="宋体" w:eastAsia="宋体" w:cs="Times New Roman"/>
          <w:color w:val="000000"/>
          <w:szCs w:val="21"/>
        </w:rPr>
        <w:t>”</w:t>
      </w:r>
      <w:r>
        <w:rPr>
          <w:rFonts w:hint="eastAsia" w:ascii="宋体" w:hAnsi="宋体" w:eastAsia="宋体" w:cs="Times New Roman"/>
          <w:color w:val="000000"/>
          <w:szCs w:val="21"/>
        </w:rPr>
        <w:t>的方针，查找事故隐患并采取治理措施，避免事故的发生。</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员工是企业的财富；安全是生存的条件；环保是社会的责任；以诚信树立形象，以改进提升能力；重视人的价值，创造和谐、安全的工作环境，实现社会责任的全面进步。</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0" w:name="_Toc298193053"/>
      <w:r>
        <w:rPr>
          <w:rFonts w:hint="eastAsia" w:ascii="宋体" w:hAnsi="宋体" w:eastAsia="宋体" w:cs="宋体"/>
          <w:b/>
          <w:bCs/>
          <w:color w:val="000000"/>
          <w:kern w:val="0"/>
          <w:sz w:val="24"/>
          <w:szCs w:val="24"/>
          <w:lang w:val="zh-CN"/>
        </w:rPr>
        <w:t>第三章</w:t>
      </w:r>
      <w:r>
        <w:fldChar w:fldCharType="begin"/>
      </w:r>
      <w:r>
        <w:instrText xml:space="preserve"> HYPERLINK \l "_第一章__总" </w:instrText>
      </w:r>
      <w:r>
        <w:fldChar w:fldCharType="separate"/>
      </w:r>
      <w:r>
        <w:rPr>
          <w:rFonts w:hint="eastAsia" w:ascii="宋体" w:hAnsi="宋体" w:eastAsia="宋体" w:cs="宋体"/>
          <w:b/>
          <w:bCs/>
          <w:color w:val="000000"/>
          <w:kern w:val="0"/>
          <w:sz w:val="24"/>
          <w:szCs w:val="24"/>
          <w:lang w:val="zh-CN"/>
        </w:rPr>
        <w:t>乙方的HSE责任和义务</w:t>
      </w:r>
      <w:bookmarkEnd w:id="120"/>
      <w:r>
        <w:rPr>
          <w:rFonts w:hint="eastAsia" w:ascii="宋体" w:hAnsi="宋体" w:eastAsia="宋体" w:cs="宋体"/>
          <w:b/>
          <w:bCs/>
          <w:color w:val="000000"/>
          <w:kern w:val="0"/>
          <w:sz w:val="24"/>
          <w:szCs w:val="24"/>
          <w:lang w:val="zh-CN"/>
        </w:rPr>
        <w:fldChar w:fldCharType="end"/>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乙方应遵守有关的法律、法规和规定，有关的HSE标准；理解和接受公司HSE理念、政策；遵守公司HSE管理体系中的有关规定。</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乙方应确保其所有员工熟悉并执行公司的各项HSE要求和规定，熟练掌握基本的HSE知识和技能，建立良好的HSE管理理念。在预防事故、控制损失和保护环境方面，采取积极的态度与公司合作。</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当公司认为乙方的工作程序或工作环境对人身、财产或环境构成了潜在的危害，违反了有关的法律、法规和规定，违反了公司的HSE政策、程序或者任何有关的HSE标准，公司有权随时停止乙方的工作，要求其整改或在工作场所撤换其有关员工。乙方或者乙方员工违反公司HSE要求的任何行为均视为对乙方合同的违约行为，严重违反的行为自然构成提前终止合同的理由和依据。</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第四条  对于乙方设备、技术、员工等完成工作任务的乙方，应在协议中明确乙方不仅对完成的工作成果负责，而且要独立承担工作中遭受的意外安全风险。</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第五条  乙方应有责任和义务免除、保护、防护、补偿公司，避免公司由于乙方或乙方员工直接或间接未能贯彻、执行、遵循和遵守有关法律法规和规定、违反公司对乙方的基本HSE要求的原因受到任何损失、伤害、索赔或债务。在任何时候，乙方的这种责任都不应被认为可以改变、修正、减少或者重新界定乙方按合同应尽的其它应补偿、免除、保险或担保等义务。</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第六条  乙方应依据有关的法律、法规和规定，确保所有人员均已经通过必要的职业培训和安全环保培训，有资格并且可证实能从事合同规定的相应工作。乙方负责人员资质的及时维护。所有人员必须能出示有关的培训、资格证书。在开始工作之前，确保所有员工都已熟悉和理解公司对本HSE基本要求范本的要求。</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第七条  乙方应确保员工身心健康参加工作。乙方负责员工进行定期体检，涉及职业危害作业员工进行职业健康体检，并负责按照法规要求进行员工职业健康档案管理。员工出现下列情形之一者，不能被认为是身心健康的、称职的人员：严重睡眠不足疲乏无力的，患传染病的、严重心脏病的，依赖药物的、酗酒的、赌博和吸毒的人员。</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第八条  乙方应为员工提供合适的和性能完好的工具、装备。</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第九条  乙方在所有的作业过程中应首先制定好HSE计划和措施并到公司备案。乙方应在公司现场负责人监督下协调所有乙方活动。教育员工将任何不安全隐患向其直接主管或者公司现场负责人报告。</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第十条  乙方应确保所有按合同和附件提供的设施、设备、机器、机械、工具和装备等符合有关的HSE标准，同时保持工作场所清洁、有序。</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1" w:name="_Toc298193054"/>
      <w:r>
        <w:rPr>
          <w:rFonts w:hint="eastAsia" w:ascii="宋体" w:hAnsi="宋体" w:eastAsia="宋体" w:cs="宋体"/>
          <w:b/>
          <w:bCs/>
          <w:color w:val="000000"/>
          <w:kern w:val="0"/>
          <w:sz w:val="24"/>
          <w:szCs w:val="24"/>
          <w:lang w:val="zh-CN"/>
        </w:rPr>
        <w:t>第四章乙方劳动防护用品管理要求</w:t>
      </w:r>
      <w:bookmarkEnd w:id="121"/>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乙方提供从事作业的人员所需的全部合格的劳动防护用品，明确提供必要的劳动防护用品的责任人，对于作业人员劳动防护用品不能起到防护作用时应及时更换。特殊或专用防护用品必须采购具备</w:t>
      </w:r>
      <w:r>
        <w:rPr>
          <w:rFonts w:ascii="宋体" w:hAnsi="宋体" w:eastAsia="宋体" w:cs="Times New Roman"/>
          <w:color w:val="000000"/>
          <w:szCs w:val="21"/>
        </w:rPr>
        <w:t>具有生产许可</w:t>
      </w:r>
      <w:r>
        <w:rPr>
          <w:rFonts w:hint="eastAsia" w:ascii="宋体" w:hAnsi="宋体" w:eastAsia="宋体" w:cs="Times New Roman"/>
          <w:color w:val="000000"/>
          <w:szCs w:val="21"/>
        </w:rPr>
        <w:t>证、生产合格证、安全鉴定证</w:t>
      </w:r>
      <w:r>
        <w:rPr>
          <w:rFonts w:ascii="宋体" w:hAnsi="宋体" w:eastAsia="宋体" w:cs="Times New Roman"/>
          <w:color w:val="000000"/>
          <w:szCs w:val="21"/>
        </w:rPr>
        <w:t>和LA标识的用品</w:t>
      </w:r>
      <w:r>
        <w:rPr>
          <w:rFonts w:hint="eastAsia" w:ascii="宋体" w:hAnsi="宋体" w:eastAsia="宋体" w:cs="Times New Roman"/>
          <w:color w:val="000000"/>
          <w:szCs w:val="21"/>
        </w:rPr>
        <w:t>。</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根据有关的法律、法规和规定、有关的HSE标准，乙方应确保其员工严格遵守劳动防护用品制度，在公司和乙方的作业现场都应穿戴好与工作场所环境相适应的劳动防护用品。</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员工在进入有可能发生高空坠落物打击危险和可能发生碰撞伤害或其他需要配戴安全帽以防治伤害的场所，必须配戴好符合公司HSE标准的安全帽。</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第四条  进入所有指定的工作场所，必须配戴好符合相应HSE标准的三防安全鞋或者安全靴。</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第五条  在从事有可能会发生眼睛和面部伤害危险的作业（包括但不限于磨床、铣床、锻工、焊接、抛光、破碎、喷砂机喷涂作业、化学处理作业）时，必须配戴好符合相应HSE标准的指定的护目镜或全面罩。通常情况下，不允许配戴隐形眼镜。</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第六条  在进入高噪声区（噪声级别超过85db（A）的区域一般被认定为高噪声区）之前，必须配戴好符合规则要求和工业标准的听力保护装置。。</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第七条  在工作时，每个人都应将工作服穿戴整齐。工作服应当符合工作条件和气候，</w:t>
      </w:r>
      <w:r>
        <w:rPr>
          <w:rFonts w:ascii="宋体" w:hAnsi="宋体" w:eastAsia="宋体" w:cs="Times New Roman"/>
          <w:color w:val="000000"/>
          <w:szCs w:val="21"/>
        </w:rPr>
        <w:t>具备防静电性能</w:t>
      </w:r>
      <w:r>
        <w:rPr>
          <w:rFonts w:hint="eastAsia" w:ascii="宋体" w:hAnsi="宋体" w:eastAsia="宋体" w:cs="Times New Roman"/>
          <w:color w:val="000000"/>
          <w:szCs w:val="21"/>
        </w:rPr>
        <w:t>。</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 xml:space="preserve">第八条  </w:t>
      </w:r>
      <w:r>
        <w:rPr>
          <w:rFonts w:ascii="宋体" w:hAnsi="宋体" w:eastAsia="宋体" w:cs="Times New Roman"/>
          <w:color w:val="000000"/>
          <w:szCs w:val="21"/>
        </w:rPr>
        <w:t>在</w:t>
      </w:r>
      <w:r>
        <w:rPr>
          <w:rFonts w:hint="eastAsia" w:ascii="宋体" w:hAnsi="宋体" w:eastAsia="宋体" w:cs="Times New Roman"/>
          <w:color w:val="000000"/>
          <w:szCs w:val="21"/>
        </w:rPr>
        <w:t>高温区域、有锋利边角、有化学品、或者有其他可能对手部产生伤害的材料的地方，应穿戴符合相应HSE标准的防护手套。在有缠绕危险的机械或设备上工作，则不应穿带手套。</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第九条  凡在海边、码头、（驳船）甲板、船舷边等存在落水风险地方工作或从事其他有潜在落水危险的工作之前，必须穿戴好救生衣。救生衣的数量和型号应符合国家主管部门、机构的规定。</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第十条  员工在标准栏杆不能起到有效保护并存在坠落危险的地方，或其他有可能从2米或2米以上高处摔下的地方作业时，必须穿戴好满足有关安全标准的安全带。安全带应系在固定的、非活动的构件上，并确认已起到安全保护作用。</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第十一条  在进入公认的或怀疑含有危害健康的气体、蒸汽、粉尘、灰尘、薄雾或其他物质的空间，空气中氧气浓度过低或过高（氧气浓度低于18%，高于23%），以及有关法律、法规和规定，有关的HSE标准规定的应佩戴空气呼吸器的场所之前，必须戴好空气呼吸器。在某些必要的工作场所，乙方应根据有关法律、法规和规定、有关的HSE标准制定并采取相应的有害气体、氧气浓度监测、控制和防护措施。乙方应培训员工熟练掌握呼吸保护装置的使用和维护。</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rPr>
      </w:pPr>
      <w:bookmarkStart w:id="122" w:name="_Toc298193055"/>
      <w:r>
        <w:rPr>
          <w:rFonts w:hint="eastAsia" w:ascii="宋体" w:hAnsi="宋体" w:eastAsia="宋体" w:cs="宋体"/>
          <w:b/>
          <w:bCs/>
          <w:color w:val="000000"/>
          <w:kern w:val="0"/>
          <w:sz w:val="24"/>
          <w:szCs w:val="24"/>
          <w:lang w:val="zh-CN"/>
        </w:rPr>
        <w:t>第五章安全工作基本要求</w:t>
      </w:r>
      <w:bookmarkEnd w:id="122"/>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公司各级安全监督有权对乙方的HSE工作计划、设施和设备状况、作业情况进行安全环保方面的监督检查。乙方有责任向公司指派的现场监督报告作业和活动情况、设施和设备安全环保检查情况、事故隐患及采取的相应措施情况，现场安全监督有权进行核实。乙方或乙方员工的作业程序、方法、步骤、作业环境违反有关法律、法规和规定或公司最低安全环保要求，对人身、财产和环境构成威胁，现场安全监督有权要求乙方立即终止作业，进行整改。</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乙方应定期召开所有员工参加的现场安全会议，每次会议都应该进行会议记录并可追溯。公司安全监督有权参加每次的安全会议。</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在公司所辖现场，除指定的“吸烟区”可以吸烟外，其他场所严禁吸烟。</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第四条  乙方要使所有的员工熟悉和理解公司各种安全标志的内容与含义，遵守各种标志的要求。</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3" w:name="_Toc298193056"/>
      <w:r>
        <w:rPr>
          <w:rFonts w:hint="eastAsia" w:ascii="宋体" w:hAnsi="宋体" w:eastAsia="宋体" w:cs="宋体"/>
          <w:b/>
          <w:bCs/>
          <w:color w:val="000000"/>
          <w:kern w:val="0"/>
          <w:sz w:val="24"/>
          <w:szCs w:val="24"/>
          <w:lang w:val="zh-CN"/>
        </w:rPr>
        <w:t>第六章乙方出入管理</w:t>
      </w:r>
      <w:bookmarkEnd w:id="123"/>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乙方应事先将要进入公司所辖现场的人员和设备基本情况书面通知公司安全监督，包括临时和长期作业人员。</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禁止携带含酒精饮料、易燃易爆有毒有害物品（生产需要并经批准的除外）进入所辖现场。</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公司所辖现场对于人员进出的管理实行T卡、胸卡等管理制度，要求乙方严格执行。</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4" w:name="_Toc298193057"/>
      <w:r>
        <w:rPr>
          <w:rFonts w:hint="eastAsia" w:ascii="宋体" w:hAnsi="宋体" w:eastAsia="宋体" w:cs="宋体"/>
          <w:b/>
          <w:bCs/>
          <w:color w:val="000000"/>
          <w:kern w:val="0"/>
          <w:sz w:val="24"/>
          <w:szCs w:val="24"/>
          <w:lang w:val="zh-CN"/>
        </w:rPr>
        <w:t>第七章交通安全管理</w:t>
      </w:r>
      <w:bookmarkEnd w:id="124"/>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所有行驶在公司所辖现场的机动车应遵守安全标志和限速行驶的规定。如果没有限速规定，应根据道路实际情况，在保证安全的前提下行驶。</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5" w:name="_Toc298193058"/>
      <w:r>
        <w:rPr>
          <w:rFonts w:hint="eastAsia" w:ascii="宋体" w:hAnsi="宋体" w:eastAsia="宋体" w:cs="宋体"/>
          <w:b/>
          <w:bCs/>
          <w:color w:val="000000"/>
          <w:kern w:val="0"/>
          <w:sz w:val="24"/>
          <w:szCs w:val="24"/>
          <w:lang w:val="zh-CN"/>
        </w:rPr>
        <w:t>第八章工作许可证制度</w:t>
      </w:r>
      <w:bookmarkEnd w:id="125"/>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明确现场的作业许可证制度。如果某项作业是在有可能导致对人员安全或者健康、设施和设备产生危害的地方或周围进行时，应对此项作业或活动实行工作许可证制度。凡是属于工作许可证制度管理的各项作业和活动，在未取得有效许可证之前，任何人都不能开始这项作业或活动。</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在从事属于工作许可证制度管理的各项作业和活动之前，乙方影响公司提交书面的作业许可，说明作业的时间、地点、作业内容、作业工具、作业人数、人员姓名、作业程序、工作要领和安全措施。工作许可证只能由经批准或者授权的安全监督签发。许可证签发人在签发许可证之前必须到现场查看，进行必要的检查，确认以消除安全隐患后才能签发工作许可。</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工作地点范围和工作时间要求。如原领取工作许可证的人员、作业条件、环境已经发生改变，则最初的工作许可证自动失效，应根据变化重新签发新的工作许可证。</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第四条  所有作业人员必须按照工作许可证的作业程序和要求进行作业，不允许违犯。</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第五条  许可证签发人可以在事先不通知的情况下，在任何时候取消已经签发的工作许可证。工作许可证取消后，执行该许可证的所有人员应立即停止有关作业，除非该停止作业会增加新的危险。这种情况下，乙方再继续有关作业时，应重新办理作业许可。</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 xml:space="preserve">第六条  </w:t>
      </w:r>
      <w:r>
        <w:rPr>
          <w:rFonts w:ascii="宋体" w:hAnsi="宋体" w:eastAsia="宋体" w:cs="Times New Roman"/>
          <w:color w:val="000000"/>
          <w:szCs w:val="21"/>
        </w:rPr>
        <w:t>需进行危险许可作业活动包括</w:t>
      </w:r>
      <w:r>
        <w:rPr>
          <w:rFonts w:hint="eastAsia" w:ascii="宋体" w:hAnsi="宋体" w:eastAsia="宋体" w:cs="Times New Roman"/>
          <w:color w:val="000000"/>
          <w:szCs w:val="21"/>
        </w:rPr>
        <w:t>（但</w:t>
      </w:r>
      <w:r>
        <w:rPr>
          <w:rFonts w:ascii="宋体" w:hAnsi="宋体" w:eastAsia="宋体" w:cs="Times New Roman"/>
          <w:color w:val="000000"/>
          <w:szCs w:val="21"/>
        </w:rPr>
        <w:t>不限于</w:t>
      </w:r>
      <w:r>
        <w:rPr>
          <w:rFonts w:hint="eastAsia" w:ascii="宋体" w:hAnsi="宋体" w:eastAsia="宋体" w:cs="Times New Roman"/>
          <w:color w:val="000000"/>
          <w:szCs w:val="21"/>
        </w:rPr>
        <w:t>）</w:t>
      </w:r>
      <w:r>
        <w:rPr>
          <w:rFonts w:ascii="宋体" w:hAnsi="宋体" w:eastAsia="宋体" w:cs="Times New Roman"/>
          <w:color w:val="000000"/>
          <w:szCs w:val="21"/>
        </w:rPr>
        <w:t>：高处作业(包括高空作业)；脚手架搭设和分解作业；试压作业及高压冲洗作业；潜水作业；涂敷作业；涉及危险化学品作业；涉及易燃易爆场所作业；涉及工业一、二级动火作业；涉及放射性及有毒有害作业；带电作业；限制空间作业；</w:t>
      </w:r>
      <w:r>
        <w:rPr>
          <w:rFonts w:hint="eastAsia" w:ascii="宋体" w:hAnsi="宋体" w:eastAsia="宋体" w:cs="Times New Roman"/>
          <w:color w:val="000000"/>
          <w:szCs w:val="21"/>
        </w:rPr>
        <w:t>起重吊装作业；</w:t>
      </w:r>
      <w:r>
        <w:rPr>
          <w:rFonts w:ascii="宋体" w:hAnsi="宋体" w:eastAsia="宋体" w:cs="Times New Roman"/>
          <w:color w:val="000000"/>
          <w:szCs w:val="21"/>
        </w:rPr>
        <w:t>交叉作业</w:t>
      </w:r>
      <w:r>
        <w:rPr>
          <w:rFonts w:hint="eastAsia" w:ascii="宋体" w:hAnsi="宋体" w:eastAsia="宋体" w:cs="Times New Roman"/>
          <w:color w:val="000000"/>
          <w:szCs w:val="21"/>
        </w:rPr>
        <w:t>等双方应严格执行技术交底、指挥组织和工作许可等规定</w:t>
      </w:r>
      <w:r>
        <w:rPr>
          <w:rFonts w:ascii="宋体" w:hAnsi="宋体" w:eastAsia="宋体" w:cs="Times New Roman"/>
          <w:color w:val="000000"/>
          <w:szCs w:val="21"/>
        </w:rPr>
        <w:t>。</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第七条  乙方在海上平台、船舶和陆地终端等危险作业场所作业时，增加以下内容工作许可：热工作业许可证和冷工作业许可证。</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热工作业许可证在进行使用热或产生热的工作(如焊接、气割、打磨)以及可能产生火花的工作或其它有点火源的工作时，应申请热工作业许可证。冷工作业许可证（但</w:t>
      </w:r>
      <w:r>
        <w:rPr>
          <w:rFonts w:ascii="宋体" w:hAnsi="宋体" w:eastAsia="宋体" w:cs="Times New Roman"/>
          <w:color w:val="000000"/>
          <w:szCs w:val="21"/>
        </w:rPr>
        <w:t>不限于</w:t>
      </w:r>
      <w:r>
        <w:rPr>
          <w:rFonts w:hint="eastAsia" w:ascii="宋体" w:hAnsi="宋体" w:eastAsia="宋体" w:cs="Times New Roman"/>
          <w:color w:val="000000"/>
          <w:szCs w:val="21"/>
        </w:rPr>
        <w:t>）：高处(包括悬空高处)作业、舷外作业；</w:t>
      </w:r>
      <w:r>
        <w:rPr>
          <w:rFonts w:ascii="宋体" w:hAnsi="宋体" w:eastAsia="宋体" w:cs="Times New Roman"/>
          <w:color w:val="000000"/>
          <w:szCs w:val="21"/>
        </w:rPr>
        <w:t>脚手架搭设和分解作业</w:t>
      </w:r>
      <w:r>
        <w:rPr>
          <w:rFonts w:hint="eastAsia" w:ascii="宋体" w:hAnsi="宋体" w:eastAsia="宋体" w:cs="Times New Roman"/>
          <w:color w:val="000000"/>
          <w:szCs w:val="21"/>
        </w:rPr>
        <w:t>；试压作业；高压冲洗作业；潜水作业；涉及放射性及有毒有害作业；化学清洗作业；带压封闭管线或罐的开启或拆解；油漆作业；喷砂、涂敷作业；临时用电作业；电气作业（包括</w:t>
      </w:r>
      <w:r>
        <w:rPr>
          <w:rFonts w:ascii="宋体" w:hAnsi="宋体" w:eastAsia="宋体" w:cs="Times New Roman"/>
          <w:color w:val="000000"/>
          <w:szCs w:val="21"/>
        </w:rPr>
        <w:t>带电作业</w:t>
      </w:r>
      <w:r>
        <w:rPr>
          <w:rFonts w:hint="eastAsia" w:ascii="宋体" w:hAnsi="宋体" w:eastAsia="宋体" w:cs="Times New Roman"/>
          <w:color w:val="000000"/>
          <w:szCs w:val="21"/>
        </w:rPr>
        <w:t>）；起重吊装作业；管线容器吹扫作业。</w:t>
      </w:r>
    </w:p>
    <w:p>
      <w:pPr>
        <w:spacing w:line="360" w:lineRule="exact"/>
        <w:ind w:firstLine="420" w:firstLineChars="200"/>
        <w:rPr>
          <w:rFonts w:ascii="宋体" w:hAnsi="宋体" w:eastAsia="宋体" w:cs="Times New Roman"/>
          <w:color w:val="000000"/>
          <w:sz w:val="24"/>
          <w:szCs w:val="24"/>
        </w:rPr>
      </w:pPr>
      <w:r>
        <w:rPr>
          <w:rFonts w:hint="eastAsia" w:ascii="宋体" w:hAnsi="宋体" w:eastAsia="宋体" w:cs="Times New Roman"/>
          <w:color w:val="000000"/>
          <w:szCs w:val="21"/>
        </w:rPr>
        <w:t>乙方</w:t>
      </w:r>
      <w:r>
        <w:rPr>
          <w:rFonts w:ascii="宋体" w:hAnsi="宋体" w:eastAsia="宋体" w:cs="Times New Roman"/>
          <w:color w:val="000000"/>
          <w:szCs w:val="21"/>
        </w:rPr>
        <w:t>应对</w:t>
      </w:r>
      <w:r>
        <w:rPr>
          <w:rFonts w:hint="eastAsia" w:ascii="宋体" w:hAnsi="宋体" w:eastAsia="宋体" w:cs="Times New Roman"/>
          <w:color w:val="000000"/>
          <w:szCs w:val="21"/>
        </w:rPr>
        <w:t>劳务</w:t>
      </w:r>
      <w:r>
        <w:rPr>
          <w:rFonts w:ascii="宋体" w:hAnsi="宋体" w:eastAsia="宋体" w:cs="Times New Roman"/>
          <w:color w:val="000000"/>
          <w:szCs w:val="21"/>
        </w:rPr>
        <w:t>服务人员</w:t>
      </w:r>
      <w:r>
        <w:rPr>
          <w:rFonts w:hint="eastAsia" w:ascii="宋体" w:hAnsi="宋体" w:eastAsia="宋体" w:cs="Times New Roman"/>
          <w:color w:val="000000"/>
          <w:szCs w:val="21"/>
        </w:rPr>
        <w:t>开展</w:t>
      </w:r>
      <w:r>
        <w:rPr>
          <w:rFonts w:ascii="宋体" w:hAnsi="宋体" w:eastAsia="宋体" w:cs="Times New Roman"/>
          <w:color w:val="000000"/>
          <w:szCs w:val="21"/>
        </w:rPr>
        <w:t>安全培训教育。</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6" w:name="_Toc298193059"/>
      <w:r>
        <w:rPr>
          <w:rFonts w:hint="eastAsia" w:ascii="宋体" w:hAnsi="宋体" w:eastAsia="宋体" w:cs="宋体"/>
          <w:b/>
          <w:bCs/>
          <w:color w:val="000000"/>
          <w:kern w:val="0"/>
          <w:sz w:val="24"/>
          <w:szCs w:val="24"/>
          <w:lang w:val="zh-CN"/>
        </w:rPr>
        <w:t>第九章环境保护要求</w:t>
      </w:r>
      <w:bookmarkEnd w:id="126"/>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明确乙方应根据有关法律、法规和规定，有关健康安全环保标准和国际石油行业惯例最大程度的减少对环境的污染。乙方应尽全部合理的努力消除一切可能发生的污染并最大限度的减少污染带来的破坏。</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乙方应确保每一名员工都知道：自己有义务按照公司的要求防止污染。</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乙方应告知在海上作业的员工：公司不接受任何未经许可将海上设施的废弃物私自处置的行为。</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7" w:name="_Toc298193060"/>
      <w:r>
        <w:rPr>
          <w:rFonts w:hint="eastAsia" w:ascii="宋体" w:hAnsi="宋体" w:eastAsia="宋体" w:cs="宋体"/>
          <w:b/>
          <w:bCs/>
          <w:color w:val="000000"/>
          <w:kern w:val="0"/>
          <w:sz w:val="24"/>
          <w:szCs w:val="24"/>
          <w:lang w:val="zh-CN"/>
        </w:rPr>
        <w:t>第十章应急管理</w:t>
      </w:r>
      <w:bookmarkEnd w:id="127"/>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承包商应辨识作业过程中可能出现的紧急情况，制定应急计划。应急计划中，应明确双方的职责划分、协作配合机制、各自的决策权限和应急演习等内容。承包商制定的应急计划应经过发包方审查和批准。</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在项目开工前以及随后的作业过程中定期组织或者参加应急演习，验证应急计划和程序的可行性，锻炼乙方人员的应急能力。乙方应定期检查应急设备，始终保持完好状态。</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工作场所内外的应急通道要在任何时间保持通畅。</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8" w:name="_Toc298193061"/>
      <w:r>
        <w:rPr>
          <w:rFonts w:hint="eastAsia" w:ascii="宋体" w:hAnsi="宋体" w:eastAsia="宋体" w:cs="宋体"/>
          <w:b/>
          <w:bCs/>
          <w:color w:val="000000"/>
          <w:kern w:val="0"/>
          <w:sz w:val="24"/>
          <w:szCs w:val="24"/>
          <w:lang w:val="zh-CN"/>
        </w:rPr>
        <w:t>第十一章事故报告和管理</w:t>
      </w:r>
      <w:bookmarkEnd w:id="128"/>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乙方应向员工明确事故的上报程序和要求。乙方自身应建立事故的上报程序，满足公司的需要。</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在明确依照国家标准进行事故报告义务的同时，还明确使用OSHA方式统计报告职业伤害和职业病记录表的义务。乙方应根据其承担的义务，每月度向公司上报上一月度的OSHA统计。乙方应在承包合同执行前了解OSHA统计范围和统计方法。</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第三条  对于任何事故、人身伤害和风险事件，乙方必须在其发生后的立即电话上报公司，并在6小时内以书面的形式上报公司。报告应包括在当时情况下所能得到的一切信息。在事故发生后，乙方应提供一份更详细的报告，内容包括受伤人员、财产损失程度、事故过程即采取的预防措施。</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第四条  公司会对事故、人身伤害和风险事件进行调查。乙方应采取积极的态度配合公司的调查，了解事故、人身伤害和风险事件的真实情况。</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29" w:name="_Toc298193062"/>
      <w:r>
        <w:rPr>
          <w:rFonts w:hint="eastAsia" w:ascii="宋体" w:hAnsi="宋体" w:eastAsia="宋体" w:cs="宋体"/>
          <w:b/>
          <w:bCs/>
          <w:color w:val="000000"/>
          <w:kern w:val="0"/>
          <w:sz w:val="24"/>
          <w:szCs w:val="24"/>
          <w:lang w:val="zh-CN"/>
        </w:rPr>
        <w:t>第十二章危险品的管理</w:t>
      </w:r>
      <w:bookmarkEnd w:id="129"/>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乙方应根据有关的法律法规和规定建立书面的危险品管理方案，按要求对所有有关人员进行培训。乙方提供和使用危险品应通知公司，并应配备和使用必要的个人防护用品安全的处理危险品。</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30" w:name="_Toc298193063"/>
      <w:r>
        <w:rPr>
          <w:rFonts w:hint="eastAsia" w:ascii="宋体" w:hAnsi="宋体" w:eastAsia="宋体" w:cs="宋体"/>
          <w:b/>
          <w:bCs/>
          <w:color w:val="000000"/>
          <w:kern w:val="0"/>
          <w:sz w:val="24"/>
          <w:szCs w:val="24"/>
          <w:lang w:val="zh-CN"/>
        </w:rPr>
        <w:t>第十三章沟通要求</w:t>
      </w:r>
      <w:bookmarkEnd w:id="130"/>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第一条  公司致力于为所有作业人员提供安全健康的工作环境，并且认为：为了实现这一目标，加强乙方管理层与公司管理层的沟通是十分必要的。</w:t>
      </w:r>
    </w:p>
    <w:p>
      <w:pPr>
        <w:spacing w:line="360" w:lineRule="exact"/>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第二条  双方在对于乙方的作业涉及安全环保的内容上发生争议或者误解时，建议以以下方式解决：</w:t>
      </w:r>
    </w:p>
    <w:p>
      <w:pPr>
        <w:spacing w:line="360" w:lineRule="exact"/>
        <w:ind w:firstLine="525" w:firstLineChars="250"/>
        <w:rPr>
          <w:rFonts w:ascii="宋体" w:hAnsi="宋体" w:eastAsia="宋体" w:cs="Times New Roman"/>
          <w:color w:val="000000"/>
          <w:szCs w:val="21"/>
        </w:rPr>
      </w:pPr>
      <w:r>
        <w:rPr>
          <w:rFonts w:hint="eastAsia" w:ascii="宋体" w:hAnsi="宋体" w:eastAsia="宋体" w:cs="Times New Roman"/>
          <w:color w:val="000000"/>
          <w:szCs w:val="21"/>
        </w:rPr>
        <w:t>公司现场安全监督如果对乙方的工作不满意时，应通过正常的管理渠道反映，由双方上一层的管理者进行处理；如果乙方有直接或者间接的压力迫使其做根据其专业技术判断不能做的事情时，乙方有权利拒绝去做，并及时向乙方上一层管理者报告，由双方上一层管理者共同商议处理该事情。</w:t>
      </w:r>
    </w:p>
    <w:p>
      <w:pPr>
        <w:keepNext/>
        <w:keepLines/>
        <w:spacing w:before="156" w:beforeLines="50" w:after="156" w:afterLines="50" w:line="360" w:lineRule="auto"/>
        <w:ind w:left="420"/>
        <w:outlineLvl w:val="0"/>
        <w:rPr>
          <w:rFonts w:ascii="宋体" w:hAnsi="宋体" w:eastAsia="宋体" w:cs="宋体"/>
          <w:b/>
          <w:bCs/>
          <w:color w:val="000000"/>
          <w:kern w:val="0"/>
          <w:sz w:val="24"/>
          <w:szCs w:val="24"/>
          <w:lang w:val="zh-CN"/>
        </w:rPr>
      </w:pPr>
      <w:bookmarkStart w:id="131" w:name="_Toc298193064"/>
      <w:r>
        <w:rPr>
          <w:rFonts w:hint="eastAsia" w:ascii="宋体" w:hAnsi="宋体" w:eastAsia="宋体" w:cs="宋体"/>
          <w:b/>
          <w:bCs/>
          <w:color w:val="000000"/>
          <w:kern w:val="0"/>
          <w:sz w:val="24"/>
          <w:szCs w:val="24"/>
          <w:lang w:val="zh-CN"/>
        </w:rPr>
        <w:t>第十四章适用的法律法规</w:t>
      </w:r>
      <w:bookmarkEnd w:id="131"/>
    </w:p>
    <w:p>
      <w:pPr>
        <w:numPr>
          <w:ilvl w:val="0"/>
          <w:numId w:val="46"/>
        </w:numPr>
        <w:spacing w:line="360" w:lineRule="auto"/>
        <w:rPr>
          <w:rFonts w:ascii="宋体" w:hAnsi="宋体" w:eastAsia="宋体" w:cs="Times New Roman"/>
          <w:color w:val="000000"/>
          <w:szCs w:val="21"/>
        </w:rPr>
      </w:pPr>
      <w:r>
        <w:rPr>
          <w:rFonts w:hint="eastAsia" w:ascii="宋体" w:hAnsi="宋体" w:eastAsia="宋体" w:cs="Times New Roman"/>
          <w:color w:val="000000"/>
          <w:szCs w:val="21"/>
        </w:rPr>
        <w:t xml:space="preserve"> 在未将所有使用的法律、法规、标准和公司HSE要求罗列的情况下，乙方应参照执行适用于其作业的法律、法规、标准和公司HSE要求。</w:t>
      </w:r>
    </w:p>
    <w:p>
      <w:pPr>
        <w:pStyle w:val="13"/>
        <w:ind w:left="0" w:leftChars="0" w:firstLine="0" w:firstLineChars="0"/>
      </w:pPr>
    </w:p>
    <w:p>
      <w:pPr>
        <w:keepNext/>
        <w:keepLines/>
        <w:spacing w:before="360" w:after="360" w:line="360" w:lineRule="auto"/>
        <w:ind w:left="840" w:leftChars="400" w:firstLine="142" w:firstLineChars="59"/>
        <w:jc w:val="left"/>
        <w:outlineLvl w:val="1"/>
        <w:rPr>
          <w:rFonts w:ascii="宋体" w:hAnsi="宋体"/>
          <w:b/>
          <w:bCs/>
          <w:sz w:val="24"/>
          <w:szCs w:val="24"/>
        </w:rPr>
      </w:pPr>
    </w:p>
    <w:p>
      <w:pPr>
        <w:keepNext/>
        <w:keepLines/>
        <w:spacing w:before="360" w:after="360" w:line="360" w:lineRule="auto"/>
        <w:ind w:left="840" w:leftChars="400" w:firstLine="142" w:firstLineChars="59"/>
        <w:jc w:val="left"/>
        <w:outlineLvl w:val="1"/>
        <w:rPr>
          <w:rFonts w:ascii="宋体" w:hAnsi="宋体"/>
          <w:b/>
          <w:bCs/>
          <w:sz w:val="24"/>
          <w:szCs w:val="24"/>
        </w:rPr>
      </w:pPr>
    </w:p>
    <w:p>
      <w:pPr>
        <w:keepNext/>
        <w:keepLines/>
        <w:spacing w:before="360" w:after="360" w:line="360" w:lineRule="auto"/>
        <w:ind w:left="840" w:leftChars="400" w:firstLine="142" w:firstLineChars="59"/>
        <w:jc w:val="left"/>
        <w:outlineLvl w:val="1"/>
        <w:rPr>
          <w:rFonts w:ascii="宋体" w:hAnsi="宋体"/>
          <w:b/>
          <w:bCs/>
          <w:sz w:val="24"/>
          <w:szCs w:val="24"/>
        </w:rPr>
      </w:pPr>
    </w:p>
    <w:p>
      <w:pPr>
        <w:keepNext/>
        <w:keepLines/>
        <w:spacing w:before="360" w:after="360" w:line="360" w:lineRule="auto"/>
        <w:ind w:left="840" w:leftChars="400" w:firstLine="142" w:firstLineChars="59"/>
        <w:jc w:val="left"/>
        <w:outlineLvl w:val="1"/>
        <w:rPr>
          <w:rFonts w:ascii="宋体" w:hAnsi="宋体"/>
          <w:b/>
          <w:bCs/>
          <w:sz w:val="24"/>
          <w:szCs w:val="24"/>
        </w:rPr>
      </w:pPr>
    </w:p>
    <w:p>
      <w:pPr>
        <w:keepNext/>
        <w:keepLines/>
        <w:spacing w:before="360" w:after="360" w:line="360" w:lineRule="auto"/>
        <w:ind w:left="840" w:leftChars="400" w:firstLine="142" w:firstLineChars="59"/>
        <w:jc w:val="left"/>
        <w:outlineLvl w:val="1"/>
        <w:rPr>
          <w:rFonts w:ascii="宋体" w:hAnsi="宋体"/>
          <w:b/>
          <w:bCs/>
          <w:sz w:val="24"/>
          <w:szCs w:val="24"/>
        </w:rPr>
      </w:pPr>
    </w:p>
    <w:p>
      <w:pPr>
        <w:keepNext/>
        <w:keepLines/>
        <w:spacing w:before="360" w:after="360" w:line="360" w:lineRule="auto"/>
        <w:ind w:left="840" w:leftChars="400" w:firstLine="142" w:firstLineChars="59"/>
        <w:jc w:val="left"/>
        <w:outlineLvl w:val="1"/>
        <w:rPr>
          <w:rFonts w:ascii="宋体" w:hAnsi="宋体"/>
          <w:b/>
          <w:bCs/>
          <w:sz w:val="24"/>
          <w:szCs w:val="24"/>
        </w:rPr>
      </w:pPr>
    </w:p>
    <w:p>
      <w:pPr>
        <w:keepNext/>
        <w:keepLines/>
        <w:spacing w:before="360" w:after="360" w:line="360" w:lineRule="auto"/>
        <w:ind w:left="840" w:leftChars="400" w:firstLine="142" w:firstLineChars="59"/>
        <w:jc w:val="left"/>
        <w:outlineLvl w:val="1"/>
        <w:rPr>
          <w:rFonts w:ascii="宋体" w:hAnsi="宋体"/>
          <w:b/>
          <w:bCs/>
          <w:sz w:val="24"/>
          <w:szCs w:val="24"/>
        </w:rPr>
      </w:pPr>
    </w:p>
    <w:p>
      <w:pPr>
        <w:rPr>
          <w:rFonts w:asciiTheme="minorEastAsia" w:hAnsiTheme="minorEastAsia"/>
          <w:kern w:val="0"/>
          <w:sz w:val="24"/>
        </w:rPr>
      </w:pPr>
    </w:p>
    <w:p>
      <w:pPr>
        <w:rPr>
          <w:rFonts w:asciiTheme="minorEastAsia" w:hAnsiTheme="minorEastAsia"/>
          <w:kern w:val="0"/>
          <w:sz w:val="24"/>
        </w:rPr>
      </w:pPr>
    </w:p>
    <w:p>
      <w:pPr>
        <w:rPr>
          <w:rFonts w:asciiTheme="minorEastAsia" w:hAnsiTheme="minorEastAsia"/>
          <w:kern w:val="0"/>
          <w:sz w:val="24"/>
        </w:rPr>
      </w:pPr>
    </w:p>
    <w:p>
      <w:pPr>
        <w:rPr>
          <w:rFonts w:asciiTheme="minorEastAsia" w:hAnsiTheme="minorEastAsia"/>
          <w:kern w:val="0"/>
          <w:sz w:val="24"/>
        </w:rPr>
      </w:pPr>
    </w:p>
    <w:p>
      <w:pPr>
        <w:rPr>
          <w:rFonts w:asciiTheme="minorEastAsia" w:hAnsiTheme="minorEastAsia"/>
          <w:kern w:val="0"/>
          <w:sz w:val="24"/>
        </w:rPr>
      </w:pPr>
    </w:p>
    <w:p>
      <w:pPr>
        <w:rPr>
          <w:rFonts w:asciiTheme="minorEastAsia" w:hAnsiTheme="minorEastAsia"/>
          <w:kern w:val="0"/>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asciiTheme="minorEastAsia" w:hAnsiTheme="minorEastAsia"/>
          <w:szCs w:val="21"/>
        </w:rPr>
      </w:pPr>
      <w:r>
        <w:rPr>
          <w:rFonts w:hint="eastAsia" w:asciiTheme="minorEastAsia" w:hAnsiTheme="minorEastAsia"/>
          <w:kern w:val="0"/>
          <w:sz w:val="24"/>
        </w:rPr>
        <w:t>合同附件</w:t>
      </w:r>
      <w:r>
        <w:rPr>
          <w:rFonts w:hint="eastAsia" w:asciiTheme="minorEastAsia" w:hAnsiTheme="minorEastAsia"/>
          <w:kern w:val="0"/>
          <w:sz w:val="24"/>
          <w:lang w:val="en-US" w:eastAsia="zh-CN"/>
        </w:rPr>
        <w:t>四</w:t>
      </w:r>
      <w:r>
        <w:rPr>
          <w:rFonts w:hint="eastAsia" w:asciiTheme="minorEastAsia" w:hAnsiTheme="minorEastAsia"/>
          <w:kern w:val="0"/>
          <w:sz w:val="24"/>
        </w:rPr>
        <w:t>：送货单格式</w:t>
      </w:r>
    </w:p>
    <w:tbl>
      <w:tblPr>
        <w:tblStyle w:val="22"/>
        <w:tblW w:w="13022" w:type="dxa"/>
        <w:tblInd w:w="0" w:type="dxa"/>
        <w:tblLayout w:type="autofit"/>
        <w:tblCellMar>
          <w:top w:w="0" w:type="dxa"/>
          <w:left w:w="108" w:type="dxa"/>
          <w:bottom w:w="0" w:type="dxa"/>
          <w:right w:w="108" w:type="dxa"/>
        </w:tblCellMar>
      </w:tblPr>
      <w:tblGrid>
        <w:gridCol w:w="416"/>
        <w:gridCol w:w="516"/>
        <w:gridCol w:w="416"/>
        <w:gridCol w:w="416"/>
        <w:gridCol w:w="616"/>
        <w:gridCol w:w="6150"/>
        <w:gridCol w:w="1792"/>
        <w:gridCol w:w="2700"/>
      </w:tblGrid>
      <w:tr>
        <w:tblPrEx>
          <w:tblCellMar>
            <w:top w:w="0" w:type="dxa"/>
            <w:left w:w="108" w:type="dxa"/>
            <w:bottom w:w="0" w:type="dxa"/>
            <w:right w:w="108" w:type="dxa"/>
          </w:tblCellMar>
        </w:tblPrEx>
        <w:trPr>
          <w:trHeight w:val="919" w:hRule="atLeast"/>
        </w:trPr>
        <w:tc>
          <w:tcPr>
            <w:tcW w:w="13022" w:type="dxa"/>
            <w:gridSpan w:val="8"/>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9264" behindDoc="0" locked="0" layoutInCell="1" allowOverlap="1">
                  <wp:simplePos x="0" y="0"/>
                  <wp:positionH relativeFrom="column">
                    <wp:posOffset>1771650</wp:posOffset>
                  </wp:positionH>
                  <wp:positionV relativeFrom="paragraph">
                    <wp:posOffset>66675</wp:posOffset>
                  </wp:positionV>
                  <wp:extent cx="542925" cy="419100"/>
                  <wp:effectExtent l="0" t="0" r="9525" b="0"/>
                  <wp:wrapNone/>
                  <wp:docPr id="28" name="图片 28" descr="基地集团标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基地集团标 拷贝"/>
                          <pic:cNvPicPr>
                            <a:picLocks noChangeAspect="1"/>
                          </pic:cNvPicPr>
                        </pic:nvPicPr>
                        <pic:blipFill>
                          <a:blip r:embed="rId22"/>
                          <a:stretch>
                            <a:fillRect/>
                          </a:stretch>
                        </pic:blipFill>
                        <pic:spPr>
                          <a:xfrm>
                            <a:off x="0" y="0"/>
                            <a:ext cx="548005" cy="425450"/>
                          </a:xfrm>
                          <a:prstGeom prst="rect">
                            <a:avLst/>
                          </a:prstGeom>
                          <a:noFill/>
                          <a:ln w="9525">
                            <a:noFill/>
                          </a:ln>
                        </pic:spPr>
                      </pic:pic>
                    </a:graphicData>
                  </a:graphic>
                </wp:anchor>
              </w:drawing>
            </w:r>
          </w:p>
          <w:tbl>
            <w:tblPr>
              <w:tblStyle w:val="22"/>
              <w:tblW w:w="0" w:type="auto"/>
              <w:tblCellSpacing w:w="0" w:type="dxa"/>
              <w:tblInd w:w="0" w:type="dxa"/>
              <w:tblLayout w:type="autofit"/>
              <w:tblCellMar>
                <w:top w:w="0" w:type="dxa"/>
                <w:left w:w="0" w:type="dxa"/>
                <w:bottom w:w="0" w:type="dxa"/>
                <w:right w:w="0" w:type="dxa"/>
              </w:tblCellMar>
            </w:tblPr>
            <w:tblGrid>
              <w:gridCol w:w="12801"/>
            </w:tblGrid>
            <w:tr>
              <w:tblPrEx>
                <w:tblCellMar>
                  <w:top w:w="0" w:type="dxa"/>
                  <w:left w:w="0" w:type="dxa"/>
                  <w:bottom w:w="0" w:type="dxa"/>
                  <w:right w:w="0" w:type="dxa"/>
                </w:tblCellMar>
              </w:tblPrEx>
              <w:trPr>
                <w:trHeight w:val="919" w:hRule="atLeast"/>
                <w:tblCellSpacing w:w="0" w:type="dxa"/>
              </w:trPr>
              <w:tc>
                <w:tcPr>
                  <w:tcW w:w="149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32"/>
                      <w:szCs w:val="32"/>
                    </w:rPr>
                  </w:pPr>
                  <w:r>
                    <w:rPr>
                      <w:rFonts w:hint="eastAsia" w:ascii="黑体" w:hAnsi="黑体" w:eastAsia="黑体" w:cs="宋体"/>
                      <w:b/>
                      <w:bCs/>
                      <w:color w:val="000000"/>
                      <w:kern w:val="0"/>
                      <w:sz w:val="32"/>
                      <w:szCs w:val="32"/>
                    </w:rPr>
                    <w:t>中海油能源发展股份有限公司</w:t>
                  </w:r>
                  <w:r>
                    <w:rPr>
                      <w:rFonts w:hint="eastAsia" w:ascii="黑体" w:hAnsi="黑体" w:eastAsia="黑体" w:cs="宋体"/>
                      <w:b/>
                      <w:bCs/>
                      <w:color w:val="000000"/>
                      <w:kern w:val="0"/>
                      <w:sz w:val="32"/>
                      <w:szCs w:val="32"/>
                    </w:rPr>
                    <w:br w:type="textWrapping"/>
                  </w:r>
                  <w:r>
                    <w:rPr>
                      <w:rFonts w:hint="eastAsia" w:ascii="黑体" w:hAnsi="黑体" w:eastAsia="黑体" w:cs="宋体"/>
                      <w:b/>
                      <w:bCs/>
                      <w:color w:val="000000"/>
                      <w:kern w:val="0"/>
                      <w:sz w:val="32"/>
                      <w:szCs w:val="32"/>
                    </w:rPr>
                    <w:t>物资送货单</w:t>
                  </w:r>
                </w:p>
              </w:tc>
            </w:tr>
          </w:tbl>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02" w:hRule="atLeast"/>
        </w:trPr>
        <w:tc>
          <w:tcPr>
            <w:tcW w:w="93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合同或订单名称：</w:t>
            </w:r>
          </w:p>
        </w:tc>
        <w:tc>
          <w:tcPr>
            <w:tcW w:w="832"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采购合同号：</w:t>
            </w:r>
          </w:p>
        </w:tc>
        <w:tc>
          <w:tcPr>
            <w:tcW w:w="1064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402" w:hRule="atLeast"/>
        </w:trPr>
        <w:tc>
          <w:tcPr>
            <w:tcW w:w="93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3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采购订单号：</w:t>
            </w:r>
          </w:p>
        </w:tc>
        <w:tc>
          <w:tcPr>
            <w:tcW w:w="10642"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39" w:hRule="atLeast"/>
        </w:trPr>
        <w:tc>
          <w:tcPr>
            <w:tcW w:w="9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收货地址：</w:t>
            </w:r>
          </w:p>
        </w:tc>
        <w:tc>
          <w:tcPr>
            <w:tcW w:w="83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收货人：</w:t>
            </w:r>
          </w:p>
        </w:tc>
        <w:tc>
          <w:tcPr>
            <w:tcW w:w="6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联系电话：</w:t>
            </w:r>
          </w:p>
        </w:tc>
        <w:tc>
          <w:tcPr>
            <w:tcW w:w="2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62" w:hRule="atLeast"/>
        </w:trPr>
        <w:tc>
          <w:tcPr>
            <w:tcW w:w="9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供应商名称：</w:t>
            </w:r>
          </w:p>
        </w:tc>
        <w:tc>
          <w:tcPr>
            <w:tcW w:w="83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供应商联系人：</w:t>
            </w:r>
          </w:p>
        </w:tc>
        <w:tc>
          <w:tcPr>
            <w:tcW w:w="6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联系电话：</w:t>
            </w:r>
          </w:p>
        </w:tc>
        <w:tc>
          <w:tcPr>
            <w:tcW w:w="27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979" w:hRule="atLeast"/>
        </w:trPr>
        <w:tc>
          <w:tcPr>
            <w:tcW w:w="9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收货方单位名称：</w:t>
            </w:r>
          </w:p>
        </w:tc>
        <w:tc>
          <w:tcPr>
            <w:tcW w:w="83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直达料</w:t>
            </w:r>
          </w:p>
        </w:tc>
        <w:tc>
          <w:tcPr>
            <w:tcW w:w="106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Y□    N□</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（由收货人员勾选）</w:t>
            </w:r>
          </w:p>
        </w:tc>
      </w:tr>
      <w:tr>
        <w:tblPrEx>
          <w:tblCellMar>
            <w:top w:w="0" w:type="dxa"/>
            <w:left w:w="108" w:type="dxa"/>
            <w:bottom w:w="0" w:type="dxa"/>
            <w:right w:w="108" w:type="dxa"/>
          </w:tblCellMar>
        </w:tblPrEx>
        <w:trPr>
          <w:trHeight w:val="600" w:hRule="atLeast"/>
        </w:trPr>
        <w:tc>
          <w:tcPr>
            <w:tcW w:w="13022"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到货物资信息</w:t>
            </w:r>
          </w:p>
        </w:tc>
      </w:tr>
      <w:tr>
        <w:tblPrEx>
          <w:tblCellMar>
            <w:top w:w="0" w:type="dxa"/>
            <w:left w:w="108" w:type="dxa"/>
            <w:bottom w:w="0" w:type="dxa"/>
            <w:right w:w="108" w:type="dxa"/>
          </w:tblCellMar>
        </w:tblPrEx>
        <w:trPr>
          <w:trHeight w:val="702"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5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SAP物料编码</w:t>
            </w:r>
          </w:p>
        </w:tc>
        <w:tc>
          <w:tcPr>
            <w:tcW w:w="4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物资名称</w:t>
            </w:r>
          </w:p>
        </w:tc>
        <w:tc>
          <w:tcPr>
            <w:tcW w:w="4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规格型号</w:t>
            </w:r>
          </w:p>
        </w:tc>
        <w:tc>
          <w:tcPr>
            <w:tcW w:w="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单位</w:t>
            </w:r>
          </w:p>
        </w:tc>
        <w:tc>
          <w:tcPr>
            <w:tcW w:w="61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本次送货数量</w:t>
            </w:r>
          </w:p>
        </w:tc>
        <w:tc>
          <w:tcPr>
            <w:tcW w:w="17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订单/合同物料序号</w:t>
            </w:r>
          </w:p>
        </w:tc>
        <w:tc>
          <w:tcPr>
            <w:tcW w:w="2700"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备注</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nil"/>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5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0" w:type="dxa"/>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nil"/>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5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0" w:type="dxa"/>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5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nil"/>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5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0" w:type="dxa"/>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5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nil"/>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5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0" w:type="dxa"/>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5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nil"/>
              <w:left w:val="nil"/>
              <w:bottom w:val="single" w:color="auto" w:sz="4" w:space="0"/>
              <w:right w:val="nil"/>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5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0" w:type="dxa"/>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20" w:hRule="atLeast"/>
        </w:trPr>
        <w:tc>
          <w:tcPr>
            <w:tcW w:w="4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51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16" w:type="dxa"/>
            <w:tcBorders>
              <w:top w:val="single" w:color="auto" w:sz="4" w:space="0"/>
              <w:left w:val="nil"/>
              <w:bottom w:val="single" w:color="auto" w:sz="4" w:space="0"/>
              <w:right w:val="nil"/>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5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9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720" w:hRule="atLeast"/>
        </w:trPr>
        <w:tc>
          <w:tcPr>
            <w:tcW w:w="853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送货批次：第   批，共    批；</w:t>
            </w:r>
          </w:p>
        </w:tc>
        <w:tc>
          <w:tcPr>
            <w:tcW w:w="4492" w:type="dxa"/>
            <w:gridSpan w:val="2"/>
            <w:tcBorders>
              <w:top w:val="nil"/>
              <w:left w:val="nil"/>
              <w:bottom w:val="single" w:color="auto" w:sz="4" w:space="0"/>
              <w:right w:val="single" w:color="000000" w:sz="4" w:space="0"/>
            </w:tcBorders>
            <w:shd w:val="clear" w:color="000000" w:fill="FFFFFF"/>
            <w:vAlign w:val="center"/>
          </w:tcPr>
          <w:p>
            <w:pPr>
              <w:widowControl/>
              <w:jc w:val="left"/>
              <w:rPr>
                <w:rFonts w:ascii="宋体" w:hAnsi="宋体" w:eastAsia="宋体" w:cs="宋体"/>
                <w:kern w:val="0"/>
                <w:sz w:val="22"/>
              </w:rPr>
            </w:pPr>
            <w:r>
              <w:rPr>
                <w:rFonts w:hint="eastAsia" w:ascii="宋体" w:hAnsi="宋体" w:eastAsia="宋体" w:cs="宋体"/>
                <w:kern w:val="0"/>
                <w:sz w:val="22"/>
              </w:rPr>
              <w:t>收货人:</w:t>
            </w:r>
          </w:p>
        </w:tc>
      </w:tr>
      <w:tr>
        <w:tblPrEx>
          <w:tblCellMar>
            <w:top w:w="0" w:type="dxa"/>
            <w:left w:w="108" w:type="dxa"/>
            <w:bottom w:w="0" w:type="dxa"/>
            <w:right w:w="108" w:type="dxa"/>
          </w:tblCellMar>
        </w:tblPrEx>
        <w:trPr>
          <w:trHeight w:val="720" w:hRule="atLeast"/>
        </w:trPr>
        <w:tc>
          <w:tcPr>
            <w:tcW w:w="8530" w:type="dxa"/>
            <w:gridSpan w:val="6"/>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送货人(签字/盖章)：</w:t>
            </w:r>
          </w:p>
        </w:tc>
        <w:tc>
          <w:tcPr>
            <w:tcW w:w="4492" w:type="dxa"/>
            <w:gridSpan w:val="2"/>
            <w:tcBorders>
              <w:top w:val="nil"/>
              <w:left w:val="nil"/>
              <w:bottom w:val="single" w:color="auto" w:sz="4" w:space="0"/>
              <w:right w:val="single" w:color="000000" w:sz="4" w:space="0"/>
            </w:tcBorders>
            <w:shd w:val="clear" w:color="000000" w:fill="FFFFFF"/>
            <w:vAlign w:val="center"/>
          </w:tcPr>
          <w:p>
            <w:pPr>
              <w:widowControl/>
              <w:jc w:val="left"/>
              <w:rPr>
                <w:rFonts w:ascii="宋体" w:hAnsi="宋体" w:eastAsia="宋体" w:cs="宋体"/>
                <w:kern w:val="0"/>
                <w:sz w:val="22"/>
              </w:rPr>
            </w:pPr>
            <w:r>
              <w:rPr>
                <w:rFonts w:hint="eastAsia" w:ascii="宋体" w:hAnsi="宋体" w:eastAsia="宋体" w:cs="宋体"/>
                <w:kern w:val="0"/>
                <w:sz w:val="22"/>
              </w:rPr>
              <w:t>收货日期：</w:t>
            </w:r>
          </w:p>
        </w:tc>
      </w:tr>
      <w:tr>
        <w:tblPrEx>
          <w:tblCellMar>
            <w:top w:w="0" w:type="dxa"/>
            <w:left w:w="108" w:type="dxa"/>
            <w:bottom w:w="0" w:type="dxa"/>
            <w:right w:w="108" w:type="dxa"/>
          </w:tblCellMar>
        </w:tblPrEx>
        <w:trPr>
          <w:trHeight w:val="720" w:hRule="atLeast"/>
        </w:trPr>
        <w:tc>
          <w:tcPr>
            <w:tcW w:w="8530" w:type="dxa"/>
            <w:gridSpan w:val="6"/>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本次送货日期：</w:t>
            </w:r>
          </w:p>
        </w:tc>
        <w:tc>
          <w:tcPr>
            <w:tcW w:w="4492" w:type="dxa"/>
            <w:gridSpan w:val="2"/>
            <w:tcBorders>
              <w:top w:val="nil"/>
              <w:left w:val="nil"/>
              <w:bottom w:val="single" w:color="auto" w:sz="4" w:space="0"/>
              <w:right w:val="single" w:color="000000" w:sz="4" w:space="0"/>
            </w:tcBorders>
            <w:shd w:val="clear" w:color="000000" w:fill="FFFFFF"/>
            <w:vAlign w:val="center"/>
          </w:tcPr>
          <w:p>
            <w:pPr>
              <w:widowControl/>
              <w:jc w:val="left"/>
              <w:rPr>
                <w:rFonts w:ascii="宋体" w:hAnsi="宋体" w:eastAsia="宋体" w:cs="宋体"/>
                <w:kern w:val="0"/>
                <w:sz w:val="22"/>
              </w:rPr>
            </w:pPr>
          </w:p>
        </w:tc>
      </w:tr>
    </w:tbl>
    <w:p>
      <w:pPr>
        <w:keepNext/>
        <w:keepLines/>
        <w:spacing w:before="360" w:after="360" w:line="360" w:lineRule="auto"/>
        <w:jc w:val="left"/>
        <w:outlineLvl w:val="1"/>
        <w:rPr>
          <w:rFonts w:ascii="宋体" w:hAnsi="宋体"/>
          <w:b/>
          <w:bCs/>
          <w:sz w:val="24"/>
          <w:szCs w:val="24"/>
        </w:rPr>
      </w:pPr>
    </w:p>
    <w:p>
      <w:pPr>
        <w:keepNext/>
        <w:keepLines/>
        <w:spacing w:before="360" w:after="360" w:line="360" w:lineRule="auto"/>
        <w:ind w:left="840" w:leftChars="400" w:firstLine="142" w:firstLineChars="59"/>
        <w:jc w:val="left"/>
        <w:outlineLvl w:val="1"/>
        <w:rPr>
          <w:rFonts w:ascii="宋体" w:hAnsi="宋体"/>
          <w:b/>
          <w:bCs/>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spacing w:before="360" w:after="360" w:line="360" w:lineRule="auto"/>
        <w:jc w:val="left"/>
        <w:outlineLvl w:val="1"/>
        <w:rPr>
          <w:rFonts w:ascii="宋体" w:hAnsi="宋体" w:eastAsia="宋体" w:cs="Times New Roman"/>
          <w:b/>
          <w:bCs/>
          <w:sz w:val="24"/>
          <w:szCs w:val="24"/>
        </w:rPr>
      </w:pPr>
      <w:r>
        <w:rPr>
          <w:rFonts w:hint="eastAsia" w:ascii="宋体" w:hAnsi="宋体"/>
          <w:b/>
          <w:bCs/>
          <w:sz w:val="24"/>
          <w:szCs w:val="24"/>
        </w:rPr>
        <w:t>附件</w:t>
      </w:r>
      <w:r>
        <w:rPr>
          <w:rFonts w:hint="eastAsia" w:ascii="宋体" w:hAnsi="宋体"/>
          <w:b/>
          <w:bCs/>
          <w:sz w:val="24"/>
          <w:szCs w:val="24"/>
          <w:lang w:val="en-US" w:eastAsia="zh-CN"/>
        </w:rPr>
        <w:t>五</w:t>
      </w:r>
      <w:r>
        <w:rPr>
          <w:rFonts w:hint="eastAsia" w:ascii="宋体" w:hAnsi="宋体"/>
          <w:b/>
          <w:bCs/>
          <w:sz w:val="24"/>
          <w:szCs w:val="24"/>
        </w:rPr>
        <w:t>：廉洁备忘录</w:t>
      </w:r>
    </w:p>
    <w:p>
      <w:pPr>
        <w:spacing w:line="360" w:lineRule="auto"/>
        <w:jc w:val="center"/>
        <w:rPr>
          <w:rFonts w:ascii="Times New Roman" w:hAnsi="Times New Roman"/>
          <w:b/>
          <w:sz w:val="24"/>
          <w:szCs w:val="24"/>
        </w:rPr>
      </w:pPr>
      <w:r>
        <w:rPr>
          <w:b/>
          <w:sz w:val="24"/>
          <w:szCs w:val="24"/>
        </w:rPr>
        <w:t xml:space="preserve"> </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鉴于，甲方以严格遵守法律、法规为企业基本政策；</w:t>
      </w:r>
    </w:p>
    <w:p>
      <w:pPr>
        <w:spacing w:line="360" w:lineRule="auto"/>
        <w:ind w:firstLine="420"/>
        <w:rPr>
          <w:rFonts w:ascii="宋体" w:hAnsi="宋体"/>
          <w:sz w:val="24"/>
          <w:szCs w:val="24"/>
        </w:rPr>
      </w:pPr>
      <w:r>
        <w:rPr>
          <w:rFonts w:hint="eastAsia" w:ascii="宋体" w:hAnsi="宋体"/>
          <w:sz w:val="24"/>
          <w:szCs w:val="24"/>
        </w:rPr>
        <w:t>鉴于，甲方要求其工作人员严格遵守有关廉洁规定并信守职业道德；</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鉴于，乙方将与甲方或其关联公司进行业务往来；</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鉴于，乙方完全赞同甲方并同意共同遵守有关廉洁规定和信守职业道德，依此，双方达成如下合同：</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1. 甲方工作人员不得要求或接受乙方或通过第三方提供的任何个人利益，包括各种好处、财物、任何名目的费用。</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2. 乙方不得向甲方工作人员主动或被动提供上款述及的任何利益。</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3. 乙方不得向甲方工作人员（包括其直系亲属）主动或被动提供：（1）可能对进行正常业务有影响的宴请和礼品馈赠（礼物、礼金、证券以及象征性低价物品）；（2）任何营业性歌舞厅、夜总会等娱乐活动；（3）免费旅游、度假等；</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4. 乙方如向甲方告知甲方工作人员违反本合同规定，甲方将保证其正常的业务往来不因此受到负面影响。</w:t>
      </w:r>
    </w:p>
    <w:p>
      <w:pPr>
        <w:overflowPunct w:val="0"/>
        <w:autoSpaceDE w:val="0"/>
        <w:autoSpaceDN w:val="0"/>
        <w:adjustRightInd w:val="0"/>
        <w:spacing w:line="360" w:lineRule="auto"/>
        <w:ind w:firstLine="420"/>
        <w:rPr>
          <w:rFonts w:ascii="宋体" w:hAnsi="宋体"/>
          <w:sz w:val="24"/>
          <w:szCs w:val="24"/>
        </w:rPr>
      </w:pPr>
      <w:r>
        <w:rPr>
          <w:rFonts w:hint="eastAsia" w:ascii="宋体" w:hAnsi="宋体"/>
          <w:sz w:val="24"/>
          <w:szCs w:val="24"/>
        </w:rPr>
        <w:t>5. 乙方如向甲方告知竞争第三方的行为确实违反其与甲方签订的类似廉洁合同，甲方将把第三方支付的违约金全部款项支付给乙方。</w:t>
      </w:r>
    </w:p>
    <w:p>
      <w:pPr>
        <w:rPr>
          <w:rFonts w:ascii="Times New Roman" w:hAnsi="Times New Roman"/>
          <w:szCs w:val="21"/>
        </w:rPr>
      </w:pPr>
      <w:r>
        <w:rPr>
          <w:rFonts w:hint="eastAsia" w:ascii="宋体" w:hAnsi="宋体"/>
          <w:sz w:val="24"/>
          <w:szCs w:val="24"/>
        </w:rPr>
        <w:t>6. 乙方或其工作人员违反本合同规定，应向甲方支付采办项目报价或合同总额</w:t>
      </w:r>
      <w:r>
        <w:rPr>
          <w:rFonts w:hint="eastAsia" w:ascii="宋体" w:hAnsi="宋体"/>
          <w:sz w:val="24"/>
          <w:szCs w:val="24"/>
          <w:u w:val="single"/>
        </w:rPr>
        <w:t xml:space="preserve"> 5 </w:t>
      </w:r>
      <w:r>
        <w:rPr>
          <w:rFonts w:hint="eastAsia" w:ascii="宋体" w:hAnsi="宋体"/>
          <w:sz w:val="24"/>
          <w:szCs w:val="24"/>
        </w:rPr>
        <w:t>%的违约金，甲方有权不予对其投标或报价评价，并终止有关合同，断绝与其一切业务往来</w:t>
      </w:r>
      <w:r>
        <w:t xml:space="preserve"> </w:t>
      </w:r>
    </w:p>
    <w:p>
      <w:pPr>
        <w:spacing w:line="360" w:lineRule="auto"/>
        <w:ind w:firstLine="482" w:firstLineChars="200"/>
        <w:rPr>
          <w:rFonts w:ascii="宋体" w:hAnsi="宋体"/>
          <w:color w:val="000000"/>
          <w:kern w:val="0"/>
          <w:sz w:val="24"/>
          <w:szCs w:val="24"/>
        </w:rPr>
      </w:pPr>
      <w:r>
        <w:rPr>
          <w:rFonts w:hint="eastAsia" w:ascii="宋体" w:hAnsi="宋体"/>
          <w:b/>
          <w:bCs/>
          <w:sz w:val="24"/>
          <w:szCs w:val="24"/>
        </w:rPr>
        <w:t xml:space="preserve"> </w:t>
      </w:r>
    </w:p>
    <w:p/>
    <w:p>
      <w:pPr>
        <w:rPr>
          <w:lang w:val="en-US" w:eastAsia="zh-CN"/>
        </w:rPr>
      </w:pPr>
    </w:p>
    <w:p>
      <w:pPr>
        <w:pStyle w:val="8"/>
        <w:rPr>
          <w:lang w:val="en-US" w:eastAsia="zh-CN"/>
        </w:rPr>
      </w:pPr>
    </w:p>
    <w:p>
      <w:pPr>
        <w:rPr>
          <w:lang w:val="en-US" w:eastAsia="zh-CN"/>
        </w:rPr>
      </w:pPr>
    </w:p>
    <w:p>
      <w:pPr>
        <w:pStyle w:val="8"/>
        <w:rPr>
          <w:lang w:val="en-US" w:eastAsia="zh-CN"/>
        </w:rPr>
      </w:pPr>
    </w:p>
    <w:p>
      <w:pPr>
        <w:rPr>
          <w:lang w:val="en-US" w:eastAsia="zh-CN"/>
        </w:rPr>
      </w:pPr>
    </w:p>
    <w:p>
      <w:pPr>
        <w:pStyle w:val="8"/>
        <w:rPr>
          <w:lang w:val="en-US" w:eastAsia="zh-CN"/>
        </w:rPr>
      </w:pPr>
    </w:p>
    <w:p>
      <w:pPr>
        <w:rPr>
          <w:lang w:val="en-US" w:eastAsia="zh-CN"/>
        </w:rPr>
      </w:pPr>
    </w:p>
    <w:p>
      <w:pPr>
        <w:pStyle w:val="8"/>
        <w:rPr>
          <w:lang w:val="en-US" w:eastAsia="zh-CN"/>
        </w:rPr>
      </w:pPr>
    </w:p>
    <w:p>
      <w:pPr>
        <w:rPr>
          <w:lang w:val="en-US" w:eastAsia="zh-CN"/>
        </w:rPr>
      </w:pPr>
    </w:p>
    <w:p>
      <w:pPr>
        <w:pStyle w:val="8"/>
        <w:rPr>
          <w:lang w:val="en-US" w:eastAsia="zh-CN"/>
        </w:rPr>
      </w:pPr>
    </w:p>
    <w:p>
      <w:pPr>
        <w:rPr>
          <w:lang w:val="en-US" w:eastAsia="zh-CN"/>
        </w:rPr>
      </w:pPr>
    </w:p>
    <w:p>
      <w:pPr>
        <w:pStyle w:val="8"/>
        <w:rPr>
          <w:lang w:val="en-US" w:eastAsia="zh-CN"/>
        </w:rPr>
      </w:pPr>
    </w:p>
    <w:p>
      <w:pPr>
        <w:rPr>
          <w:rFonts w:hint="eastAsia"/>
          <w:b/>
          <w:strike w:val="0"/>
          <w:dstrike w:val="0"/>
          <w:sz w:val="24"/>
          <w:lang w:val="en-US" w:eastAsia="zh-CN"/>
        </w:rPr>
      </w:pPr>
      <w:r>
        <w:rPr>
          <w:rFonts w:hint="eastAsia"/>
          <w:b/>
          <w:strike w:val="0"/>
          <w:dstrike w:val="0"/>
          <w:sz w:val="24"/>
          <w:lang w:val="en-US" w:eastAsia="zh-CN"/>
        </w:rPr>
        <w:br w:type="page"/>
      </w:r>
    </w:p>
    <w:p>
      <w:pPr>
        <w:pStyle w:val="40"/>
        <w:keepNext w:val="0"/>
        <w:keepLines w:val="0"/>
        <w:pageBreakBefore w:val="0"/>
        <w:widowControl/>
        <w:kinsoku/>
        <w:wordWrap/>
        <w:overflowPunct/>
        <w:topLinePunct w:val="0"/>
        <w:autoSpaceDE/>
        <w:autoSpaceDN/>
        <w:bidi w:val="0"/>
        <w:adjustRightInd/>
        <w:snapToGrid/>
        <w:spacing w:before="240" w:after="240" w:line="360" w:lineRule="auto"/>
        <w:jc w:val="left"/>
        <w:textAlignment w:val="auto"/>
        <w:outlineLvl w:val="0"/>
        <w:rPr>
          <w:rFonts w:hint="eastAsia" w:ascii="宋体" w:hAnsi="宋体" w:eastAsia="宋体" w:cs="宋体"/>
          <w:b/>
          <w:strike w:val="0"/>
          <w:dstrike w:val="0"/>
          <w:sz w:val="21"/>
          <w:lang w:eastAsia="zh-CN"/>
        </w:rPr>
      </w:pPr>
      <w:r>
        <w:rPr>
          <w:rFonts w:hint="eastAsia" w:ascii="宋体" w:hAnsi="宋体" w:cs="宋体"/>
          <w:b/>
          <w:strike w:val="0"/>
          <w:dstrike w:val="0"/>
          <w:sz w:val="21"/>
          <w:highlight w:val="none"/>
          <w:lang w:val="en-US" w:eastAsia="zh-CN"/>
        </w:rPr>
        <w:t xml:space="preserve">附件4： </w:t>
      </w:r>
      <w:r>
        <w:rPr>
          <w:rFonts w:hint="eastAsia" w:ascii="宋体" w:hAnsi="宋体" w:cs="宋体"/>
          <w:b/>
          <w:strike w:val="0"/>
          <w:dstrike w:val="0"/>
          <w:sz w:val="21"/>
          <w:highlight w:val="none"/>
        </w:rPr>
        <w:t>供应商风险情形和处理标准</w:t>
      </w:r>
      <w:r>
        <w:rPr>
          <w:rFonts w:hint="eastAsia" w:ascii="宋体" w:hAnsi="宋体" w:cs="宋体"/>
          <w:b/>
          <w:strike w:val="0"/>
          <w:dstrike w:val="0"/>
          <w:sz w:val="21"/>
          <w:lang w:val="en-US" w:eastAsia="zh-CN"/>
        </w:rPr>
        <w:t xml:space="preserve"> </w:t>
      </w:r>
    </w:p>
    <w:tbl>
      <w:tblPr>
        <w:tblStyle w:val="22"/>
        <w:tblpPr w:leftFromText="180" w:rightFromText="180" w:vertAnchor="text" w:horzAnchor="page" w:tblpX="1113" w:tblpY="376"/>
        <w:tblOverlap w:val="never"/>
        <w:tblW w:w="96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9620" w:type="dxa"/>
            <w:tcBorders>
              <w:tl2br w:val="nil"/>
              <w:tr2bl w:val="nil"/>
            </w:tcBorders>
            <w:shd w:val="clear" w:color="auto" w:fill="auto"/>
            <w:vAlign w:val="center"/>
          </w:tcPr>
          <w:p>
            <w:pPr>
              <w:textAlignment w:val="center"/>
              <w:rPr>
                <w:rFonts w:hint="eastAsia" w:ascii="宋体" w:hAnsi="宋体" w:eastAsia="宋体" w:cs="宋体"/>
                <w:b/>
                <w:bCs/>
                <w:sz w:val="21"/>
                <w:szCs w:val="21"/>
                <w:lang w:bidi="ar"/>
              </w:rPr>
            </w:pPr>
            <w:r>
              <w:rPr>
                <w:rFonts w:hint="eastAsia" w:ascii="宋体" w:hAnsi="宋体" w:eastAsia="宋体" w:cs="宋体"/>
                <w:b/>
                <w:bCs/>
                <w:sz w:val="21"/>
                <w:szCs w:val="21"/>
                <w:lang w:val="en-US" w:eastAsia="zh-CN" w:bidi="ar"/>
              </w:rPr>
              <w:t>一、履约异常供应商处理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620" w:type="dxa"/>
            <w:tcBorders>
              <w:tl2br w:val="nil"/>
              <w:tr2bl w:val="nil"/>
            </w:tcBorders>
            <w:shd w:val="clear" w:color="auto" w:fill="auto"/>
            <w:vAlign w:val="center"/>
          </w:tcPr>
          <w:tbl>
            <w:tblPr>
              <w:tblStyle w:val="22"/>
              <w:tblW w:w="9644"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2345"/>
              <w:gridCol w:w="4895"/>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463" w:type="dxa"/>
                  <w:shd w:val="clear" w:color="auto" w:fill="auto"/>
                  <w:vAlign w:val="center"/>
                </w:tcPr>
                <w:p>
                  <w:pPr>
                    <w:pStyle w:val="4"/>
                    <w:numPr>
                      <w:ilvl w:val="0"/>
                      <w:numId w:val="0"/>
                    </w:numPr>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bidi="ar"/>
                    </w:rPr>
                    <w:t>序号</w:t>
                  </w:r>
                </w:p>
              </w:tc>
              <w:tc>
                <w:tcPr>
                  <w:tcW w:w="2345" w:type="dxa"/>
                  <w:shd w:val="clear" w:color="auto" w:fill="auto"/>
                  <w:vAlign w:val="center"/>
                </w:tcPr>
                <w:p>
                  <w:pPr>
                    <w:pStyle w:val="4"/>
                    <w:numPr>
                      <w:ilvl w:val="0"/>
                      <w:numId w:val="0"/>
                    </w:numPr>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bidi="ar"/>
                    </w:rPr>
                    <w:t>违规类型</w:t>
                  </w:r>
                </w:p>
              </w:tc>
              <w:tc>
                <w:tcPr>
                  <w:tcW w:w="4895" w:type="dxa"/>
                  <w:shd w:val="clear" w:color="auto" w:fill="auto"/>
                  <w:vAlign w:val="center"/>
                </w:tcPr>
                <w:p>
                  <w:pPr>
                    <w:pStyle w:val="4"/>
                    <w:numPr>
                      <w:ilvl w:val="0"/>
                      <w:numId w:val="0"/>
                    </w:numPr>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bidi="ar"/>
                    </w:rPr>
                    <w:t>违规情形说明</w:t>
                  </w:r>
                </w:p>
              </w:tc>
              <w:tc>
                <w:tcPr>
                  <w:tcW w:w="1941" w:type="dxa"/>
                  <w:shd w:val="clear" w:color="auto" w:fill="auto"/>
                  <w:vAlign w:val="center"/>
                </w:tcPr>
                <w:p>
                  <w:pPr>
                    <w:pStyle w:val="4"/>
                    <w:numPr>
                      <w:ilvl w:val="0"/>
                      <w:numId w:val="0"/>
                    </w:numPr>
                    <w:ind w:firstLineChars="20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bidi="ar"/>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1</w:t>
                  </w:r>
                </w:p>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提供虚假资料</w:t>
                  </w:r>
                </w:p>
              </w:tc>
              <w:tc>
                <w:tcPr>
                  <w:tcW w:w="4895" w:type="dxa"/>
                  <w:shd w:val="clear" w:color="auto" w:fill="auto"/>
                  <w:vAlign w:val="center"/>
                </w:tcPr>
                <w:p>
                  <w:pPr>
                    <w:pStyle w:val="4"/>
                    <w:numPr>
                      <w:ilvl w:val="0"/>
                      <w:numId w:val="0"/>
                    </w:numPr>
                    <w:rPr>
                      <w:rFonts w:hint="eastAsia" w:ascii="宋体" w:hAnsi="宋体" w:eastAsia="宋体" w:cs="宋体"/>
                      <w:bCs w:val="0"/>
                      <w:color w:val="000000"/>
                      <w:kern w:val="0"/>
                      <w:sz w:val="21"/>
                      <w:szCs w:val="21"/>
                      <w:lang w:val="en-US" w:eastAsia="zh-CN" w:bidi="ar"/>
                    </w:rPr>
                  </w:pPr>
                  <w:r>
                    <w:rPr>
                      <w:rFonts w:hint="eastAsia" w:ascii="宋体" w:hAnsi="宋体" w:eastAsia="宋体" w:cs="宋体"/>
                      <w:bCs w:val="0"/>
                      <w:color w:val="000000"/>
                      <w:kern w:val="0"/>
                      <w:sz w:val="21"/>
                      <w:szCs w:val="21"/>
                      <w:lang w:val="en-US" w:eastAsia="zh-CN" w:bidi="ar"/>
                    </w:rPr>
                    <w:t>提供虚假材料（资质文件、业绩、财务状况、书面承诺等）进行供应商注册、资格审查或参与采购项目，未签订合同的，未造成实质性影响的（有效竞争人不少于3家的）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rPr>
                      <w:rFonts w:hint="default" w:ascii="宋体" w:hAnsi="宋体" w:eastAsia="宋体" w:cs="宋体"/>
                      <w:bCs w:val="0"/>
                      <w:color w:val="000000"/>
                      <w:kern w:val="0"/>
                      <w:sz w:val="21"/>
                      <w:szCs w:val="21"/>
                      <w:lang w:val="en-US" w:eastAsia="zh-CN" w:bidi="ar"/>
                    </w:rPr>
                  </w:pPr>
                  <w:r>
                    <w:rPr>
                      <w:rFonts w:hint="eastAsia" w:ascii="宋体" w:hAnsi="宋体" w:eastAsia="宋体" w:cs="宋体"/>
                      <w:bCs w:val="0"/>
                      <w:color w:val="000000"/>
                      <w:kern w:val="0"/>
                      <w:sz w:val="21"/>
                      <w:szCs w:val="21"/>
                      <w:lang w:val="en-US" w:eastAsia="zh-CN" w:bidi="ar"/>
                    </w:rPr>
                    <w:t>提供虚假材料（资质文件、业绩、财务状况、书面承诺等）进行供应商注册、资格审查或参与采购项目，未签订合同的，造成实质性影响的（有效竞争人少于3家的）或已签订合同且已执行的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bidi="ar"/>
                    </w:rPr>
                    <w:t>禁用两年</w:t>
                  </w:r>
                  <w:r>
                    <w:rPr>
                      <w:rFonts w:hint="eastAsia" w:ascii="宋体" w:hAnsi="宋体" w:eastAsia="宋体" w:cs="宋体"/>
                      <w:color w:val="000000"/>
                      <w:sz w:val="21"/>
                      <w:szCs w:val="21"/>
                      <w:lang w:eastAsia="zh-CN" w:bidi="ar"/>
                    </w:rPr>
                    <w:t>，</w:t>
                  </w:r>
                  <w:r>
                    <w:rPr>
                      <w:rFonts w:hint="eastAsia" w:ascii="宋体" w:hAnsi="宋体" w:eastAsia="宋体" w:cs="宋体"/>
                      <w:color w:val="000000" w:themeColor="text1"/>
                      <w:kern w:val="0"/>
                      <w:sz w:val="21"/>
                      <w:szCs w:val="21"/>
                      <w14:textFill>
                        <w14:solidFill>
                          <w14:schemeClr w14:val="tx1"/>
                        </w14:solidFill>
                      </w14:textFill>
                    </w:rPr>
                    <w:t>造成损失根据损失程度再增加对其处理。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bidi="ar"/>
                    </w:rPr>
                    <w:t>2</w:t>
                  </w:r>
                </w:p>
              </w:tc>
              <w:tc>
                <w:tcPr>
                  <w:tcW w:w="2345"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恶意串通</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为达到不正当目的相互恶意串通，未签订合同的或已签订合同且已执行但未造成合同额外损失的。</w:t>
                  </w:r>
                  <w:r>
                    <w:rPr>
                      <w:rFonts w:hint="eastAsia" w:ascii="宋体" w:hAnsi="宋体" w:eastAsia="宋体" w:cs="宋体"/>
                      <w:color w:val="000000"/>
                      <w:sz w:val="21"/>
                      <w:szCs w:val="21"/>
                      <w:highlight w:val="none"/>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为达到不正当目的相互恶意串通，已签订合同且已执行并造成合同额外损失的。</w:t>
                  </w:r>
                  <w:r>
                    <w:rPr>
                      <w:rFonts w:hint="eastAsia" w:ascii="宋体" w:hAnsi="宋体" w:eastAsia="宋体" w:cs="宋体"/>
                      <w:color w:val="000000"/>
                      <w:sz w:val="21"/>
                      <w:szCs w:val="21"/>
                      <w:highlight w:val="none"/>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strike/>
                      <w:color w:val="00000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为达到不正当目的相互恶意串通的注册供应商。恶意串通包括：①供应商与采购人或招标机构串通，由采购人或招标机构提出有利于特定供应商中标的要求；②供应商与采购人、招标机构或其他供应商串通陪标的；③供应商之间相互串通，以不正当的手段排挤其他供应商；</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463" w:type="dxa"/>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3</w:t>
                  </w:r>
                </w:p>
              </w:tc>
              <w:tc>
                <w:tcPr>
                  <w:tcW w:w="2345" w:type="dxa"/>
                  <w:shd w:val="clear" w:color="auto" w:fill="auto"/>
                  <w:vAlign w:val="center"/>
                </w:tcPr>
                <w:p>
                  <w:pPr>
                    <w:pStyle w:val="4"/>
                    <w:numPr>
                      <w:ilvl w:val="0"/>
                      <w:numId w:val="0"/>
                    </w:numPr>
                    <w:ind w:firstLineChars="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行贿</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向采购交易所涉及的相关方或能产生实际影响的相关方行贿。</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对供应商给予“禁用两年”或“长期禁用”处理，行贿判定的依据为公司内部执纪部门书面通知等。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463" w:type="dxa"/>
                  <w:shd w:val="clear" w:color="auto" w:fill="auto"/>
                  <w:vAlign w:val="center"/>
                </w:tcPr>
                <w:p>
                  <w:pPr>
                    <w:pStyle w:val="4"/>
                    <w:numPr>
                      <w:ilvl w:val="0"/>
                      <w:numId w:val="0"/>
                    </w:numPr>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4</w:t>
                  </w:r>
                </w:p>
              </w:tc>
              <w:tc>
                <w:tcPr>
                  <w:tcW w:w="2345" w:type="dxa"/>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排挤其他供应商</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在采购结果公布之前，违法违规获得非公开评标信息，或采取不正当手段妨碍、排挤其他供应商</w:t>
                  </w:r>
                  <w:r>
                    <w:rPr>
                      <w:rFonts w:hint="eastAsia" w:ascii="宋体" w:hAnsi="宋体" w:eastAsia="宋体" w:cs="宋体"/>
                      <w:color w:val="000000"/>
                      <w:sz w:val="21"/>
                      <w:szCs w:val="21"/>
                      <w:lang w:eastAsia="zh-CN" w:bidi="ar"/>
                    </w:rPr>
                    <w:t>应答</w:t>
                  </w:r>
                  <w:r>
                    <w:rPr>
                      <w:rFonts w:hint="eastAsia" w:ascii="宋体" w:hAnsi="宋体" w:eastAsia="宋体" w:cs="宋体"/>
                      <w:color w:val="000000"/>
                      <w:sz w:val="21"/>
                      <w:szCs w:val="21"/>
                      <w:lang w:bidi="ar"/>
                    </w:rPr>
                    <w:t>或中标的，证据确凿的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bidi="ar"/>
                    </w:rPr>
                    <w:t>5</w:t>
                  </w:r>
                </w:p>
              </w:tc>
              <w:tc>
                <w:tcPr>
                  <w:tcW w:w="2345"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bidi="ar"/>
                    </w:rPr>
                    <w:t>中途撤销</w:t>
                  </w:r>
                  <w:r>
                    <w:rPr>
                      <w:rFonts w:hint="eastAsia" w:ascii="宋体" w:hAnsi="宋体" w:eastAsia="宋体" w:cs="宋体"/>
                      <w:color w:val="000000"/>
                      <w:sz w:val="21"/>
                      <w:szCs w:val="21"/>
                      <w:lang w:eastAsia="zh-CN" w:bidi="ar"/>
                    </w:rPr>
                    <w:t>应答</w:t>
                  </w:r>
                </w:p>
              </w:tc>
              <w:tc>
                <w:tcPr>
                  <w:tcW w:w="4895" w:type="dxa"/>
                  <w:shd w:val="clear" w:color="auto" w:fill="auto"/>
                  <w:vAlign w:val="center"/>
                </w:tcPr>
                <w:p>
                  <w:pPr>
                    <w:pStyle w:val="4"/>
                    <w:numPr>
                      <w:ilvl w:val="0"/>
                      <w:numId w:val="0"/>
                    </w:numP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应答截止后撤销应答文件的，以及在中标公示或公告阶段，中标候选人放弃中标资格,未对采办过程造成影响的（有效竞争人不少于3家的）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rPr>
                      <w:rFonts w:hint="eastAsia" w:ascii="宋体" w:hAnsi="宋体" w:eastAsia="宋体" w:cs="宋体"/>
                      <w:szCs w:val="21"/>
                    </w:rPr>
                  </w:pPr>
                  <w:r>
                    <w:rPr>
                      <w:rFonts w:hint="eastAsia" w:ascii="宋体" w:hAnsi="宋体" w:eastAsia="宋体" w:cs="宋体"/>
                      <w:i w:val="0"/>
                      <w:iCs w:val="0"/>
                      <w:color w:val="000000"/>
                      <w:kern w:val="0"/>
                      <w:sz w:val="21"/>
                      <w:szCs w:val="21"/>
                      <w:u w:val="none"/>
                      <w:lang w:val="en-US" w:eastAsia="zh-CN" w:bidi="ar"/>
                    </w:rPr>
                    <w:t>应答截止后撤销应答文件的，以及在中标公示或公告阶段，中标候选人放弃中标资格,且对采办过程造成影响的（有效竞争人少于3家的）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6</w:t>
                  </w:r>
                </w:p>
              </w:tc>
              <w:tc>
                <w:tcPr>
                  <w:tcW w:w="2345" w:type="dxa"/>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拒不签订合同</w:t>
                  </w:r>
                </w:p>
              </w:tc>
              <w:tc>
                <w:tcPr>
                  <w:tcW w:w="4895" w:type="dxa"/>
                  <w:shd w:val="clear" w:color="auto" w:fill="auto"/>
                  <w:vAlign w:val="center"/>
                </w:tcPr>
                <w:p>
                  <w:pPr>
                    <w:pStyle w:val="4"/>
                    <w:numPr>
                      <w:ilvl w:val="0"/>
                      <w:numId w:val="0"/>
                    </w:numP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获取中标资格或成交资格拒绝签订合同的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bidi="ar"/>
                    </w:rPr>
                    <w:t>7</w:t>
                  </w:r>
                </w:p>
              </w:tc>
              <w:tc>
                <w:tcPr>
                  <w:tcW w:w="2345" w:type="dxa"/>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不遵守招</w:t>
                  </w:r>
                  <w:r>
                    <w:rPr>
                      <w:rFonts w:hint="eastAsia" w:ascii="宋体" w:hAnsi="宋体" w:eastAsia="宋体" w:cs="宋体"/>
                      <w:color w:val="000000"/>
                      <w:sz w:val="21"/>
                      <w:szCs w:val="21"/>
                      <w:lang w:eastAsia="zh-CN" w:bidi="ar"/>
                    </w:rPr>
                    <w:t>应答</w:t>
                  </w:r>
                  <w:r>
                    <w:rPr>
                      <w:rFonts w:hint="eastAsia" w:ascii="宋体" w:hAnsi="宋体" w:eastAsia="宋体" w:cs="宋体"/>
                      <w:color w:val="000000"/>
                      <w:sz w:val="21"/>
                      <w:szCs w:val="21"/>
                      <w:lang w:bidi="ar"/>
                    </w:rPr>
                    <w:t>纪律</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strike w:val="0"/>
                      <w:color w:val="000000"/>
                      <w:kern w:val="0"/>
                      <w:sz w:val="21"/>
                      <w:szCs w:val="21"/>
                      <w:u w:val="none"/>
                      <w:lang w:val="en-US" w:eastAsia="zh-CN" w:bidi="ar"/>
                    </w:rPr>
                    <w:t>不</w:t>
                  </w:r>
                  <w:r>
                    <w:rPr>
                      <w:rFonts w:hint="eastAsia" w:ascii="宋体" w:hAnsi="宋体" w:eastAsia="宋体" w:cs="宋体"/>
                      <w:i w:val="0"/>
                      <w:iCs w:val="0"/>
                      <w:color w:val="000000"/>
                      <w:kern w:val="0"/>
                      <w:sz w:val="21"/>
                      <w:szCs w:val="21"/>
                      <w:u w:val="none"/>
                      <w:lang w:val="en-US" w:eastAsia="zh-CN" w:bidi="ar"/>
                    </w:rPr>
                    <w:t>遵守招应答相关纪律或工作要求：如在开标、评标现场无理取闹，违反招应答程序,不遵守招应答秩序等情形。</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8</w:t>
                  </w:r>
                </w:p>
              </w:tc>
              <w:tc>
                <w:tcPr>
                  <w:tcW w:w="2345" w:type="dxa"/>
                  <w:vMerge w:val="restart"/>
                  <w:shd w:val="clear" w:color="auto" w:fill="auto"/>
                  <w:vAlign w:val="center"/>
                </w:tcPr>
                <w:p>
                  <w:pPr>
                    <w:pStyle w:val="4"/>
                    <w:numPr>
                      <w:ilvl w:val="0"/>
                      <w:numId w:val="0"/>
                    </w:numPr>
                    <w:rPr>
                      <w:rFonts w:hint="eastAsia" w:ascii="宋体" w:hAnsi="宋体" w:eastAsia="宋体" w:cs="宋体"/>
                      <w:color w:val="auto"/>
                      <w:kern w:val="44"/>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无事实依据对采购过程、采购结果或供应商处理结果进行乱投诉、举报的缠诉、滥诉行为。</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情节较轻的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p>
              </w:tc>
              <w:tc>
                <w:tcPr>
                  <w:tcW w:w="2345"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恶意投诉、举报的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p>
              </w:tc>
              <w:tc>
                <w:tcPr>
                  <w:tcW w:w="2345"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对伪造证据、捏造事实、诬陷招标方或供应商管理、供应商使用单位人员的，一经查证</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bidi="ar"/>
                    </w:rPr>
                    <w:t>9</w:t>
                  </w:r>
                </w:p>
              </w:tc>
              <w:tc>
                <w:tcPr>
                  <w:tcW w:w="2345"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擅自变更、不按照合同规定履行或者擅自终止合同的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情节较轻的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情节严重的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bidi="ar"/>
                    </w:rPr>
                    <w:t>10</w:t>
                  </w:r>
                </w:p>
              </w:tc>
              <w:tc>
                <w:tcPr>
                  <w:tcW w:w="2345"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strike w:val="0"/>
                      <w:color w:val="000000"/>
                      <w:sz w:val="21"/>
                      <w:szCs w:val="21"/>
                      <w:lang w:bidi="ar"/>
                    </w:rPr>
                    <w:t>擅自降低标的功能标准或改变功能结构</w:t>
                  </w:r>
                  <w:r>
                    <w:rPr>
                      <w:rFonts w:hint="eastAsia" w:ascii="宋体" w:hAnsi="宋体" w:eastAsia="宋体" w:cs="宋体"/>
                      <w:strike w:val="0"/>
                      <w:color w:val="000000"/>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t>供应商在提供工程、货物、服务时，擅自降低原来规定的功能标准，改变功能结构，使采购原有的功能要求得不到保证</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及时整改</w:t>
                  </w:r>
                  <w:r>
                    <w:rPr>
                      <w:rFonts w:hint="eastAsia" w:ascii="宋体" w:hAnsi="宋体" w:eastAsia="宋体" w:cs="宋体"/>
                      <w:color w:val="000000"/>
                      <w:sz w:val="21"/>
                      <w:szCs w:val="21"/>
                      <w:lang w:val="en-US" w:eastAsia="zh-CN" w:bidi="ar"/>
                    </w:rPr>
                    <w:t>且</w:t>
                  </w:r>
                  <w:r>
                    <w:rPr>
                      <w:rFonts w:hint="eastAsia" w:ascii="宋体" w:hAnsi="宋体" w:eastAsia="宋体" w:cs="宋体"/>
                      <w:color w:val="000000"/>
                      <w:sz w:val="21"/>
                      <w:szCs w:val="21"/>
                      <w:lang w:bidi="ar"/>
                    </w:rPr>
                    <w:t>未造成影响的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及时整改但造成一定影响的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及时整改但影响较重的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jc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bidi="ar"/>
                    </w:rPr>
                    <w:t>拒不整改的</w:t>
                  </w:r>
                  <w:r>
                    <w:rPr>
                      <w:rFonts w:hint="eastAsia" w:ascii="宋体" w:hAnsi="宋体" w:eastAsia="宋体" w:cs="宋体"/>
                      <w:i w:val="0"/>
                      <w:iCs w:val="0"/>
                      <w:color w:val="000000"/>
                      <w:kern w:val="0"/>
                      <w:sz w:val="21"/>
                      <w:szCs w:val="21"/>
                      <w:highlight w:val="none"/>
                      <w:u w:val="none"/>
                      <w:lang w:val="en-US" w:eastAsia="zh-CN" w:bidi="ar"/>
                    </w:rPr>
                    <w:t>，或未及时整改且影响较重的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bidi="ar"/>
                    </w:rPr>
                    <w:t>11</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假冒其他厂家品牌，提供伪劣商品、以假乱真弄虚作假的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对生产经营造成影响较小</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对生产经营影响较大</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bidi="ar"/>
                    </w:rPr>
                    <w:t>12</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出现供给不足（即“短斤少两”行为）</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及时整改未产生影响的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整改但产生影响的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对供应商或相关品类给予“禁用一年”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拒不更正的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13</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提供虚假进度报告</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未造成实质影响的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造成实质性影响的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14</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strike w:val="0"/>
                      <w:color w:val="000000"/>
                      <w:sz w:val="21"/>
                      <w:szCs w:val="21"/>
                      <w:lang w:bidi="ar"/>
                    </w:rPr>
                    <w:t>违反规定</w:t>
                  </w:r>
                  <w:r>
                    <w:rPr>
                      <w:rFonts w:hint="eastAsia" w:ascii="宋体" w:hAnsi="宋体" w:eastAsia="宋体" w:cs="宋体"/>
                      <w:strike w:val="0"/>
                      <w:color w:val="000000"/>
                      <w:sz w:val="21"/>
                      <w:szCs w:val="21"/>
                      <w:lang w:val="en-US" w:eastAsia="zh-CN" w:bidi="ar"/>
                    </w:rPr>
                    <w:t>将</w:t>
                  </w:r>
                  <w:r>
                    <w:rPr>
                      <w:rFonts w:hint="eastAsia" w:ascii="宋体" w:hAnsi="宋体" w:eastAsia="宋体" w:cs="宋体"/>
                      <w:strike w:val="0"/>
                      <w:color w:val="000000"/>
                      <w:sz w:val="21"/>
                      <w:szCs w:val="21"/>
                      <w:lang w:bidi="ar"/>
                    </w:rPr>
                    <w:t>中标项目或合同转让、转包、分包</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及时更正其违规行为的</w:t>
                  </w:r>
                  <w:r>
                    <w:rPr>
                      <w:rFonts w:hint="eastAsia" w:ascii="宋体" w:hAnsi="宋体" w:eastAsia="宋体" w:cs="宋体"/>
                      <w:i w:val="0"/>
                      <w:iCs w:val="0"/>
                      <w:color w:val="000000"/>
                      <w:kern w:val="0"/>
                      <w:sz w:val="21"/>
                      <w:szCs w:val="21"/>
                      <w:u w:val="none"/>
                      <w:lang w:val="en-US" w:eastAsia="zh-CN" w:bidi="ar"/>
                    </w:rPr>
                    <w:t>，对生产经营未产生影响的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及时更正其违规行为的，对生产经营产生影响的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未及时更正其违规行为的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拒绝更正其违规行为的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15</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未经同意拖延交工、交货日期，延缓执行合同的期限</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未造成实质影响</w:t>
                  </w:r>
                  <w:r>
                    <w:rPr>
                      <w:rFonts w:hint="eastAsia" w:ascii="宋体" w:hAnsi="宋体" w:eastAsia="宋体" w:cs="宋体"/>
                      <w:color w:val="000000"/>
                      <w:sz w:val="21"/>
                      <w:szCs w:val="21"/>
                      <w:lang w:bidi="ar"/>
                    </w:rPr>
                    <w:t>且愿意协商解决或承担赔偿责任的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造成较轻影响但愿意协商解决的</w:t>
                  </w:r>
                </w:p>
              </w:tc>
              <w:tc>
                <w:tcPr>
                  <w:tcW w:w="1941" w:type="dxa"/>
                  <w:shd w:val="clear" w:color="auto" w:fill="auto"/>
                  <w:vAlign w:val="center"/>
                </w:tcPr>
                <w:p>
                  <w:pPr>
                    <w:pStyle w:val="4"/>
                    <w:numPr>
                      <w:ilvl w:val="0"/>
                      <w:numId w:val="0"/>
                      <w:ins w:id="0" w:author="liuxl62" w:date=""/>
                    </w:numP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kern w:val="0"/>
                      <w:sz w:val="21"/>
                      <w:szCs w:val="21"/>
                      <w:lang w:val="en-US" w:eastAsia="zh-CN" w:bidi="ar-SA"/>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造成较重影响但愿意协商解决的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造成严重影响的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16</w:t>
                  </w:r>
                </w:p>
              </w:tc>
              <w:tc>
                <w:tcPr>
                  <w:tcW w:w="2345" w:type="dxa"/>
                  <w:vMerge w:val="restart"/>
                  <w:shd w:val="clear" w:color="auto" w:fill="auto"/>
                  <w:vAlign w:val="center"/>
                </w:tcPr>
                <w:p>
                  <w:pPr>
                    <w:pStyle w:val="4"/>
                    <w:numPr>
                      <w:ilvl w:val="0"/>
                      <w:numId w:val="0"/>
                    </w:numPr>
                    <w:rPr>
                      <w:rFonts w:hint="eastAsia" w:ascii="宋体" w:hAnsi="宋体" w:eastAsia="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拒绝中国海油管理部门的监督检查或不如实反映情况、提供材料的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情节较轻的（可根据监督检查机构或部门建议判定）</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情节较重的（可根据监督检查机构或部门建议判定）</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shd w:val="clear" w:color="auto" w:fill="auto"/>
                  <w:vAlign w:val="center"/>
                </w:tcPr>
                <w:p>
                  <w:pPr>
                    <w:pStyle w:val="4"/>
                    <w:numPr>
                      <w:ilvl w:val="0"/>
                      <w:numId w:val="0"/>
                    </w:numPr>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17</w:t>
                  </w:r>
                </w:p>
              </w:tc>
              <w:tc>
                <w:tcPr>
                  <w:tcW w:w="234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使用禁用供应商</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参与或承揽中国海油业务时，在已知晓或应当知晓的情况下，仍代理被中国海油禁用其他供应商的产品、服务，或将已获取的合同对其分包的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shd w:val="clear" w:color="auto" w:fill="auto"/>
                  <w:vAlign w:val="center"/>
                </w:tcPr>
                <w:p>
                  <w:pPr>
                    <w:pStyle w:val="4"/>
                    <w:numPr>
                      <w:ilvl w:val="0"/>
                      <w:numId w:val="0"/>
                    </w:numPr>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val="en-US" w:eastAsia="zh-CN" w:bidi="ar"/>
                    </w:rPr>
                    <w:t>18</w:t>
                  </w:r>
                </w:p>
              </w:tc>
              <w:tc>
                <w:tcPr>
                  <w:tcW w:w="234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拒绝履行售后义务</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拒绝履行售后服务义务并拒绝协商解决的情况，及其他因供应商的原因导致中国海油受损，并拒绝协商解决和赔偿责任的情况</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bidi="ar"/>
                    </w:rPr>
                    <w:t>19</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所提供的产品存在严重质量问题，影响安全生产或对工程建设造成实质性影响的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对安全生产或工程建设影响较轻的</w:t>
                  </w:r>
                  <w:r>
                    <w:rPr>
                      <w:rFonts w:hint="eastAsia" w:ascii="宋体" w:hAnsi="宋体" w:eastAsia="宋体" w:cs="宋体"/>
                      <w:i w:val="0"/>
                      <w:iCs w:val="0"/>
                      <w:color w:val="000000"/>
                      <w:kern w:val="0"/>
                      <w:sz w:val="21"/>
                      <w:szCs w:val="21"/>
                      <w:u w:val="none"/>
                      <w:lang w:val="en-US" w:eastAsia="zh-CN" w:bidi="ar"/>
                    </w:rPr>
                    <w:t>（可根据专业机构调查结论）</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对供应商或相关品类给予“禁用两年”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对安全生产或工程建设影响较重的</w:t>
                  </w:r>
                  <w:r>
                    <w:rPr>
                      <w:rFonts w:hint="eastAsia" w:ascii="宋体" w:hAnsi="宋体" w:eastAsia="宋体" w:cs="宋体"/>
                      <w:i w:val="0"/>
                      <w:iCs w:val="0"/>
                      <w:color w:val="000000"/>
                      <w:kern w:val="0"/>
                      <w:sz w:val="21"/>
                      <w:szCs w:val="21"/>
                      <w:u w:val="none"/>
                      <w:lang w:val="en-US" w:eastAsia="zh-CN" w:bidi="ar"/>
                    </w:rPr>
                    <w:t>（可根据专业机构调查结论）</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对供应商或相关品类给予“长期禁用”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w:t>
                  </w:r>
                </w:p>
              </w:tc>
              <w:tc>
                <w:tcPr>
                  <w:tcW w:w="2345" w:type="dxa"/>
                  <w:vMerge w:val="restart"/>
                  <w:shd w:val="clear" w:color="auto" w:fill="auto"/>
                  <w:vAlign w:val="center"/>
                </w:tcPr>
                <w:p>
                  <w:pPr>
                    <w:pStyle w:val="4"/>
                    <w:numPr>
                      <w:ilvl w:val="0"/>
                      <w:numId w:val="0"/>
                    </w:numPr>
                    <w:textAlignment w:val="center"/>
                    <w:rPr>
                      <w:rFonts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bidi="ar"/>
                    </w:rPr>
                    <w:t>提供的产品/服务出现安全隐患，且拒绝整改或整改不及时、不到位的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存在安全隐患且整改不到位的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存在严重安全隐患且整改不到位的</w:t>
                  </w:r>
                </w:p>
              </w:tc>
              <w:tc>
                <w:tcPr>
                  <w:tcW w:w="1941" w:type="dxa"/>
                  <w:shd w:val="clear" w:color="auto" w:fill="auto"/>
                  <w:vAlign w:val="center"/>
                </w:tcPr>
                <w:p>
                  <w:pPr>
                    <w:pStyle w:val="4"/>
                    <w:numPr>
                      <w:ilvl w:val="0"/>
                      <w:numId w:val="0"/>
                    </w:numPr>
                    <w:textAlignment w:val="center"/>
                    <w:rPr>
                      <w:rFonts w:hint="eastAsia" w:ascii="宋体" w:hAnsi="宋体" w:eastAsia="宋体" w:cs="宋体"/>
                      <w:strike/>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bidi="ar"/>
                    </w:rPr>
                    <w:t>21</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strike w:val="0"/>
                      <w:color w:val="000000"/>
                      <w:sz w:val="21"/>
                      <w:szCs w:val="21"/>
                      <w:u w:val="none"/>
                      <w:lang w:bidi="ar"/>
                    </w:rPr>
                    <w:t>未经许可，对外披露中国海油商业秘密信息的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情节较轻的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strike/>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情节较重的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情节严重的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bidi="ar"/>
                    </w:rPr>
                    <w:t>22</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由于供应商的</w:t>
                  </w:r>
                  <w:r>
                    <w:rPr>
                      <w:rFonts w:hint="eastAsia" w:ascii="宋体" w:hAnsi="宋体" w:eastAsia="宋体" w:cs="宋体"/>
                      <w:i w:val="0"/>
                      <w:iCs w:val="0"/>
                      <w:color w:val="000000"/>
                      <w:kern w:val="0"/>
                      <w:sz w:val="21"/>
                      <w:szCs w:val="21"/>
                      <w:u w:val="none"/>
                      <w:lang w:val="en-US" w:eastAsia="zh-CN" w:bidi="ar"/>
                    </w:rPr>
                    <w:t>原因</w:t>
                  </w:r>
                  <w:r>
                    <w:rPr>
                      <w:rFonts w:hint="eastAsia" w:ascii="宋体" w:hAnsi="宋体" w:eastAsia="宋体" w:cs="宋体"/>
                      <w:color w:val="000000"/>
                      <w:sz w:val="21"/>
                      <w:szCs w:val="21"/>
                      <w:lang w:bidi="ar"/>
                    </w:rPr>
                    <w:t>，与中国海油及所属单位产生法律诉讼的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未造成实质损失的（可依据法律部门或所属单位建议）</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eastAsia="zh-CN"/>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造成实质损失的（可依据法律部门或所属单位建议）</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bidi="ar"/>
                    </w:rPr>
                  </w:pPr>
                  <w:r>
                    <w:rPr>
                      <w:rFonts w:hint="eastAsia" w:ascii="宋体" w:hAnsi="宋体" w:eastAsia="宋体" w:cs="宋体"/>
                      <w:color w:val="000000"/>
                      <w:sz w:val="21"/>
                      <w:szCs w:val="21"/>
                      <w:lang w:val="en-US" w:eastAsia="zh-CN" w:bidi="ar"/>
                    </w:rPr>
                    <w:t>23</w:t>
                  </w:r>
                </w:p>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strike/>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发生安全事故且负主要责任的供应商</w:t>
                  </w:r>
                </w:p>
                <w:p>
                  <w:pPr>
                    <w:pStyle w:val="4"/>
                    <w:numPr>
                      <w:ilvl w:val="0"/>
                      <w:numId w:val="0"/>
                    </w:numPr>
                    <w:textAlignment w:val="cente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公司安全生产部门或所属单位通知采办共享中心，发生“一般A级”以下级别安全事故，造成实质影响</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公司安全生产部门或所属单位通知采办共享中心，发生“一般A级”及以上安全事故，情节较轻的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公司安全生产部门或所属单位通知采办共享中心，发生“一般A级”及以上安全事故，情节较重的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公司安全生产部门或所属单位通知采办共享中心，发生“一般A级”及以上安全事故，情节严重的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p>
              </w:tc>
              <w:tc>
                <w:tcPr>
                  <w:tcW w:w="6836" w:type="dxa"/>
                  <w:gridSpan w:val="2"/>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公司安全生产部门或所属单位通知采办共享中心，发生“一般A级”以下级别安全事故，未造成实质影响，对供应商进行约谈。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bidi="ar"/>
                    </w:rPr>
                    <w:t>24</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供应商在提报中国海油员工、员工亲属、离职退休的领导人员在本单位的任职和持股情况时</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存在瞒报相关情况的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rPr>
                  </w:pPr>
                </w:p>
              </w:tc>
              <w:tc>
                <w:tcPr>
                  <w:tcW w:w="2345" w:type="dxa"/>
                  <w:vMerge w:val="continue"/>
                  <w:shd w:val="clear" w:color="auto" w:fill="auto"/>
                  <w:vAlign w:val="center"/>
                </w:tcPr>
                <w:p>
                  <w:pPr>
                    <w:pStyle w:val="4"/>
                    <w:numPr>
                      <w:ilvl w:val="0"/>
                      <w:numId w:val="0"/>
                    </w:numPr>
                    <w:rPr>
                      <w:rFonts w:hint="eastAsia" w:ascii="宋体" w:hAnsi="宋体" w:eastAsia="宋体" w:cs="宋体"/>
                      <w:color w:val="000000"/>
                      <w:sz w:val="21"/>
                      <w:szCs w:val="21"/>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存在利用中国海油人员的职务之便牟取不正当利益情形的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25</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在承揽的中国海油业务中，存在拖欠农民工工资行为的</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未造成不良影响并及时整改的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整改不及时或影响较大的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整改不及时或影响严重的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restart"/>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val="en-US" w:eastAsia="zh-CN" w:bidi="ar"/>
                    </w:rPr>
                  </w:pPr>
                  <w:r>
                    <w:rPr>
                      <w:rFonts w:hint="eastAsia" w:ascii="宋体" w:hAnsi="宋体" w:eastAsia="宋体" w:cs="宋体"/>
                      <w:color w:val="000000"/>
                      <w:sz w:val="21"/>
                      <w:szCs w:val="21"/>
                      <w:lang w:val="en-US" w:eastAsia="zh-CN" w:bidi="ar"/>
                    </w:rPr>
                    <w:t>26</w:t>
                  </w:r>
                </w:p>
              </w:tc>
              <w:tc>
                <w:tcPr>
                  <w:tcW w:w="2345" w:type="dxa"/>
                  <w:vMerge w:val="restart"/>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对存在其他不当行为可能给中国海油带来风险</w:t>
                  </w:r>
                </w:p>
              </w:tc>
              <w:tc>
                <w:tcPr>
                  <w:tcW w:w="4895"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对存在其它不当行为可能给中国海油带来较高风险的</w:t>
                  </w:r>
                </w:p>
              </w:tc>
              <w:tc>
                <w:tcPr>
                  <w:tcW w:w="1941" w:type="dxa"/>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Merge w:val="continue"/>
                  <w:shd w:val="clear" w:color="auto" w:fill="auto"/>
                  <w:vAlign w:val="center"/>
                </w:tcPr>
                <w:p>
                  <w:pPr>
                    <w:pStyle w:val="4"/>
                    <w:numPr>
                      <w:ilvl w:val="0"/>
                      <w:numId w:val="0"/>
                    </w:numPr>
                    <w:jc w:val="center"/>
                    <w:textAlignment w:val="center"/>
                    <w:rPr>
                      <w:rFonts w:hint="eastAsia" w:ascii="宋体" w:hAnsi="宋体" w:eastAsia="宋体" w:cs="宋体"/>
                      <w:color w:val="000000"/>
                      <w:sz w:val="21"/>
                      <w:szCs w:val="21"/>
                      <w:lang w:bidi="ar"/>
                    </w:rPr>
                  </w:pPr>
                </w:p>
              </w:tc>
              <w:tc>
                <w:tcPr>
                  <w:tcW w:w="2345" w:type="dxa"/>
                  <w:vMerge w:val="continue"/>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p>
              </w:tc>
              <w:tc>
                <w:tcPr>
                  <w:tcW w:w="6836" w:type="dxa"/>
                  <w:gridSpan w:val="2"/>
                  <w:shd w:val="clear" w:color="auto" w:fill="auto"/>
                  <w:vAlign w:val="center"/>
                </w:tcPr>
                <w:p>
                  <w:pPr>
                    <w:pStyle w:val="4"/>
                    <w:numPr>
                      <w:ilvl w:val="0"/>
                      <w:numId w:val="0"/>
                    </w:numPr>
                    <w:textAlignment w:val="center"/>
                    <w:rPr>
                      <w:rFonts w:hint="eastAsia" w:ascii="宋体" w:hAnsi="宋体" w:eastAsia="宋体" w:cs="宋体"/>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对存在其它不当行为可能给中国海油带来较低风险的，对供应商进行约谈。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shd w:val="clear" w:color="auto" w:fill="auto"/>
                  <w:vAlign w:val="center"/>
                </w:tcPr>
                <w:p>
                  <w:pPr>
                    <w:pStyle w:val="4"/>
                    <w:numPr>
                      <w:ilvl w:val="0"/>
                      <w:numId w:val="0"/>
                    </w:numPr>
                    <w:jc w:val="center"/>
                    <w:textAlignment w:val="center"/>
                    <w:rPr>
                      <w:rFonts w:hint="eastAsia" w:ascii="宋体" w:hAnsi="宋体" w:eastAsia="宋体" w:cs="宋体"/>
                      <w:strike w:val="0"/>
                      <w:dstrike w:val="0"/>
                      <w:color w:val="000000"/>
                      <w:sz w:val="21"/>
                      <w:szCs w:val="21"/>
                      <w:lang w:val="en-US" w:eastAsia="zh-CN" w:bidi="ar"/>
                    </w:rPr>
                  </w:pPr>
                  <w:r>
                    <w:rPr>
                      <w:rFonts w:hint="eastAsia" w:ascii="宋体" w:hAnsi="宋体" w:eastAsia="宋体" w:cs="宋体"/>
                      <w:strike w:val="0"/>
                      <w:dstrike w:val="0"/>
                      <w:color w:val="000000"/>
                      <w:sz w:val="21"/>
                      <w:szCs w:val="21"/>
                      <w:lang w:val="en-US" w:eastAsia="zh-CN" w:bidi="ar"/>
                    </w:rPr>
                    <w:t>27</w:t>
                  </w:r>
                </w:p>
                <w:p>
                  <w:pPr>
                    <w:pStyle w:val="4"/>
                    <w:numPr>
                      <w:ilvl w:val="0"/>
                      <w:numId w:val="0"/>
                    </w:numPr>
                    <w:jc w:val="center"/>
                    <w:textAlignment w:val="center"/>
                    <w:rPr>
                      <w:rFonts w:hint="eastAsia" w:ascii="宋体" w:hAnsi="宋体" w:eastAsia="宋体" w:cs="宋体"/>
                      <w:strike/>
                      <w:dstrike w:val="0"/>
                      <w:color w:val="000000"/>
                      <w:sz w:val="21"/>
                      <w:szCs w:val="21"/>
                      <w:lang w:val="en-US" w:eastAsia="zh-CN" w:bidi="ar"/>
                    </w:rPr>
                  </w:pPr>
                </w:p>
              </w:tc>
              <w:tc>
                <w:tcPr>
                  <w:tcW w:w="2345" w:type="dxa"/>
                  <w:shd w:val="clear" w:color="auto" w:fill="auto"/>
                  <w:vAlign w:val="center"/>
                </w:tcPr>
                <w:p>
                  <w:pPr>
                    <w:pStyle w:val="4"/>
                    <w:numPr>
                      <w:ilvl w:val="0"/>
                      <w:numId w:val="0"/>
                    </w:numP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其他违反国家法律法规及集团公司规章制度的行为</w:t>
                  </w:r>
                </w:p>
                <w:p>
                  <w:pPr>
                    <w:pStyle w:val="4"/>
                    <w:numPr>
                      <w:ilvl w:val="0"/>
                      <w:numId w:val="0"/>
                    </w:numPr>
                    <w:textAlignment w:val="center"/>
                    <w:rPr>
                      <w:rFonts w:hint="eastAsia" w:ascii="宋体" w:hAnsi="宋体" w:eastAsia="宋体" w:cs="宋体"/>
                      <w:strike/>
                      <w:dstrike w:val="0"/>
                      <w:color w:val="000000"/>
                      <w:sz w:val="21"/>
                      <w:szCs w:val="21"/>
                      <w:lang w:bidi="ar"/>
                    </w:rPr>
                  </w:pPr>
                </w:p>
              </w:tc>
              <w:tc>
                <w:tcPr>
                  <w:tcW w:w="4895" w:type="dxa"/>
                  <w:shd w:val="clear" w:color="auto" w:fill="auto"/>
                  <w:vAlign w:val="center"/>
                </w:tcPr>
                <w:p>
                  <w:pPr>
                    <w:pStyle w:val="4"/>
                    <w:numPr>
                      <w:ilvl w:val="0"/>
                      <w:numId w:val="0"/>
                    </w:numPr>
                    <w:textAlignment w:val="center"/>
                    <w:rPr>
                      <w:rFonts w:hint="eastAsia" w:ascii="宋体" w:hAnsi="宋体" w:eastAsia="宋体" w:cs="宋体"/>
                      <w:strike/>
                      <w:dstrike w:val="0"/>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其他违反国家法律法规及集团公司规章制度的行为，包括国家、审计、纪检监察、巡视等函件反映问题。</w:t>
                  </w:r>
                </w:p>
              </w:tc>
              <w:tc>
                <w:tcPr>
                  <w:tcW w:w="1941" w:type="dxa"/>
                  <w:shd w:val="clear" w:color="auto" w:fill="auto"/>
                  <w:vAlign w:val="center"/>
                </w:tcPr>
                <w:p>
                  <w:pPr>
                    <w:pStyle w:val="4"/>
                    <w:numPr>
                      <w:ilvl w:val="0"/>
                      <w:numId w:val="0"/>
                    </w:numPr>
                    <w:textAlignment w:val="center"/>
                    <w:rPr>
                      <w:rFonts w:hint="eastAsia" w:ascii="宋体" w:hAnsi="宋体" w:eastAsia="宋体" w:cs="宋体"/>
                      <w:strike/>
                      <w:dstrike w:val="0"/>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由集团公司工程与物装部组织相关管理部门及所属单位，对供应商问题性质及业务实际情况判定，进行相应处理。</w:t>
                  </w:r>
                </w:p>
              </w:tc>
            </w:tr>
          </w:tbl>
          <w:p>
            <w:pPr>
              <w:pStyle w:val="4"/>
              <w:numPr>
                <w:ilvl w:val="0"/>
                <w:numId w:val="0"/>
              </w:numPr>
              <w:textAlignment w:val="center"/>
              <w:rPr>
                <w:rStyle w:val="48"/>
                <w:rFonts w:hint="eastAsia" w:ascii="宋体" w:hAnsi="宋体" w:eastAsia="宋体" w:cs="宋体"/>
                <w:sz w:val="21"/>
                <w:szCs w:val="21"/>
                <w:lang w:bidi="ar"/>
              </w:rPr>
            </w:pPr>
            <w:r>
              <w:rPr>
                <w:rFonts w:hint="eastAsia" w:ascii="宋体" w:hAnsi="宋体" w:eastAsia="宋体" w:cs="宋体"/>
                <w:sz w:val="21"/>
                <w:szCs w:val="21"/>
                <w:lang w:val="en-US" w:eastAsia="zh-CN"/>
              </w:rPr>
              <w:t>注：在合同执行阶段，供应商违规情形是否造成影响及影响程度由合同执行单位进行判定，并出具经二级单位主管领导确认的判定结果。</w:t>
            </w:r>
          </w:p>
        </w:tc>
      </w:tr>
    </w:tbl>
    <w:p/>
    <w:p/>
    <w:p>
      <w:pPr>
        <w:pStyle w:val="8"/>
      </w:pPr>
    </w:p>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r>
        <w:rPr>
          <w:rFonts w:hint="eastAsia" w:ascii="黑体" w:hAnsi="黑体" w:eastAsia="黑体"/>
          <w:b/>
          <w:bCs/>
          <w:sz w:val="24"/>
          <w:szCs w:val="24"/>
          <w:highlight w:val="none"/>
          <w:lang w:val="en-US" w:eastAsia="zh-CN"/>
        </w:rPr>
        <w:t>附件5：</w:t>
      </w:r>
      <w:r>
        <w:rPr>
          <w:rFonts w:hint="eastAsia" w:ascii="黑体" w:hAnsi="黑体" w:eastAsia="黑体"/>
          <w:b/>
          <w:bCs/>
          <w:sz w:val="24"/>
          <w:szCs w:val="24"/>
          <w:lang w:val="en-US" w:eastAsia="zh-CN"/>
        </w:rPr>
        <w:t>商务文件</w:t>
      </w:r>
    </w:p>
    <w:p>
      <w:pPr>
        <w:pStyle w:val="39"/>
        <w:rPr>
          <w:rFonts w:hint="eastAsia"/>
          <w:lang w:val="en-US" w:eastAsia="zh-CN"/>
        </w:rPr>
      </w:pPr>
    </w:p>
    <w:p>
      <w:pPr>
        <w:autoSpaceDE/>
        <w:autoSpaceDN/>
        <w:adjustRightInd/>
        <w:jc w:val="both"/>
        <w:outlineLvl w:val="0"/>
        <w:rPr>
          <w:rFonts w:hint="eastAsia" w:ascii="宋体" w:hAnsi="宋体" w:eastAsiaTheme="minorEastAsia" w:cstheme="minorBidi"/>
          <w:b w:val="0"/>
          <w:bCs w:val="0"/>
          <w:color w:val="000000"/>
          <w:sz w:val="21"/>
          <w:szCs w:val="22"/>
          <w:highlight w:val="none"/>
          <w:lang w:eastAsia="zh-CN"/>
        </w:rPr>
      </w:pPr>
      <w:r>
        <w:rPr>
          <w:rFonts w:hint="eastAsia" w:ascii="宋体" w:hAnsi="宋体" w:eastAsiaTheme="minorEastAsia" w:cstheme="minorBidi"/>
          <w:b w:val="0"/>
          <w:bCs w:val="0"/>
          <w:color w:val="000000"/>
          <w:kern w:val="2"/>
          <w:sz w:val="21"/>
          <w:szCs w:val="22"/>
          <w:highlight w:val="none"/>
          <w:lang w:val="en-US" w:eastAsia="zh-CN"/>
        </w:rPr>
        <w:t>5.1：</w:t>
      </w:r>
      <w:r>
        <w:rPr>
          <w:rFonts w:hint="eastAsia" w:ascii="宋体" w:hAnsi="宋体" w:eastAsiaTheme="minorEastAsia" w:cstheme="minorBidi"/>
          <w:bCs w:val="0"/>
          <w:color w:val="000000"/>
          <w:sz w:val="21"/>
          <w:szCs w:val="22"/>
          <w:highlight w:val="none"/>
          <w:lang w:eastAsia="zh-CN"/>
        </w:rPr>
        <w:t>营业执照</w:t>
      </w:r>
    </w:p>
    <w:p>
      <w:pPr>
        <w:adjustRightInd/>
        <w:jc w:val="both"/>
        <w:outlineLvl w:val="0"/>
        <w:rPr>
          <w:rFonts w:hint="default"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b w:val="0"/>
          <w:bCs w:val="0"/>
          <w:color w:val="000000"/>
          <w:kern w:val="2"/>
          <w:sz w:val="21"/>
          <w:szCs w:val="22"/>
          <w:lang w:val="en-US" w:eastAsia="zh-CN"/>
        </w:rPr>
        <w:t>5.2：</w:t>
      </w:r>
      <w:r>
        <w:rPr>
          <w:rFonts w:hint="eastAsia" w:ascii="宋体" w:hAnsi="宋体" w:eastAsiaTheme="minorEastAsia" w:cstheme="minorBidi"/>
          <w:color w:val="000000"/>
          <w:kern w:val="2"/>
          <w:sz w:val="21"/>
          <w:szCs w:val="22"/>
          <w:highlight w:val="none"/>
          <w:lang w:val="en-US" w:eastAsia="zh-CN" w:bidi="ar-SA"/>
        </w:rPr>
        <w:t>法定代表人（单位负责人）身份证明</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5.3：法定代表人授权委托书（如涉及）</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5.4：专业资质（如涉及）</w:t>
      </w:r>
    </w:p>
    <w:p>
      <w:pPr>
        <w:adjustRightInd/>
        <w:jc w:val="both"/>
        <w:outlineLvl w:val="0"/>
        <w:rPr>
          <w:rFonts w:hint="eastAsia" w:ascii="宋体" w:hAnsi="宋体"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w:t>
      </w:r>
      <w:r>
        <w:rPr>
          <w:rFonts w:hint="eastAsia" w:ascii="宋体" w:hAnsi="宋体" w:cstheme="minorBidi"/>
          <w:color w:val="000000"/>
          <w:kern w:val="2"/>
          <w:sz w:val="21"/>
          <w:szCs w:val="22"/>
          <w:highlight w:val="none"/>
          <w:lang w:val="en-US" w:eastAsia="zh-CN" w:bidi="ar-SA"/>
        </w:rPr>
        <w:t>5</w:t>
      </w:r>
      <w:r>
        <w:rPr>
          <w:rFonts w:hint="eastAsia" w:ascii="宋体" w:hAnsi="宋体" w:eastAsiaTheme="minorEastAsia" w:cstheme="minorBidi"/>
          <w:color w:val="000000"/>
          <w:kern w:val="2"/>
          <w:sz w:val="21"/>
          <w:szCs w:val="22"/>
          <w:highlight w:val="none"/>
          <w:lang w:val="en-US" w:eastAsia="zh-CN" w:bidi="ar-SA"/>
        </w:rPr>
        <w:t>：</w:t>
      </w:r>
      <w:r>
        <w:rPr>
          <w:rFonts w:hint="eastAsia" w:ascii="宋体" w:hAnsi="宋体" w:cstheme="minorBidi"/>
          <w:color w:val="000000"/>
          <w:kern w:val="2"/>
          <w:sz w:val="21"/>
          <w:szCs w:val="22"/>
          <w:highlight w:val="none"/>
          <w:lang w:val="en-US" w:eastAsia="zh-CN" w:bidi="ar-SA"/>
        </w:rPr>
        <w:t>质量健康安全环境体系文件</w:t>
      </w:r>
    </w:p>
    <w:p>
      <w:pPr>
        <w:adjustRightInd/>
        <w:jc w:val="both"/>
        <w:outlineLvl w:val="0"/>
        <w:rPr>
          <w:rFonts w:hint="eastAsia" w:ascii="宋体" w:hAnsi="宋体" w:eastAsiaTheme="minorEastAsia" w:cstheme="minorBidi"/>
          <w:strike w:val="0"/>
          <w:dstrike w:val="0"/>
          <w:color w:val="000000"/>
          <w:sz w:val="21"/>
          <w:szCs w:val="22"/>
          <w:highlight w:val="none"/>
          <w:lang w:val="en-US" w:eastAsia="zh-CN"/>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6</w:t>
      </w:r>
      <w:r>
        <w:rPr>
          <w:rFonts w:hint="eastAsia" w:ascii="宋体" w:hAnsi="宋体" w:eastAsiaTheme="minorEastAsia" w:cstheme="minorBidi"/>
          <w:color w:val="000000"/>
          <w:sz w:val="21"/>
          <w:szCs w:val="22"/>
          <w:highlight w:val="none"/>
          <w:lang w:val="en-US" w:eastAsia="zh-CN"/>
        </w:rPr>
        <w:t>：</w:t>
      </w:r>
      <w:r>
        <w:rPr>
          <w:rFonts w:hint="eastAsia" w:ascii="宋体" w:hAnsi="宋体" w:eastAsiaTheme="minorEastAsia" w:cstheme="minorBidi"/>
          <w:strike w:val="0"/>
          <w:dstrike w:val="0"/>
          <w:color w:val="000000"/>
          <w:sz w:val="21"/>
          <w:szCs w:val="22"/>
          <w:highlight w:val="none"/>
          <w:lang w:val="en-US" w:eastAsia="zh-CN"/>
        </w:rPr>
        <w:t>股权证明文件</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b w:val="0"/>
          <w:bCs w:val="0"/>
          <w:color w:val="000000"/>
          <w:sz w:val="21"/>
          <w:szCs w:val="22"/>
          <w:highlight w:val="none"/>
          <w:lang w:val="en-US" w:eastAsia="zh-CN"/>
        </w:rPr>
      </w:pPr>
      <w:r>
        <w:rPr>
          <w:rFonts w:hint="eastAsia" w:ascii="宋体" w:hAnsi="宋体" w:eastAsiaTheme="minorEastAsia" w:cstheme="minorBidi"/>
          <w:strike w:val="0"/>
          <w:dstrike w:val="0"/>
          <w:color w:val="000000"/>
          <w:sz w:val="21"/>
          <w:szCs w:val="22"/>
          <w:highlight w:val="none"/>
          <w:lang w:val="en-US" w:eastAsia="zh-CN"/>
        </w:rPr>
        <w:t>5.</w:t>
      </w:r>
      <w:r>
        <w:rPr>
          <w:rFonts w:hint="eastAsia" w:ascii="宋体" w:hAnsi="宋体" w:cstheme="minorBidi"/>
          <w:strike w:val="0"/>
          <w:dstrike w:val="0"/>
          <w:color w:val="000000"/>
          <w:sz w:val="21"/>
          <w:szCs w:val="22"/>
          <w:highlight w:val="none"/>
          <w:lang w:val="en-US" w:eastAsia="zh-CN"/>
        </w:rPr>
        <w:t>7</w:t>
      </w:r>
      <w:r>
        <w:rPr>
          <w:rFonts w:hint="eastAsia" w:ascii="宋体" w:hAnsi="宋体" w:eastAsiaTheme="minorEastAsia" w:cstheme="minorBidi"/>
          <w:strike w:val="0"/>
          <w:dstrike w:val="0"/>
          <w:color w:val="000000"/>
          <w:sz w:val="21"/>
          <w:szCs w:val="22"/>
          <w:highlight w:val="none"/>
          <w:lang w:val="en-US" w:eastAsia="zh-CN"/>
        </w:rPr>
        <w:t>：</w:t>
      </w:r>
      <w:r>
        <w:rPr>
          <w:rFonts w:hint="eastAsia" w:ascii="宋体" w:hAnsi="宋体" w:eastAsiaTheme="minorEastAsia" w:cstheme="minorBidi"/>
          <w:b w:val="0"/>
          <w:bCs w:val="0"/>
          <w:color w:val="000000"/>
          <w:sz w:val="21"/>
          <w:szCs w:val="22"/>
          <w:highlight w:val="none"/>
          <w:lang w:val="en-US" w:eastAsia="zh-CN"/>
        </w:rPr>
        <w:t>供应商承诺书</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sz w:val="21"/>
          <w:szCs w:val="22"/>
          <w:highlight w:val="none"/>
          <w:lang w:val="en-US" w:eastAsia="zh-CN"/>
        </w:rPr>
      </w:pPr>
      <w:r>
        <w:rPr>
          <w:rFonts w:hint="eastAsia" w:ascii="宋体" w:hAnsi="宋体" w:cstheme="minorBidi"/>
          <w:color w:val="000000"/>
          <w:sz w:val="21"/>
          <w:szCs w:val="22"/>
          <w:lang w:val="en-US" w:eastAsia="zh-CN"/>
        </w:rPr>
        <w:t>5.8： 制造商属性证明书及相关支持文件</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olor w:val="000000"/>
          <w:sz w:val="21"/>
          <w:szCs w:val="22"/>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9</w:t>
      </w:r>
      <w:r>
        <w:rPr>
          <w:rFonts w:hint="eastAsia" w:ascii="宋体" w:hAnsi="宋体" w:cstheme="minorBidi"/>
          <w:color w:val="000000"/>
          <w:sz w:val="21"/>
          <w:szCs w:val="22"/>
          <w:lang w:val="en-US" w:eastAsia="zh-CN"/>
        </w:rPr>
        <w:t>：</w:t>
      </w:r>
      <w:r>
        <w:rPr>
          <w:rFonts w:hint="eastAsia" w:ascii="宋体" w:hAnsi="宋体" w:eastAsiaTheme="minorEastAsia" w:cstheme="minorBidi"/>
          <w:b w:val="0"/>
          <w:bCs w:val="0"/>
          <w:color w:val="000000"/>
          <w:sz w:val="21"/>
          <w:szCs w:val="22"/>
          <w:highlight w:val="none"/>
          <w:lang w:eastAsia="zh-CN"/>
        </w:rPr>
        <w:t>业绩</w:t>
      </w:r>
      <w:r>
        <w:rPr>
          <w:rFonts w:hint="eastAsia" w:ascii="宋体" w:hAnsi="宋体" w:cstheme="minorBidi"/>
          <w:b w:val="0"/>
          <w:bCs w:val="0"/>
          <w:color w:val="000000"/>
          <w:sz w:val="21"/>
          <w:szCs w:val="22"/>
          <w:highlight w:val="none"/>
          <w:lang w:eastAsia="zh-CN"/>
        </w:rPr>
        <w:t>文件</w:t>
      </w:r>
    </w:p>
    <w:p>
      <w:pPr>
        <w:adjustRightInd/>
        <w:jc w:val="both"/>
        <w:outlineLvl w:val="0"/>
        <w:rPr>
          <w:rFonts w:hint="eastAsia" w:ascii="宋体" w:hAnsi="宋体" w:cstheme="minorBidi"/>
          <w:color w:val="000000"/>
          <w:kern w:val="2"/>
          <w:sz w:val="21"/>
          <w:szCs w:val="22"/>
          <w:lang w:val="en-US" w:eastAsia="zh-CN" w:bidi="ar-SA"/>
        </w:rPr>
      </w:pPr>
      <w:r>
        <w:rPr>
          <w:rFonts w:hint="eastAsia" w:ascii="宋体" w:hAnsi="宋体" w:eastAsiaTheme="minorEastAsia"/>
          <w:color w:val="000000"/>
          <w:sz w:val="21"/>
          <w:szCs w:val="22"/>
          <w:lang w:val="en-US" w:eastAsia="zh-CN"/>
        </w:rPr>
        <w:t>5.</w:t>
      </w:r>
      <w:r>
        <w:rPr>
          <w:rFonts w:hint="eastAsia" w:ascii="宋体" w:hAnsi="宋体"/>
          <w:color w:val="000000"/>
          <w:sz w:val="21"/>
          <w:szCs w:val="22"/>
          <w:lang w:val="en-US" w:eastAsia="zh-CN"/>
        </w:rPr>
        <w:t>10</w:t>
      </w:r>
      <w:r>
        <w:rPr>
          <w:rFonts w:hint="eastAsia" w:ascii="宋体" w:hAnsi="宋体" w:eastAsiaTheme="minorEastAsia"/>
          <w:color w:val="000000"/>
          <w:sz w:val="21"/>
          <w:szCs w:val="22"/>
          <w:lang w:val="en-US" w:eastAsia="zh-CN"/>
        </w:rPr>
        <w:t>：</w:t>
      </w:r>
      <w:r>
        <w:rPr>
          <w:rFonts w:hint="eastAsia" w:ascii="宋体" w:hAnsi="宋体" w:eastAsiaTheme="minorEastAsia" w:cstheme="minorBidi"/>
          <w:color w:val="000000"/>
          <w:sz w:val="21"/>
          <w:szCs w:val="22"/>
          <w:highlight w:val="none"/>
          <w:lang w:val="en-US" w:eastAsia="zh-CN"/>
        </w:rPr>
        <w:t>商务偏离表</w:t>
      </w:r>
      <w:r>
        <w:rPr>
          <w:rFonts w:hint="eastAsia" w:ascii="宋体" w:hAnsi="宋体" w:cstheme="minorBidi"/>
          <w:color w:val="000000"/>
          <w:kern w:val="2"/>
          <w:sz w:val="21"/>
          <w:szCs w:val="22"/>
          <w:lang w:val="en-US" w:eastAsia="zh-CN" w:bidi="ar-SA"/>
        </w:rPr>
        <w:t>——详见附件</w:t>
      </w:r>
    </w:p>
    <w:p>
      <w:pPr>
        <w:pStyle w:val="39"/>
        <w:adjustRightInd/>
        <w:jc w:val="both"/>
        <w:outlineLvl w:val="1"/>
        <w:rPr>
          <w:rFonts w:hint="default" w:asciiTheme="minorHAnsi" w:hAnsiTheme="minorHAnsi" w:eastAsiaTheme="minorEastAsia" w:cstheme="minorBidi"/>
          <w:b w:val="0"/>
          <w:bCs w:val="0"/>
          <w:color w:val="000000" w:themeColor="text1"/>
          <w:kern w:val="2"/>
          <w:sz w:val="21"/>
          <w:szCs w:val="22"/>
          <w:highlight w:val="none"/>
          <w:lang w:val="en-US" w:eastAsia="zh-CN"/>
          <w14:textFill>
            <w14:solidFill>
              <w14:schemeClr w14:val="tx1"/>
            </w14:solidFill>
          </w14:textFill>
        </w:rPr>
      </w:pPr>
      <w:r>
        <w:rPr>
          <w:rFonts w:hint="eastAsia" w:ascii="宋体" w:hAnsi="宋体" w:cstheme="minorBidi"/>
          <w:color w:val="000000"/>
          <w:kern w:val="2"/>
          <w:sz w:val="21"/>
          <w:szCs w:val="22"/>
          <w:lang w:val="en-US" w:eastAsia="zh-CN" w:bidi="ar-SA"/>
        </w:rPr>
        <w:t>5.11：其他补充</w:t>
      </w:r>
    </w:p>
    <w:p>
      <w:pPr>
        <w:pStyle w:val="39"/>
        <w:adjustRightInd/>
        <w:jc w:val="both"/>
        <w:outlineLvl w:val="1"/>
        <w:rPr>
          <w:rFonts w:hint="eastAsia" w:ascii="宋体" w:hAnsi="宋体" w:cstheme="minorBidi"/>
          <w:color w:val="000000"/>
          <w:kern w:val="2"/>
          <w:sz w:val="21"/>
          <w:szCs w:val="22"/>
          <w:lang w:val="en-US" w:eastAsia="zh-CN" w:bidi="ar-SA"/>
        </w:rPr>
      </w:pPr>
      <w:r>
        <w:rPr>
          <w:rFonts w:hint="eastAsia" w:ascii="宋体" w:hAnsi="宋体" w:cstheme="minorBidi"/>
          <w:color w:val="000000"/>
          <w:kern w:val="2"/>
          <w:sz w:val="21"/>
          <w:szCs w:val="22"/>
          <w:lang w:val="en-US" w:eastAsia="zh-CN" w:bidi="ar-SA"/>
        </w:rPr>
        <w:t>6.1：技术偏离表——详见附件</w:t>
      </w:r>
    </w:p>
    <w:p>
      <w:pPr>
        <w:pStyle w:val="39"/>
        <w:adjustRightInd/>
        <w:jc w:val="both"/>
        <w:outlineLvl w:val="1"/>
        <w:rPr>
          <w:rFonts w:hint="eastAsia" w:ascii="宋体" w:hAnsi="宋体" w:cstheme="minorBidi"/>
          <w:color w:val="000000"/>
          <w:kern w:val="2"/>
          <w:sz w:val="21"/>
          <w:szCs w:val="22"/>
          <w:lang w:val="en-US" w:eastAsia="zh-CN" w:bidi="ar-SA"/>
        </w:rPr>
      </w:pPr>
      <w:r>
        <w:rPr>
          <w:rFonts w:hint="eastAsia" w:ascii="宋体" w:hAnsi="宋体" w:cstheme="minorBidi"/>
          <w:color w:val="000000"/>
          <w:kern w:val="2"/>
          <w:sz w:val="21"/>
          <w:szCs w:val="22"/>
          <w:lang w:val="en-US" w:eastAsia="zh-CN" w:bidi="ar-SA"/>
        </w:rPr>
        <w:t>6.2：技术要求承诺书（格式）—详见附件</w:t>
      </w: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pStyle w:val="15"/>
        <w:rPr>
          <w:rFonts w:hint="eastAsia"/>
          <w:lang w:val="en-US" w:eastAsia="zh-CN"/>
        </w:rPr>
      </w:pPr>
    </w:p>
    <w:p>
      <w:pPr>
        <w:pStyle w:val="8"/>
        <w:rPr>
          <w:rFonts w:hint="eastAsia"/>
          <w:lang w:val="en-US" w:eastAsia="zh-CN"/>
        </w:rPr>
      </w:pPr>
    </w:p>
    <w:p>
      <w:pPr>
        <w:rPr>
          <w:rFonts w:hint="eastAsia"/>
          <w:lang w:val="en-US" w:eastAsia="zh-CN"/>
        </w:rPr>
      </w:pPr>
    </w:p>
    <w:p>
      <w:pPr>
        <w:pStyle w:val="15"/>
        <w:rPr>
          <w:rFonts w:hint="eastAsia"/>
          <w:lang w:val="en-US" w:eastAsia="zh-CN"/>
        </w:rPr>
      </w:pPr>
    </w:p>
    <w:p>
      <w:pPr>
        <w:pStyle w:val="8"/>
        <w:rPr>
          <w:rFonts w:hint="eastAsia"/>
          <w:lang w:val="en-US" w:eastAsia="zh-CN"/>
        </w:rPr>
      </w:pPr>
    </w:p>
    <w:p>
      <w:pPr>
        <w:rPr>
          <w:rFonts w:hint="eastAsia"/>
          <w:lang w:val="en-US" w:eastAsia="zh-CN"/>
        </w:rPr>
      </w:pPr>
    </w:p>
    <w:p>
      <w:pPr>
        <w:pStyle w:val="39"/>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color w:val="000000" w:themeColor="text1"/>
          <w:sz w:val="24"/>
          <w:szCs w:val="24"/>
          <w:highlight w:val="none"/>
          <w:lang w:val="en-US" w:eastAsia="zh-CN"/>
          <w14:textFill>
            <w14:solidFill>
              <w14:schemeClr w14:val="tx1"/>
            </w14:solidFill>
          </w14:textFill>
        </w:rPr>
        <w:t>5.1</w:t>
      </w:r>
      <w:r>
        <w:rPr>
          <w:rFonts w:hint="eastAsia" w:ascii="黑体" w:hAnsi="黑体" w:eastAsia="黑体"/>
          <w:b/>
          <w:bCs/>
          <w:sz w:val="24"/>
          <w:szCs w:val="24"/>
          <w:lang w:val="en-US" w:eastAsia="zh-CN"/>
        </w:rPr>
        <w:t>：营业执照</w:t>
      </w:r>
    </w:p>
    <w:p>
      <w:pPr>
        <w:pStyle w:val="10"/>
        <w:keepNext w:val="0"/>
        <w:keepLines w:val="0"/>
        <w:pageBreakBefore w:val="0"/>
        <w:widowControl w:val="0"/>
        <w:kinsoku/>
        <w:wordWrap/>
        <w:overflowPunct/>
        <w:topLinePunct w:val="0"/>
        <w:autoSpaceDE/>
        <w:autoSpaceDN/>
        <w:bidi w:val="0"/>
        <w:adjustRightInd/>
        <w:snapToGrid/>
        <w:ind w:left="782"/>
        <w:textAlignment w:val="auto"/>
        <w:rPr>
          <w:rFonts w:hint="eastAsia"/>
          <w:lang w:val="en-US" w:eastAsia="zh-CN"/>
        </w:rPr>
      </w:pPr>
    </w:p>
    <w:p>
      <w:pPr>
        <w:pStyle w:val="8"/>
        <w:rPr>
          <w:rFonts w:ascii="微软雅黑" w:hAnsi="微软雅黑" w:eastAsia="微软雅黑"/>
          <w:b/>
          <w:spacing w:val="2"/>
          <w:sz w:val="32"/>
          <w:szCs w:val="32"/>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ascii="黑体" w:hAnsi="黑体" w:eastAsia="黑体"/>
          <w:b/>
          <w:bCs/>
          <w:sz w:val="24"/>
          <w:szCs w:val="24"/>
          <w:lang w:val="en-US" w:eastAsia="zh-CN"/>
        </w:rPr>
      </w:pPr>
    </w:p>
    <w:p>
      <w:pPr>
        <w:rPr>
          <w:rFonts w:hint="eastAsia" w:ascii="黑体" w:hAnsi="黑体" w:eastAsia="黑体"/>
          <w:b/>
          <w:bCs/>
          <w:sz w:val="24"/>
          <w:szCs w:val="24"/>
          <w:lang w:val="en-US" w:eastAsia="zh-CN"/>
        </w:rPr>
      </w:pPr>
    </w:p>
    <w:p>
      <w:pPr>
        <w:pStyle w:val="15"/>
        <w:rPr>
          <w:rFonts w:hint="eastAsia" w:ascii="黑体" w:hAnsi="黑体" w:eastAsia="黑体"/>
          <w:b/>
          <w:bCs/>
          <w:sz w:val="24"/>
          <w:szCs w:val="24"/>
          <w:lang w:val="en-US" w:eastAsia="zh-CN"/>
        </w:rPr>
      </w:pPr>
    </w:p>
    <w:p>
      <w:pPr>
        <w:pStyle w:val="8"/>
        <w:rPr>
          <w:rFonts w:hint="eastAsia"/>
          <w:lang w:val="en-US" w:eastAsia="zh-CN"/>
        </w:rPr>
      </w:pPr>
    </w:p>
    <w:p>
      <w:pPr>
        <w:pStyle w:val="39"/>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color w:val="000000" w:themeColor="text1"/>
          <w:sz w:val="24"/>
          <w:szCs w:val="24"/>
          <w:highlight w:val="none"/>
          <w:lang w:val="en-US" w:eastAsia="zh-CN"/>
          <w14:textFill>
            <w14:solidFill>
              <w14:schemeClr w14:val="tx1"/>
            </w14:solidFill>
          </w14:textFill>
        </w:rPr>
        <w:t>5.2</w:t>
      </w:r>
      <w:r>
        <w:rPr>
          <w:rFonts w:hint="eastAsia" w:ascii="黑体" w:hAnsi="黑体" w:eastAsia="黑体"/>
          <w:b/>
          <w:bCs/>
          <w:sz w:val="24"/>
          <w:szCs w:val="24"/>
          <w:lang w:val="en-US" w:eastAsia="zh-CN"/>
        </w:rPr>
        <w:t>：法定代表人（单位负责人）身份证明</w:t>
      </w:r>
    </w:p>
    <w:p>
      <w:pPr>
        <w:pStyle w:val="10"/>
        <w:keepNext w:val="0"/>
        <w:keepLines w:val="0"/>
        <w:pageBreakBefore w:val="0"/>
        <w:widowControl w:val="0"/>
        <w:kinsoku/>
        <w:wordWrap/>
        <w:overflowPunct/>
        <w:topLinePunct w:val="0"/>
        <w:autoSpaceDE/>
        <w:autoSpaceDN/>
        <w:bidi w:val="0"/>
        <w:adjustRightInd/>
        <w:snapToGrid/>
        <w:ind w:left="782"/>
        <w:textAlignment w:val="auto"/>
        <w:rPr>
          <w:rFonts w:hint="eastAsia"/>
          <w:lang w:val="en-US" w:eastAsia="zh-CN"/>
        </w:rPr>
      </w:pPr>
    </w:p>
    <w:p>
      <w:pPr>
        <w:pStyle w:val="8"/>
        <w:rPr>
          <w:rFonts w:ascii="微软雅黑" w:hAnsi="微软雅黑" w:eastAsia="微软雅黑"/>
          <w:b/>
          <w:spacing w:val="2"/>
          <w:sz w:val="32"/>
          <w:szCs w:val="32"/>
        </w:rPr>
      </w:pPr>
    </w:p>
    <w:p>
      <w:pPr>
        <w:pStyle w:val="8"/>
        <w:rPr>
          <w:rFonts w:ascii="微软雅黑" w:hAnsi="微软雅黑" w:eastAsia="微软雅黑"/>
          <w:b/>
          <w:spacing w:val="2"/>
          <w:sz w:val="32"/>
          <w:szCs w:val="32"/>
        </w:rPr>
      </w:pPr>
    </w:p>
    <w:p>
      <w:pPr>
        <w:spacing w:before="120" w:beforeLines="50" w:after="120" w:afterLines="50"/>
        <w:ind w:right="11"/>
        <w:jc w:val="center"/>
        <w:rPr>
          <w:rFonts w:ascii="微软雅黑" w:hAnsi="微软雅黑" w:eastAsia="微软雅黑"/>
          <w:b/>
          <w:sz w:val="32"/>
          <w:szCs w:val="32"/>
        </w:rPr>
      </w:pPr>
      <w:r>
        <w:rPr>
          <w:rFonts w:ascii="微软雅黑" w:hAnsi="微软雅黑" w:eastAsia="微软雅黑"/>
          <w:b/>
          <w:spacing w:val="2"/>
          <w:sz w:val="32"/>
          <w:szCs w:val="32"/>
        </w:rPr>
        <w:t>法定代表</w:t>
      </w:r>
      <w:r>
        <w:rPr>
          <w:rFonts w:ascii="微软雅黑" w:hAnsi="微软雅黑" w:eastAsia="微软雅黑"/>
          <w:b/>
          <w:sz w:val="32"/>
          <w:szCs w:val="32"/>
        </w:rPr>
        <w:t>人</w:t>
      </w:r>
      <w:r>
        <w:rPr>
          <w:rFonts w:ascii="微软雅黑" w:hAnsi="微软雅黑" w:eastAsia="微软雅黑"/>
          <w:b/>
          <w:spacing w:val="2"/>
          <w:sz w:val="32"/>
          <w:szCs w:val="32"/>
        </w:rPr>
        <w:t>（单位负责人</w:t>
      </w:r>
      <w:r>
        <w:rPr>
          <w:rFonts w:ascii="微软雅黑" w:hAnsi="微软雅黑" w:eastAsia="微软雅黑"/>
          <w:b/>
          <w:sz w:val="32"/>
          <w:szCs w:val="32"/>
        </w:rPr>
        <w:t>）</w:t>
      </w:r>
      <w:r>
        <w:rPr>
          <w:rFonts w:ascii="微软雅黑" w:hAnsi="微软雅黑" w:eastAsia="微软雅黑"/>
          <w:b/>
          <w:spacing w:val="2"/>
          <w:sz w:val="32"/>
          <w:szCs w:val="32"/>
        </w:rPr>
        <w:t>身份证</w:t>
      </w:r>
      <w:r>
        <w:rPr>
          <w:rFonts w:ascii="微软雅黑" w:hAnsi="微软雅黑" w:eastAsia="微软雅黑"/>
          <w:b/>
          <w:sz w:val="32"/>
          <w:szCs w:val="32"/>
        </w:rPr>
        <w:t>明</w:t>
      </w:r>
    </w:p>
    <w:p>
      <w:pPr>
        <w:tabs>
          <w:tab w:val="left" w:pos="142"/>
        </w:tabs>
        <w:spacing w:line="200" w:lineRule="exact"/>
        <w:ind w:right="11"/>
        <w:jc w:val="center"/>
        <w:rPr>
          <w:rFonts w:ascii="微软雅黑" w:hAnsi="微软雅黑" w:eastAsia="微软雅黑"/>
          <w:sz w:val="20"/>
          <w:szCs w:val="20"/>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80"/>
        <w:jc w:val="lef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3"/>
          <w:kern w:val="0"/>
          <w:sz w:val="24"/>
          <w:szCs w:val="24"/>
          <w:lang w:val="en-US" w:eastAsia="zh-CN" w:bidi="ar-SA"/>
        </w:rPr>
        <w:t>称</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412"/>
          <w:tab w:val="left" w:pos="3883"/>
          <w:tab w:val="left" w:pos="5352"/>
          <w:tab w:val="left" w:pos="6821"/>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姓名</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性别</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年</w:t>
      </w:r>
      <w:r>
        <w:rPr>
          <w:rFonts w:ascii="微软雅黑" w:hAnsi="微软雅黑" w:eastAsia="微软雅黑" w:cstheme="minorBidi"/>
          <w:spacing w:val="-3"/>
          <w:kern w:val="0"/>
          <w:sz w:val="24"/>
          <w:szCs w:val="24"/>
          <w:lang w:val="en-US" w:eastAsia="zh-CN" w:bidi="ar-SA"/>
        </w:rPr>
        <w:t>龄</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职</w:t>
      </w:r>
      <w:r>
        <w:rPr>
          <w:rFonts w:ascii="微软雅黑" w:hAnsi="微软雅黑" w:eastAsia="微软雅黑" w:cstheme="minorBidi"/>
          <w:spacing w:val="-3"/>
          <w:kern w:val="0"/>
          <w:sz w:val="24"/>
          <w:szCs w:val="24"/>
          <w:lang w:val="en-US" w:eastAsia="zh-CN" w:bidi="ar-SA"/>
        </w:rPr>
        <w:t>务</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831"/>
        </w:tabs>
        <w:spacing w:before="36"/>
        <w:ind w:left="780" w:right="11" w:firstLine="476"/>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6"/>
          <w:kern w:val="0"/>
          <w:sz w:val="24"/>
          <w:szCs w:val="24"/>
          <w:lang w:val="en-US" w:eastAsia="zh-CN" w:bidi="ar-SA"/>
        </w:rPr>
        <w:t>）</w:t>
      </w:r>
      <w:r>
        <w:rPr>
          <w:rFonts w:ascii="微软雅黑" w:hAnsi="微软雅黑" w:eastAsia="微软雅黑" w:cstheme="minorBidi"/>
          <w:kern w:val="0"/>
          <w:sz w:val="24"/>
          <w:szCs w:val="24"/>
          <w:lang w:val="en-US" w:eastAsia="zh-CN" w:bidi="ar-SA"/>
        </w:rPr>
        <w:t>。</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特此</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明。</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 xml:space="preserve">。 </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注：</w:t>
      </w:r>
      <w:r>
        <w:rPr>
          <w:rFonts w:ascii="微软雅黑" w:hAnsi="微软雅黑" w:eastAsia="微软雅黑" w:cstheme="minorBidi"/>
          <w:spacing w:val="-3"/>
          <w:kern w:val="0"/>
          <w:sz w:val="24"/>
          <w:szCs w:val="24"/>
          <w:lang w:val="en-US" w:eastAsia="zh-CN" w:bidi="ar-SA"/>
        </w:rPr>
        <w:t>本</w:t>
      </w:r>
      <w:r>
        <w:rPr>
          <w:rFonts w:ascii="微软雅黑" w:hAnsi="微软雅黑" w:eastAsia="微软雅黑" w:cstheme="minorBidi"/>
          <w:kern w:val="0"/>
          <w:sz w:val="24"/>
          <w:szCs w:val="24"/>
          <w:lang w:val="en-US" w:eastAsia="zh-CN" w:bidi="ar-SA"/>
        </w:rPr>
        <w:t>身</w:t>
      </w:r>
      <w:r>
        <w:rPr>
          <w:rFonts w:ascii="微软雅黑" w:hAnsi="微软雅黑" w:eastAsia="微软雅黑" w:cstheme="minorBidi"/>
          <w:spacing w:val="-3"/>
          <w:kern w:val="0"/>
          <w:sz w:val="24"/>
          <w:szCs w:val="24"/>
          <w:lang w:val="en-US" w:eastAsia="zh-CN" w:bidi="ar-SA"/>
        </w:rPr>
        <w:t>份</w:t>
      </w:r>
      <w:r>
        <w:rPr>
          <w:rFonts w:ascii="微软雅黑" w:hAnsi="微软雅黑" w:eastAsia="微软雅黑" w:cstheme="minorBidi"/>
          <w:kern w:val="0"/>
          <w:sz w:val="24"/>
          <w:szCs w:val="24"/>
          <w:lang w:val="en-US" w:eastAsia="zh-CN" w:bidi="ar-SA"/>
        </w:rPr>
        <w:t>证</w:t>
      </w:r>
      <w:r>
        <w:rPr>
          <w:rFonts w:ascii="微软雅黑" w:hAnsi="微软雅黑" w:eastAsia="微软雅黑" w:cstheme="minorBidi"/>
          <w:spacing w:val="-3"/>
          <w:kern w:val="0"/>
          <w:sz w:val="24"/>
          <w:szCs w:val="24"/>
          <w:lang w:val="en-US" w:eastAsia="zh-CN" w:bidi="ar-SA"/>
        </w:rPr>
        <w:t>明</w:t>
      </w:r>
      <w:r>
        <w:rPr>
          <w:rFonts w:ascii="微软雅黑" w:hAnsi="微软雅黑" w:eastAsia="微软雅黑" w:cstheme="minorBidi"/>
          <w:kern w:val="0"/>
          <w:sz w:val="24"/>
          <w:szCs w:val="24"/>
          <w:lang w:val="en-US" w:eastAsia="zh-CN" w:bidi="ar-SA"/>
        </w:rPr>
        <w:t>需</w:t>
      </w:r>
      <w:r>
        <w:rPr>
          <w:rFonts w:ascii="微软雅黑" w:hAnsi="微软雅黑" w:eastAsia="微软雅黑" w:cstheme="minorBidi"/>
          <w:spacing w:val="-3"/>
          <w:kern w:val="0"/>
          <w:sz w:val="24"/>
          <w:szCs w:val="24"/>
          <w:lang w:val="en-US" w:eastAsia="zh-CN" w:bidi="ar-SA"/>
        </w:rPr>
        <w:t>由</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加</w:t>
      </w:r>
      <w:r>
        <w:rPr>
          <w:rFonts w:ascii="微软雅黑" w:hAnsi="微软雅黑" w:eastAsia="微软雅黑" w:cstheme="minorBidi"/>
          <w:spacing w:val="-3"/>
          <w:kern w:val="0"/>
          <w:sz w:val="24"/>
          <w:szCs w:val="24"/>
          <w:lang w:val="en-US" w:eastAsia="zh-CN" w:bidi="ar-SA"/>
        </w:rPr>
        <w:t>盖</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widowControl w:val="0"/>
        <w:tabs>
          <w:tab w:val="left" w:pos="142"/>
          <w:tab w:val="left" w:pos="6521"/>
        </w:tabs>
        <w:spacing w:before="36" w:after="120" w:afterLines="50"/>
        <w:ind w:left="780" w:right="11" w:firstLine="468"/>
        <w:jc w:val="righ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spacing w:val="-3"/>
          <w:kern w:val="0"/>
          <w:sz w:val="24"/>
          <w:szCs w:val="24"/>
          <w:lang w:val="en-US" w:eastAsia="zh-CN" w:bidi="ar-SA"/>
        </w:rPr>
        <w:t>应答人</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widowControl w:val="0"/>
        <w:tabs>
          <w:tab w:val="left" w:pos="142"/>
          <w:tab w:val="left" w:pos="5352"/>
          <w:tab w:val="left" w:pos="6192"/>
          <w:tab w:val="left" w:pos="7032"/>
        </w:tabs>
        <w:spacing w:before="36" w:after="120" w:afterLines="50"/>
        <w:ind w:left="780" w:right="11" w:firstLine="1080"/>
        <w:jc w:val="right"/>
      </w:pPr>
      <w:r>
        <w:rPr>
          <w:rFonts w:hint="eastAsia" w:ascii="微软雅黑" w:hAnsi="微软雅黑" w:eastAsia="微软雅黑" w:cstheme="minorBidi"/>
          <w:w w:val="225"/>
          <w:kern w:val="0"/>
          <w:sz w:val="24"/>
          <w:szCs w:val="24"/>
          <w:lang w:val="en-US" w:eastAsia="zh-CN" w:bidi="ar-SA"/>
        </w:rPr>
        <w:t>____</w:t>
      </w:r>
      <w:r>
        <w:rPr>
          <w:rFonts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lang w:val="en-US" w:eastAsia="zh-CN" w:bidi="ar-SA"/>
        </w:rPr>
        <w:t>_______</w:t>
      </w:r>
      <w:r>
        <w:rPr>
          <w:rFonts w:ascii="微软雅黑" w:hAnsi="微软雅黑" w:eastAsia="微软雅黑" w:cstheme="minorBidi"/>
          <w:kern w:val="0"/>
          <w:sz w:val="24"/>
          <w:szCs w:val="24"/>
          <w:lang w:val="en-US" w:eastAsia="zh-CN" w:bidi="ar-SA"/>
        </w:rPr>
        <w:t>月</w:t>
      </w:r>
      <w:r>
        <w:rPr>
          <w:rFonts w:hint="eastAsia" w:ascii="微软雅黑" w:hAnsi="微软雅黑" w:eastAsia="微软雅黑" w:cstheme="minorBidi"/>
          <w:kern w:val="0"/>
          <w:sz w:val="24"/>
          <w:szCs w:val="24"/>
          <w:lang w:val="en-US" w:eastAsia="zh-CN" w:bidi="ar-SA"/>
        </w:rPr>
        <w:t>______</w:t>
      </w:r>
      <w:r>
        <w:rPr>
          <w:rFonts w:ascii="微软雅黑" w:hAnsi="微软雅黑" w:eastAsia="微软雅黑" w:cstheme="minorBidi"/>
          <w:kern w:val="0"/>
          <w:sz w:val="24"/>
          <w:szCs w:val="24"/>
          <w:lang w:val="en-US" w:eastAsia="zh-CN" w:bidi="ar-SA"/>
        </w:rPr>
        <w:t>日</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5.3：授权委托书</w:t>
      </w:r>
    </w:p>
    <w:p>
      <w:pPr>
        <w:pStyle w:val="54"/>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p>
    <w:p>
      <w:pPr>
        <w:pStyle w:val="54"/>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r>
        <w:rPr>
          <w:rFonts w:ascii="微软雅黑" w:hAnsi="微软雅黑" w:eastAsia="微软雅黑"/>
          <w:b/>
          <w:spacing w:val="2"/>
          <w:lang w:eastAsia="zh-CN"/>
        </w:rPr>
        <w:t>授权委托书</w:t>
      </w:r>
    </w:p>
    <w:p>
      <w:pPr>
        <w:keepNext w:val="0"/>
        <w:keepLines w:val="0"/>
        <w:pageBreakBefore w:val="0"/>
        <w:widowControl w:val="0"/>
        <w:tabs>
          <w:tab w:val="left" w:pos="142"/>
          <w:tab w:val="left" w:pos="2421"/>
          <w:tab w:val="left" w:pos="5585"/>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本人</w:t>
      </w:r>
      <w:r>
        <w:rPr>
          <w:rFonts w:ascii="微软雅黑" w:hAnsi="微软雅黑" w:eastAsia="微软雅黑" w:cstheme="minorBidi"/>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姓</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代表人</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单位负责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4"/>
          <w:kern w:val="0"/>
          <w:sz w:val="24"/>
          <w:szCs w:val="24"/>
          <w:lang w:val="en-US" w:eastAsia="zh-CN" w:bidi="ar-SA"/>
        </w:rPr>
        <w:t>）</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现</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1"/>
          <w:kern w:val="0"/>
          <w:sz w:val="24"/>
          <w:szCs w:val="24"/>
          <w:lang w:val="en-US" w:eastAsia="zh-CN" w:bidi="ar-SA"/>
        </w:rPr>
        <w:t>托</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（姓名）为我</w:t>
      </w:r>
      <w:r>
        <w:rPr>
          <w:rFonts w:ascii="微软雅黑" w:hAnsi="微软雅黑" w:eastAsia="微软雅黑" w:cstheme="minorBidi"/>
          <w:spacing w:val="-3"/>
          <w:kern w:val="0"/>
          <w:sz w:val="24"/>
          <w:szCs w:val="24"/>
          <w:lang w:val="en-US" w:eastAsia="zh-CN" w:bidi="ar-SA"/>
        </w:rPr>
        <w:t>方代</w:t>
      </w:r>
      <w:r>
        <w:rPr>
          <w:rFonts w:ascii="微软雅黑" w:hAnsi="微软雅黑" w:eastAsia="微软雅黑" w:cstheme="minorBidi"/>
          <w:kern w:val="0"/>
          <w:sz w:val="24"/>
          <w:szCs w:val="24"/>
          <w:lang w:val="en-US" w:eastAsia="zh-CN" w:bidi="ar-SA"/>
        </w:rPr>
        <w:t>理人。代理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根据授</w:t>
      </w:r>
      <w:r>
        <w:rPr>
          <w:rFonts w:ascii="微软雅黑" w:hAnsi="微软雅黑" w:eastAsia="微软雅黑" w:cstheme="minorBidi"/>
          <w:spacing w:val="-3"/>
          <w:kern w:val="0"/>
          <w:sz w:val="24"/>
          <w:szCs w:val="24"/>
          <w:lang w:val="en-US" w:eastAsia="zh-CN" w:bidi="ar-SA"/>
        </w:rPr>
        <w:t>权，</w:t>
      </w:r>
      <w:r>
        <w:rPr>
          <w:rFonts w:ascii="微软雅黑" w:hAnsi="微软雅黑" w:eastAsia="微软雅黑" w:cstheme="minorBidi"/>
          <w:kern w:val="0"/>
          <w:sz w:val="24"/>
          <w:szCs w:val="24"/>
          <w:lang w:val="en-US" w:eastAsia="zh-CN" w:bidi="ar-SA"/>
        </w:rPr>
        <w:t>以我方名义</w:t>
      </w:r>
      <w:r>
        <w:rPr>
          <w:rFonts w:ascii="微软雅黑" w:hAnsi="微软雅黑" w:eastAsia="微软雅黑" w:cstheme="minorBidi"/>
          <w:spacing w:val="-3"/>
          <w:kern w:val="0"/>
          <w:sz w:val="24"/>
          <w:szCs w:val="24"/>
          <w:lang w:val="en-US" w:eastAsia="zh-CN" w:bidi="ar-SA"/>
        </w:rPr>
        <w:t>签</w:t>
      </w:r>
      <w:r>
        <w:rPr>
          <w:rFonts w:ascii="微软雅黑" w:hAnsi="微软雅黑" w:eastAsia="微软雅黑" w:cstheme="minorBidi"/>
          <w:kern w:val="0"/>
          <w:sz w:val="24"/>
          <w:szCs w:val="24"/>
          <w:lang w:val="en-US" w:eastAsia="zh-CN" w:bidi="ar-SA"/>
        </w:rPr>
        <w:t>署、澄清</w:t>
      </w:r>
      <w:r>
        <w:rPr>
          <w:rFonts w:hint="eastAsia" w:ascii="微软雅黑" w:hAnsi="微软雅黑" w:eastAsia="微软雅黑" w:cstheme="minorBidi"/>
          <w:kern w:val="0"/>
          <w:sz w:val="24"/>
          <w:szCs w:val="24"/>
          <w:lang w:val="en-US" w:eastAsia="zh-CN" w:bidi="ar-SA"/>
        </w:rPr>
        <w:t>、</w:t>
      </w:r>
      <w:r>
        <w:rPr>
          <w:rFonts w:ascii="微软雅黑" w:hAnsi="微软雅黑" w:eastAsia="微软雅黑" w:cstheme="minorBidi"/>
          <w:kern w:val="0"/>
          <w:sz w:val="24"/>
          <w:szCs w:val="24"/>
          <w:lang w:val="en-US" w:eastAsia="zh-CN" w:bidi="ar-SA"/>
        </w:rPr>
        <w:t>确认、递交</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撤回</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修改</w:t>
      </w:r>
      <w:r>
        <w:rPr>
          <w:rFonts w:hint="eastAsia" w:ascii="微软雅黑" w:hAnsi="微软雅黑" w:eastAsia="微软雅黑" w:cstheme="minorBidi"/>
          <w:kern w:val="0"/>
          <w:sz w:val="24"/>
          <w:szCs w:val="24"/>
          <w:lang w:val="en-US" w:eastAsia="zh-CN" w:bidi="ar-SA"/>
        </w:rPr>
        <w:t>服务</w:t>
      </w:r>
      <w:r>
        <w:rPr>
          <w:rFonts w:ascii="微软雅黑" w:hAnsi="微软雅黑" w:eastAsia="微软雅黑" w:cstheme="minorBidi"/>
          <w:kern w:val="0"/>
          <w:sz w:val="24"/>
          <w:szCs w:val="24"/>
          <w:lang w:val="en-US" w:eastAsia="zh-CN" w:bidi="ar-SA"/>
        </w:rPr>
        <w:t>采购</w:t>
      </w:r>
      <w:r>
        <w:rPr>
          <w:rFonts w:hint="eastAsia" w:ascii="微软雅黑" w:hAnsi="微软雅黑" w:eastAsia="微软雅黑" w:cstheme="minorBidi"/>
          <w:kern w:val="0"/>
          <w:sz w:val="24"/>
          <w:szCs w:val="24"/>
          <w:lang w:val="en-US" w:eastAsia="zh-CN" w:bidi="ar-SA"/>
        </w:rPr>
        <w:t>询比</w:t>
      </w:r>
      <w:r>
        <w:rPr>
          <w:rFonts w:ascii="微软雅黑" w:hAnsi="微软雅黑" w:eastAsia="微软雅黑" w:cstheme="minorBidi"/>
          <w:kern w:val="0"/>
          <w:sz w:val="24"/>
          <w:szCs w:val="24"/>
          <w:lang w:val="en-US" w:eastAsia="zh-CN" w:bidi="ar-SA"/>
        </w:rPr>
        <w:t>项目</w:t>
      </w:r>
      <w:r>
        <w:rPr>
          <w:rFonts w:hint="eastAsia" w:ascii="微软雅黑" w:hAnsi="微软雅黑" w:eastAsia="微软雅黑" w:cstheme="minorBidi"/>
          <w:kern w:val="0"/>
          <w:sz w:val="24"/>
          <w:szCs w:val="24"/>
          <w:lang w:val="en-US" w:eastAsia="zh-CN" w:bidi="ar-SA"/>
        </w:rPr>
        <w:t>报价</w:t>
      </w:r>
      <w:r>
        <w:rPr>
          <w:rFonts w:ascii="微软雅黑" w:hAnsi="微软雅黑" w:eastAsia="微软雅黑" w:cstheme="minorBidi"/>
          <w:kern w:val="0"/>
          <w:sz w:val="24"/>
          <w:szCs w:val="24"/>
          <w:lang w:val="en-US" w:eastAsia="zh-CN" w:bidi="ar-SA"/>
        </w:rPr>
        <w:t>文件、签订合</w:t>
      </w:r>
      <w:r>
        <w:rPr>
          <w:rFonts w:ascii="微软雅黑" w:hAnsi="微软雅黑" w:eastAsia="微软雅黑" w:cstheme="minorBidi"/>
          <w:spacing w:val="-3"/>
          <w:kern w:val="0"/>
          <w:sz w:val="24"/>
          <w:szCs w:val="24"/>
          <w:lang w:val="en-US" w:eastAsia="zh-CN" w:bidi="ar-SA"/>
        </w:rPr>
        <w:t>同</w:t>
      </w:r>
      <w:r>
        <w:rPr>
          <w:rFonts w:ascii="微软雅黑" w:hAnsi="微软雅黑" w:eastAsia="微软雅黑" w:cstheme="minorBidi"/>
          <w:kern w:val="0"/>
          <w:sz w:val="24"/>
          <w:szCs w:val="24"/>
          <w:lang w:val="en-US" w:eastAsia="zh-CN" w:bidi="ar-SA"/>
        </w:rPr>
        <w:t>和处</w:t>
      </w:r>
      <w:r>
        <w:rPr>
          <w:rFonts w:ascii="微软雅黑" w:hAnsi="微软雅黑" w:eastAsia="微软雅黑" w:cstheme="minorBidi"/>
          <w:spacing w:val="-3"/>
          <w:kern w:val="0"/>
          <w:sz w:val="24"/>
          <w:szCs w:val="24"/>
          <w:lang w:val="en-US" w:eastAsia="zh-CN" w:bidi="ar-SA"/>
        </w:rPr>
        <w:t>理</w:t>
      </w:r>
      <w:r>
        <w:rPr>
          <w:rFonts w:ascii="微软雅黑" w:hAnsi="微软雅黑" w:eastAsia="微软雅黑" w:cstheme="minorBidi"/>
          <w:kern w:val="0"/>
          <w:sz w:val="24"/>
          <w:szCs w:val="24"/>
          <w:lang w:val="en-US" w:eastAsia="zh-CN" w:bidi="ar-SA"/>
        </w:rPr>
        <w:t>有关事宜，其</w:t>
      </w:r>
      <w:r>
        <w:rPr>
          <w:rFonts w:ascii="微软雅黑" w:hAnsi="微软雅黑" w:eastAsia="微软雅黑" w:cstheme="minorBidi"/>
          <w:spacing w:val="-3"/>
          <w:kern w:val="0"/>
          <w:sz w:val="24"/>
          <w:szCs w:val="24"/>
          <w:lang w:val="en-US" w:eastAsia="zh-CN" w:bidi="ar-SA"/>
        </w:rPr>
        <w:t>法</w:t>
      </w:r>
      <w:r>
        <w:rPr>
          <w:rFonts w:ascii="微软雅黑" w:hAnsi="微软雅黑" w:eastAsia="微软雅黑" w:cstheme="minorBidi"/>
          <w:kern w:val="0"/>
          <w:sz w:val="24"/>
          <w:szCs w:val="24"/>
          <w:lang w:val="en-US" w:eastAsia="zh-CN" w:bidi="ar-SA"/>
        </w:rPr>
        <w:t>律后果</w:t>
      </w:r>
      <w:r>
        <w:rPr>
          <w:rFonts w:ascii="微软雅黑" w:hAnsi="微软雅黑" w:eastAsia="微软雅黑" w:cstheme="minorBidi"/>
          <w:spacing w:val="-3"/>
          <w:kern w:val="0"/>
          <w:sz w:val="24"/>
          <w:szCs w:val="24"/>
          <w:lang w:val="en-US" w:eastAsia="zh-CN" w:bidi="ar-SA"/>
        </w:rPr>
        <w:t>由</w:t>
      </w:r>
      <w:r>
        <w:rPr>
          <w:rFonts w:ascii="微软雅黑" w:hAnsi="微软雅黑" w:eastAsia="微软雅黑" w:cstheme="minorBidi"/>
          <w:kern w:val="0"/>
          <w:sz w:val="24"/>
          <w:szCs w:val="24"/>
          <w:lang w:val="en-US" w:eastAsia="zh-CN" w:bidi="ar-SA"/>
        </w:rPr>
        <w:t>我</w:t>
      </w:r>
      <w:r>
        <w:rPr>
          <w:rFonts w:ascii="微软雅黑" w:hAnsi="微软雅黑" w:eastAsia="微软雅黑" w:cstheme="minorBidi"/>
          <w:spacing w:val="-3"/>
          <w:kern w:val="0"/>
          <w:sz w:val="24"/>
          <w:szCs w:val="24"/>
          <w:lang w:val="en-US" w:eastAsia="zh-CN" w:bidi="ar-SA"/>
        </w:rPr>
        <w:t>方</w:t>
      </w:r>
      <w:r>
        <w:rPr>
          <w:rFonts w:ascii="微软雅黑" w:hAnsi="微软雅黑" w:eastAsia="微软雅黑" w:cstheme="minorBidi"/>
          <w:kern w:val="0"/>
          <w:sz w:val="24"/>
          <w:szCs w:val="24"/>
          <w:lang w:val="en-US" w:eastAsia="zh-CN" w:bidi="ar-SA"/>
        </w:rPr>
        <w:t>承</w:t>
      </w:r>
      <w:r>
        <w:rPr>
          <w:rFonts w:ascii="微软雅黑" w:hAnsi="微软雅黑" w:eastAsia="微软雅黑" w:cstheme="minorBidi"/>
          <w:spacing w:val="-3"/>
          <w:kern w:val="0"/>
          <w:sz w:val="24"/>
          <w:szCs w:val="24"/>
          <w:lang w:val="en-US" w:eastAsia="zh-CN" w:bidi="ar-SA"/>
        </w:rPr>
        <w:t>担</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3566"/>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期</w:t>
      </w:r>
      <w:r>
        <w:rPr>
          <w:rFonts w:ascii="微软雅黑" w:hAnsi="微软雅黑" w:eastAsia="微软雅黑" w:cstheme="minorBidi"/>
          <w:kern w:val="0"/>
          <w:sz w:val="24"/>
          <w:szCs w:val="24"/>
          <w:lang w:val="en-US" w:eastAsia="zh-CN" w:bidi="ar-SA"/>
        </w:rPr>
        <w:t>限</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无</w:t>
      </w:r>
      <w:r>
        <w:rPr>
          <w:rFonts w:ascii="微软雅黑" w:hAnsi="微软雅黑" w:eastAsia="微软雅黑" w:cstheme="minorBidi"/>
          <w:spacing w:val="-3"/>
          <w:kern w:val="0"/>
          <w:sz w:val="24"/>
          <w:szCs w:val="24"/>
          <w:lang w:val="en-US" w:eastAsia="zh-CN" w:bidi="ar-SA"/>
        </w:rPr>
        <w:t>转</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3"/>
          <w:kern w:val="0"/>
          <w:sz w:val="24"/>
          <w:szCs w:val="24"/>
          <w:lang w:val="en-US" w:eastAsia="zh-CN" w:bidi="ar-SA"/>
        </w:rPr>
        <w:t>托</w:t>
      </w:r>
      <w:r>
        <w:rPr>
          <w:rFonts w:ascii="微软雅黑" w:hAnsi="微软雅黑" w:eastAsia="微软雅黑" w:cstheme="minorBidi"/>
          <w:kern w:val="0"/>
          <w:sz w:val="24"/>
          <w:szCs w:val="24"/>
          <w:lang w:val="en-US" w:eastAsia="zh-CN" w:bidi="ar-SA"/>
        </w:rPr>
        <w:t xml:space="preserve">权。 </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及</w:t>
      </w:r>
      <w:r>
        <w:rPr>
          <w:rFonts w:ascii="微软雅黑" w:hAnsi="微软雅黑" w:eastAsia="微软雅黑" w:cstheme="minorBidi"/>
          <w:spacing w:val="-3"/>
          <w:kern w:val="0"/>
          <w:sz w:val="24"/>
          <w:szCs w:val="24"/>
          <w:highlight w:val="none"/>
          <w:lang w:val="en-US" w:eastAsia="zh-CN" w:bidi="ar-SA"/>
        </w:rPr>
        <w:t>委</w:t>
      </w:r>
      <w:r>
        <w:rPr>
          <w:rFonts w:ascii="微软雅黑" w:hAnsi="微软雅黑" w:eastAsia="微软雅黑" w:cstheme="minorBidi"/>
          <w:kern w:val="0"/>
          <w:sz w:val="24"/>
          <w:szCs w:val="24"/>
          <w:highlight w:val="none"/>
          <w:lang w:val="en-US" w:eastAsia="zh-CN" w:bidi="ar-SA"/>
        </w:rPr>
        <w:t>托代</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人</w:t>
      </w:r>
      <w:r>
        <w:rPr>
          <w:rFonts w:ascii="微软雅黑" w:hAnsi="微软雅黑" w:eastAsia="微软雅黑" w:cstheme="minorBidi"/>
          <w:spacing w:val="-3"/>
          <w:kern w:val="0"/>
          <w:sz w:val="24"/>
          <w:szCs w:val="24"/>
          <w:highlight w:val="none"/>
          <w:lang w:val="en-US" w:eastAsia="zh-CN" w:bidi="ar-SA"/>
        </w:rPr>
        <w:t>身</w:t>
      </w:r>
      <w:r>
        <w:rPr>
          <w:rFonts w:ascii="微软雅黑" w:hAnsi="微软雅黑" w:eastAsia="微软雅黑" w:cstheme="minorBidi"/>
          <w:kern w:val="0"/>
          <w:sz w:val="24"/>
          <w:szCs w:val="24"/>
          <w:highlight w:val="none"/>
          <w:lang w:val="en-US" w:eastAsia="zh-CN" w:bidi="ar-SA"/>
        </w:rPr>
        <w:t>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复</w:t>
      </w:r>
      <w:r>
        <w:rPr>
          <w:rFonts w:ascii="微软雅黑" w:hAnsi="微软雅黑" w:eastAsia="微软雅黑" w:cstheme="minorBidi"/>
          <w:spacing w:val="-3"/>
          <w:kern w:val="0"/>
          <w:sz w:val="24"/>
          <w:szCs w:val="24"/>
          <w:highlight w:val="none"/>
          <w:lang w:val="en-US" w:eastAsia="zh-CN" w:bidi="ar-SA"/>
        </w:rPr>
        <w:t>印</w:t>
      </w:r>
      <w:r>
        <w:rPr>
          <w:rFonts w:ascii="微软雅黑" w:hAnsi="微软雅黑" w:eastAsia="微软雅黑" w:cstheme="minorBidi"/>
          <w:kern w:val="0"/>
          <w:sz w:val="24"/>
          <w:szCs w:val="24"/>
          <w:highlight w:val="none"/>
          <w:lang w:val="en-US" w:eastAsia="zh-CN" w:bidi="ar-SA"/>
        </w:rPr>
        <w:t>件</w:t>
      </w:r>
    </w:p>
    <w:p>
      <w:pPr>
        <w:keepNext w:val="0"/>
        <w:keepLines w:val="0"/>
        <w:pageBreakBefore w:val="0"/>
        <w:widowControl w:val="0"/>
        <w:tabs>
          <w:tab w:val="left" w:pos="142"/>
        </w:tabs>
        <w:kinsoku/>
        <w:overflowPunct/>
        <w:topLinePunct w:val="0"/>
        <w:autoSpaceDE/>
        <w:autoSpaceDN/>
        <w:bidi w:val="0"/>
        <w:adjustRightInd/>
        <w:snapToGrid/>
        <w:spacing w:before="36"/>
        <w:ind w:left="420" w:leftChars="200" w:right="11"/>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注：本授权委托</w:t>
      </w:r>
      <w:r>
        <w:rPr>
          <w:rFonts w:ascii="微软雅黑" w:hAnsi="微软雅黑" w:eastAsia="微软雅黑" w:cstheme="minorBidi"/>
          <w:spacing w:val="-3"/>
          <w:kern w:val="0"/>
          <w:sz w:val="24"/>
          <w:szCs w:val="24"/>
          <w:highlight w:val="none"/>
          <w:lang w:val="en-US" w:eastAsia="zh-CN" w:bidi="ar-SA"/>
        </w:rPr>
        <w:t>书</w:t>
      </w:r>
      <w:r>
        <w:rPr>
          <w:rFonts w:ascii="微软雅黑" w:hAnsi="微软雅黑" w:eastAsia="微软雅黑" w:cstheme="minorBidi"/>
          <w:kern w:val="0"/>
          <w:sz w:val="24"/>
          <w:szCs w:val="24"/>
          <w:highlight w:val="none"/>
          <w:lang w:val="en-US" w:eastAsia="zh-CN" w:bidi="ar-SA"/>
        </w:rPr>
        <w:t>需由</w:t>
      </w: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加盖单位公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并由</w:t>
      </w:r>
      <w:r>
        <w:rPr>
          <w:rFonts w:ascii="微软雅黑" w:hAnsi="微软雅黑" w:eastAsia="微软雅黑" w:cstheme="minorBidi"/>
          <w:spacing w:val="-3"/>
          <w:kern w:val="0"/>
          <w:sz w:val="24"/>
          <w:szCs w:val="24"/>
          <w:highlight w:val="none"/>
          <w:lang w:val="en-US" w:eastAsia="zh-CN" w:bidi="ar-SA"/>
        </w:rPr>
        <w:t>其</w:t>
      </w:r>
      <w:r>
        <w:rPr>
          <w:rFonts w:ascii="微软雅黑" w:hAnsi="微软雅黑" w:eastAsia="微软雅黑" w:cstheme="minorBidi"/>
          <w:kern w:val="0"/>
          <w:sz w:val="24"/>
          <w:szCs w:val="24"/>
          <w:highlight w:val="none"/>
          <w:lang w:val="en-US" w:eastAsia="zh-CN" w:bidi="ar-SA"/>
        </w:rPr>
        <w:t>法定代表人（单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）和委托代理</w:t>
      </w:r>
      <w:r>
        <w:rPr>
          <w:rFonts w:ascii="微软雅黑" w:hAnsi="微软雅黑" w:eastAsia="微软雅黑" w:cstheme="minorBidi"/>
          <w:spacing w:val="-2"/>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签字。</w:t>
      </w: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0"/>
          <w:szCs w:val="20"/>
        </w:rPr>
      </w:pP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4"/>
          <w:szCs w:val="24"/>
        </w:rPr>
      </w:pPr>
    </w:p>
    <w:p>
      <w:pPr>
        <w:keepNext w:val="0"/>
        <w:keepLines w:val="0"/>
        <w:pageBreakBefore w:val="0"/>
        <w:widowControl w:val="0"/>
        <w:kinsoku/>
        <w:wordWrap w:val="0"/>
        <w:overflowPunct/>
        <w:topLinePunct w:val="0"/>
        <w:autoSpaceDE/>
        <w:autoSpaceDN/>
        <w:bidi w:val="0"/>
        <w:adjustRightInd/>
        <w:snapToGrid/>
        <w:spacing w:before="36" w:after="120" w:afterLines="50"/>
        <w:ind w:left="780" w:right="11" w:firstLine="480"/>
        <w:jc w:val="center"/>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spacing w:val="-3"/>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right="11" w:firstLine="1440" w:firstLineChars="600"/>
        <w:jc w:val="both"/>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法定</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8"/>
          <w:kern w:val="0"/>
          <w:sz w:val="24"/>
          <w:szCs w:val="24"/>
          <w:lang w:val="en-US" w:eastAsia="zh-CN" w:bidi="ar-SA"/>
        </w:rPr>
        <w:t>）</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 xml:space="preserve"> </w:t>
      </w:r>
      <w:r>
        <w:rPr>
          <w:rFonts w:ascii="微软雅黑" w:hAnsi="微软雅黑" w:eastAsia="微软雅黑" w:cstheme="minorBidi"/>
          <w:kern w:val="0"/>
          <w:sz w:val="24"/>
          <w:szCs w:val="24"/>
          <w:lang w:val="en-US" w:eastAsia="zh-CN" w:bidi="ar-SA"/>
        </w:rPr>
        <w:t>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w w:val="225"/>
          <w:kern w:val="0"/>
          <w:sz w:val="24"/>
          <w:szCs w:val="24"/>
          <w:u w:val="single" w:color="000000"/>
          <w:lang w:val="en-US" w:eastAsia="zh-CN" w:bidi="ar-SA"/>
        </w:rPr>
        <w:t xml:space="preserve">                    </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理</w:t>
      </w:r>
      <w:r>
        <w:rPr>
          <w:rFonts w:ascii="微软雅黑" w:hAnsi="微软雅黑" w:eastAsia="微软雅黑" w:cstheme="minorBidi"/>
          <w:spacing w:val="-3"/>
          <w:kern w:val="0"/>
          <w:sz w:val="24"/>
          <w:szCs w:val="24"/>
          <w:lang w:val="en-US" w:eastAsia="zh-CN" w:bidi="ar-SA"/>
        </w:rPr>
        <w:t>人：</w:t>
      </w:r>
      <w:r>
        <w:rPr>
          <w:rFonts w:hint="eastAsia" w:ascii="微软雅黑" w:hAnsi="微软雅黑" w:eastAsia="微软雅黑" w:cstheme="minorBidi"/>
          <w:spacing w:val="-3"/>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 xml:space="preserve">  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spacing w:val="-3"/>
          <w:kern w:val="0"/>
          <w:sz w:val="24"/>
          <w:szCs w:val="24"/>
          <w:u w:val="single"/>
          <w:lang w:val="en-US" w:eastAsia="zh-CN" w:bidi="ar-SA"/>
        </w:rPr>
        <w:t xml:space="preserve">                                               </w:t>
      </w:r>
    </w:p>
    <w:p>
      <w:pPr>
        <w:tabs>
          <w:tab w:val="left" w:pos="142"/>
          <w:tab w:val="left" w:pos="6643"/>
          <w:tab w:val="left" w:pos="7589"/>
          <w:tab w:val="left" w:pos="8533"/>
        </w:tabs>
        <w:wordWrap w:val="0"/>
        <w:spacing w:before="36" w:after="120" w:afterLines="50"/>
        <w:ind w:left="780" w:right="11" w:firstLine="480"/>
        <w:jc w:val="right"/>
        <w:outlineLvl w:val="9"/>
        <w:rPr>
          <w:rFonts w:hint="eastAsia"/>
          <w:lang w:val="en-US" w:eastAsia="zh-CN"/>
        </w:rPr>
      </w:pPr>
      <w:r>
        <w:rPr>
          <w:rFonts w:hint="eastAsia" w:ascii="微软雅黑" w:hAnsi="微软雅黑" w:eastAsia="微软雅黑" w:cstheme="minorBidi"/>
          <w:kern w:val="0"/>
          <w:sz w:val="24"/>
          <w:szCs w:val="24"/>
          <w:u w:val="single" w:color="000000"/>
          <w:lang w:val="en-US" w:eastAsia="zh-CN" w:bidi="ar-SA"/>
        </w:rPr>
        <w:t xml:space="preserve">        </w:t>
      </w:r>
      <w:r>
        <w:rPr>
          <w:rFonts w:hint="eastAsia"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spacing w:val="-3"/>
          <w:kern w:val="0"/>
          <w:sz w:val="24"/>
          <w:szCs w:val="24"/>
          <w:lang w:val="en-US" w:eastAsia="zh-CN" w:bidi="ar-SA"/>
        </w:rPr>
        <w:t>月</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日</w:t>
      </w:r>
    </w:p>
    <w:p>
      <w:pPr>
        <w:pStyle w:val="5"/>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5.4：专业资质（如涉及）</w:t>
      </w:r>
    </w:p>
    <w:p>
      <w:pPr>
        <w:rPr>
          <w:rFonts w:hint="eastAsia"/>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960" w:firstLineChars="40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专业资质证明</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p>
    <w:p>
      <w:pPr>
        <w:pStyle w:val="5"/>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5.5：质量健康安全环境体系文件</w:t>
      </w:r>
    </w:p>
    <w:p>
      <w:pPr>
        <w:rPr>
          <w:rFonts w:hint="eastAsia"/>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960" w:firstLineChars="40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三体系证明文件</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p>
    <w:p>
      <w:pPr>
        <w:pStyle w:val="5"/>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5.6：股权证明文件</w:t>
      </w:r>
    </w:p>
    <w:p>
      <w:pPr>
        <w:rPr>
          <w:rFonts w:hint="eastAsia"/>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960" w:firstLineChars="40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股权证明文件</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r>
        <w:rPr>
          <w:rFonts w:hint="eastAsia" w:ascii="宋体" w:hAnsi="宋体" w:eastAsia="宋体" w:cs="宋体"/>
          <w:b w:val="0"/>
          <w:bCs w:val="0"/>
          <w:sz w:val="24"/>
          <w:highlight w:val="none"/>
          <w:lang w:eastAsia="zh-CN"/>
        </w:rPr>
        <w:t>（应答人应在应答文件中提供其公司章程或其他能够体现出资人、股东信息的法定文件、</w:t>
      </w:r>
      <w:r>
        <w:rPr>
          <w:rFonts w:hint="eastAsia" w:ascii="宋体" w:hAnsi="宋体" w:eastAsia="宋体" w:cs="宋体"/>
          <w:b w:val="0"/>
          <w:bCs w:val="0"/>
          <w:sz w:val="24"/>
          <w:highlight w:val="none"/>
          <w:lang w:val="en-US" w:eastAsia="zh-CN"/>
        </w:rPr>
        <w:t>第三方网站查询记录截图</w:t>
      </w:r>
      <w:r>
        <w:rPr>
          <w:rFonts w:hint="eastAsia" w:ascii="宋体" w:hAnsi="宋体" w:eastAsia="宋体" w:cs="宋体"/>
          <w:b w:val="0"/>
          <w:bCs w:val="0"/>
          <w:sz w:val="24"/>
          <w:highlight w:val="none"/>
          <w:lang w:eastAsia="zh-CN"/>
        </w:rPr>
        <w:t>，此证明文件将作为评标/评审时的依据。）</w:t>
      </w:r>
    </w:p>
    <w:p>
      <w:pPr>
        <w:rPr>
          <w:rFonts w:hint="eastAsia"/>
          <w:lang w:val="en-US" w:eastAsia="zh-CN"/>
        </w:rPr>
      </w:pPr>
    </w:p>
    <w:p>
      <w:pPr>
        <w:rPr>
          <w:color w:val="0070C0"/>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4"/>
        <w:numPr>
          <w:ilvl w:val="-1"/>
          <w:numId w:val="0"/>
        </w:numPr>
        <w:rPr>
          <w:rFonts w:hint="eastAsia"/>
          <w:lang w:val="en-US" w:eastAsia="zh-CN"/>
        </w:rPr>
      </w:pPr>
    </w:p>
    <w:p>
      <w:pPr>
        <w:pStyle w:val="4"/>
        <w:numPr>
          <w:ilvl w:val="-1"/>
          <w:numId w:val="0"/>
        </w:numPr>
        <w:rPr>
          <w:rFonts w:hint="eastAsia"/>
          <w:lang w:val="en-US" w:eastAsia="zh-CN"/>
        </w:rPr>
      </w:pPr>
    </w:p>
    <w:p>
      <w:pPr>
        <w:rPr>
          <w:rFonts w:hint="eastAsia"/>
          <w:lang w:val="en-US" w:eastAsia="zh-CN"/>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3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9"/>
        <w:ind w:left="241" w:hanging="241" w:hangingChars="100"/>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5.7：供应商承诺书  </w:t>
      </w:r>
      <w:r>
        <w:rPr>
          <w:rFonts w:hint="eastAsia" w:ascii="黑体" w:hAnsi="黑体" w:eastAsia="黑体"/>
          <w:b/>
          <w:bCs/>
          <w:color w:val="C00000"/>
          <w:sz w:val="24"/>
          <w:szCs w:val="24"/>
          <w:highlight w:val="none"/>
          <w:lang w:val="en-US" w:eastAsia="zh-CN"/>
        </w:rPr>
        <w:t xml:space="preserve"> </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        </w:t>
      </w:r>
    </w:p>
    <w:p>
      <w:pPr>
        <w:rPr>
          <w:rFonts w:hint="eastAsia" w:ascii="黑体" w:hAnsi="黑体" w:eastAsia="黑体"/>
          <w:b/>
          <w:color w:val="000000" w:themeColor="text1"/>
          <w:sz w:val="36"/>
          <w:szCs w:val="36"/>
          <w:highlight w:val="none"/>
          <w14:textFill>
            <w14:solidFill>
              <w14:schemeClr w14:val="tx1"/>
            </w14:solidFill>
          </w14:textFill>
        </w:rPr>
      </w:pPr>
      <w:r>
        <w:rPr>
          <w:rFonts w:hint="eastAsia" w:ascii="黑体" w:hAnsi="黑体" w:eastAsia="黑体"/>
          <w:b/>
          <w:color w:val="000000" w:themeColor="text1"/>
          <w:sz w:val="36"/>
          <w:szCs w:val="36"/>
          <w:highlight w:val="none"/>
          <w14:textFill>
            <w14:solidFill>
              <w14:schemeClr w14:val="tx1"/>
            </w14:solidFill>
          </w14:textFill>
        </w:rPr>
        <w:br w:type="page"/>
      </w:r>
    </w:p>
    <w:p>
      <w:pPr>
        <w:jc w:val="center"/>
        <w:outlineLvl w:val="9"/>
        <w:rPr>
          <w:rFonts w:hint="eastAsia" w:eastAsiaTheme="minorEastAsia"/>
          <w:color w:val="C00000"/>
          <w:highlight w:val="none"/>
          <w:lang w:eastAsia="zh-CN"/>
        </w:rPr>
      </w:pPr>
      <w:r>
        <w:rPr>
          <w:rFonts w:hint="eastAsia" w:ascii="黑体" w:hAnsi="黑体" w:eastAsia="黑体"/>
          <w:b/>
          <w:color w:val="000000" w:themeColor="text1"/>
          <w:sz w:val="36"/>
          <w:szCs w:val="36"/>
          <w:highlight w:val="none"/>
          <w14:textFill>
            <w14:solidFill>
              <w14:schemeClr w14:val="tx1"/>
            </w14:solidFill>
          </w14:textFill>
        </w:rPr>
        <w:t>供应商承诺</w:t>
      </w:r>
      <w:r>
        <w:rPr>
          <w:rFonts w:hint="eastAsia" w:ascii="黑体" w:hAnsi="黑体" w:eastAsia="黑体"/>
          <w:b/>
          <w:color w:val="000000" w:themeColor="text1"/>
          <w:sz w:val="36"/>
          <w:szCs w:val="36"/>
          <w:highlight w:val="none"/>
          <w:lang w:val="en-US" w:eastAsia="zh-CN"/>
          <w14:textFill>
            <w14:solidFill>
              <w14:schemeClr w14:val="tx1"/>
            </w14:solidFill>
          </w14:textFill>
        </w:rPr>
        <w:t>书</w:t>
      </w:r>
      <w:r>
        <w:rPr>
          <w:rFonts w:hint="eastAsia"/>
          <w:lang w:eastAsia="zh-CN"/>
        </w:rPr>
        <w:t>（</w:t>
      </w:r>
      <w:r>
        <w:rPr>
          <w:rFonts w:hint="eastAsia"/>
          <w:lang w:val="en-US" w:eastAsia="zh-CN"/>
        </w:rPr>
        <w:t>制造商、集成商适用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中海油能源发展股份有限公司：</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我公司/单位对以下情况经认真核查后确认及承诺如下</w:t>
      </w:r>
      <w:r>
        <w:rPr>
          <w:rFonts w:hint="eastAsia" w:ascii="宋体" w:hAnsi="宋体" w:eastAsia="宋体" w:cs="宋体"/>
          <w:b/>
          <w:bCs/>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经查询</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信用中国”网站（https://www.creditchina.gov.cn/）或</w:t>
      </w:r>
      <w:r>
        <w:rPr>
          <w:rFonts w:hint="eastAsia" w:ascii="宋体" w:hAnsi="宋体" w:eastAsia="宋体" w:cs="宋体"/>
          <w:color w:val="000000" w:themeColor="text1"/>
          <w:sz w:val="21"/>
          <w:szCs w:val="21"/>
          <w:highlight w:val="none"/>
          <w14:textFill>
            <w14:solidFill>
              <w14:schemeClr w14:val="tx1"/>
            </w14:solidFill>
          </w14:textFill>
        </w:rPr>
        <w:t>“中国执行信息公开网”网站（http://zxgk.court.gov.cn/），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被列入失信被执行人名单；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经查询“国家企业信用信息公示系统”（http://www.gsxt.gov.cn），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被列入严重违法失信企业名单</w:t>
      </w:r>
      <w:r>
        <w:rPr>
          <w:rFonts w:hint="eastAsia" w:ascii="宋体" w:hAnsi="宋体" w:eastAsia="宋体" w:cs="宋体"/>
          <w:color w:val="000000" w:themeColor="text1"/>
          <w:sz w:val="21"/>
          <w:szCs w:val="21"/>
          <w:highlight w:val="none"/>
          <w:lang w:eastAsia="zh-CN"/>
          <w14:textFill>
            <w14:solidFill>
              <w14:schemeClr w14:val="tx1"/>
            </w14:solidFill>
          </w14:textFill>
        </w:rPr>
        <w:t>（事业单位、大学除外）</w:t>
      </w: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经查询“中国裁判文书网”（http://wenshu.court.gov.cn），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我公司及法定代表人和拟委任的项目负责人（2023年1月1日-报价截止日前）不</w:t>
      </w:r>
      <w:r>
        <w:rPr>
          <w:rFonts w:hint="eastAsia" w:ascii="宋体" w:hAnsi="宋体" w:eastAsia="宋体" w:cs="宋体"/>
          <w:color w:val="000000" w:themeColor="text1"/>
          <w:sz w:val="21"/>
          <w:szCs w:val="21"/>
          <w:highlight w:val="none"/>
          <w14:textFill>
            <w14:solidFill>
              <w14:schemeClr w14:val="tx1"/>
            </w14:solidFill>
          </w14:textFill>
        </w:rPr>
        <w:t>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我公司与本采购项目其他应答人</w:t>
      </w:r>
      <w:r>
        <w:rPr>
          <w:rFonts w:hint="eastAsia" w:ascii="宋体" w:hAnsi="宋体" w:eastAsia="宋体" w:cs="宋体"/>
          <w:color w:val="000000" w:themeColor="text1"/>
          <w:sz w:val="21"/>
          <w:szCs w:val="21"/>
          <w:highlight w:val="none"/>
          <w:lang w:val="en-US" w:eastAsia="zh-CN"/>
          <w14:textFill>
            <w14:solidFill>
              <w14:schemeClr w14:val="tx1"/>
            </w14:solidFill>
          </w14:textFill>
        </w:rPr>
        <w:t>不</w:t>
      </w:r>
      <w:r>
        <w:rPr>
          <w:rFonts w:hint="eastAsia" w:ascii="宋体" w:hAnsi="宋体" w:eastAsia="宋体" w:cs="宋体"/>
          <w:color w:val="000000" w:themeColor="text1"/>
          <w:sz w:val="21"/>
          <w:szCs w:val="21"/>
          <w:highlight w:val="none"/>
          <w:lang w:eastAsia="zh-CN"/>
          <w14:textFill>
            <w14:solidFill>
              <w14:schemeClr w14:val="tx1"/>
            </w14:solidFill>
          </w14:textFill>
        </w:rPr>
        <w:t>存在</w:t>
      </w:r>
      <w:r>
        <w:rPr>
          <w:rFonts w:hint="eastAsia" w:ascii="宋体" w:hAnsi="宋体" w:eastAsia="宋体" w:cs="宋体"/>
          <w:b/>
          <w:bCs/>
          <w:color w:val="000000" w:themeColor="text1"/>
          <w:sz w:val="21"/>
          <w:szCs w:val="21"/>
          <w:highlight w:val="none"/>
          <w:lang w:eastAsia="zh-CN"/>
          <w14:textFill>
            <w14:solidFill>
              <w14:schemeClr w14:val="tx1"/>
            </w14:solidFill>
          </w14:textFill>
        </w:rPr>
        <w:t>控股关系或管理关系</w:t>
      </w:r>
      <w:r>
        <w:rPr>
          <w:rFonts w:hint="eastAsia" w:ascii="宋体" w:hAnsi="宋体" w:eastAsia="宋体" w:cs="宋体"/>
          <w:color w:val="000000" w:themeColor="text1"/>
          <w:sz w:val="21"/>
          <w:szCs w:val="21"/>
          <w:highlight w:val="none"/>
          <w:lang w:eastAsia="zh-CN"/>
          <w14:textFill>
            <w14:solidFill>
              <w14:schemeClr w14:val="tx1"/>
            </w14:solidFill>
          </w14:textFill>
        </w:rPr>
        <w:t>、单位负责人为同一人，同一自然人同时持有两家公司非公开上市股份的情形。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经</w:t>
      </w:r>
      <w:r>
        <w:rPr>
          <w:rFonts w:hint="eastAsia" w:ascii="宋体" w:hAnsi="宋体" w:eastAsia="宋体" w:cs="宋体"/>
          <w:color w:val="000000" w:themeColor="text1"/>
          <w:sz w:val="21"/>
          <w:szCs w:val="21"/>
          <w:highlight w:val="none"/>
          <w:lang w:val="en-US" w:eastAsia="zh-CN"/>
          <w14:textFill>
            <w14:solidFill>
              <w14:schemeClr w14:val="tx1"/>
            </w14:solidFill>
          </w14:textFill>
        </w:rPr>
        <w:t>确认，我公司</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不存在中国海油员工</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（不含中国海油正式派出的）、海油发展离职未满三年的员工在我公司担任股东、法人代表、董事、监事和其他任职人员</w:t>
      </w: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6、我公司如涉及雇用农民工，承诺与农民工签订劳动合同，及时、足额发放工资、缴纳社会保险费用，且不拖欠农民工工资。</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kern w:val="0"/>
          <w:sz w:val="21"/>
          <w:szCs w:val="21"/>
          <w:highlight w:val="none"/>
          <w:lang w:val="en-US" w:eastAsia="zh-CN" w:bidi="ar-SA"/>
        </w:rPr>
      </w:pPr>
      <w:r>
        <w:rPr>
          <w:rFonts w:hint="eastAsia" w:cs="宋体"/>
          <w:color w:val="000000" w:themeColor="text1"/>
          <w:sz w:val="21"/>
          <w:szCs w:val="21"/>
          <w:highlight w:val="none"/>
          <w:lang w:val="en-US" w:eastAsia="zh-CN"/>
          <w14:textFill>
            <w14:solidFill>
              <w14:schemeClr w14:val="tx1"/>
            </w14:solidFill>
          </w14:textFill>
        </w:rPr>
        <w:t>7、我公司承</w:t>
      </w:r>
      <w:r>
        <w:rPr>
          <w:rFonts w:hint="eastAsia" w:ascii="宋体" w:hAnsi="宋体" w:eastAsia="宋体" w:cs="宋体"/>
          <w:kern w:val="0"/>
          <w:sz w:val="21"/>
          <w:szCs w:val="21"/>
          <w:highlight w:val="none"/>
          <w:lang w:val="en-US" w:eastAsia="zh-CN" w:bidi="ar-SA"/>
        </w:rPr>
        <w:t>诺积极响应国家节能减排和绿色环保政策，切实推进绿色供应链建设。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8、我公司为：□中小微企业；□大型企业；□国有企业、事业单位、大学；□境外或港澳台企业。</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420"/>
        <w:textAlignment w:val="auto"/>
        <w:rPr>
          <w:rFonts w:hint="eastAsia" w:cs="宋体"/>
          <w:b/>
          <w:bCs/>
          <w:color w:val="000000" w:themeColor="text1"/>
          <w:kern w:val="2"/>
          <w:sz w:val="21"/>
          <w:szCs w:val="21"/>
          <w:highlight w:val="none"/>
          <w:lang w:val="en-US" w:eastAsia="zh-CN"/>
          <w14:textFill>
            <w14:solidFill>
              <w14:schemeClr w14:val="tx1"/>
            </w14:solidFill>
          </w14:textFill>
        </w:rPr>
      </w:pPr>
      <w:r>
        <w:rPr>
          <w:rFonts w:hint="eastAsia" w:cs="宋体"/>
          <w:b/>
          <w:bCs/>
          <w:color w:val="000000" w:themeColor="text1"/>
          <w:kern w:val="2"/>
          <w:sz w:val="21"/>
          <w:szCs w:val="21"/>
          <w:highlight w:val="none"/>
          <w:lang w:val="en-US" w:eastAsia="zh-CN"/>
          <w14:textFill>
            <w14:solidFill>
              <w14:schemeClr w14:val="tx1"/>
            </w14:solidFill>
          </w14:textFill>
        </w:rPr>
        <w:t>9、</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我公司此次</w:t>
      </w:r>
      <w:r>
        <w:rPr>
          <w:rFonts w:hint="eastAsia" w:cs="宋体"/>
          <w:b/>
          <w:bCs/>
          <w:color w:val="000000" w:themeColor="text1"/>
          <w:sz w:val="21"/>
          <w:szCs w:val="21"/>
          <w:highlight w:val="none"/>
          <w:lang w:val="en-US" w:eastAsia="zh-CN"/>
          <w14:textFill>
            <w14:solidFill>
              <w14:schemeClr w14:val="tx1"/>
            </w14:solidFill>
          </w14:textFill>
        </w:rPr>
        <w:t>应答</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涉及供应商属性为：□</w:t>
      </w:r>
      <w:r>
        <w:rPr>
          <w:rFonts w:hint="eastAsia" w:cs="宋体"/>
          <w:b/>
          <w:bCs/>
          <w:color w:val="000000" w:themeColor="text1"/>
          <w:sz w:val="21"/>
          <w:szCs w:val="21"/>
          <w:highlight w:val="none"/>
          <w:lang w:val="en-US" w:eastAsia="zh-CN"/>
          <w14:textFill>
            <w14:solidFill>
              <w14:schemeClr w14:val="tx1"/>
            </w14:solidFill>
          </w14:textFill>
        </w:rPr>
        <w:t>制造商；</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w:t>
      </w:r>
      <w:r>
        <w:rPr>
          <w:rFonts w:hint="eastAsia" w:cs="宋体"/>
          <w:b/>
          <w:bCs/>
          <w:color w:val="000000" w:themeColor="text1"/>
          <w:sz w:val="21"/>
          <w:szCs w:val="21"/>
          <w:highlight w:val="none"/>
          <w:lang w:val="en-US" w:eastAsia="zh-CN"/>
          <w14:textFill>
            <w14:solidFill>
              <w14:schemeClr w14:val="tx1"/>
            </w14:solidFill>
          </w14:textFill>
        </w:rPr>
        <w:t>集成商；并按照附件5.8提供属性证明书和相关支持文件</w:t>
      </w:r>
      <w:r>
        <w:rPr>
          <w:rFonts w:hint="eastAsia" w:cs="宋体"/>
          <w:b/>
          <w:bCs/>
          <w:color w:val="000000" w:themeColor="text1"/>
          <w:kern w:val="2"/>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rPr>
      </w:pPr>
      <w:r>
        <w:rPr>
          <w:rFonts w:hint="eastAsia" w:ascii="宋体" w:hAnsi="宋体" w:eastAsia="宋体" w:cs="宋体"/>
          <w:b/>
          <w:bCs/>
          <w:color w:val="000000" w:themeColor="text1"/>
          <w:sz w:val="21"/>
          <w:szCs w:val="21"/>
          <w:highlight w:val="none"/>
          <w14:textFill>
            <w14:solidFill>
              <w14:schemeClr w14:val="tx1"/>
            </w14:solidFill>
          </w14:textFill>
        </w:rPr>
        <w:t>郑重承诺：</w:t>
      </w:r>
      <w:r>
        <w:rPr>
          <w:rFonts w:hint="eastAsia" w:ascii="宋体" w:hAnsi="宋体" w:eastAsia="宋体" w:cs="宋体"/>
          <w:color w:val="000000" w:themeColor="text1"/>
          <w:sz w:val="21"/>
          <w:szCs w:val="21"/>
          <w:highlight w:val="none"/>
          <w14:textFill>
            <w14:solidFill>
              <w14:schemeClr w14:val="tx1"/>
            </w14:solidFill>
          </w14:textFill>
        </w:rPr>
        <w:t>我公司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r>
        <w:rPr>
          <w:rFonts w:hint="eastAsia" w:ascii="宋体" w:hAnsi="宋体" w:eastAsia="宋体" w:cs="宋体"/>
          <w:color w:val="000000" w:themeColor="text1"/>
          <w:sz w:val="21"/>
          <w:szCs w:val="21"/>
          <w:highlight w:val="none"/>
          <w14:textFill>
            <w14:solidFill>
              <w14:schemeClr w14:val="tx1"/>
            </w14:solidFill>
          </w14:textFill>
        </w:rPr>
        <w:t>在</w:t>
      </w:r>
      <w:r>
        <w:rPr>
          <w:rFonts w:hint="eastAsia" w:ascii="宋体" w:hAnsi="宋体" w:eastAsia="宋体" w:cs="宋体"/>
          <w:color w:val="000000" w:themeColor="text1"/>
          <w:sz w:val="21"/>
          <w:szCs w:val="21"/>
          <w:highlight w:val="none"/>
          <w:lang w:val="en-US" w:eastAsia="zh-CN"/>
          <w14:textFill>
            <w14:solidFill>
              <w14:schemeClr w14:val="tx1"/>
            </w14:solidFill>
          </w14:textFill>
        </w:rPr>
        <w:t>本次</w:t>
      </w:r>
      <w:r>
        <w:rPr>
          <w:rFonts w:hint="eastAsia" w:ascii="宋体" w:hAnsi="宋体" w:eastAsia="宋体" w:cs="宋体"/>
          <w:color w:val="000000" w:themeColor="text1"/>
          <w:sz w:val="21"/>
          <w:szCs w:val="21"/>
          <w:highlight w:val="none"/>
          <w14:textFill>
            <w14:solidFill>
              <w14:schemeClr w14:val="tx1"/>
            </w14:solidFill>
          </w14:textFill>
        </w:rPr>
        <w:t>采办项目中</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将严格遵守法律法规和中国海油各项管理要求</w:t>
      </w:r>
      <w:r>
        <w:rPr>
          <w:rFonts w:hint="eastAsia" w:ascii="宋体" w:hAnsi="宋体" w:eastAsia="宋体" w:cs="宋体"/>
          <w:color w:val="000000" w:themeColor="text1"/>
          <w:sz w:val="21"/>
          <w:szCs w:val="21"/>
          <w:highlight w:val="none"/>
          <w14:textFill>
            <w14:solidFill>
              <w14:schemeClr w14:val="tx1"/>
            </w14:solidFill>
          </w14:textFill>
        </w:rPr>
        <w:t>，不发生关联公司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共同</w:t>
      </w:r>
      <w:r>
        <w:rPr>
          <w:rFonts w:hint="eastAsia" w:ascii="宋体" w:hAnsi="宋体" w:eastAsia="宋体" w:cs="宋体"/>
          <w:color w:val="000000" w:themeColor="text1"/>
          <w:sz w:val="21"/>
          <w:szCs w:val="21"/>
          <w:highlight w:val="none"/>
          <w14:textFill>
            <w14:solidFill>
              <w14:schemeClr w14:val="tx1"/>
            </w14:solidFill>
          </w14:textFill>
        </w:rPr>
        <w:t>参与</w:t>
      </w:r>
      <w:r>
        <w:rPr>
          <w:rFonts w:hint="eastAsia" w:ascii="宋体" w:hAnsi="宋体" w:eastAsia="宋体" w:cs="宋体"/>
          <w:color w:val="000000" w:themeColor="text1"/>
          <w:sz w:val="21"/>
          <w:szCs w:val="21"/>
          <w:highlight w:val="none"/>
          <w:lang w:val="en-US" w:eastAsia="zh-CN"/>
          <w14:textFill>
            <w14:solidFill>
              <w14:schemeClr w14:val="tx1"/>
            </w14:solidFill>
          </w14:textFill>
        </w:rPr>
        <w:t>采办</w:t>
      </w:r>
      <w:r>
        <w:rPr>
          <w:rFonts w:hint="eastAsia" w:ascii="宋体" w:hAnsi="宋体" w:eastAsia="宋体" w:cs="宋体"/>
          <w:color w:val="000000" w:themeColor="text1"/>
          <w:sz w:val="21"/>
          <w:szCs w:val="21"/>
          <w:highlight w:val="none"/>
          <w14:textFill>
            <w14:solidFill>
              <w14:schemeClr w14:val="tx1"/>
            </w14:solidFill>
          </w14:textFill>
        </w:rPr>
        <w:t>竞争情况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不发生围标串标情况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我公司所提供信息真实、准确、合法、有效，不存在为规避中海油能源发展股份有限公司（简称“海油发展”）有关要求采取的变通行为</w:t>
      </w:r>
      <w:r>
        <w:rPr>
          <w:rFonts w:hint="eastAsia" w:ascii="宋体" w:hAnsi="宋体" w:eastAsia="宋体" w:cs="宋体"/>
          <w:color w:val="000000" w:themeColor="text1"/>
          <w:sz w:val="21"/>
          <w:szCs w:val="21"/>
          <w:highlight w:val="none"/>
          <w:lang w:eastAsia="zh-CN"/>
          <w14:textFill>
            <w14:solidFill>
              <w14:schemeClr w14:val="tx1"/>
            </w14:solidFill>
          </w14:textFill>
        </w:rPr>
        <w:t>；我公司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r>
        <w:rPr>
          <w:rFonts w:hint="eastAsia" w:ascii="宋体" w:hAnsi="宋体" w:eastAsia="宋体" w:cs="宋体"/>
          <w:color w:val="000000" w:themeColor="text1"/>
          <w:sz w:val="21"/>
          <w:szCs w:val="21"/>
          <w:highlight w:val="none"/>
          <w:lang w:eastAsia="zh-CN"/>
          <w14:textFill>
            <w14:solidFill>
              <w14:schemeClr w14:val="tx1"/>
            </w14:solidFill>
          </w14:textFill>
        </w:rPr>
        <w:t>将严格遵守国家相关法律法规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lang w:eastAsia="zh-CN"/>
          <w14:textFill>
            <w14:solidFill>
              <w14:schemeClr w14:val="tx1"/>
            </w14:solidFill>
          </w14:textFill>
        </w:rPr>
        <w:t>对供应商管理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及准入时效</w:t>
      </w:r>
      <w:r>
        <w:rPr>
          <w:rFonts w:hint="eastAsia" w:ascii="宋体" w:hAnsi="宋体" w:eastAsia="宋体" w:cs="宋体"/>
          <w:color w:val="000000" w:themeColor="text1"/>
          <w:sz w:val="21"/>
          <w:szCs w:val="21"/>
          <w:highlight w:val="none"/>
          <w:lang w:eastAsia="zh-CN"/>
          <w14:textFill>
            <w14:solidFill>
              <w14:schemeClr w14:val="tx1"/>
            </w14:solidFill>
          </w14:textFill>
        </w:rPr>
        <w:t>的要求，</w:t>
      </w:r>
      <w:r>
        <w:rPr>
          <w:rFonts w:hint="eastAsia" w:ascii="宋体" w:hAnsi="宋体" w:eastAsia="宋体" w:cs="宋体"/>
          <w:color w:val="000000" w:themeColor="text1"/>
          <w:sz w:val="21"/>
          <w:szCs w:val="21"/>
          <w:highlight w:val="none"/>
          <w14:textFill>
            <w14:solidFill>
              <w14:schemeClr w14:val="tx1"/>
            </w14:solidFill>
          </w14:textFill>
        </w:rPr>
        <w:t>无条件接</w:t>
      </w:r>
      <w:r>
        <w:rPr>
          <w:rFonts w:hint="eastAsia" w:ascii="宋体" w:hAnsi="宋体" w:eastAsia="宋体" w:cs="宋体"/>
          <w:color w:val="000000" w:themeColor="text1"/>
          <w:sz w:val="21"/>
          <w:szCs w:val="21"/>
          <w:highlight w:val="none"/>
          <w:lang w:val="en-US" w:eastAsia="zh-CN"/>
          <w14:textFill>
            <w14:solidFill>
              <w14:schemeClr w14:val="tx1"/>
            </w14:solidFill>
          </w14:textFill>
        </w:rPr>
        <w:t>受</w:t>
      </w:r>
      <w:r>
        <w:rPr>
          <w:rFonts w:hint="eastAsia" w:ascii="宋体" w:hAnsi="宋体" w:eastAsia="宋体" w:cs="宋体"/>
          <w:color w:val="000000" w:themeColor="text1"/>
          <w:sz w:val="21"/>
          <w:szCs w:val="21"/>
          <w:highlight w:val="none"/>
          <w14:textFill>
            <w14:solidFill>
              <w14:schemeClr w14:val="tx1"/>
            </w14:solidFill>
          </w14:textFill>
        </w:rPr>
        <w:t>和配合海油发展或海油发展委托的有关机构进行的与上述内容相关的</w:t>
      </w:r>
      <w:r>
        <w:rPr>
          <w:rFonts w:hint="eastAsia" w:ascii="宋体" w:hAnsi="宋体" w:eastAsia="宋体" w:cs="宋体"/>
          <w:color w:val="000000" w:themeColor="text1"/>
          <w:sz w:val="21"/>
          <w:szCs w:val="21"/>
          <w:highlight w:val="none"/>
          <w:lang w:val="en-US" w:eastAsia="zh-CN"/>
          <w14:textFill>
            <w14:solidFill>
              <w14:schemeClr w14:val="tx1"/>
            </w14:solidFill>
          </w14:textFill>
        </w:rPr>
        <w:t>现场考察、核查与审计</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若现场考察、核查与审计发现本供应商承诺内容与实际情况存在实质性偏差，采购人有权取消我公司/单位成交资格并按照</w:t>
      </w:r>
      <w:r>
        <w:rPr>
          <w:rFonts w:hint="eastAsia" w:ascii="宋体" w:hAnsi="宋体" w:eastAsia="宋体" w:cs="宋体"/>
          <w:color w:val="000000" w:themeColor="text1"/>
          <w:sz w:val="21"/>
          <w:szCs w:val="21"/>
          <w:highlight w:val="none"/>
          <w14:textFill>
            <w14:solidFill>
              <w14:schemeClr w14:val="tx1"/>
            </w14:solidFill>
          </w14:textFill>
        </w:rPr>
        <w:t>相关管理规定</w:t>
      </w:r>
      <w:r>
        <w:rPr>
          <w:rFonts w:hint="eastAsia" w:ascii="宋体" w:hAnsi="宋体" w:eastAsia="宋体" w:cs="宋体"/>
          <w:color w:val="000000" w:themeColor="text1"/>
          <w:sz w:val="21"/>
          <w:szCs w:val="21"/>
          <w:highlight w:val="none"/>
          <w:lang w:val="en-US" w:eastAsia="zh-CN"/>
          <w14:textFill>
            <w14:solidFill>
              <w14:schemeClr w14:val="tx1"/>
            </w14:solidFill>
          </w14:textFill>
        </w:rPr>
        <w:t>进行处理。</w:t>
      </w:r>
      <w:r>
        <w:rPr>
          <w:rFonts w:hint="eastAsia" w:ascii="宋体" w:hAnsi="宋体" w:eastAsia="宋体" w:cs="宋体"/>
          <w:color w:val="000000" w:themeColor="text1"/>
          <w:sz w:val="21"/>
          <w:szCs w:val="21"/>
          <w:highlight w:val="none"/>
          <w14:textFill>
            <w14:solidFill>
              <w14:schemeClr w14:val="tx1"/>
            </w14:solidFill>
          </w14:textFill>
        </w:rPr>
        <w:t>上述</w:t>
      </w:r>
      <w:r>
        <w:rPr>
          <w:rFonts w:hint="eastAsia" w:ascii="宋体" w:hAnsi="宋体" w:eastAsia="宋体" w:cs="宋体"/>
          <w:color w:val="000000" w:themeColor="text1"/>
          <w:sz w:val="21"/>
          <w:szCs w:val="21"/>
          <w:highlight w:val="none"/>
          <w:lang w:val="en-US" w:eastAsia="zh-CN"/>
          <w14:textFill>
            <w14:solidFill>
              <w14:schemeClr w14:val="tx1"/>
            </w14:solidFill>
          </w14:textFill>
        </w:rPr>
        <w:t>承诺</w:t>
      </w:r>
      <w:r>
        <w:rPr>
          <w:rFonts w:hint="eastAsia" w:ascii="宋体" w:hAnsi="宋体" w:eastAsia="宋体" w:cs="宋体"/>
          <w:color w:val="000000" w:themeColor="text1"/>
          <w:sz w:val="21"/>
          <w:szCs w:val="21"/>
          <w:highlight w:val="none"/>
          <w14:textFill>
            <w14:solidFill>
              <w14:schemeClr w14:val="tx1"/>
            </w14:solidFill>
          </w14:textFill>
        </w:rPr>
        <w:t>信息如有虚假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不实或在中标后违反，</w:t>
      </w:r>
      <w:r>
        <w:rPr>
          <w:rFonts w:hint="eastAsia" w:ascii="宋体" w:hAnsi="宋体" w:eastAsia="宋体" w:cs="宋体"/>
          <w:color w:val="000000" w:themeColor="text1"/>
          <w:sz w:val="21"/>
          <w:szCs w:val="21"/>
          <w:highlight w:val="none"/>
          <w14:textFill>
            <w14:solidFill>
              <w14:schemeClr w14:val="tx1"/>
            </w14:solidFill>
          </w14:textFill>
        </w:rPr>
        <w:t>我公司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/单位</w:t>
      </w:r>
      <w:r>
        <w:rPr>
          <w:rFonts w:hint="eastAsia" w:ascii="宋体" w:hAnsi="宋体" w:eastAsia="宋体" w:cs="宋体"/>
          <w:color w:val="000000" w:themeColor="text1"/>
          <w:sz w:val="21"/>
          <w:szCs w:val="21"/>
          <w:highlight w:val="none"/>
          <w14:textFill>
            <w14:solidFill>
              <w14:schemeClr w14:val="tx1"/>
            </w14:solidFill>
          </w14:textFill>
        </w:rPr>
        <w:t>将承担相关责任，并按照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14:textFill>
            <w14:solidFill>
              <w14:schemeClr w14:val="tx1"/>
            </w14:solidFill>
          </w14:textFill>
        </w:rPr>
        <w:t>相关管理规定</w:t>
      </w:r>
      <w:r>
        <w:rPr>
          <w:rFonts w:hint="eastAsia" w:ascii="宋体" w:hAnsi="宋体" w:eastAsia="宋体" w:cs="宋体"/>
          <w:color w:val="000000" w:themeColor="text1"/>
          <w:sz w:val="21"/>
          <w:szCs w:val="21"/>
          <w:highlight w:val="none"/>
          <w:lang w:val="en-US" w:eastAsia="zh-CN"/>
          <w14:textFill>
            <w14:solidFill>
              <w14:schemeClr w14:val="tx1"/>
            </w14:solidFill>
          </w14:textFill>
        </w:rPr>
        <w:t>无条件</w:t>
      </w:r>
      <w:r>
        <w:rPr>
          <w:rFonts w:hint="eastAsia" w:ascii="宋体" w:hAnsi="宋体" w:eastAsia="宋体" w:cs="宋体"/>
          <w:color w:val="000000" w:themeColor="text1"/>
          <w:sz w:val="21"/>
          <w:szCs w:val="21"/>
          <w:highlight w:val="none"/>
          <w14:textFill>
            <w14:solidFill>
              <w14:schemeClr w14:val="tx1"/>
            </w14:solidFill>
          </w14:textFill>
        </w:rPr>
        <w:t>接受处</w:t>
      </w:r>
      <w:r>
        <w:rPr>
          <w:rFonts w:hint="eastAsia" w:ascii="宋体" w:hAnsi="宋体" w:eastAsia="宋体" w:cs="宋体"/>
          <w:color w:val="000000" w:themeColor="text1"/>
          <w:sz w:val="21"/>
          <w:szCs w:val="21"/>
          <w:highlight w:val="none"/>
          <w:lang w:val="en-US" w:eastAsia="zh-CN"/>
          <w14:textFill>
            <w14:solidFill>
              <w14:schemeClr w14:val="tx1"/>
            </w14:solidFill>
          </w14:textFill>
        </w:rPr>
        <w:t>理</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40"/>
        <w:jc w:val="center"/>
        <w:textAlignment w:val="auto"/>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（公司/单位盖章）</w:t>
      </w:r>
      <w:r>
        <w:rPr>
          <w:rFonts w:hint="eastAsia" w:ascii="宋体" w:hAnsi="宋体" w:eastAsia="宋体" w:cs="宋体"/>
          <w:color w:val="000000" w:themeColor="text1"/>
          <w:sz w:val="21"/>
          <w:szCs w:val="21"/>
          <w:highlight w:val="none"/>
          <w:lang w:val="en-US" w:eastAsia="zh-CN"/>
          <w14:textFill>
            <w14:solidFill>
              <w14:schemeClr w14:val="tx1"/>
            </w14:solidFill>
          </w14:textFill>
        </w:rPr>
        <w:br w:type="textWrapping"/>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年    月    日</w:t>
      </w:r>
    </w:p>
    <w:p>
      <w:pPr>
        <w:pStyle w:val="4"/>
        <w:numPr>
          <w:ilvl w:val="0"/>
          <w:numId w:val="0"/>
        </w:numPr>
        <w:ind w:leftChars="0"/>
        <w:rPr>
          <w:rFonts w:hint="eastAsia" w:ascii="黑体" w:hAnsi="黑体" w:eastAsia="黑体"/>
          <w:b/>
          <w:color w:val="000000" w:themeColor="text1"/>
          <w:sz w:val="36"/>
          <w:szCs w:val="36"/>
          <w:highlight w:val="none"/>
          <w:lang w:val="en-US" w:eastAsia="zh-CN"/>
          <w14:textFill>
            <w14:solidFill>
              <w14:schemeClr w14:val="tx1"/>
            </w14:solidFill>
          </w14:textFill>
        </w:rPr>
      </w:pPr>
      <w:r>
        <w:rPr>
          <w:rFonts w:hint="eastAsia" w:ascii="黑体" w:hAnsi="黑体" w:eastAsia="黑体"/>
          <w:b/>
          <w:color w:val="000000" w:themeColor="text1"/>
          <w:sz w:val="36"/>
          <w:szCs w:val="36"/>
          <w:highlight w:val="none"/>
          <w:lang w:val="en-US" w:eastAsia="zh-CN"/>
          <w14:textFill>
            <w14:solidFill>
              <w14:schemeClr w14:val="tx1"/>
            </w14:solidFill>
          </w14:textFill>
        </w:rPr>
        <w:t xml:space="preserve">  </w:t>
      </w:r>
    </w:p>
    <w:p>
      <w:pPr>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15"/>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8"/>
        <w:rPr>
          <w:rFonts w:hint="eastAsia" w:ascii="黑体" w:hAnsi="黑体" w:eastAsia="黑体"/>
          <w:b/>
          <w:color w:val="000000" w:themeColor="text1"/>
          <w:sz w:val="36"/>
          <w:szCs w:val="36"/>
          <w:highlight w:val="none"/>
          <w:lang w:val="en-US" w:eastAsia="zh-CN"/>
          <w14:textFill>
            <w14:solidFill>
              <w14:schemeClr w14:val="tx1"/>
            </w14:solidFill>
          </w14:textFill>
        </w:rPr>
      </w:pPr>
    </w:p>
    <w:p>
      <w:pPr>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15"/>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8"/>
        <w:rPr>
          <w:rFonts w:hint="eastAsia" w:ascii="黑体" w:hAnsi="黑体" w:eastAsia="黑体"/>
          <w:b/>
          <w:color w:val="000000" w:themeColor="text1"/>
          <w:sz w:val="36"/>
          <w:szCs w:val="36"/>
          <w:highlight w:val="none"/>
          <w:lang w:val="en-US" w:eastAsia="zh-CN"/>
          <w14:textFill>
            <w14:solidFill>
              <w14:schemeClr w14:val="tx1"/>
            </w14:solidFill>
          </w14:textFill>
        </w:rPr>
      </w:pPr>
    </w:p>
    <w:p>
      <w:pPr>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15"/>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8"/>
        <w:rPr>
          <w:rFonts w:hint="eastAsia" w:ascii="黑体" w:hAnsi="黑体" w:eastAsia="黑体"/>
          <w:b/>
          <w:color w:val="000000" w:themeColor="text1"/>
          <w:sz w:val="36"/>
          <w:szCs w:val="36"/>
          <w:highlight w:val="none"/>
          <w:lang w:val="en-US" w:eastAsia="zh-CN"/>
          <w14:textFill>
            <w14:solidFill>
              <w14:schemeClr w14:val="tx1"/>
            </w14:solidFill>
          </w14:textFill>
        </w:rPr>
      </w:pPr>
    </w:p>
    <w:p>
      <w:pPr>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15"/>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8"/>
        <w:rPr>
          <w:rFonts w:hint="eastAsia" w:ascii="黑体" w:hAnsi="黑体" w:eastAsia="黑体"/>
          <w:b/>
          <w:color w:val="000000" w:themeColor="text1"/>
          <w:sz w:val="36"/>
          <w:szCs w:val="36"/>
          <w:highlight w:val="none"/>
          <w:lang w:val="en-US" w:eastAsia="zh-CN"/>
          <w14:textFill>
            <w14:solidFill>
              <w14:schemeClr w14:val="tx1"/>
            </w14:solidFill>
          </w14:textFill>
        </w:rPr>
      </w:pPr>
    </w:p>
    <w:p>
      <w:pPr>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15"/>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8"/>
        <w:rPr>
          <w:rFonts w:hint="eastAsia" w:ascii="黑体" w:hAnsi="黑体" w:eastAsia="黑体"/>
          <w:b/>
          <w:color w:val="000000" w:themeColor="text1"/>
          <w:sz w:val="36"/>
          <w:szCs w:val="36"/>
          <w:highlight w:val="none"/>
          <w:lang w:val="en-US" w:eastAsia="zh-CN"/>
          <w14:textFill>
            <w14:solidFill>
              <w14:schemeClr w14:val="tx1"/>
            </w14:solidFill>
          </w14:textFill>
        </w:rPr>
      </w:pPr>
    </w:p>
    <w:p>
      <w:pPr>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15"/>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8"/>
        <w:rPr>
          <w:rFonts w:hint="eastAsia" w:ascii="黑体" w:hAnsi="黑体" w:eastAsia="黑体"/>
          <w:b/>
          <w:color w:val="000000" w:themeColor="text1"/>
          <w:sz w:val="36"/>
          <w:szCs w:val="36"/>
          <w:highlight w:val="none"/>
          <w:lang w:val="en-US" w:eastAsia="zh-CN"/>
          <w14:textFill>
            <w14:solidFill>
              <w14:schemeClr w14:val="tx1"/>
            </w14:solidFill>
          </w14:textFill>
        </w:rPr>
      </w:pPr>
    </w:p>
    <w:p>
      <w:pPr>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15"/>
        <w:rPr>
          <w:rFonts w:hint="eastAsia" w:ascii="黑体" w:hAnsi="黑体" w:eastAsia="黑体"/>
          <w:b/>
          <w:color w:val="000000" w:themeColor="text1"/>
          <w:sz w:val="36"/>
          <w:szCs w:val="36"/>
          <w:highlight w:val="none"/>
          <w:lang w:val="en-US" w:eastAsia="zh-CN"/>
          <w14:textFill>
            <w14:solidFill>
              <w14:schemeClr w14:val="tx1"/>
            </w14:solidFill>
          </w14:textFill>
        </w:rPr>
      </w:pPr>
    </w:p>
    <w:p>
      <w:pPr>
        <w:pStyle w:val="8"/>
        <w:rPr>
          <w:rFonts w:hint="eastAsia"/>
          <w:lang w:val="en-US" w:eastAsia="zh-CN"/>
        </w:rPr>
      </w:pPr>
    </w:p>
    <w:p/>
    <w:p>
      <w:pPr>
        <w:pStyle w:val="4"/>
        <w:numPr>
          <w:ilvl w:val="0"/>
          <w:numId w:val="0"/>
        </w:numPr>
        <w:ind w:leftChars="0"/>
        <w:rPr>
          <w:rFonts w:hint="eastAsia" w:ascii="黑体" w:hAnsi="黑体" w:eastAsia="黑体" w:cstheme="minorBidi"/>
          <w:b/>
          <w:bCs/>
          <w:color w:val="auto"/>
          <w:kern w:val="2"/>
          <w:sz w:val="24"/>
          <w:szCs w:val="24"/>
          <w:lang w:val="en-US" w:eastAsia="zh-CN" w:bidi="ar-SA"/>
        </w:rPr>
      </w:pPr>
    </w:p>
    <w:p>
      <w:pPr>
        <w:pStyle w:val="4"/>
        <w:numPr>
          <w:ilvl w:val="0"/>
          <w:numId w:val="0"/>
        </w:numPr>
        <w:ind w:leftChars="0"/>
        <w:rPr>
          <w:rFonts w:hint="eastAsia" w:ascii="仿宋" w:hAnsi="仿宋" w:eastAsia="仿宋" w:cs="仿宋"/>
          <w:b/>
          <w:bCs/>
          <w:sz w:val="44"/>
          <w:szCs w:val="44"/>
          <w:lang w:val="en-US" w:eastAsia="zh-CN"/>
        </w:rPr>
      </w:pPr>
      <w:r>
        <w:rPr>
          <w:rFonts w:hint="eastAsia" w:ascii="黑体" w:hAnsi="黑体" w:eastAsia="黑体" w:cstheme="minorBidi"/>
          <w:b/>
          <w:bCs/>
          <w:color w:val="auto"/>
          <w:kern w:val="2"/>
          <w:sz w:val="24"/>
          <w:szCs w:val="24"/>
          <w:lang w:val="en-US" w:eastAsia="zh-CN" w:bidi="ar-SA"/>
        </w:rPr>
        <w:t>5.</w:t>
      </w:r>
      <w:r>
        <w:rPr>
          <w:rFonts w:hint="eastAsia" w:ascii="黑体" w:hAnsi="黑体" w:cstheme="minorBidi"/>
          <w:b/>
          <w:bCs/>
          <w:color w:val="auto"/>
          <w:kern w:val="2"/>
          <w:sz w:val="24"/>
          <w:szCs w:val="24"/>
          <w:lang w:val="en-US" w:eastAsia="zh-CN" w:bidi="ar-SA"/>
        </w:rPr>
        <w:t>8</w:t>
      </w:r>
      <w:r>
        <w:rPr>
          <w:rFonts w:hint="eastAsia" w:ascii="黑体" w:hAnsi="黑体" w:eastAsia="黑体" w:cstheme="minorBidi"/>
          <w:b/>
          <w:bCs/>
          <w:color w:val="auto"/>
          <w:kern w:val="2"/>
          <w:sz w:val="24"/>
          <w:szCs w:val="24"/>
          <w:lang w:val="en-US" w:eastAsia="zh-CN" w:bidi="ar-SA"/>
        </w:rPr>
        <w:t>：制造商</w:t>
      </w:r>
      <w:r>
        <w:rPr>
          <w:rFonts w:hint="eastAsia" w:ascii="黑体" w:hAnsi="黑体" w:cstheme="minorBidi"/>
          <w:b/>
          <w:bCs/>
          <w:color w:val="auto"/>
          <w:kern w:val="2"/>
          <w:sz w:val="24"/>
          <w:szCs w:val="24"/>
          <w:lang w:val="en-US" w:eastAsia="zh-CN" w:bidi="ar-SA"/>
        </w:rPr>
        <w:t>属性证明</w:t>
      </w:r>
      <w:r>
        <w:rPr>
          <w:rFonts w:hint="eastAsia" w:ascii="黑体" w:hAnsi="黑体" w:eastAsia="黑体" w:cstheme="minorBidi"/>
          <w:b/>
          <w:bCs/>
          <w:color w:val="auto"/>
          <w:kern w:val="2"/>
          <w:sz w:val="24"/>
          <w:szCs w:val="24"/>
          <w:lang w:val="en-US" w:eastAsia="zh-CN" w:bidi="ar-SA"/>
        </w:rPr>
        <w:t>书</w:t>
      </w:r>
    </w:p>
    <w:p>
      <w:pPr>
        <w:keepNext w:val="0"/>
        <w:keepLines w:val="0"/>
        <w:widowControl/>
        <w:suppressLineNumbers w:val="0"/>
        <w:jc w:val="center"/>
        <w:rPr>
          <w:rFonts w:hint="eastAsia" w:ascii="仿宋" w:hAnsi="仿宋" w:eastAsia="仿宋" w:cs="仿宋"/>
          <w:sz w:val="28"/>
          <w:szCs w:val="28"/>
          <w:lang w:val="en-US" w:eastAsia="zh-CN"/>
        </w:rPr>
      </w:pPr>
      <w:r>
        <w:rPr>
          <w:rFonts w:hint="eastAsia" w:ascii="仿宋" w:hAnsi="仿宋" w:eastAsia="仿宋" w:cs="仿宋"/>
          <w:b/>
          <w:bCs/>
          <w:sz w:val="44"/>
          <w:szCs w:val="44"/>
          <w:lang w:val="en-US" w:eastAsia="zh-CN"/>
        </w:rPr>
        <w:t>制造商属性证明书</w:t>
      </w:r>
    </w:p>
    <w:p>
      <w:pPr>
        <w:keepNext w:val="0"/>
        <w:keepLines w:val="0"/>
        <w:widowControl/>
        <w:suppressLineNumbers w:val="0"/>
        <w:jc w:val="both"/>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致</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u w:val="single"/>
          <w:lang w:val="en-US" w:eastAsia="zh-CN"/>
        </w:rPr>
        <w:t xml:space="preserve"> 中海油能源发展股份有限公司</w:t>
      </w:r>
    </w:p>
    <w:p>
      <w:pPr>
        <w:keepNext w:val="0"/>
        <w:keepLines w:val="0"/>
        <w:widowControl/>
        <w:suppressLineNumbers w:val="0"/>
        <w:ind w:firstLine="560" w:firstLineChars="200"/>
        <w:jc w:val="both"/>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我们</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公司名称）</w:t>
      </w:r>
      <w:r>
        <w:rPr>
          <w:rFonts w:hint="eastAsia" w:ascii="仿宋" w:hAnsi="仿宋" w:eastAsia="仿宋" w:cs="仿宋"/>
          <w:sz w:val="28"/>
          <w:szCs w:val="28"/>
          <w:lang w:val="en-US" w:eastAsia="zh-CN"/>
        </w:rPr>
        <w:t>是按中华人民共和国法律于</w:t>
      </w:r>
      <w:r>
        <w:rPr>
          <w:rFonts w:hint="eastAsia" w:ascii="仿宋" w:hAnsi="仿宋" w:eastAsia="仿宋" w:cs="仿宋"/>
          <w:sz w:val="28"/>
          <w:szCs w:val="28"/>
          <w:u w:val="single"/>
          <w:lang w:val="en-US" w:eastAsia="zh-CN"/>
        </w:rPr>
        <w:t xml:space="preserve">    年 月 日</w:t>
      </w:r>
      <w:r>
        <w:rPr>
          <w:rFonts w:hint="eastAsia" w:ascii="仿宋" w:hAnsi="仿宋" w:eastAsia="仿宋" w:cs="仿宋"/>
          <w:sz w:val="28"/>
          <w:szCs w:val="28"/>
          <w:lang w:val="en-US" w:eastAsia="zh-CN"/>
        </w:rPr>
        <w:t>成立的一家企业，主要营业地点设在</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。兹声明我司就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项目(招标编号：</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）使用我公司 □自行生产制造/ □</w:t>
      </w:r>
      <w:r>
        <w:rPr>
          <w:rFonts w:hint="eastAsia" w:ascii="仿宋" w:hAnsi="仿宋" w:eastAsia="仿宋" w:cs="仿宋"/>
          <w:sz w:val="28"/>
          <w:szCs w:val="28"/>
          <w:lang w:val="en-US" w:eastAsia="zh-Hans"/>
        </w:rPr>
        <w:t>代工方式</w:t>
      </w:r>
      <w:r>
        <w:rPr>
          <w:rFonts w:hint="eastAsia" w:ascii="仿宋" w:hAnsi="仿宋" w:eastAsia="仿宋" w:cs="仿宋"/>
          <w:sz w:val="28"/>
          <w:szCs w:val="28"/>
          <w:lang w:val="en-US" w:eastAsia="zh-CN"/>
        </w:rPr>
        <w:t>/□集成方式</w:t>
      </w:r>
      <w:r>
        <w:rPr>
          <w:rFonts w:hint="eastAsia" w:ascii="仿宋" w:hAnsi="仿宋" w:eastAsia="仿宋" w:cs="仿宋"/>
          <w:sz w:val="28"/>
          <w:szCs w:val="28"/>
          <w:lang w:val="en-US" w:eastAsia="zh-Hans"/>
        </w:rPr>
        <w:t>生产</w:t>
      </w:r>
      <w:r>
        <w:rPr>
          <w:rFonts w:hint="eastAsia" w:ascii="仿宋" w:hAnsi="仿宋" w:eastAsia="仿宋" w:cs="仿宋"/>
          <w:sz w:val="28"/>
          <w:szCs w:val="28"/>
          <w:lang w:val="en-US" w:eastAsia="zh-CN"/>
        </w:rPr>
        <w:t>的</w:t>
      </w:r>
      <w:r>
        <w:rPr>
          <w:rFonts w:hint="eastAsia" w:ascii="仿宋" w:hAnsi="仿宋" w:eastAsia="仿宋" w:cs="仿宋"/>
          <w:sz w:val="28"/>
          <w:szCs w:val="28"/>
          <w:u w:val="single"/>
          <w:lang w:val="en-US" w:eastAsia="zh-CN"/>
        </w:rPr>
        <w:t xml:space="preserve">                                                                </w:t>
      </w:r>
    </w:p>
    <w:p>
      <w:pPr>
        <w:keepNext w:val="0"/>
        <w:keepLines w:val="0"/>
        <w:widowControl/>
        <w:suppressLineNumbers w:val="0"/>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产品</w:t>
      </w:r>
      <w:r>
        <w:rPr>
          <w:rFonts w:hint="eastAsia" w:ascii="仿宋" w:hAnsi="仿宋" w:eastAsia="仿宋" w:cs="仿宋"/>
          <w:sz w:val="28"/>
          <w:szCs w:val="28"/>
          <w:lang w:val="en-US" w:eastAsia="zh-CN"/>
        </w:rPr>
        <w:t>参与应答。</w:t>
      </w:r>
    </w:p>
    <w:p>
      <w:pPr>
        <w:keepNext w:val="0"/>
        <w:keepLines w:val="0"/>
        <w:widowControl/>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我公司就项目承诺如下：</w:t>
      </w:r>
    </w:p>
    <w:p>
      <w:pPr>
        <w:keepNext w:val="0"/>
        <w:keepLines w:val="0"/>
        <w:widowControl/>
        <w:suppressLineNumbers w:val="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 我公司为</w:t>
      </w:r>
      <w:r>
        <w:rPr>
          <w:rFonts w:hint="eastAsia" w:ascii="仿宋" w:hAnsi="仿宋" w:eastAsia="仿宋" w:cs="仿宋"/>
          <w:b/>
          <w:bCs/>
          <w:sz w:val="28"/>
          <w:szCs w:val="28"/>
          <w:lang w:val="en-US" w:eastAsia="zh-CN"/>
        </w:rPr>
        <w:t>传统型制造商，</w:t>
      </w:r>
      <w:r>
        <w:rPr>
          <w:rFonts w:hint="eastAsia" w:ascii="仿宋" w:hAnsi="仿宋" w:eastAsia="仿宋" w:cs="仿宋"/>
          <w:sz w:val="28"/>
          <w:szCs w:val="28"/>
          <w:lang w:val="en-US" w:eastAsia="zh-CN"/>
        </w:rPr>
        <w:t>应答产品系我公司自行生产制造，我公司具备制造必须的资质、厂房、设备、人力等资源。</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我公司为</w:t>
      </w:r>
      <w:r>
        <w:rPr>
          <w:rFonts w:hint="eastAsia" w:ascii="仿宋" w:hAnsi="仿宋" w:eastAsia="仿宋" w:cs="仿宋"/>
          <w:b/>
          <w:bCs/>
          <w:sz w:val="28"/>
          <w:szCs w:val="28"/>
          <w:lang w:val="en-US" w:eastAsia="zh-CN"/>
        </w:rPr>
        <w:t>OEM型制造商，</w:t>
      </w:r>
      <w:r>
        <w:rPr>
          <w:rFonts w:hint="eastAsia" w:ascii="仿宋" w:hAnsi="仿宋" w:eastAsia="仿宋" w:cs="仿宋"/>
          <w:sz w:val="28"/>
          <w:szCs w:val="28"/>
          <w:lang w:val="en-US" w:eastAsia="zh-CN"/>
        </w:rPr>
        <w:t>应答产品系我公司以</w:t>
      </w:r>
      <w:r>
        <w:rPr>
          <w:rFonts w:hint="eastAsia" w:ascii="仿宋" w:hAnsi="仿宋" w:eastAsia="仿宋" w:cs="仿宋"/>
          <w:sz w:val="28"/>
          <w:szCs w:val="28"/>
          <w:lang w:val="en-US" w:eastAsia="zh-Hans"/>
        </w:rPr>
        <w:t>代工方式生产</w:t>
      </w:r>
      <w:r>
        <w:rPr>
          <w:rFonts w:hint="eastAsia" w:ascii="仿宋" w:hAnsi="仿宋" w:eastAsia="仿宋" w:cs="仿宋"/>
          <w:sz w:val="28"/>
          <w:szCs w:val="28"/>
          <w:lang w:val="en-US" w:eastAsia="zh-CN"/>
        </w:rPr>
        <w:t>，我公司具备供货的资质和能力。</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highlight w:val="none"/>
          <w:lang w:val="en-US" w:eastAsia="zh-CN"/>
        </w:rPr>
        <w:t>我公司为</w:t>
      </w:r>
      <w:r>
        <w:rPr>
          <w:rFonts w:hint="eastAsia" w:ascii="仿宋" w:hAnsi="仿宋" w:eastAsia="仿宋" w:cs="仿宋"/>
          <w:b/>
          <w:bCs/>
          <w:sz w:val="28"/>
          <w:szCs w:val="28"/>
          <w:highlight w:val="none"/>
          <w:lang w:val="en-US" w:eastAsia="zh-CN"/>
        </w:rPr>
        <w:t>集成型制造商，</w:t>
      </w:r>
      <w:r>
        <w:rPr>
          <w:rFonts w:hint="eastAsia" w:ascii="仿宋" w:hAnsi="仿宋" w:eastAsia="仿宋" w:cs="仿宋"/>
          <w:sz w:val="28"/>
          <w:szCs w:val="28"/>
          <w:highlight w:val="none"/>
          <w:lang w:val="en-US" w:eastAsia="zh-CN"/>
        </w:rPr>
        <w:t>应答产品系我公司集成</w:t>
      </w:r>
      <w:r>
        <w:rPr>
          <w:rFonts w:hint="eastAsia" w:ascii="仿宋" w:hAnsi="仿宋" w:eastAsia="仿宋" w:cs="仿宋"/>
          <w:sz w:val="28"/>
          <w:szCs w:val="28"/>
          <w:highlight w:val="none"/>
          <w:lang w:val="en-US" w:eastAsia="zh-Hans"/>
        </w:rPr>
        <w:t>方式生产</w:t>
      </w:r>
      <w:r>
        <w:rPr>
          <w:rFonts w:hint="eastAsia" w:ascii="仿宋" w:hAnsi="仿宋" w:eastAsia="仿宋" w:cs="仿宋"/>
          <w:sz w:val="28"/>
          <w:szCs w:val="28"/>
          <w:highlight w:val="none"/>
          <w:lang w:val="en-US" w:eastAsia="zh-CN"/>
        </w:rPr>
        <w:t>，我公司具备集成必须的资质、厂房、设备、人力等资源。</w:t>
      </w:r>
    </w:p>
    <w:p>
      <w:pPr>
        <w:keepNext w:val="0"/>
        <w:keepLines w:val="0"/>
        <w:widowControl/>
        <w:suppressLineNumbers w:val="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（2）我司对所投产品拥有知识产权和产品销售权。</w:t>
      </w:r>
    </w:p>
    <w:p>
      <w:pPr>
        <w:keepNext w:val="0"/>
        <w:keepLines w:val="0"/>
        <w:widowControl/>
        <w:suppressLineNumbers w:val="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（3）后附我公司相关证明材料真实有效。</w:t>
      </w:r>
    </w:p>
    <w:p>
      <w:pPr>
        <w:keepNext w:val="0"/>
        <w:keepLines w:val="0"/>
        <w:widowControl/>
        <w:suppressLineNumbers w:val="0"/>
        <w:wordWrap w:val="0"/>
        <w:jc w:val="righ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应答人名称（盖章）：</w:t>
      </w:r>
      <w:r>
        <w:rPr>
          <w:rFonts w:hint="eastAsia" w:ascii="仿宋" w:hAnsi="仿宋" w:eastAsia="仿宋" w:cs="仿宋"/>
          <w:sz w:val="28"/>
          <w:szCs w:val="28"/>
          <w:u w:val="single"/>
          <w:lang w:val="en-US" w:eastAsia="zh-CN"/>
        </w:rPr>
        <w:t xml:space="preserve">                 </w:t>
      </w:r>
    </w:p>
    <w:p>
      <w:pPr>
        <w:keepNext w:val="0"/>
        <w:keepLines w:val="0"/>
        <w:widowControl/>
        <w:suppressLineNumbers w:val="0"/>
        <w:wordWrap w:val="0"/>
        <w:jc w:val="righ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法定代表人或授权人签章：</w:t>
      </w:r>
      <w:r>
        <w:rPr>
          <w:rFonts w:hint="eastAsia" w:ascii="仿宋" w:hAnsi="仿宋" w:eastAsia="仿宋" w:cs="仿宋"/>
          <w:sz w:val="28"/>
          <w:szCs w:val="28"/>
          <w:u w:val="single"/>
          <w:lang w:val="en-US" w:eastAsia="zh-CN"/>
        </w:rPr>
        <w:t xml:space="preserve">                 </w:t>
      </w:r>
    </w:p>
    <w:p>
      <w:pPr>
        <w:keepNext w:val="0"/>
        <w:keepLines w:val="0"/>
        <w:widowControl/>
        <w:suppressLineNumbers w:val="0"/>
        <w:wordWrap w:val="0"/>
        <w:jc w:val="right"/>
        <w:rPr>
          <w:rFonts w:hint="default" w:ascii="仿宋" w:hAnsi="仿宋" w:eastAsia="仿宋" w:cs="仿宋"/>
          <w:sz w:val="28"/>
          <w:szCs w:val="28"/>
          <w:u w:val="single"/>
          <w:lang w:val="en-US" w:eastAsia="zh-CN"/>
        </w:rPr>
      </w:pPr>
      <w:r>
        <w:rPr>
          <w:rFonts w:hint="eastAsia" w:ascii="仿宋" w:hAnsi="仿宋" w:eastAsia="仿宋" w:cs="仿宋"/>
          <w:sz w:val="28"/>
          <w:szCs w:val="28"/>
          <w:u w:val="none"/>
          <w:lang w:val="en-US" w:eastAsia="zh-CN"/>
        </w:rPr>
        <w:t>日   期：</w:t>
      </w:r>
      <w:r>
        <w:rPr>
          <w:rFonts w:hint="eastAsia" w:ascii="仿宋" w:hAnsi="仿宋" w:eastAsia="仿宋" w:cs="仿宋"/>
          <w:sz w:val="28"/>
          <w:szCs w:val="28"/>
          <w:u w:val="single"/>
          <w:lang w:val="en-US" w:eastAsia="zh-CN"/>
        </w:rPr>
        <w:t xml:space="preserve">                 </w:t>
      </w:r>
    </w:p>
    <w:p>
      <w:pPr>
        <w:keepNext w:val="0"/>
        <w:keepLines w:val="0"/>
        <w:widowControl/>
        <w:suppressLineNumbers w:val="0"/>
        <w:ind w:firstLine="440" w:firstLineChars="100"/>
        <w:jc w:val="left"/>
        <w:rPr>
          <w:rFonts w:hint="eastAsia" w:ascii="仿宋" w:hAnsi="仿宋" w:eastAsia="仿宋" w:cs="仿宋"/>
          <w:b w:val="0"/>
          <w:bCs w:val="0"/>
          <w:sz w:val="44"/>
          <w:szCs w:val="44"/>
          <w:lang w:val="en-US" w:eastAsia="zh-CN"/>
        </w:rPr>
      </w:pPr>
    </w:p>
    <w:p>
      <w:pPr>
        <w:keepNext w:val="0"/>
        <w:keepLines w:val="0"/>
        <w:widowControl/>
        <w:suppressLineNumbers w:val="0"/>
        <w:ind w:firstLine="440" w:firstLineChars="100"/>
        <w:jc w:val="center"/>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制造商证明相关材料</w:t>
      </w:r>
    </w:p>
    <w:p>
      <w:pPr>
        <w:keepNext w:val="0"/>
        <w:keepLines w:val="0"/>
        <w:widowControl/>
        <w:suppressLineNumbers w:val="0"/>
        <w:jc w:val="both"/>
        <w:rPr>
          <w:rFonts w:hint="default" w:ascii="仿宋" w:hAnsi="仿宋" w:eastAsia="仿宋" w:cs="仿宋"/>
          <w:b w:val="0"/>
          <w:bCs w:val="0"/>
          <w:color w:val="C00000"/>
          <w:sz w:val="28"/>
          <w:szCs w:val="28"/>
          <w:highlight w:val="none"/>
          <w:lang w:val="en-US" w:eastAsia="zh-CN"/>
        </w:rPr>
      </w:pPr>
      <w:r>
        <w:rPr>
          <w:rFonts w:hint="eastAsia" w:ascii="仿宋" w:hAnsi="仿宋" w:eastAsia="仿宋" w:cs="仿宋"/>
          <w:b w:val="0"/>
          <w:bCs w:val="0"/>
          <w:color w:val="C00000"/>
          <w:sz w:val="28"/>
          <w:szCs w:val="28"/>
          <w:highlight w:val="none"/>
          <w:lang w:val="en-US" w:eastAsia="zh-CN"/>
        </w:rPr>
        <w:t xml:space="preserve">（提示：1、各单位可根据实际需求情况，自行设置制造商需提供的证明材料。2、标黄内容均为提示性信息，用于辅助制定相关要求，正式文件中应注意删除，避免产生歧义。） </w:t>
      </w:r>
    </w:p>
    <w:p>
      <w:pPr>
        <w:keepNext w:val="0"/>
        <w:keepLines w:val="0"/>
        <w:widowControl/>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供应商应根据《</w:t>
      </w:r>
      <w:r>
        <w:rPr>
          <w:rFonts w:hint="eastAsia" w:ascii="黑体" w:hAnsi="黑体" w:eastAsia="黑体" w:cstheme="minorBidi"/>
          <w:b/>
          <w:bCs/>
          <w:color w:val="auto"/>
          <w:kern w:val="2"/>
          <w:sz w:val="24"/>
          <w:szCs w:val="24"/>
          <w:lang w:val="en-US" w:eastAsia="zh-CN" w:bidi="ar-SA"/>
        </w:rPr>
        <w:t>制造商属性证明书</w:t>
      </w:r>
      <w:r>
        <w:rPr>
          <w:rFonts w:hint="eastAsia" w:ascii="仿宋" w:hAnsi="仿宋" w:eastAsia="仿宋" w:cs="仿宋"/>
          <w:b w:val="0"/>
          <w:bCs w:val="0"/>
          <w:sz w:val="28"/>
          <w:szCs w:val="28"/>
          <w:highlight w:val="none"/>
          <w:lang w:val="en-US" w:eastAsia="zh-CN"/>
        </w:rPr>
        <w:t>》所选类型提供相关证明材料（选择一类提供即可），逐页加盖公章，原件备查。</w:t>
      </w: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传统型制造商应提供的证明材料：</w:t>
      </w:r>
    </w:p>
    <w:p>
      <w:pPr>
        <w:keepNext w:val="0"/>
        <w:keepLines w:val="0"/>
        <w:widowControl/>
        <w:numPr>
          <w:ilvl w:val="0"/>
          <w:numId w:val="47"/>
        </w:numPr>
        <w:suppressLineNumbers w:val="0"/>
        <w:ind w:firstLine="560" w:firstLineChars="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47"/>
        </w:numPr>
        <w:suppressLineNumbers w:val="0"/>
        <w:ind w:firstLine="560" w:firstLineChars="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47"/>
        </w:numPr>
        <w:suppressLineNumbers w:val="0"/>
        <w:ind w:firstLine="560" w:firstLineChars="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47"/>
        </w:numPr>
        <w:suppressLineNumbers w:val="0"/>
        <w:ind w:firstLine="560" w:firstLineChars="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47"/>
        </w:numPr>
        <w:suppressLineNumbers w:val="0"/>
        <w:ind w:firstLine="560" w:firstLineChars="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生产工艺（需提供****工艺介绍和供流程图）：</w:t>
      </w:r>
    </w:p>
    <w:p>
      <w:pPr>
        <w:keepNext w:val="0"/>
        <w:keepLines w:val="0"/>
        <w:widowControl/>
        <w:numPr>
          <w:ilvl w:val="0"/>
          <w:numId w:val="47"/>
        </w:numPr>
        <w:suppressLineNumbers w:val="0"/>
        <w:ind w:firstLine="560" w:firstLineChars="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检测仪器证明（需提供****仪器购买证明或租赁证明、实物照片等）：</w:t>
      </w:r>
    </w:p>
    <w:p>
      <w:pPr>
        <w:keepNext w:val="0"/>
        <w:keepLines w:val="0"/>
        <w:widowControl/>
        <w:numPr>
          <w:ilvl w:val="0"/>
          <w:numId w:val="47"/>
        </w:numPr>
        <w:suppressLineNumbers w:val="0"/>
        <w:ind w:firstLine="560" w:firstLineChars="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47"/>
        </w:numPr>
        <w:suppressLineNumbers w:val="0"/>
        <w:ind w:firstLine="560" w:firstLineChars="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w:t>
      </w:r>
    </w:p>
    <w:p>
      <w:pPr>
        <w:keepNext w:val="0"/>
        <w:keepLines w:val="0"/>
        <w:widowControl/>
        <w:numPr>
          <w:ilvl w:val="0"/>
          <w:numId w:val="47"/>
        </w:numPr>
        <w:suppressLineNumbers w:val="0"/>
        <w:ind w:firstLine="560" w:firstLineChars="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keepNext w:val="0"/>
        <w:keepLines w:val="0"/>
        <w:widowControl/>
        <w:numPr>
          <w:ilvl w:val="0"/>
          <w:numId w:val="0"/>
        </w:numPr>
        <w:suppressLineNumbers w:val="0"/>
        <w:jc w:val="both"/>
        <w:rPr>
          <w:rFonts w:hint="eastAsia" w:ascii="仿宋" w:hAnsi="仿宋" w:eastAsia="仿宋" w:cs="仿宋"/>
          <w:b w:val="0"/>
          <w:bCs w:val="0"/>
          <w:sz w:val="28"/>
          <w:szCs w:val="28"/>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OEM型制造商应提供的证明材料：</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代工协议：</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生产工艺（需提供****工艺介绍和流程图）：</w:t>
      </w:r>
    </w:p>
    <w:p>
      <w:pPr>
        <w:keepNext w:val="0"/>
        <w:keepLines w:val="0"/>
        <w:widowControl/>
        <w:numPr>
          <w:ilvl w:val="0"/>
          <w:numId w:val="48"/>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检测仪器证明（需提供****仪器购买证明或租赁证明、实物照片等）：</w:t>
      </w:r>
    </w:p>
    <w:p>
      <w:pPr>
        <w:keepNext w:val="0"/>
        <w:keepLines w:val="0"/>
        <w:widowControl/>
        <w:numPr>
          <w:ilvl w:val="0"/>
          <w:numId w:val="48"/>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48"/>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keepNext w:val="0"/>
        <w:keepLines w:val="0"/>
        <w:widowControl/>
        <w:numPr>
          <w:ilvl w:val="0"/>
          <w:numId w:val="0"/>
        </w:numPr>
        <w:suppressLineNumbers w:val="0"/>
        <w:jc w:val="both"/>
        <w:rPr>
          <w:rFonts w:hint="eastAsia" w:ascii="仿宋" w:hAnsi="仿宋" w:eastAsia="仿宋" w:cs="仿宋"/>
          <w:b w:val="0"/>
          <w:bCs w:val="0"/>
          <w:sz w:val="28"/>
          <w:szCs w:val="28"/>
          <w:lang w:val="en-US" w:eastAsia="zh-CN"/>
        </w:rPr>
      </w:pPr>
    </w:p>
    <w:p>
      <w:pPr>
        <w:keepNext w:val="0"/>
        <w:keepLines w:val="0"/>
        <w:widowControl/>
        <w:suppressLineNumbers w:val="0"/>
        <w:ind w:firstLine="720" w:firstLineChars="200"/>
        <w:jc w:val="both"/>
        <w:rPr>
          <w:rFonts w:hint="eastAsia"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集成型制造商应提供的证明材料：</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生产工艺（需提供****工艺介绍和流程图）：</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检测仪器证明（需提供****仪器购买证明或租赁证明、实物照片等）：</w:t>
      </w:r>
    </w:p>
    <w:p>
      <w:pPr>
        <w:keepNext w:val="0"/>
        <w:keepLines w:val="0"/>
        <w:widowControl/>
        <w:numPr>
          <w:ilvl w:val="0"/>
          <w:numId w:val="49"/>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w:t>
      </w:r>
    </w:p>
    <w:p>
      <w:pPr>
        <w:pStyle w:val="4"/>
        <w:numPr>
          <w:ilvl w:val="-1"/>
          <w:numId w:val="0"/>
        </w:numPr>
        <w:ind w:firstLine="560" w:firstLineChars="200"/>
        <w:rPr>
          <w:rFonts w:hint="default"/>
          <w:highlight w:val="none"/>
          <w:lang w:val="en-US" w:eastAsia="zh-CN"/>
        </w:rPr>
      </w:pPr>
      <w:r>
        <w:rPr>
          <w:rFonts w:hint="eastAsia" w:ascii="仿宋" w:hAnsi="仿宋" w:eastAsia="仿宋" w:cs="仿宋"/>
          <w:b w:val="0"/>
          <w:bCs w:val="0"/>
          <w:sz w:val="28"/>
          <w:szCs w:val="28"/>
          <w:highlight w:val="none"/>
          <w:lang w:val="en-US" w:eastAsia="zh-CN"/>
        </w:rPr>
        <w:t>9、关键零部件长期采购合同及发票：</w:t>
      </w:r>
    </w:p>
    <w:p>
      <w:pPr>
        <w:keepNext w:val="0"/>
        <w:keepLines w:val="0"/>
        <w:widowControl/>
        <w:numPr>
          <w:ilvl w:val="-1"/>
          <w:numId w:val="0"/>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10、其他证明材料（如涉及）：</w:t>
      </w:r>
    </w:p>
    <w:p>
      <w:pPr>
        <w:keepNext w:val="0"/>
        <w:keepLines w:val="0"/>
        <w:widowControl/>
        <w:suppressLineNumbers w:val="0"/>
        <w:jc w:val="both"/>
        <w:rPr>
          <w:rFonts w:hint="default" w:ascii="仿宋" w:hAnsi="仿宋" w:eastAsia="仿宋" w:cs="仿宋"/>
          <w:b/>
          <w:bCs/>
          <w:sz w:val="28"/>
          <w:szCs w:val="28"/>
          <w:highlight w:val="yellow"/>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rPr>
          <w:lang w:val="en-US" w:eastAsia="zh-CN"/>
        </w:rPr>
      </w:pPr>
    </w:p>
    <w:p>
      <w:pPr>
        <w:pStyle w:val="15"/>
        <w:rPr>
          <w:lang w:val="en-US" w:eastAsia="zh-CN"/>
        </w:rPr>
      </w:pPr>
    </w:p>
    <w:p>
      <w:pPr>
        <w:pStyle w:val="8"/>
        <w:rPr>
          <w:lang w:val="en-US" w:eastAsia="zh-CN"/>
        </w:rPr>
      </w:pPr>
    </w:p>
    <w:p>
      <w:pPr>
        <w:rPr>
          <w:lang w:val="en-US" w:eastAsia="zh-CN"/>
        </w:rPr>
      </w:pPr>
    </w:p>
    <w:p>
      <w:pPr>
        <w:pStyle w:val="15"/>
        <w:rPr>
          <w:lang w:val="en-US" w:eastAsia="zh-CN"/>
        </w:rPr>
      </w:pPr>
    </w:p>
    <w:p>
      <w:pPr>
        <w:pStyle w:val="8"/>
        <w:rPr>
          <w:lang w:val="en-US" w:eastAsia="zh-CN"/>
        </w:rPr>
      </w:pPr>
    </w:p>
    <w:p>
      <w:pPr>
        <w:rPr>
          <w:lang w:val="en-US" w:eastAsia="zh-CN"/>
        </w:rPr>
      </w:pPr>
    </w:p>
    <w:p>
      <w:pPr>
        <w:pStyle w:val="15"/>
        <w:rPr>
          <w:lang w:val="en-US" w:eastAsia="zh-CN"/>
        </w:rPr>
      </w:pPr>
    </w:p>
    <w:p>
      <w:pPr>
        <w:pStyle w:val="8"/>
        <w:rPr>
          <w:lang w:val="en-US" w:eastAsia="zh-CN"/>
        </w:rPr>
      </w:pPr>
    </w:p>
    <w:p>
      <w:pPr>
        <w:rPr>
          <w:lang w:val="en-US" w:eastAsia="zh-CN"/>
        </w:rPr>
      </w:pPr>
    </w:p>
    <w:p>
      <w:pPr>
        <w:pStyle w:val="15"/>
        <w:rPr>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pStyle w:val="55"/>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5"/>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t>5.9：业绩证明材料</w:t>
      </w:r>
    </w:p>
    <w:p>
      <w:pPr>
        <w:pStyle w:val="55"/>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hAnsi="宋体" w:eastAsia="黑体"/>
          <w:b/>
          <w:sz w:val="21"/>
          <w:szCs w:val="21"/>
          <w:lang w:eastAsia="zh-CN"/>
        </w:rPr>
        <w:t>此处放入业绩证明材料</w:t>
      </w:r>
    </w:p>
    <w:p>
      <w:pPr>
        <w:pStyle w:val="55"/>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t>5.10：商务偏离表</w:t>
      </w:r>
    </w:p>
    <w:p>
      <w:pPr>
        <w:pStyle w:val="55"/>
        <w:adjustRightInd/>
        <w:jc w:val="center"/>
        <w:rPr>
          <w:rFonts w:hint="eastAsia" w:hAnsi="宋体" w:eastAsiaTheme="minorEastAsia" w:cstheme="minorBidi"/>
          <w:b w:val="0"/>
          <w:kern w:val="2"/>
          <w:sz w:val="21"/>
          <w:szCs w:val="22"/>
          <w:lang w:eastAsia="zh-CN"/>
        </w:rPr>
      </w:pPr>
      <w:r>
        <w:rPr>
          <w:rFonts w:hint="eastAsia" w:hAnsi="宋体"/>
          <w:b/>
          <w:sz w:val="21"/>
          <w:szCs w:val="21"/>
        </w:rPr>
        <w:t>商务偏离条款</w:t>
      </w:r>
      <w:r>
        <w:rPr>
          <w:rFonts w:hint="eastAsia" w:hAnsi="宋体" w:eastAsiaTheme="minorEastAsia" w:cstheme="minorBidi"/>
          <w:kern w:val="2"/>
          <w:sz w:val="21"/>
          <w:szCs w:val="22"/>
          <w:lang w:eastAsia="zh-CN"/>
        </w:rPr>
        <w:t>（</w:t>
      </w:r>
      <w:r>
        <w:rPr>
          <w:rFonts w:hint="eastAsia" w:hAnsi="宋体" w:eastAsiaTheme="minorEastAsia" w:cstheme="minorBidi"/>
          <w:kern w:val="2"/>
          <w:sz w:val="21"/>
          <w:szCs w:val="22"/>
          <w:lang w:val="en-US" w:eastAsia="zh-CN"/>
        </w:rPr>
        <w:t>内容仅供参考，具体业务具体编制</w:t>
      </w:r>
      <w:r>
        <w:rPr>
          <w:rFonts w:hint="eastAsia" w:hAnsi="宋体" w:eastAsiaTheme="minorEastAsia" w:cstheme="minorBidi"/>
          <w:kern w:val="2"/>
          <w:sz w:val="21"/>
          <w:szCs w:val="22"/>
          <w:lang w:eastAsia="zh-CN"/>
        </w:rPr>
        <w:t>）</w:t>
      </w:r>
    </w:p>
    <w:p>
      <w:pPr>
        <w:pStyle w:val="55"/>
        <w:adjustRightInd/>
        <w:jc w:val="center"/>
        <w:rPr>
          <w:rFonts w:hAnsi="宋体"/>
          <w:b/>
          <w:sz w:val="21"/>
          <w:szCs w:val="21"/>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92"/>
        <w:gridCol w:w="1560"/>
        <w:gridCol w:w="2979"/>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序号</w:t>
            </w:r>
          </w:p>
        </w:tc>
        <w:tc>
          <w:tcPr>
            <w:tcW w:w="1792" w:type="dxa"/>
            <w:vAlign w:val="center"/>
          </w:tcPr>
          <w:p>
            <w:pPr>
              <w:spacing w:line="360" w:lineRule="auto"/>
              <w:jc w:val="center"/>
              <w:rPr>
                <w:rFonts w:ascii="宋体" w:hAnsi="宋体"/>
                <w:color w:val="000000"/>
              </w:rPr>
            </w:pPr>
            <w:r>
              <w:rPr>
                <w:rFonts w:hint="eastAsia" w:ascii="宋体" w:hAnsi="宋体"/>
                <w:color w:val="000000"/>
              </w:rPr>
              <w:t>商务参数</w:t>
            </w:r>
          </w:p>
        </w:tc>
        <w:tc>
          <w:tcPr>
            <w:tcW w:w="1560" w:type="dxa"/>
            <w:vAlign w:val="center"/>
          </w:tcPr>
          <w:p>
            <w:pPr>
              <w:spacing w:line="360" w:lineRule="auto"/>
              <w:jc w:val="center"/>
              <w:rPr>
                <w:rFonts w:ascii="宋体" w:hAnsi="宋体"/>
                <w:color w:val="000000"/>
              </w:rPr>
            </w:pPr>
            <w:r>
              <w:rPr>
                <w:rFonts w:hint="eastAsia" w:ascii="宋体" w:hAnsi="宋体"/>
                <w:color w:val="000000"/>
              </w:rPr>
              <w:t>是否存在异议</w:t>
            </w:r>
          </w:p>
        </w:tc>
        <w:tc>
          <w:tcPr>
            <w:tcW w:w="2979" w:type="dxa"/>
            <w:vAlign w:val="center"/>
          </w:tcPr>
          <w:p>
            <w:pPr>
              <w:spacing w:line="360" w:lineRule="auto"/>
              <w:jc w:val="center"/>
              <w:rPr>
                <w:rFonts w:ascii="宋体" w:hAnsi="宋体"/>
                <w:color w:val="000000"/>
              </w:rPr>
            </w:pPr>
            <w:r>
              <w:rPr>
                <w:rFonts w:hint="eastAsia" w:ascii="宋体" w:hAnsi="宋体"/>
                <w:color w:val="000000"/>
              </w:rPr>
              <w:t>解决方法</w:t>
            </w:r>
          </w:p>
          <w:p>
            <w:pPr>
              <w:spacing w:line="360" w:lineRule="auto"/>
              <w:jc w:val="center"/>
              <w:rPr>
                <w:rFonts w:ascii="宋体" w:hAnsi="宋体"/>
                <w:color w:val="000000"/>
              </w:rPr>
            </w:pPr>
            <w:r>
              <w:rPr>
                <w:rFonts w:hint="eastAsia" w:ascii="宋体" w:hAnsi="宋体"/>
                <w:color w:val="000000"/>
              </w:rPr>
              <w:t>（不接受/协商/接受</w:t>
            </w:r>
            <w:r>
              <w:rPr>
                <w:rFonts w:hint="eastAsia" w:ascii="宋体" w:hAnsi="宋体"/>
                <w:color w:val="000000"/>
                <w:lang w:eastAsia="zh-CN"/>
              </w:rPr>
              <w:t>询比</w:t>
            </w:r>
            <w:r>
              <w:rPr>
                <w:rFonts w:hint="eastAsia" w:ascii="宋体" w:hAnsi="宋体"/>
                <w:color w:val="000000"/>
              </w:rPr>
              <w:t>方条件）</w:t>
            </w:r>
          </w:p>
        </w:tc>
        <w:tc>
          <w:tcPr>
            <w:tcW w:w="1242" w:type="dxa"/>
            <w:vAlign w:val="center"/>
          </w:tcPr>
          <w:p>
            <w:pPr>
              <w:spacing w:line="360" w:lineRule="auto"/>
              <w:jc w:val="center"/>
              <w:rPr>
                <w:rFonts w:ascii="宋体" w:hAnsi="宋体"/>
                <w:color w:val="000000"/>
              </w:rPr>
            </w:pPr>
            <w:r>
              <w:rPr>
                <w:rFonts w:hint="eastAsia" w:ascii="宋体" w:hAnsi="宋体"/>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1</w:t>
            </w:r>
          </w:p>
        </w:tc>
        <w:tc>
          <w:tcPr>
            <w:tcW w:w="1792" w:type="dxa"/>
            <w:vAlign w:val="center"/>
          </w:tcPr>
          <w:p>
            <w:pPr>
              <w:spacing w:line="360" w:lineRule="auto"/>
              <w:jc w:val="center"/>
              <w:rPr>
                <w:rFonts w:ascii="宋体" w:hAnsi="宋体"/>
                <w:color w:val="000000"/>
              </w:rPr>
            </w:pPr>
            <w:r>
              <w:rPr>
                <w:rFonts w:hint="eastAsia" w:ascii="宋体" w:hAnsi="宋体"/>
                <w:color w:val="000000"/>
              </w:rPr>
              <w:t>违约条款</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2</w:t>
            </w:r>
          </w:p>
        </w:tc>
        <w:tc>
          <w:tcPr>
            <w:tcW w:w="1792" w:type="dxa"/>
            <w:vAlign w:val="center"/>
          </w:tcPr>
          <w:p>
            <w:pPr>
              <w:spacing w:line="360" w:lineRule="auto"/>
              <w:jc w:val="center"/>
              <w:rPr>
                <w:rFonts w:ascii="宋体" w:hAnsi="宋体"/>
                <w:color w:val="000000"/>
              </w:rPr>
            </w:pPr>
            <w:r>
              <w:rPr>
                <w:rFonts w:hint="eastAsia" w:ascii="宋体" w:hAnsi="宋体"/>
                <w:color w:val="000000"/>
              </w:rPr>
              <w:t>付款方式</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3</w:t>
            </w:r>
          </w:p>
        </w:tc>
        <w:tc>
          <w:tcPr>
            <w:tcW w:w="1792" w:type="dxa"/>
            <w:vAlign w:val="center"/>
          </w:tcPr>
          <w:p>
            <w:pPr>
              <w:spacing w:line="360" w:lineRule="auto"/>
              <w:jc w:val="center"/>
              <w:rPr>
                <w:rFonts w:ascii="宋体" w:hAnsi="宋体"/>
                <w:color w:val="000000"/>
              </w:rPr>
            </w:pPr>
            <w:r>
              <w:rPr>
                <w:rFonts w:hint="eastAsia" w:ascii="宋体" w:hAnsi="宋体"/>
                <w:color w:val="000000"/>
              </w:rPr>
              <w:t>服务期</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4</w:t>
            </w:r>
          </w:p>
        </w:tc>
        <w:tc>
          <w:tcPr>
            <w:tcW w:w="1792" w:type="dxa"/>
            <w:vAlign w:val="center"/>
          </w:tcPr>
          <w:p>
            <w:pPr>
              <w:spacing w:line="360" w:lineRule="auto"/>
              <w:jc w:val="center"/>
              <w:rPr>
                <w:rFonts w:ascii="宋体" w:hAnsi="宋体"/>
                <w:color w:val="000000"/>
              </w:rPr>
            </w:pPr>
            <w:r>
              <w:rPr>
                <w:rFonts w:hint="eastAsia" w:ascii="宋体" w:hAnsi="宋体"/>
                <w:color w:val="000000"/>
              </w:rPr>
              <w:t>报价有效期</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5</w:t>
            </w:r>
          </w:p>
        </w:tc>
        <w:tc>
          <w:tcPr>
            <w:tcW w:w="1792" w:type="dxa"/>
            <w:vAlign w:val="center"/>
          </w:tcPr>
          <w:p>
            <w:pPr>
              <w:spacing w:line="360" w:lineRule="auto"/>
              <w:jc w:val="center"/>
              <w:rPr>
                <w:rFonts w:ascii="宋体" w:hAnsi="宋体"/>
                <w:color w:val="000000"/>
              </w:rPr>
            </w:pPr>
            <w:r>
              <w:rPr>
                <w:rFonts w:hint="eastAsia" w:ascii="宋体" w:hAnsi="宋体"/>
                <w:color w:val="000000"/>
              </w:rPr>
              <w:t>合同条款</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6</w:t>
            </w:r>
          </w:p>
        </w:tc>
        <w:tc>
          <w:tcPr>
            <w:tcW w:w="1792" w:type="dxa"/>
            <w:vAlign w:val="center"/>
          </w:tcPr>
          <w:p>
            <w:pPr>
              <w:spacing w:line="360" w:lineRule="auto"/>
              <w:jc w:val="center"/>
              <w:rPr>
                <w:rFonts w:ascii="宋体" w:hAnsi="宋体"/>
                <w:color w:val="000000"/>
              </w:rPr>
            </w:pPr>
            <w:r>
              <w:rPr>
                <w:rFonts w:hint="eastAsia" w:ascii="宋体" w:hAnsi="宋体"/>
                <w:color w:val="000000"/>
              </w:rPr>
              <w:t>其他</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bl>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注：如果</w:t>
      </w:r>
      <w:r>
        <w:rPr>
          <w:rFonts w:hint="eastAsia" w:ascii="宋体" w:hAnsi="宋体"/>
          <w:color w:val="000000"/>
          <w:szCs w:val="21"/>
          <w:lang w:val="en-US" w:eastAsia="zh-CN"/>
        </w:rPr>
        <w:t>应答</w:t>
      </w:r>
      <w:r>
        <w:rPr>
          <w:rFonts w:hint="eastAsia" w:ascii="宋体" w:hAnsi="宋体"/>
          <w:color w:val="000000"/>
          <w:szCs w:val="21"/>
        </w:rPr>
        <w:t>人对</w:t>
      </w:r>
      <w:r>
        <w:rPr>
          <w:rFonts w:hint="eastAsia" w:ascii="宋体" w:hAnsi="宋体"/>
          <w:color w:val="000000"/>
          <w:szCs w:val="21"/>
          <w:lang w:eastAsia="zh-CN"/>
        </w:rPr>
        <w:t>询比</w:t>
      </w:r>
      <w:r>
        <w:rPr>
          <w:rFonts w:hint="eastAsia" w:ascii="宋体" w:hAnsi="宋体"/>
          <w:color w:val="000000"/>
          <w:szCs w:val="21"/>
        </w:rPr>
        <w:t>文件的商务条款有异议，请在此处一一列出，</w:t>
      </w:r>
      <w:r>
        <w:rPr>
          <w:rFonts w:hint="eastAsia" w:ascii="宋体" w:hAnsi="宋体"/>
          <w:color w:val="000000"/>
          <w:szCs w:val="21"/>
          <w:lang w:val="en-US" w:eastAsia="zh-CN"/>
        </w:rPr>
        <w:t>应答</w:t>
      </w:r>
      <w:r>
        <w:rPr>
          <w:rFonts w:hint="eastAsia" w:ascii="宋体" w:hAnsi="宋体"/>
          <w:color w:val="000000"/>
          <w:szCs w:val="21"/>
        </w:rPr>
        <w:t>人的商务偏离条款将作为评标的依据之一；如若没有异议请标明“无”，否则视为放弃。</w:t>
      </w:r>
    </w:p>
    <w:p>
      <w:pPr>
        <w:spacing w:before="120" w:line="360" w:lineRule="auto"/>
        <w:rPr>
          <w:rFonts w:ascii="宋体" w:hAnsi="宋体"/>
          <w:b/>
          <w:bCs/>
          <w:color w:val="000000"/>
          <w:szCs w:val="21"/>
        </w:rPr>
      </w:pPr>
    </w:p>
    <w:p>
      <w:pPr>
        <w:spacing w:line="360" w:lineRule="auto"/>
        <w:rPr>
          <w:rFonts w:ascii="宋体" w:hAnsi="宋体"/>
          <w:color w:val="000000"/>
          <w:szCs w:val="21"/>
        </w:rPr>
      </w:pPr>
    </w:p>
    <w:p>
      <w:pPr>
        <w:spacing w:line="360" w:lineRule="auto"/>
        <w:ind w:right="840"/>
        <w:jc w:val="center"/>
        <w:rPr>
          <w:rFonts w:ascii="宋体" w:hAnsi="宋体"/>
          <w:color w:val="000000"/>
          <w:szCs w:val="21"/>
        </w:rPr>
      </w:pPr>
      <w:r>
        <w:rPr>
          <w:rFonts w:hint="eastAsia" w:ascii="宋体" w:hAnsi="宋体"/>
          <w:color w:val="000000"/>
          <w:szCs w:val="21"/>
        </w:rPr>
        <w:t xml:space="preserve">                 </w:t>
      </w:r>
      <w:r>
        <w:rPr>
          <w:rFonts w:hint="eastAsia" w:ascii="宋体" w:hAnsi="宋体"/>
          <w:color w:val="000000"/>
          <w:szCs w:val="21"/>
          <w:lang w:eastAsia="zh-CN"/>
        </w:rPr>
        <w:t>应答人</w:t>
      </w:r>
      <w:r>
        <w:rPr>
          <w:rFonts w:ascii="宋体" w:hAnsi="宋体"/>
          <w:color w:val="000000"/>
          <w:szCs w:val="21"/>
        </w:rPr>
        <w:t>：（盖章）</w:t>
      </w:r>
    </w:p>
    <w:p>
      <w:pPr>
        <w:spacing w:line="360" w:lineRule="auto"/>
        <w:jc w:val="right"/>
        <w:rPr>
          <w:rFonts w:ascii="宋体" w:hAnsi="宋体"/>
          <w:color w:val="000000"/>
          <w:szCs w:val="21"/>
        </w:rPr>
      </w:pPr>
    </w:p>
    <w:p>
      <w:pPr>
        <w:spacing w:line="360" w:lineRule="auto"/>
        <w:ind w:right="1680"/>
        <w:jc w:val="center"/>
        <w:rPr>
          <w:rFonts w:ascii="宋体" w:hAnsi="宋体"/>
          <w:color w:val="000000"/>
          <w:szCs w:val="21"/>
        </w:rPr>
      </w:pPr>
      <w:r>
        <w:rPr>
          <w:rFonts w:hint="eastAsia" w:ascii="宋体" w:hAnsi="宋体"/>
          <w:color w:val="000000"/>
          <w:szCs w:val="21"/>
        </w:rPr>
        <w:t xml:space="preserve">                               </w:t>
      </w:r>
      <w:r>
        <w:rPr>
          <w:rFonts w:ascii="宋体" w:hAnsi="宋体"/>
          <w:color w:val="000000"/>
          <w:szCs w:val="21"/>
        </w:rPr>
        <w:t>法定代表人或委托代理人：（签字）</w:t>
      </w:r>
    </w:p>
    <w:p/>
    <w:p>
      <w:pPr>
        <w:pStyle w:val="8"/>
        <w:rPr>
          <w:lang w:val="en-US" w:eastAsia="zh-CN"/>
        </w:rPr>
      </w:pPr>
    </w:p>
    <w:p>
      <w:pPr>
        <w:rPr>
          <w:lang w:val="en-US" w:eastAsia="zh-CN"/>
        </w:rPr>
      </w:pPr>
    </w:p>
    <w:p>
      <w:pPr>
        <w:pStyle w:val="8"/>
        <w:rPr>
          <w:lang w:val="en-US" w:eastAsia="zh-CN"/>
        </w:rPr>
      </w:pPr>
    </w:p>
    <w:p>
      <w:pPr>
        <w:rPr>
          <w:lang w:val="en-US" w:eastAsia="zh-CN"/>
        </w:rPr>
      </w:pPr>
    </w:p>
    <w:p>
      <w:pPr>
        <w:pStyle w:val="8"/>
        <w:rPr>
          <w:lang w:val="en-US" w:eastAsia="zh-CN"/>
        </w:rPr>
      </w:pPr>
    </w:p>
    <w:p>
      <w:pPr>
        <w:rPr>
          <w:lang w:val="en-US" w:eastAsia="zh-CN"/>
        </w:rPr>
      </w:pPr>
    </w:p>
    <w:p>
      <w:pPr>
        <w:pStyle w:val="8"/>
        <w:rPr>
          <w:lang w:val="en-US" w:eastAsia="zh-CN"/>
        </w:rPr>
      </w:pPr>
    </w:p>
    <w:p>
      <w:pPr>
        <w:rPr>
          <w:lang w:val="en-US" w:eastAsia="zh-CN"/>
        </w:rPr>
      </w:pPr>
    </w:p>
    <w:p>
      <w:pPr>
        <w:pStyle w:val="8"/>
        <w:ind w:firstLine="0" w:firstLineChars="0"/>
        <w:rPr>
          <w:lang w:val="en-US" w:eastAsia="zh-CN"/>
        </w:rPr>
      </w:pPr>
    </w:p>
    <w:p>
      <w:pPr>
        <w:rPr>
          <w:lang w:val="en-US" w:eastAsia="zh-CN"/>
        </w:rPr>
      </w:pPr>
    </w:p>
    <w:p>
      <w:pPr>
        <w:pStyle w:val="4"/>
        <w:numPr>
          <w:ilvl w:val="-1"/>
          <w:numId w:val="0"/>
        </w:numPr>
        <w:rPr>
          <w:lang w:val="en-US" w:eastAsia="zh-CN"/>
        </w:rPr>
      </w:pPr>
    </w:p>
    <w:p>
      <w:pPr>
        <w:rPr>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9"/>
        <w:rPr>
          <w:rFonts w:hint="default" w:ascii="黑体" w:hAnsi="黑体" w:eastAsia="黑体"/>
          <w:b/>
          <w:bCs/>
          <w:sz w:val="24"/>
          <w:szCs w:val="24"/>
          <w:lang w:val="en-US" w:eastAsia="zh-CN"/>
        </w:rPr>
      </w:pPr>
      <w:r>
        <w:rPr>
          <w:rFonts w:hint="eastAsia" w:ascii="黑体" w:hAnsi="黑体" w:eastAsia="黑体"/>
          <w:b/>
          <w:bCs/>
          <w:sz w:val="24"/>
          <w:szCs w:val="24"/>
        </w:rPr>
        <w:t>附件</w:t>
      </w:r>
      <w:r>
        <w:rPr>
          <w:rFonts w:hint="eastAsia" w:ascii="黑体" w:hAnsi="黑体" w:eastAsia="黑体"/>
          <w:b/>
          <w:bCs/>
          <w:sz w:val="24"/>
          <w:szCs w:val="24"/>
          <w:lang w:val="en-US" w:eastAsia="zh-CN"/>
        </w:rPr>
        <w:t>6：</w:t>
      </w:r>
      <w:r>
        <w:rPr>
          <w:rFonts w:hint="eastAsia" w:ascii="黑体" w:hAnsi="黑体" w:eastAsia="黑体"/>
          <w:b/>
          <w:bCs/>
          <w:sz w:val="24"/>
          <w:szCs w:val="24"/>
        </w:rPr>
        <w:t xml:space="preserve"> </w:t>
      </w:r>
      <w:r>
        <w:rPr>
          <w:rFonts w:hint="eastAsia" w:ascii="黑体" w:hAnsi="黑体" w:eastAsia="黑体"/>
          <w:b/>
          <w:bCs/>
          <w:sz w:val="24"/>
          <w:szCs w:val="24"/>
          <w:lang w:val="en-US" w:eastAsia="zh-CN"/>
        </w:rPr>
        <w:t>技术文件</w:t>
      </w:r>
    </w:p>
    <w:p>
      <w:pPr>
        <w:rPr>
          <w:rFonts w:hint="default" w:ascii="黑体" w:hAnsi="黑体" w:eastAsia="黑体"/>
          <w:sz w:val="24"/>
          <w:szCs w:val="24"/>
          <w:lang w:val="en-US" w:eastAsia="zh-CN"/>
        </w:rPr>
      </w:pPr>
      <w:r>
        <w:rPr>
          <w:rFonts w:hint="eastAsia" w:ascii="黑体" w:hAnsi="黑体" w:eastAsia="黑体"/>
          <w:sz w:val="24"/>
          <w:szCs w:val="24"/>
          <w:lang w:val="en-US" w:eastAsia="zh-CN"/>
        </w:rPr>
        <w:t>6.1技术偏离表</w:t>
      </w:r>
    </w:p>
    <w:p>
      <w:pPr>
        <w:rPr>
          <w:rFonts w:hint="eastAsia" w:ascii="黑体" w:hAnsi="黑体" w:eastAsia="黑体"/>
          <w:sz w:val="24"/>
          <w:szCs w:val="24"/>
          <w:lang w:val="en-US" w:eastAsia="zh-CN"/>
        </w:rPr>
      </w:pPr>
    </w:p>
    <w:p>
      <w:pPr>
        <w:widowControl w:val="0"/>
        <w:numPr>
          <w:ilvl w:val="0"/>
          <w:numId w:val="0"/>
        </w:numPr>
        <w:jc w:val="both"/>
        <w:rPr>
          <w:rFonts w:hint="default"/>
          <w:lang w:val="en-US" w:eastAsia="zh-CN"/>
        </w:rPr>
      </w:pPr>
    </w:p>
    <w:p>
      <w:pPr>
        <w:tabs>
          <w:tab w:val="left" w:pos="6480"/>
          <w:tab w:val="left" w:pos="6660"/>
          <w:tab w:val="left" w:pos="9360"/>
        </w:tabs>
        <w:spacing w:line="360" w:lineRule="auto"/>
        <w:ind w:right="36" w:rightChars="17"/>
        <w:jc w:val="center"/>
        <w:rPr>
          <w:rFonts w:ascii="宋体" w:hAnsi="宋体"/>
          <w:b/>
          <w:color w:val="000000"/>
          <w:szCs w:val="21"/>
        </w:rPr>
      </w:pPr>
      <w:r>
        <w:rPr>
          <w:rFonts w:hint="eastAsia" w:ascii="宋体" w:hAnsi="宋体"/>
          <w:b/>
          <w:color w:val="000000"/>
          <w:szCs w:val="21"/>
        </w:rPr>
        <w:t>技术</w:t>
      </w:r>
      <w:r>
        <w:rPr>
          <w:rFonts w:hint="eastAsia" w:ascii="宋体" w:hAnsi="宋体"/>
          <w:b/>
          <w:color w:val="000000"/>
          <w:szCs w:val="21"/>
          <w:lang w:val="en-US" w:eastAsia="zh-CN"/>
        </w:rPr>
        <w:t>偏离</w:t>
      </w:r>
      <w:r>
        <w:rPr>
          <w:rFonts w:hint="eastAsia" w:ascii="宋体" w:hAnsi="宋体"/>
          <w:b/>
          <w:color w:val="000000"/>
          <w:szCs w:val="21"/>
        </w:rPr>
        <w:t>表</w:t>
      </w:r>
    </w:p>
    <w:tbl>
      <w:tblPr>
        <w:tblStyle w:val="22"/>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969"/>
        <w:gridCol w:w="992"/>
        <w:gridCol w:w="170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序号</w:t>
            </w:r>
          </w:p>
        </w:tc>
        <w:tc>
          <w:tcPr>
            <w:tcW w:w="396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技术参数</w:t>
            </w: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是否存在异议</w:t>
            </w: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解决方法</w:t>
            </w:r>
          </w:p>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（不接受/协商/接受</w:t>
            </w:r>
            <w:r>
              <w:rPr>
                <w:rFonts w:hint="eastAsia" w:ascii="宋体" w:hAnsi="宋体"/>
                <w:color w:val="000000"/>
                <w:sz w:val="18"/>
                <w:szCs w:val="18"/>
                <w:lang w:eastAsia="zh-CN"/>
              </w:rPr>
              <w:t>询比</w:t>
            </w:r>
            <w:r>
              <w:rPr>
                <w:rFonts w:hint="eastAsia" w:ascii="宋体" w:hAnsi="宋体"/>
                <w:color w:val="000000"/>
                <w:sz w:val="18"/>
                <w:szCs w:val="18"/>
              </w:rPr>
              <w:t>方条件）</w:t>
            </w: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1</w:t>
            </w:r>
          </w:p>
        </w:tc>
        <w:tc>
          <w:tcPr>
            <w:tcW w:w="3969" w:type="dxa"/>
            <w:vAlign w:val="center"/>
          </w:tcPr>
          <w:p>
            <w:pPr>
              <w:pStyle w:val="5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宋体" w:hAnsi="宋体" w:eastAsiaTheme="minorEastAsia"/>
                <w:color w:val="000000"/>
                <w:sz w:val="18"/>
                <w:szCs w:val="18"/>
                <w:highlight w:val="gree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2</w:t>
            </w:r>
          </w:p>
        </w:tc>
        <w:tc>
          <w:tcPr>
            <w:tcW w:w="3969" w:type="dxa"/>
            <w:vAlign w:val="center"/>
          </w:tcPr>
          <w:p>
            <w:pPr>
              <w:pStyle w:val="5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3</w:t>
            </w:r>
          </w:p>
        </w:tc>
        <w:tc>
          <w:tcPr>
            <w:tcW w:w="3969" w:type="dxa"/>
            <w:vAlign w:val="center"/>
          </w:tcPr>
          <w:p>
            <w:pPr>
              <w:pStyle w:val="5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4</w:t>
            </w:r>
          </w:p>
        </w:tc>
        <w:tc>
          <w:tcPr>
            <w:tcW w:w="3969" w:type="dxa"/>
            <w:vAlign w:val="center"/>
          </w:tcPr>
          <w:p>
            <w:pPr>
              <w:pStyle w:val="5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5</w:t>
            </w:r>
          </w:p>
        </w:tc>
        <w:tc>
          <w:tcPr>
            <w:tcW w:w="3969" w:type="dxa"/>
            <w:vAlign w:val="center"/>
          </w:tcPr>
          <w:p>
            <w:pPr>
              <w:pStyle w:val="5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5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6</w:t>
            </w:r>
          </w:p>
        </w:tc>
        <w:tc>
          <w:tcPr>
            <w:tcW w:w="3969" w:type="dxa"/>
            <w:vAlign w:val="center"/>
          </w:tcPr>
          <w:p>
            <w:pPr>
              <w:pStyle w:val="53"/>
              <w:keepNext w:val="0"/>
              <w:keepLines w:val="0"/>
              <w:pageBreakBefore w:val="0"/>
              <w:kinsoku/>
              <w:wordWrap/>
              <w:overflowPunct/>
              <w:topLinePunct w:val="0"/>
              <w:autoSpaceDE/>
              <w:autoSpaceDN/>
              <w:bidi w:val="0"/>
              <w:adjustRightInd/>
              <w:snapToGrid/>
              <w:spacing w:line="280" w:lineRule="exact"/>
              <w:jc w:val="left"/>
              <w:textAlignment w:val="auto"/>
              <w:rPr>
                <w:rFonts w:hint="default"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bl>
    <w:p>
      <w:pPr>
        <w:spacing w:before="50" w:line="360" w:lineRule="auto"/>
        <w:ind w:firstLine="3885" w:firstLineChars="1850"/>
        <w:rPr>
          <w:rFonts w:ascii="宋体" w:hAnsi="宋体"/>
          <w:color w:val="000000"/>
          <w:szCs w:val="21"/>
        </w:rPr>
      </w:pPr>
    </w:p>
    <w:p>
      <w:pPr>
        <w:keepNext w:val="0"/>
        <w:keepLines w:val="0"/>
        <w:pageBreakBefore w:val="0"/>
        <w:widowControl w:val="0"/>
        <w:kinsoku/>
        <w:wordWrap/>
        <w:overflowPunct/>
        <w:topLinePunct w:val="0"/>
        <w:autoSpaceDE/>
        <w:autoSpaceDN/>
        <w:bidi w:val="0"/>
        <w:adjustRightInd/>
        <w:snapToGrid/>
        <w:spacing w:before="50" w:line="240" w:lineRule="auto"/>
        <w:textAlignment w:val="auto"/>
        <w:rPr>
          <w:rFonts w:ascii="宋体" w:hAnsi="宋体"/>
          <w:color w:val="000000"/>
          <w:szCs w:val="21"/>
        </w:rPr>
      </w:pPr>
      <w:r>
        <w:rPr>
          <w:rFonts w:hint="eastAsia" w:ascii="宋体" w:hAnsi="宋体"/>
          <w:color w:val="000000"/>
          <w:szCs w:val="21"/>
        </w:rPr>
        <w:t>说明：</w:t>
      </w:r>
    </w:p>
    <w:p>
      <w:pPr>
        <w:keepNext w:val="0"/>
        <w:keepLines w:val="0"/>
        <w:pageBreakBefore w:val="0"/>
        <w:widowControl w:val="0"/>
        <w:numPr>
          <w:ilvl w:val="0"/>
          <w:numId w:val="50"/>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以上技术如无偏差，则都填“无”字。</w:t>
      </w:r>
    </w:p>
    <w:p>
      <w:pPr>
        <w:keepNext w:val="0"/>
        <w:keepLines w:val="0"/>
        <w:pageBreakBefore w:val="0"/>
        <w:widowControl w:val="0"/>
        <w:numPr>
          <w:ilvl w:val="0"/>
          <w:numId w:val="50"/>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技术标准以技术要求为基准。</w:t>
      </w:r>
    </w:p>
    <w:p>
      <w:pPr>
        <w:keepNext w:val="0"/>
        <w:keepLines w:val="0"/>
        <w:pageBreakBefore w:val="0"/>
        <w:widowControl w:val="0"/>
        <w:numPr>
          <w:ilvl w:val="0"/>
          <w:numId w:val="50"/>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以上技术偏差将作为</w:t>
      </w:r>
      <w:r>
        <w:rPr>
          <w:rFonts w:hint="eastAsia" w:ascii="宋体" w:hAnsi="宋体"/>
          <w:color w:val="000000"/>
          <w:szCs w:val="21"/>
          <w:lang w:val="en-US" w:eastAsia="zh-CN"/>
        </w:rPr>
        <w:t>采购</w:t>
      </w:r>
      <w:r>
        <w:rPr>
          <w:rFonts w:hint="eastAsia" w:ascii="宋体" w:hAnsi="宋体"/>
          <w:color w:val="000000"/>
          <w:szCs w:val="21"/>
        </w:rPr>
        <w:t>人判断应答人报价的重要依据，请慎重考虑、酌情填写。</w:t>
      </w:r>
    </w:p>
    <w:p>
      <w:pPr>
        <w:spacing w:line="360" w:lineRule="auto"/>
        <w:rPr>
          <w:rFonts w:ascii="宋体" w:hAnsi="宋体"/>
          <w:color w:val="000000"/>
          <w:szCs w:val="21"/>
        </w:rPr>
      </w:pPr>
    </w:p>
    <w:p>
      <w:pPr>
        <w:tabs>
          <w:tab w:val="left" w:pos="0"/>
        </w:tabs>
        <w:spacing w:line="360" w:lineRule="auto"/>
        <w:ind w:firstLine="3570" w:firstLineChars="1700"/>
        <w:rPr>
          <w:rFonts w:ascii="宋体" w:hAnsi="宋体"/>
          <w:color w:val="000000"/>
          <w:szCs w:val="21"/>
          <w:u w:val="single"/>
        </w:rPr>
      </w:pPr>
      <w:r>
        <w:rPr>
          <w:rFonts w:hint="eastAsia" w:ascii="宋体" w:hAnsi="宋体"/>
          <w:color w:val="000000"/>
          <w:szCs w:val="21"/>
          <w:lang w:eastAsia="zh-CN"/>
        </w:rPr>
        <w:t>应答人</w:t>
      </w:r>
      <w:r>
        <w:rPr>
          <w:rFonts w:hint="eastAsia" w:ascii="宋体" w:hAnsi="宋体"/>
          <w:color w:val="000000"/>
          <w:szCs w:val="21"/>
        </w:rPr>
        <w:t>：（盖章）</w:t>
      </w:r>
    </w:p>
    <w:p>
      <w:pPr>
        <w:tabs>
          <w:tab w:val="left" w:pos="4320"/>
        </w:tabs>
        <w:spacing w:line="360" w:lineRule="auto"/>
        <w:ind w:firstLine="3465" w:firstLineChars="1650"/>
        <w:jc w:val="center"/>
        <w:rPr>
          <w:rFonts w:ascii="宋体" w:hAnsi="宋体"/>
          <w:color w:val="000000"/>
          <w:szCs w:val="21"/>
        </w:rPr>
      </w:pPr>
    </w:p>
    <w:p>
      <w:pPr>
        <w:tabs>
          <w:tab w:val="left" w:pos="4320"/>
        </w:tabs>
        <w:spacing w:line="360" w:lineRule="auto"/>
        <w:ind w:firstLine="3570" w:firstLineChars="1700"/>
        <w:rPr>
          <w:rFonts w:hint="eastAsia" w:ascii="宋体" w:hAnsi="宋体"/>
          <w:color w:val="000000"/>
          <w:szCs w:val="21"/>
        </w:rPr>
      </w:pPr>
      <w:r>
        <w:rPr>
          <w:rFonts w:ascii="宋体" w:hAnsi="宋体"/>
          <w:color w:val="000000"/>
          <w:szCs w:val="21"/>
        </w:rPr>
        <w:t>法定代表人或委托代理人：（签字</w:t>
      </w:r>
      <w:r>
        <w:rPr>
          <w:rFonts w:hint="eastAsia" w:ascii="宋体" w:hAnsi="宋体"/>
          <w:color w:val="000000"/>
          <w:szCs w:val="21"/>
        </w:rPr>
        <w:t>）</w:t>
      </w:r>
    </w:p>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rPr>
          <w:lang w:val="en-US" w:eastAsia="zh-CN"/>
        </w:rPr>
      </w:pPr>
    </w:p>
    <w:p>
      <w:pPr>
        <w:pStyle w:val="2"/>
        <w:rPr>
          <w:lang w:val="en-US" w:eastAsia="zh-CN"/>
        </w:rPr>
      </w:pPr>
    </w:p>
    <w:p>
      <w:pPr>
        <w:pStyle w:val="3"/>
        <w:rPr>
          <w:lang w:val="en-US" w:eastAsia="zh-CN"/>
        </w:rPr>
      </w:pPr>
    </w:p>
    <w:p>
      <w:pPr>
        <w:rPr>
          <w:lang w:val="en-US" w:eastAsia="zh-CN"/>
        </w:rPr>
      </w:pPr>
    </w:p>
    <w:p>
      <w:pPr>
        <w:pStyle w:val="2"/>
        <w:rPr>
          <w:lang w:val="en-US" w:eastAsia="zh-CN"/>
        </w:rPr>
      </w:pPr>
    </w:p>
    <w:p>
      <w:pPr>
        <w:pStyle w:val="3"/>
        <w:rPr>
          <w:lang w:val="en-US" w:eastAsia="zh-CN"/>
        </w:rPr>
      </w:pPr>
    </w:p>
    <w:p>
      <w:pPr>
        <w:rPr>
          <w:lang w:val="en-US" w:eastAsia="zh-CN"/>
        </w:rPr>
      </w:pPr>
    </w:p>
    <w:p>
      <w:pPr>
        <w:spacing w:line="240" w:lineRule="auto"/>
        <w:jc w:val="left"/>
        <w:rPr>
          <w:rFonts w:hint="default" w:ascii="黑体" w:hAnsi="黑体" w:eastAsia="黑体"/>
          <w:b w:val="0"/>
          <w:bCs w:val="0"/>
          <w:kern w:val="2"/>
          <w:sz w:val="24"/>
          <w:szCs w:val="24"/>
          <w:lang w:val="en-US" w:eastAsia="zh-CN"/>
        </w:rPr>
      </w:pPr>
      <w:r>
        <w:rPr>
          <w:rFonts w:hint="eastAsia" w:ascii="黑体" w:hAnsi="黑体" w:eastAsia="黑体"/>
          <w:sz w:val="24"/>
          <w:szCs w:val="24"/>
          <w:lang w:val="en-US" w:eastAsia="zh-CN"/>
        </w:rPr>
        <w:t>6.2 技术要求</w:t>
      </w:r>
      <w:r>
        <w:rPr>
          <w:rFonts w:hint="eastAsia" w:ascii="黑体" w:hAnsi="黑体" w:eastAsia="黑体"/>
          <w:b w:val="0"/>
          <w:bCs w:val="0"/>
          <w:kern w:val="2"/>
          <w:sz w:val="24"/>
          <w:szCs w:val="24"/>
        </w:rPr>
        <w:t>承诺</w:t>
      </w:r>
      <w:r>
        <w:rPr>
          <w:rFonts w:hint="eastAsia" w:ascii="黑体" w:hAnsi="黑体" w:eastAsia="黑体"/>
          <w:b w:val="0"/>
          <w:bCs w:val="0"/>
          <w:kern w:val="2"/>
          <w:sz w:val="24"/>
          <w:szCs w:val="24"/>
          <w:lang w:val="en-US" w:eastAsia="zh-CN"/>
        </w:rPr>
        <w:t>书（格式）--</w:t>
      </w:r>
    </w:p>
    <w:p>
      <w:pPr>
        <w:spacing w:line="360" w:lineRule="auto"/>
        <w:rPr>
          <w:kern w:val="0"/>
          <w:sz w:val="22"/>
          <w:szCs w:val="21"/>
        </w:rPr>
      </w:pPr>
      <w:r>
        <w:rPr>
          <w:rFonts w:eastAsiaTheme="minorEastAsia"/>
          <w:b/>
          <w:color w:val="000000"/>
          <w:kern w:val="0"/>
          <w:sz w:val="22"/>
          <w:szCs w:val="21"/>
        </w:rPr>
        <w:t>致：</w:t>
      </w:r>
      <w:r>
        <w:rPr>
          <w:rFonts w:hint="eastAsia" w:eastAsiaTheme="minorEastAsia"/>
          <w:b/>
          <w:color w:val="000000"/>
          <w:kern w:val="0"/>
          <w:sz w:val="22"/>
          <w:szCs w:val="21"/>
        </w:rPr>
        <w:t>中海油天津化工研究设计院有限</w:t>
      </w:r>
      <w:r>
        <w:rPr>
          <w:rFonts w:hint="eastAsia"/>
          <w:b/>
          <w:color w:val="000000"/>
          <w:kern w:val="0"/>
          <w:sz w:val="22"/>
          <w:szCs w:val="21"/>
          <w:lang w:val="en-US" w:eastAsia="zh-CN"/>
        </w:rPr>
        <w:t>公司</w:t>
      </w:r>
      <w:r>
        <w:rPr>
          <w:rFonts w:eastAsiaTheme="minorEastAsia"/>
          <w:b/>
          <w:color w:val="000000"/>
          <w:kern w:val="0"/>
          <w:sz w:val="22"/>
          <w:szCs w:val="21"/>
        </w:rPr>
        <w:t>（</w:t>
      </w:r>
      <w:r>
        <w:rPr>
          <w:rFonts w:hint="eastAsia"/>
          <w:b/>
          <w:color w:val="000000"/>
          <w:kern w:val="0"/>
          <w:sz w:val="22"/>
          <w:szCs w:val="21"/>
          <w:lang w:val="en-US" w:eastAsia="zh-CN"/>
        </w:rPr>
        <w:t>买</w:t>
      </w:r>
      <w:r>
        <w:rPr>
          <w:rFonts w:hint="eastAsia" w:eastAsiaTheme="minorEastAsia"/>
          <w:b/>
          <w:color w:val="000000"/>
          <w:kern w:val="0"/>
          <w:sz w:val="22"/>
          <w:szCs w:val="21"/>
          <w:lang w:val="en-US" w:eastAsia="zh-CN"/>
        </w:rPr>
        <w:t>方</w:t>
      </w:r>
      <w:r>
        <w:rPr>
          <w:rFonts w:eastAsiaTheme="minorEastAsia"/>
          <w:b/>
          <w:color w:val="000000"/>
          <w:kern w:val="0"/>
          <w:sz w:val="22"/>
          <w:szCs w:val="21"/>
        </w:rPr>
        <w:t>）</w:t>
      </w:r>
      <w:r>
        <w:rPr>
          <w:rFonts w:eastAsiaTheme="minorEastAsia"/>
          <w:color w:val="000000"/>
          <w:kern w:val="0"/>
          <w:sz w:val="22"/>
          <w:szCs w:val="21"/>
        </w:rPr>
        <w:t xml:space="preserve">                      </w:t>
      </w:r>
    </w:p>
    <w:p>
      <w:pPr>
        <w:spacing w:line="360" w:lineRule="auto"/>
        <w:ind w:right="115" w:rightChars="55" w:firstLine="420" w:firstLineChars="200"/>
        <w:rPr>
          <w:color w:val="000000"/>
          <w:kern w:val="0"/>
          <w:szCs w:val="21"/>
          <w:highlight w:val="none"/>
        </w:rPr>
      </w:pPr>
      <w:r>
        <w:rPr>
          <w:color w:val="000000"/>
          <w:kern w:val="0"/>
          <w:szCs w:val="21"/>
        </w:rPr>
        <w:t>我方收到贵方（</w:t>
      </w:r>
      <w:r>
        <w:rPr>
          <w:rFonts w:hint="default" w:asciiTheme="minorEastAsia" w:hAnsiTheme="minorEastAsia" w:cstheme="minorBidi"/>
          <w:b w:val="0"/>
          <w:bCs w:val="0"/>
          <w:color w:val="000000" w:themeColor="text1"/>
          <w:spacing w:val="-3"/>
          <w:kern w:val="2"/>
          <w:sz w:val="21"/>
          <w:szCs w:val="22"/>
          <w:highlight w:val="none"/>
          <w:u w:val="single"/>
          <w:lang w:eastAsia="zh-CN" w:bidi="ar"/>
          <w14:textFill>
            <w14:solidFill>
              <w14:schemeClr w14:val="tx1"/>
            </w14:solidFill>
          </w14:textFill>
        </w:rPr>
        <w:t>低温精馏回流泵采购</w:t>
      </w:r>
      <w:r>
        <w:rPr>
          <w:rFonts w:hint="eastAsia" w:asciiTheme="minorEastAsia" w:hAnsiTheme="minorEastAsia" w:cstheme="minorBidi"/>
          <w:b w:val="0"/>
          <w:bCs w:val="0"/>
          <w:color w:val="000000" w:themeColor="text1"/>
          <w:spacing w:val="-3"/>
          <w:kern w:val="2"/>
          <w:sz w:val="21"/>
          <w:szCs w:val="22"/>
          <w:highlight w:val="none"/>
          <w:u w:val="single"/>
          <w:lang w:eastAsia="zh-CN" w:bidi="ar"/>
          <w14:textFill>
            <w14:solidFill>
              <w14:schemeClr w14:val="tx1"/>
            </w14:solidFill>
          </w14:textFill>
        </w:rPr>
        <w:t>）</w:t>
      </w:r>
      <w:r>
        <w:rPr>
          <w:rFonts w:hint="eastAsia" w:ascii="Times New Roman" w:hAnsi="Times New Roman" w:cs="Times New Roman"/>
          <w:color w:val="000000"/>
          <w:kern w:val="0"/>
          <w:szCs w:val="21"/>
          <w:lang w:val="en-US" w:eastAsia="zh-CN"/>
        </w:rPr>
        <w:t>采购项目，询比编号：GKXJ-2026-TY-0794）的公开询比采</w:t>
      </w:r>
      <w:r>
        <w:rPr>
          <w:color w:val="000000"/>
          <w:kern w:val="0"/>
          <w:szCs w:val="21"/>
        </w:rPr>
        <w:t>购文件，在完全理解本项目</w:t>
      </w:r>
      <w:r>
        <w:rPr>
          <w:rFonts w:hint="eastAsia"/>
          <w:color w:val="000000"/>
          <w:kern w:val="0"/>
          <w:szCs w:val="21"/>
          <w:lang w:val="en-US" w:eastAsia="zh-CN"/>
        </w:rPr>
        <w:t>公开询比</w:t>
      </w:r>
      <w:r>
        <w:rPr>
          <w:color w:val="000000"/>
          <w:kern w:val="0"/>
          <w:szCs w:val="21"/>
        </w:rPr>
        <w:t>的技术要求、商务条款及其他内容，决</w:t>
      </w:r>
      <w:r>
        <w:rPr>
          <w:color w:val="000000"/>
          <w:kern w:val="0"/>
          <w:szCs w:val="21"/>
          <w:highlight w:val="none"/>
        </w:rPr>
        <w:t>定参与该项目的</w:t>
      </w:r>
      <w:r>
        <w:rPr>
          <w:rFonts w:hint="eastAsia"/>
          <w:color w:val="000000"/>
          <w:kern w:val="0"/>
          <w:szCs w:val="21"/>
          <w:highlight w:val="none"/>
          <w:lang w:val="en-US" w:eastAsia="zh-CN"/>
        </w:rPr>
        <w:t>询比价</w:t>
      </w:r>
      <w:r>
        <w:rPr>
          <w:color w:val="000000"/>
          <w:kern w:val="0"/>
          <w:szCs w:val="21"/>
          <w:highlight w:val="none"/>
        </w:rPr>
        <w:t>活动。并承诺，如中标，我公司做出如下承诺，保证本合同履行：</w:t>
      </w:r>
    </w:p>
    <w:p>
      <w:pPr>
        <w:pStyle w:val="2"/>
        <w:jc w:val="both"/>
        <w:rPr>
          <w:rFonts w:hint="eastAsia" w:asciiTheme="minorHAnsi" w:hAnsiTheme="minorHAnsi" w:eastAsiaTheme="minorEastAsia" w:cstheme="minorBidi"/>
          <w:b w:val="0"/>
          <w:bCs w:val="0"/>
          <w:color w:val="000000"/>
          <w:kern w:val="0"/>
          <w:sz w:val="21"/>
          <w:szCs w:val="21"/>
          <w:highlight w:val="none"/>
          <w:lang w:val="en-US" w:eastAsia="zh-CN" w:bidi="ar-SA"/>
        </w:rPr>
      </w:pPr>
      <w:r>
        <w:rPr>
          <w:rFonts w:hint="eastAsia" w:asciiTheme="minorHAnsi" w:hAnsiTheme="minorHAnsi" w:eastAsiaTheme="minorEastAsia" w:cstheme="minorBidi"/>
          <w:b w:val="0"/>
          <w:bCs w:val="0"/>
          <w:color w:val="000000"/>
          <w:kern w:val="0"/>
          <w:sz w:val="21"/>
          <w:szCs w:val="21"/>
          <w:highlight w:val="none"/>
          <w:lang w:val="en-US" w:eastAsia="zh-CN" w:bidi="ar-SA"/>
        </w:rPr>
        <w:t>1、★卖方承诺：卖方按照附件2 ：采购内容及技术要求的技术参数提供低温精馏回流泵采购；</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2、</w:t>
      </w:r>
      <w:r>
        <w:rPr>
          <w:rFonts w:hint="eastAsia" w:asciiTheme="minorHAnsi" w:hAnsiTheme="minorHAnsi" w:eastAsiaTheme="minorEastAsia" w:cstheme="minorBidi"/>
          <w:b w:val="0"/>
          <w:bCs w:val="0"/>
          <w:color w:val="000000"/>
          <w:kern w:val="0"/>
          <w:sz w:val="21"/>
          <w:szCs w:val="21"/>
          <w:highlight w:val="none"/>
          <w:lang w:val="en-US" w:eastAsia="zh-CN" w:bidi="ar-SA"/>
        </w:rPr>
        <w:t>★卖方应执行最新版本的《海上固定平台安全规则》第七章通用机械设备及管系中的一</w:t>
      </w:r>
      <w:r>
        <w:rPr>
          <w:rFonts w:hint="eastAsia" w:cstheme="minorBidi"/>
          <w:b w:val="0"/>
          <w:bCs w:val="0"/>
          <w:color w:val="000000"/>
          <w:kern w:val="0"/>
          <w:sz w:val="21"/>
          <w:szCs w:val="21"/>
          <w:highlight w:val="none"/>
          <w:lang w:val="en-US" w:eastAsia="zh-CN" w:bidi="ar-SA"/>
        </w:rPr>
        <w:t>般规定，进行泵橇的生产、测试、现场安装、调试和交付买方。所采用的标准规范均应该为最新版本。【本设备部分引用《海上平台安全规则》中第7.1.3，7.1.6，7.1.7，7.1.8条。】</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以下为引用标准中所列重要参数，纳入评议范围：</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■7.1.3防护措施</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7.1.3.1机器、锅炉、压力容器及管系和附件的设计、安装和防护应充分考虑到使运动部件、热表面和其他危险对平台上人员的伤害可能性减少至最小程度。</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7.1.3.2为避免机械设备和管系在操作及转换中的差错，应在醒目处设有操作须知的标志牌。</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★7.1.6防腐蚀</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暴露于腐蚀环境的零部件应采用耐腐蚀的材料制成，或采取有效的防腐蚀措施。</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★7.1.7防污染设施</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机器处所应设适当的设施，防止含油污水外溢，并使含油污水进入排放系统加以处理。</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■7.1.8检验、试验与证书。</w:t>
      </w:r>
    </w:p>
    <w:p>
      <w:pPr>
        <w:pStyle w:val="15"/>
        <w:numPr>
          <w:ilvl w:val="0"/>
          <w:numId w:val="0"/>
        </w:numPr>
        <w:rPr>
          <w:rFonts w:hint="eastAsia" w:cstheme="minorBidi"/>
          <w:b w:val="0"/>
          <w:bCs w:val="0"/>
          <w:color w:val="000000"/>
          <w:kern w:val="0"/>
          <w:sz w:val="21"/>
          <w:szCs w:val="21"/>
          <w:highlight w:val="none"/>
          <w:lang w:val="en-US" w:eastAsia="zh-CN" w:bidi="ar-SA"/>
        </w:rPr>
      </w:pPr>
      <w:r>
        <w:rPr>
          <w:rFonts w:hint="eastAsia" w:cstheme="minorBidi"/>
          <w:b w:val="0"/>
          <w:bCs w:val="0"/>
          <w:color w:val="000000"/>
          <w:kern w:val="0"/>
          <w:sz w:val="21"/>
          <w:szCs w:val="21"/>
          <w:highlight w:val="none"/>
          <w:lang w:val="en-US" w:eastAsia="zh-CN" w:bidi="ar-SA"/>
        </w:rPr>
        <w:t>平台上所有的通用机械设备应有出厂合格证书。</w:t>
      </w:r>
    </w:p>
    <w:p>
      <w:pPr>
        <w:pStyle w:val="15"/>
        <w:numPr>
          <w:ilvl w:val="0"/>
          <w:numId w:val="0"/>
        </w:numPr>
        <w:rPr>
          <w:rFonts w:hint="eastAsia" w:cstheme="minorBidi"/>
          <w:b w:val="0"/>
          <w:bCs w:val="0"/>
          <w:color w:val="000000"/>
          <w:kern w:val="0"/>
          <w:sz w:val="21"/>
          <w:szCs w:val="21"/>
          <w:lang w:val="en-US" w:eastAsia="zh-CN" w:bidi="ar-SA"/>
        </w:rPr>
      </w:pPr>
      <w:r>
        <w:rPr>
          <w:rFonts w:hint="eastAsia" w:cstheme="minorBidi"/>
          <w:b w:val="0"/>
          <w:bCs w:val="0"/>
          <w:color w:val="000000"/>
          <w:kern w:val="0"/>
          <w:sz w:val="21"/>
          <w:szCs w:val="21"/>
          <w:lang w:val="en-US" w:eastAsia="zh-CN" w:bidi="ar-SA"/>
        </w:rPr>
        <w:t>3、★卖方承诺签订合同后，未经买方同意，不允许分包给其他厂家。</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4</w:t>
      </w:r>
      <w:r>
        <w:rPr>
          <w:rFonts w:hint="eastAsia" w:asciiTheme="minorHAnsi" w:hAnsiTheme="minorHAnsi" w:eastAsiaTheme="minorEastAsia" w:cstheme="minorBidi"/>
          <w:b w:val="0"/>
          <w:bCs w:val="0"/>
          <w:color w:val="000000"/>
          <w:kern w:val="0"/>
          <w:sz w:val="21"/>
          <w:szCs w:val="21"/>
          <w:lang w:val="en-US" w:eastAsia="zh-CN" w:bidi="ar-SA"/>
        </w:rPr>
        <w:t>、★卖方承诺本次采购的低温精馏回流泵包括但不限于泵体、泵盖、叶轮、泵轴、轴承、密封装置、电机轴、联轴器及护罩、底座、进出口配对法兰及变径接</w:t>
      </w:r>
      <w:r>
        <w:rPr>
          <w:rFonts w:hint="eastAsia" w:asciiTheme="minorHAnsi" w:hAnsiTheme="minorHAnsi" w:eastAsiaTheme="minorEastAsia" w:cstheme="minorBidi"/>
          <w:b w:val="0"/>
          <w:bCs w:val="0"/>
          <w:color w:val="000000"/>
          <w:kern w:val="0"/>
          <w:sz w:val="21"/>
          <w:szCs w:val="21"/>
          <w:highlight w:val="none"/>
          <w:lang w:val="en-US" w:eastAsia="zh-CN" w:bidi="ar-SA"/>
        </w:rPr>
        <w:t>头（ASME CL900）、</w:t>
      </w:r>
      <w:r>
        <w:rPr>
          <w:rFonts w:hint="eastAsia" w:asciiTheme="minorHAnsi" w:hAnsiTheme="minorHAnsi" w:eastAsiaTheme="minorEastAsia" w:cstheme="minorBidi"/>
          <w:b w:val="0"/>
          <w:bCs w:val="0"/>
          <w:color w:val="000000"/>
          <w:kern w:val="0"/>
          <w:sz w:val="21"/>
          <w:szCs w:val="21"/>
          <w:lang w:val="en-US" w:eastAsia="zh-CN" w:bidi="ar-SA"/>
        </w:rPr>
        <w:t>紧固件、电机、接线盒、填料函、铭牌等，满足API610标准离心泵的相关标准及完整功能。</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5</w:t>
      </w:r>
      <w:r>
        <w:rPr>
          <w:rFonts w:hint="eastAsia" w:asciiTheme="minorHAnsi" w:hAnsiTheme="minorHAnsi" w:eastAsiaTheme="minorEastAsia" w:cstheme="minorBidi"/>
          <w:b w:val="0"/>
          <w:bCs w:val="0"/>
          <w:color w:val="000000"/>
          <w:kern w:val="0"/>
          <w:sz w:val="21"/>
          <w:szCs w:val="21"/>
          <w:lang w:val="en-US" w:eastAsia="zh-CN" w:bidi="ar-SA"/>
        </w:rPr>
        <w:t>、★卖方承诺低温精馏回流泵选用单级悬臂式离心泵（API标准OH2型），泵的具体型式见数据表。泵制造厂应对整个机组包括泵、驱动机、控制及仪表、联轴器、相关的辅助设备和管道系统及其之间的合理匹配等负全部责任，并对整个系统的总成套设计、制造、性能、检验、试验、质量、供货、服务等责任。</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6</w:t>
      </w:r>
      <w:r>
        <w:rPr>
          <w:rFonts w:hint="eastAsia" w:asciiTheme="minorHAnsi" w:hAnsiTheme="minorHAnsi" w:eastAsiaTheme="minorEastAsia" w:cstheme="minorBidi"/>
          <w:b w:val="0"/>
          <w:bCs w:val="0"/>
          <w:color w:val="000000"/>
          <w:kern w:val="0"/>
          <w:sz w:val="21"/>
          <w:szCs w:val="21"/>
          <w:lang w:val="en-US" w:eastAsia="zh-CN" w:bidi="ar-SA"/>
        </w:rPr>
        <w:t>、★卖方承诺整套泵组海上平台露天安装，泵、驱动机及辅助设备应在规定的环境条件下（高湿度的含盐环境）适用于启动和连续操作，应采取相应的安全和防护措施。输送介质为低温液态CO2，卖方应高度重视泵材料的选择，泵材料应执行API610附录G及附录H的规定（详见附件引用标准），也可以提供同等或更优质的材料，并经买方确认，确保所提供的材料适用于操作和外部环境。</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7</w:t>
      </w:r>
      <w:r>
        <w:rPr>
          <w:rFonts w:hint="eastAsia" w:asciiTheme="minorHAnsi" w:hAnsiTheme="minorHAnsi" w:eastAsiaTheme="minorEastAsia" w:cstheme="minorBidi"/>
          <w:b w:val="0"/>
          <w:bCs w:val="0"/>
          <w:color w:val="000000"/>
          <w:kern w:val="0"/>
          <w:sz w:val="21"/>
          <w:szCs w:val="21"/>
          <w:lang w:val="en-US" w:eastAsia="zh-CN" w:bidi="ar-SA"/>
        </w:rPr>
        <w:t>、</w:t>
      </w:r>
      <w:r>
        <w:rPr>
          <w:rFonts w:hint="default" w:asciiTheme="minorHAnsi" w:hAnsiTheme="minorHAnsi" w:eastAsiaTheme="minorEastAsia" w:cstheme="minorBidi"/>
          <w:b w:val="0"/>
          <w:bCs w:val="0"/>
          <w:color w:val="000000"/>
          <w:kern w:val="0"/>
          <w:sz w:val="21"/>
          <w:szCs w:val="21"/>
          <w:lang w:val="en-US" w:eastAsia="zh-CN" w:bidi="ar-SA"/>
        </w:rPr>
        <w:t>★卖方承诺泵橇内的设备、阀门、仪表、管道、钢结构的防腐等级须达到C5M，卖方对泵橇内的防腐部分需满足【《中国境内海上油气田通用技术规格书-组块涂装规格书》QBZH 11111.01-2024中第4.2.2部分</w:t>
      </w:r>
      <w:r>
        <w:rPr>
          <w:rFonts w:hint="eastAsia" w:asciiTheme="minorHAnsi" w:hAnsiTheme="minorHAnsi" w:eastAsiaTheme="minorEastAsia" w:cstheme="minorBidi"/>
          <w:b w:val="0"/>
          <w:bCs w:val="0"/>
          <w:color w:val="000000"/>
          <w:kern w:val="0"/>
          <w:sz w:val="21"/>
          <w:szCs w:val="21"/>
          <w:lang w:val="en-US" w:eastAsia="zh-CN" w:bidi="ar-SA"/>
        </w:rPr>
        <w:t>。</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8</w:t>
      </w:r>
      <w:r>
        <w:rPr>
          <w:rFonts w:hint="eastAsia" w:asciiTheme="minorHAnsi" w:hAnsiTheme="minorHAnsi" w:eastAsiaTheme="minorEastAsia" w:cstheme="minorBidi"/>
          <w:b w:val="0"/>
          <w:bCs w:val="0"/>
          <w:color w:val="000000"/>
          <w:kern w:val="0"/>
          <w:sz w:val="21"/>
          <w:szCs w:val="21"/>
          <w:lang w:val="en-US" w:eastAsia="zh-CN" w:bidi="ar-SA"/>
        </w:rPr>
        <w:t>、★卖方承诺在要求的介质、温度等工作条件下，所有泵体、叶轮、冲洗冷却部件等泵结构接液的材质应耐腐蚀，保证使用不出现腐蚀情况。</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9</w:t>
      </w:r>
      <w:r>
        <w:rPr>
          <w:rFonts w:hint="eastAsia" w:asciiTheme="minorHAnsi" w:hAnsiTheme="minorHAnsi" w:eastAsiaTheme="minorEastAsia" w:cstheme="minorBidi"/>
          <w:b w:val="0"/>
          <w:bCs w:val="0"/>
          <w:color w:val="000000"/>
          <w:kern w:val="0"/>
          <w:sz w:val="21"/>
          <w:szCs w:val="21"/>
          <w:lang w:val="en-US" w:eastAsia="zh-CN" w:bidi="ar-SA"/>
        </w:rPr>
        <w:t>、★卖方承诺每台泵应能安全、平稳运行，振动、噪声、轴承温度应满足GB/T 29529 《泵的噪声测量与评价方法》中第5部分和GB/T 29531《泵的振动测量与评价方法》中第6部分相关标准要求，满足QBZH 11104.14-2021《中国境内海上油气田通用技术规格书-离心泵规格书 》中第4部分要求，其中振动级别不得低于B。</w:t>
      </w:r>
    </w:p>
    <w:p>
      <w:pPr>
        <w:rPr>
          <w:rFonts w:hint="eastAsia"/>
          <w:lang w:val="en-US" w:eastAsia="zh-CN"/>
        </w:rPr>
      </w:pPr>
      <w:r>
        <w:rPr>
          <w:rFonts w:hint="eastAsia"/>
          <w:lang w:val="en-US" w:eastAsia="zh-CN"/>
        </w:rPr>
        <w:t>泵的噪声测量方法需满足标准【《泵的噪声测量与评价方法》GB/T 29529中第5.2条。】</w:t>
      </w:r>
    </w:p>
    <w:p>
      <w:pPr>
        <w:pStyle w:val="15"/>
        <w:rPr>
          <w:rFonts w:hint="eastAsia"/>
          <w:lang w:val="en-US" w:eastAsia="zh-CN"/>
        </w:rPr>
      </w:pPr>
      <w:r>
        <w:rPr>
          <w:rFonts w:hint="eastAsia"/>
          <w:lang w:val="en-US" w:eastAsia="zh-CN"/>
        </w:rPr>
        <w:t>泵的振动测量方法需满足标准【《泵的振动测量与评价方法》GB/T 29531中第6.3条。】</w:t>
      </w:r>
    </w:p>
    <w:p>
      <w:pPr>
        <w:pStyle w:val="8"/>
        <w:ind w:left="0" w:leftChars="0" w:firstLine="0" w:firstLineChars="0"/>
        <w:rPr>
          <w:rFonts w:hint="eastAsia"/>
          <w:lang w:val="en-US" w:eastAsia="zh-CN"/>
        </w:rPr>
      </w:pPr>
      <w:r>
        <w:rPr>
          <w:rFonts w:hint="eastAsia"/>
          <w:lang w:val="en-US" w:eastAsia="zh-CN"/>
        </w:rPr>
        <w:t>泵的振动要求需满足标准【《中国境内海上油气田通用技术规格书-离心泵规格书 》QBZH 11104.14-2021中第4.2.5条。】</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10</w:t>
      </w:r>
      <w:r>
        <w:rPr>
          <w:rFonts w:hint="eastAsia" w:asciiTheme="minorHAnsi" w:hAnsiTheme="minorHAnsi" w:eastAsiaTheme="minorEastAsia" w:cstheme="minorBidi"/>
          <w:b w:val="0"/>
          <w:bCs w:val="0"/>
          <w:color w:val="000000"/>
          <w:kern w:val="0"/>
          <w:sz w:val="21"/>
          <w:szCs w:val="21"/>
          <w:lang w:val="en-US" w:eastAsia="zh-CN" w:bidi="ar-SA"/>
        </w:rPr>
        <w:t>、★卖方承诺应根据规定的材料等级、规定的操作条件负责最终的材料选择，并在数据表上标明主要零部件（例如：筒体/端盖/壳体、叶轮、轴、口环、平衡鼓等）的具体牌号。</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11</w:t>
      </w:r>
      <w:r>
        <w:rPr>
          <w:rFonts w:hint="eastAsia" w:asciiTheme="minorHAnsi" w:hAnsiTheme="minorHAnsi" w:eastAsiaTheme="minorEastAsia" w:cstheme="minorBidi"/>
          <w:b w:val="0"/>
          <w:bCs w:val="0"/>
          <w:color w:val="000000"/>
          <w:kern w:val="0"/>
          <w:sz w:val="21"/>
          <w:szCs w:val="21"/>
          <w:lang w:val="en-US" w:eastAsia="zh-CN" w:bidi="ar-SA"/>
        </w:rPr>
        <w:t>、</w:t>
      </w:r>
      <w:r>
        <w:rPr>
          <w:rFonts w:hint="default" w:asciiTheme="minorHAnsi" w:hAnsiTheme="minorHAnsi" w:eastAsiaTheme="minorEastAsia" w:cstheme="minorBidi"/>
          <w:b w:val="0"/>
          <w:bCs w:val="0"/>
          <w:color w:val="000000"/>
          <w:kern w:val="0"/>
          <w:sz w:val="21"/>
          <w:szCs w:val="21"/>
          <w:lang w:val="en-US" w:eastAsia="zh-CN" w:bidi="ar-SA"/>
        </w:rPr>
        <w:t>★</w:t>
      </w:r>
      <w:r>
        <w:rPr>
          <w:rFonts w:hint="eastAsia" w:asciiTheme="minorHAnsi" w:hAnsiTheme="minorHAnsi" w:eastAsiaTheme="minorEastAsia" w:cstheme="minorBidi"/>
          <w:b w:val="0"/>
          <w:bCs w:val="0"/>
          <w:color w:val="000000"/>
          <w:kern w:val="0"/>
          <w:sz w:val="21"/>
          <w:szCs w:val="21"/>
          <w:lang w:val="en-US" w:eastAsia="zh-CN" w:bidi="ar-SA"/>
        </w:rPr>
        <w:t>卖方承诺铸件要求及其质量控制应按照API610规定，若铸件质量存在问题需要修复，铸件的修复方法应提交买方批准。</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1</w:t>
      </w:r>
      <w:r>
        <w:rPr>
          <w:rFonts w:hint="eastAsia" w:asciiTheme="minorHAnsi" w:hAnsiTheme="minorHAnsi" w:cstheme="minorBidi"/>
          <w:b w:val="0"/>
          <w:bCs w:val="0"/>
          <w:color w:val="000000"/>
          <w:kern w:val="0"/>
          <w:sz w:val="21"/>
          <w:szCs w:val="21"/>
          <w:lang w:val="en-US" w:eastAsia="zh-CN" w:bidi="ar-SA"/>
        </w:rPr>
        <w:t>2</w:t>
      </w:r>
      <w:r>
        <w:rPr>
          <w:rFonts w:hint="eastAsia" w:asciiTheme="minorHAnsi" w:hAnsiTheme="minorHAnsi" w:eastAsiaTheme="minorEastAsia" w:cstheme="minorBidi"/>
          <w:b w:val="0"/>
          <w:bCs w:val="0"/>
          <w:color w:val="000000"/>
          <w:kern w:val="0"/>
          <w:sz w:val="21"/>
          <w:szCs w:val="21"/>
          <w:lang w:val="en-US" w:eastAsia="zh-CN" w:bidi="ar-SA"/>
        </w:rPr>
        <w:t>、★卖方承诺泵的效率应满足标准【《离心泵效率》GB/T13007中第5部分的要求】。</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1</w:t>
      </w:r>
      <w:r>
        <w:rPr>
          <w:rFonts w:hint="eastAsia" w:asciiTheme="minorHAnsi" w:hAnsiTheme="minorHAnsi" w:cstheme="minorBidi"/>
          <w:b w:val="0"/>
          <w:bCs w:val="0"/>
          <w:color w:val="000000"/>
          <w:kern w:val="0"/>
          <w:sz w:val="21"/>
          <w:szCs w:val="21"/>
          <w:lang w:val="en-US" w:eastAsia="zh-CN" w:bidi="ar-SA"/>
        </w:rPr>
        <w:t>3</w:t>
      </w:r>
      <w:r>
        <w:rPr>
          <w:rFonts w:hint="eastAsia" w:asciiTheme="minorHAnsi" w:hAnsiTheme="minorHAnsi" w:eastAsiaTheme="minorEastAsia" w:cstheme="minorBidi"/>
          <w:b w:val="0"/>
          <w:bCs w:val="0"/>
          <w:color w:val="000000"/>
          <w:kern w:val="0"/>
          <w:sz w:val="21"/>
          <w:szCs w:val="21"/>
          <w:lang w:val="en-US" w:eastAsia="zh-CN" w:bidi="ar-SA"/>
        </w:rPr>
        <w:t>、</w:t>
      </w:r>
      <w:r>
        <w:rPr>
          <w:rFonts w:hint="default" w:asciiTheme="minorHAnsi" w:hAnsiTheme="minorHAnsi" w:eastAsiaTheme="minorEastAsia" w:cstheme="minorBidi"/>
          <w:b w:val="0"/>
          <w:bCs w:val="0"/>
          <w:color w:val="000000"/>
          <w:kern w:val="0"/>
          <w:sz w:val="21"/>
          <w:szCs w:val="21"/>
          <w:lang w:val="en-US" w:eastAsia="zh-CN" w:bidi="ar-SA"/>
        </w:rPr>
        <w:t>★</w:t>
      </w:r>
      <w:r>
        <w:rPr>
          <w:rFonts w:hint="eastAsia" w:asciiTheme="minorHAnsi" w:hAnsiTheme="minorHAnsi" w:eastAsiaTheme="minorEastAsia" w:cstheme="minorBidi"/>
          <w:b w:val="0"/>
          <w:bCs w:val="0"/>
          <w:color w:val="000000"/>
          <w:kern w:val="0"/>
          <w:sz w:val="21"/>
          <w:szCs w:val="21"/>
          <w:lang w:val="en-US" w:eastAsia="zh-CN" w:bidi="ar-SA"/>
        </w:rPr>
        <w:t>卖方承诺泵的压力泵壳，包括吸入室，应按低温精馏塔设计压力8.235MPaG设计和进行压力试验，水压试验压力为设计压力的1.25倍。</w:t>
      </w:r>
    </w:p>
    <w:p>
      <w:pPr>
        <w:pStyle w:val="8"/>
        <w:numPr>
          <w:ilvl w:val="0"/>
          <w:numId w:val="0"/>
        </w:numPr>
        <w:rPr>
          <w:rFonts w:hint="eastAsia" w:asciiTheme="minorHAnsi" w:hAnsiTheme="minorHAnsi" w:eastAsiaTheme="minorEastAsia" w:cstheme="minorBidi"/>
          <w:b w:val="0"/>
          <w:bCs w:val="0"/>
          <w:color w:val="000000"/>
          <w:kern w:val="0"/>
          <w:sz w:val="21"/>
          <w:szCs w:val="21"/>
          <w:highlight w:val="none"/>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1</w:t>
      </w:r>
      <w:r>
        <w:rPr>
          <w:rFonts w:hint="eastAsia" w:asciiTheme="minorHAnsi" w:hAnsiTheme="minorHAnsi" w:cstheme="minorBidi"/>
          <w:b w:val="0"/>
          <w:bCs w:val="0"/>
          <w:color w:val="000000"/>
          <w:kern w:val="0"/>
          <w:sz w:val="21"/>
          <w:szCs w:val="21"/>
          <w:lang w:val="en-US" w:eastAsia="zh-CN" w:bidi="ar-SA"/>
        </w:rPr>
        <w:t>4</w:t>
      </w:r>
      <w:r>
        <w:rPr>
          <w:rFonts w:hint="eastAsia" w:asciiTheme="minorHAnsi" w:hAnsiTheme="minorHAnsi" w:eastAsiaTheme="minorEastAsia" w:cstheme="minorBidi"/>
          <w:b w:val="0"/>
          <w:bCs w:val="0"/>
          <w:color w:val="000000"/>
          <w:kern w:val="0"/>
          <w:sz w:val="21"/>
          <w:szCs w:val="21"/>
          <w:lang w:val="en-US" w:eastAsia="zh-CN" w:bidi="ar-SA"/>
        </w:rPr>
        <w:t>、</w:t>
      </w:r>
      <w:r>
        <w:rPr>
          <w:rFonts w:hint="default" w:asciiTheme="minorHAnsi" w:hAnsiTheme="minorHAnsi" w:eastAsiaTheme="minorEastAsia" w:cstheme="minorBidi"/>
          <w:b w:val="0"/>
          <w:bCs w:val="0"/>
          <w:color w:val="000000"/>
          <w:kern w:val="0"/>
          <w:sz w:val="21"/>
          <w:szCs w:val="21"/>
          <w:lang w:val="en-US" w:eastAsia="zh-CN" w:bidi="ar-SA"/>
        </w:rPr>
        <w:t>★</w:t>
      </w:r>
      <w:r>
        <w:rPr>
          <w:rFonts w:hint="eastAsia" w:asciiTheme="minorHAnsi" w:hAnsiTheme="minorHAnsi" w:eastAsiaTheme="minorEastAsia" w:cstheme="minorBidi"/>
          <w:b w:val="0"/>
          <w:bCs w:val="0"/>
          <w:color w:val="000000"/>
          <w:kern w:val="0"/>
          <w:sz w:val="21"/>
          <w:szCs w:val="21"/>
          <w:lang w:val="en-US" w:eastAsia="zh-CN" w:bidi="ar-SA"/>
        </w:rPr>
        <w:t>卖方承诺泵的轴承和轴承箱应符合API610第6.10条规定，轴承型式应按照API610表10确定。当泵组采用自润滑时，泵轴承箱体应安装油位的油窗和自动补油油杯。泵轴承</w:t>
      </w:r>
      <w:r>
        <w:rPr>
          <w:rFonts w:hint="eastAsia" w:asciiTheme="minorHAnsi" w:hAnsiTheme="minorHAnsi" w:eastAsiaTheme="minorEastAsia" w:cstheme="minorBidi"/>
          <w:b w:val="0"/>
          <w:bCs w:val="0"/>
          <w:color w:val="000000"/>
          <w:kern w:val="0"/>
          <w:sz w:val="21"/>
          <w:szCs w:val="21"/>
          <w:highlight w:val="none"/>
          <w:lang w:val="en-US" w:eastAsia="zh-CN" w:bidi="ar-SA"/>
        </w:rPr>
        <w:t>箱上应按API610标准要求，预留用于油雾润滑的油雾接口、配套堵头。</w:t>
      </w:r>
    </w:p>
    <w:p>
      <w:pPr>
        <w:pStyle w:val="8"/>
        <w:numPr>
          <w:ilvl w:val="0"/>
          <w:numId w:val="0"/>
        </w:numPr>
        <w:rPr>
          <w:rFonts w:hint="eastAsia" w:asciiTheme="minorHAnsi" w:hAnsiTheme="minorHAnsi" w:eastAsiaTheme="minorEastAsia" w:cstheme="minorBidi"/>
          <w:b w:val="0"/>
          <w:bCs w:val="0"/>
          <w:color w:val="000000"/>
          <w:kern w:val="0"/>
          <w:sz w:val="21"/>
          <w:szCs w:val="21"/>
          <w:highlight w:val="none"/>
          <w:lang w:val="en-US" w:eastAsia="zh-CN" w:bidi="ar-SA"/>
        </w:rPr>
      </w:pPr>
      <w:r>
        <w:rPr>
          <w:rFonts w:hint="eastAsia" w:asciiTheme="minorHAnsi" w:hAnsiTheme="minorHAnsi" w:eastAsiaTheme="minorEastAsia" w:cstheme="minorBidi"/>
          <w:b w:val="0"/>
          <w:bCs w:val="0"/>
          <w:color w:val="000000"/>
          <w:kern w:val="0"/>
          <w:sz w:val="21"/>
          <w:szCs w:val="21"/>
          <w:highlight w:val="none"/>
          <w:lang w:val="en-US" w:eastAsia="zh-CN" w:bidi="ar-SA"/>
        </w:rPr>
        <w:t>1</w:t>
      </w:r>
      <w:r>
        <w:rPr>
          <w:rFonts w:hint="eastAsia" w:asciiTheme="minorHAnsi" w:hAnsiTheme="minorHAnsi" w:cstheme="minorBidi"/>
          <w:b w:val="0"/>
          <w:bCs w:val="0"/>
          <w:color w:val="000000"/>
          <w:kern w:val="0"/>
          <w:sz w:val="21"/>
          <w:szCs w:val="21"/>
          <w:highlight w:val="none"/>
          <w:lang w:val="en-US" w:eastAsia="zh-CN" w:bidi="ar-SA"/>
        </w:rPr>
        <w:t>5</w:t>
      </w:r>
      <w:r>
        <w:rPr>
          <w:rFonts w:hint="eastAsia" w:asciiTheme="minorHAnsi" w:hAnsiTheme="minorHAnsi" w:eastAsiaTheme="minorEastAsia" w:cstheme="minorBidi"/>
          <w:b w:val="0"/>
          <w:bCs w:val="0"/>
          <w:color w:val="000000"/>
          <w:kern w:val="0"/>
          <w:sz w:val="21"/>
          <w:szCs w:val="21"/>
          <w:highlight w:val="none"/>
          <w:lang w:val="en-US" w:eastAsia="zh-CN" w:bidi="ar-SA"/>
        </w:rPr>
        <w:t>、</w:t>
      </w:r>
      <w:r>
        <w:rPr>
          <w:rFonts w:hint="default" w:asciiTheme="minorHAnsi" w:hAnsiTheme="minorHAnsi" w:eastAsiaTheme="minorEastAsia" w:cstheme="minorBidi"/>
          <w:b w:val="0"/>
          <w:bCs w:val="0"/>
          <w:color w:val="000000"/>
          <w:kern w:val="0"/>
          <w:sz w:val="21"/>
          <w:szCs w:val="21"/>
          <w:highlight w:val="none"/>
          <w:lang w:val="en-US" w:eastAsia="zh-CN" w:bidi="ar-SA"/>
        </w:rPr>
        <w:t>★</w:t>
      </w:r>
      <w:r>
        <w:rPr>
          <w:rFonts w:hint="eastAsia" w:asciiTheme="minorHAnsi" w:hAnsiTheme="minorHAnsi" w:eastAsiaTheme="minorEastAsia" w:cstheme="minorBidi"/>
          <w:b w:val="0"/>
          <w:bCs w:val="0"/>
          <w:color w:val="000000"/>
          <w:kern w:val="0"/>
          <w:sz w:val="21"/>
          <w:szCs w:val="21"/>
          <w:highlight w:val="none"/>
          <w:lang w:val="en-US" w:eastAsia="zh-CN" w:bidi="ar-SA"/>
        </w:rPr>
        <w:t>卖方承诺泵组采用整体联合底座，联合底座应为具有足够的结构刚性的重型底座，设有排液面板、集液槽、吊耳等。底座范围内的所有设备及附属管线（包括冷却水系统、密封系统、各支管、电气仪表接线及接线盒）都应完全预制安装完毕，所有与用户接口均匀法兰形式接至底座边缘。底座带有G1〞的接口供集中排凝；【泵组成橇需满足标准《中国境内海上油气田通用技术规格书-成橇设备》QBZH 11104.01-2021 中第4.3、4.5部分要求。】。</w:t>
      </w:r>
    </w:p>
    <w:p>
      <w:pPr>
        <w:pStyle w:val="8"/>
        <w:numPr>
          <w:ilvl w:val="0"/>
          <w:numId w:val="0"/>
        </w:numPr>
        <w:rPr>
          <w:rFonts w:hint="eastAsia" w:asciiTheme="minorHAnsi" w:hAnsiTheme="minorHAnsi" w:eastAsiaTheme="minorEastAsia" w:cstheme="minorBidi"/>
          <w:b w:val="0"/>
          <w:bCs w:val="0"/>
          <w:color w:val="000000"/>
          <w:kern w:val="0"/>
          <w:sz w:val="21"/>
          <w:szCs w:val="21"/>
          <w:highlight w:val="none"/>
          <w:lang w:val="en-US" w:eastAsia="zh-CN" w:bidi="ar-SA"/>
        </w:rPr>
      </w:pPr>
      <w:r>
        <w:rPr>
          <w:rFonts w:hint="eastAsia" w:asciiTheme="minorHAnsi" w:hAnsiTheme="minorHAnsi" w:eastAsiaTheme="minorEastAsia" w:cstheme="minorBidi"/>
          <w:b w:val="0"/>
          <w:bCs w:val="0"/>
          <w:color w:val="000000"/>
          <w:kern w:val="0"/>
          <w:sz w:val="21"/>
          <w:szCs w:val="21"/>
          <w:highlight w:val="none"/>
          <w:lang w:val="en-US" w:eastAsia="zh-CN" w:bidi="ar-SA"/>
        </w:rPr>
        <w:t>1</w:t>
      </w:r>
      <w:r>
        <w:rPr>
          <w:rFonts w:hint="eastAsia" w:asciiTheme="minorHAnsi" w:hAnsiTheme="minorHAnsi" w:cstheme="minorBidi"/>
          <w:b w:val="0"/>
          <w:bCs w:val="0"/>
          <w:color w:val="000000"/>
          <w:kern w:val="0"/>
          <w:sz w:val="21"/>
          <w:szCs w:val="21"/>
          <w:highlight w:val="none"/>
          <w:lang w:val="en-US" w:eastAsia="zh-CN" w:bidi="ar-SA"/>
        </w:rPr>
        <w:t>6</w:t>
      </w:r>
      <w:r>
        <w:rPr>
          <w:rFonts w:hint="eastAsia" w:asciiTheme="minorHAnsi" w:hAnsiTheme="minorHAnsi" w:eastAsiaTheme="minorEastAsia" w:cstheme="minorBidi"/>
          <w:b w:val="0"/>
          <w:bCs w:val="0"/>
          <w:color w:val="000000"/>
          <w:kern w:val="0"/>
          <w:sz w:val="21"/>
          <w:szCs w:val="21"/>
          <w:highlight w:val="none"/>
          <w:lang w:val="en-US" w:eastAsia="zh-CN" w:bidi="ar-SA"/>
        </w:rPr>
        <w:t>、★卖方承诺泵的进出口需按照买方要求，配备变径接头、配对法兰、垫片及螺栓紧固件，本设备进出口配对法兰及变径需满足标准【《管法兰和法兰管件》ASME B16.5中第5、6中材料和尺寸的要求。】。</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1</w:t>
      </w:r>
      <w:r>
        <w:rPr>
          <w:rFonts w:hint="eastAsia" w:asciiTheme="minorHAnsi" w:hAnsiTheme="minorHAnsi" w:cstheme="minorBidi"/>
          <w:b w:val="0"/>
          <w:bCs w:val="0"/>
          <w:color w:val="000000"/>
          <w:kern w:val="0"/>
          <w:sz w:val="21"/>
          <w:szCs w:val="21"/>
          <w:lang w:val="en-US" w:eastAsia="zh-CN" w:bidi="ar-SA"/>
        </w:rPr>
        <w:t>7</w:t>
      </w:r>
      <w:r>
        <w:rPr>
          <w:rFonts w:hint="eastAsia" w:asciiTheme="minorHAnsi" w:hAnsiTheme="minorHAnsi" w:eastAsiaTheme="minorEastAsia" w:cstheme="minorBidi"/>
          <w:b w:val="0"/>
          <w:bCs w:val="0"/>
          <w:color w:val="000000"/>
          <w:kern w:val="0"/>
          <w:sz w:val="21"/>
          <w:szCs w:val="21"/>
          <w:lang w:val="en-US" w:eastAsia="zh-CN" w:bidi="ar-SA"/>
        </w:rPr>
        <w:t>、★卖方承诺轴封选用双端面机械密封，机封需按耐介质腐蚀要求选用双相钢或316L不锈钢等材质，动环静环选用碳化硅，辅助密封件选用氟橡胶；同一批泵的机封需选择等同或相当于以下品牌中的一种且只能同一种品牌供货：约翰克兰（John Crane），博格曼（Burgmann）、克隆（colossus）。</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1</w:t>
      </w:r>
      <w:r>
        <w:rPr>
          <w:rFonts w:hint="eastAsia" w:asciiTheme="minorHAnsi" w:hAnsiTheme="minorHAnsi" w:cstheme="minorBidi"/>
          <w:b w:val="0"/>
          <w:bCs w:val="0"/>
          <w:color w:val="000000"/>
          <w:kern w:val="0"/>
          <w:sz w:val="21"/>
          <w:szCs w:val="21"/>
          <w:lang w:val="en-US" w:eastAsia="zh-CN" w:bidi="ar-SA"/>
        </w:rPr>
        <w:t>8</w:t>
      </w:r>
      <w:r>
        <w:rPr>
          <w:rFonts w:hint="eastAsia" w:asciiTheme="minorHAnsi" w:hAnsiTheme="minorHAnsi" w:eastAsiaTheme="minorEastAsia" w:cstheme="minorBidi"/>
          <w:b w:val="0"/>
          <w:bCs w:val="0"/>
          <w:color w:val="000000"/>
          <w:kern w:val="0"/>
          <w:sz w:val="21"/>
          <w:szCs w:val="21"/>
          <w:lang w:val="en-US" w:eastAsia="zh-CN" w:bidi="ar-SA"/>
        </w:rPr>
        <w:t>、★卖方承诺应根据泵输送介质的特性选择适宜的密封及系统，保证密封的使用寿命和有效控制密封泄漏量。所有机封应为集装式，泵的设计应能保证拆装密封时不用移动驱动装置及管线，机械密封的密封腔、端盖及泵轴全跳动量不大于0.125mm，密封端面跳动量不大于0.5μm。在固定的操作条件下，密封及系统预期连续运转周期不小于25000h。</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cstheme="minorBidi"/>
          <w:b w:val="0"/>
          <w:bCs w:val="0"/>
          <w:color w:val="000000"/>
          <w:kern w:val="0"/>
          <w:sz w:val="21"/>
          <w:szCs w:val="21"/>
          <w:lang w:val="en-US" w:eastAsia="zh-CN" w:bidi="ar-SA"/>
        </w:rPr>
        <w:t>19</w:t>
      </w:r>
      <w:r>
        <w:rPr>
          <w:rFonts w:hint="eastAsia" w:asciiTheme="minorHAnsi" w:hAnsiTheme="minorHAnsi" w:eastAsiaTheme="minorEastAsia" w:cstheme="minorBidi"/>
          <w:b w:val="0"/>
          <w:bCs w:val="0"/>
          <w:color w:val="000000"/>
          <w:kern w:val="0"/>
          <w:sz w:val="21"/>
          <w:szCs w:val="21"/>
          <w:lang w:val="en-US" w:eastAsia="zh-CN" w:bidi="ar-SA"/>
        </w:rPr>
        <w:t>、★卖方承诺同一批泵的轴承需选择等同或相当于以下品牌中的一种且只能同一种品牌供货：SKF、NSK、FAG。</w:t>
      </w:r>
    </w:p>
    <w:p>
      <w:pPr>
        <w:rPr>
          <w:rFonts w:hint="eastAsia"/>
          <w:lang w:val="en-US" w:eastAsia="zh-CN"/>
        </w:rPr>
      </w:pPr>
      <w:r>
        <w:rPr>
          <w:rFonts w:hint="eastAsia"/>
          <w:lang w:val="en-US" w:eastAsia="zh-CN"/>
        </w:rPr>
        <w:t>20、</w:t>
      </w:r>
      <w:r>
        <w:rPr>
          <w:rFonts w:hint="eastAsia" w:asciiTheme="minorHAnsi" w:hAnsiTheme="minorHAnsi" w:eastAsiaTheme="minorEastAsia" w:cstheme="minorBidi"/>
          <w:b w:val="0"/>
          <w:bCs w:val="0"/>
          <w:color w:val="000000"/>
          <w:kern w:val="0"/>
          <w:sz w:val="21"/>
          <w:szCs w:val="21"/>
          <w:lang w:val="en-US" w:eastAsia="zh-CN" w:bidi="ar-SA"/>
        </w:rPr>
        <w:t>★</w:t>
      </w:r>
      <w:r>
        <w:rPr>
          <w:rFonts w:hint="eastAsia"/>
          <w:lang w:val="en-US" w:eastAsia="zh-CN"/>
        </w:rPr>
        <w:t>卖方承诺提供的防爆电机应适用于海洋环境，并由授权认证机构之一（ABS、DNV、BV或CCS，其一即可）颁发的B类证书，并于交货后30日内提供。</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2</w:t>
      </w:r>
      <w:r>
        <w:rPr>
          <w:rFonts w:hint="eastAsia" w:asciiTheme="minorHAnsi" w:hAnsiTheme="minorHAnsi" w:cstheme="minorBidi"/>
          <w:b w:val="0"/>
          <w:bCs w:val="0"/>
          <w:color w:val="000000"/>
          <w:kern w:val="0"/>
          <w:sz w:val="21"/>
          <w:szCs w:val="21"/>
          <w:lang w:val="en-US" w:eastAsia="zh-CN" w:bidi="ar-SA"/>
        </w:rPr>
        <w:t>1</w:t>
      </w:r>
      <w:r>
        <w:rPr>
          <w:rFonts w:hint="eastAsia" w:asciiTheme="minorHAnsi" w:hAnsiTheme="minorHAnsi" w:eastAsiaTheme="minorEastAsia" w:cstheme="minorBidi"/>
          <w:b w:val="0"/>
          <w:bCs w:val="0"/>
          <w:color w:val="000000"/>
          <w:kern w:val="0"/>
          <w:sz w:val="21"/>
          <w:szCs w:val="21"/>
          <w:lang w:val="en-US" w:eastAsia="zh-CN" w:bidi="ar-SA"/>
        </w:rPr>
        <w:t>、★卖方承诺除非另有规定，泵组供货范围内使用的电动机能效应不低于GB18613标准最新版中第4部分1级能效要求的限定值，并提供相应能效标识。本泵组中电机能效等级需满足标准【《电动机能效限定值及能效等级》GB18613中第4部分。】。</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2</w:t>
      </w:r>
      <w:r>
        <w:rPr>
          <w:rFonts w:hint="eastAsia" w:asciiTheme="minorHAnsi" w:hAnsiTheme="minorHAnsi" w:cstheme="minorBidi"/>
          <w:b w:val="0"/>
          <w:bCs w:val="0"/>
          <w:color w:val="000000"/>
          <w:kern w:val="0"/>
          <w:sz w:val="21"/>
          <w:szCs w:val="21"/>
          <w:lang w:val="en-US" w:eastAsia="zh-CN" w:bidi="ar-SA"/>
        </w:rPr>
        <w:t>2</w:t>
      </w:r>
      <w:r>
        <w:rPr>
          <w:rFonts w:hint="eastAsia" w:asciiTheme="minorHAnsi" w:hAnsiTheme="minorHAnsi" w:eastAsiaTheme="minorEastAsia" w:cstheme="minorBidi"/>
          <w:b w:val="0"/>
          <w:bCs w:val="0"/>
          <w:color w:val="000000"/>
          <w:kern w:val="0"/>
          <w:sz w:val="21"/>
          <w:szCs w:val="21"/>
          <w:lang w:val="en-US" w:eastAsia="zh-CN" w:bidi="ar-SA"/>
        </w:rPr>
        <w:t>、★★卖方承诺除非另有规定，电机功率≥220kW时，采用高压电机（电压等级为10kV）。电机功率≥5kW需配备防潮空间加热器，加热时，其表面温度不超过200℃。</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2</w:t>
      </w:r>
      <w:r>
        <w:rPr>
          <w:rFonts w:hint="eastAsia" w:asciiTheme="minorHAnsi" w:hAnsiTheme="minorHAnsi" w:cstheme="minorBidi"/>
          <w:b w:val="0"/>
          <w:bCs w:val="0"/>
          <w:color w:val="000000"/>
          <w:kern w:val="0"/>
          <w:sz w:val="21"/>
          <w:szCs w:val="21"/>
          <w:lang w:val="en-US" w:eastAsia="zh-CN" w:bidi="ar-SA"/>
        </w:rPr>
        <w:t>3</w:t>
      </w:r>
      <w:r>
        <w:rPr>
          <w:rFonts w:hint="eastAsia" w:asciiTheme="minorHAnsi" w:hAnsiTheme="minorHAnsi" w:eastAsiaTheme="minorEastAsia" w:cstheme="minorBidi"/>
          <w:b w:val="0"/>
          <w:bCs w:val="0"/>
          <w:color w:val="000000"/>
          <w:kern w:val="0"/>
          <w:sz w:val="21"/>
          <w:szCs w:val="21"/>
          <w:lang w:val="en-US" w:eastAsia="zh-CN" w:bidi="ar-SA"/>
        </w:rPr>
        <w:t>、★卖方承诺电机至少为F级绝缘，温升为B级，主体防护等级为IP56或IP66，接线盒防护等级为IP56或IP66。</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2</w:t>
      </w:r>
      <w:r>
        <w:rPr>
          <w:rFonts w:hint="eastAsia" w:asciiTheme="minorHAnsi" w:hAnsiTheme="minorHAnsi" w:cstheme="minorBidi"/>
          <w:b w:val="0"/>
          <w:bCs w:val="0"/>
          <w:color w:val="000000"/>
          <w:kern w:val="0"/>
          <w:sz w:val="21"/>
          <w:szCs w:val="21"/>
          <w:lang w:val="en-US" w:eastAsia="zh-CN" w:bidi="ar-SA"/>
        </w:rPr>
        <w:t>4</w:t>
      </w:r>
      <w:r>
        <w:rPr>
          <w:rFonts w:hint="eastAsia" w:asciiTheme="minorHAnsi" w:hAnsiTheme="minorHAnsi" w:eastAsiaTheme="minorEastAsia" w:cstheme="minorBidi"/>
          <w:b w:val="0"/>
          <w:bCs w:val="0"/>
          <w:color w:val="000000"/>
          <w:kern w:val="0"/>
          <w:sz w:val="21"/>
          <w:szCs w:val="21"/>
          <w:lang w:val="en-US" w:eastAsia="zh-CN" w:bidi="ar-SA"/>
        </w:rPr>
        <w:t>、★卖方承诺提供每台泵橇的船级社海上固定设施产品检验B类证书，船级社检验机构ABS、DNV、BV或CCS，其一即可，并于泵橇交货后30日内提供。</w:t>
      </w:r>
    </w:p>
    <w:p>
      <w:pPr>
        <w:pStyle w:val="8"/>
        <w:numPr>
          <w:ilvl w:val="0"/>
          <w:numId w:val="0"/>
        </w:numPr>
        <w:rPr>
          <w:rFonts w:hint="eastAsia"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2</w:t>
      </w:r>
      <w:r>
        <w:rPr>
          <w:rFonts w:hint="eastAsia" w:asciiTheme="minorHAnsi" w:hAnsiTheme="minorHAnsi" w:cstheme="minorBidi"/>
          <w:b w:val="0"/>
          <w:bCs w:val="0"/>
          <w:color w:val="000000"/>
          <w:kern w:val="0"/>
          <w:sz w:val="21"/>
          <w:szCs w:val="21"/>
          <w:lang w:val="en-US" w:eastAsia="zh-CN" w:bidi="ar-SA"/>
        </w:rPr>
        <w:t>5</w:t>
      </w:r>
      <w:r>
        <w:rPr>
          <w:rFonts w:hint="eastAsia" w:asciiTheme="minorHAnsi" w:hAnsiTheme="minorHAnsi" w:eastAsiaTheme="minorEastAsia" w:cstheme="minorBidi"/>
          <w:b w:val="0"/>
          <w:bCs w:val="0"/>
          <w:color w:val="000000"/>
          <w:kern w:val="0"/>
          <w:sz w:val="21"/>
          <w:szCs w:val="21"/>
          <w:lang w:val="en-US" w:eastAsia="zh-CN" w:bidi="ar-SA"/>
        </w:rPr>
        <w:t>、★卖方承诺供货周期：双方签订合同后，卖方须在120天内完成买方签署合格的产品出厂验收试验程序（FAT）并将订单上所有产品运至买方要求交货点。</w:t>
      </w:r>
    </w:p>
    <w:p>
      <w:pPr>
        <w:pStyle w:val="8"/>
        <w:numPr>
          <w:ilvl w:val="0"/>
          <w:numId w:val="0"/>
        </w:numPr>
        <w:rPr>
          <w:rFonts w:hint="default" w:asciiTheme="minorHAnsi" w:hAnsiTheme="minorHAnsi" w:eastAsiaTheme="minorEastAsia" w:cstheme="minorBidi"/>
          <w:b w:val="0"/>
          <w:bCs w:val="0"/>
          <w:color w:val="000000"/>
          <w:kern w:val="0"/>
          <w:sz w:val="21"/>
          <w:szCs w:val="21"/>
          <w:lang w:val="en-US" w:eastAsia="zh-CN" w:bidi="ar-SA"/>
        </w:rPr>
      </w:pPr>
      <w:r>
        <w:rPr>
          <w:rFonts w:hint="eastAsia" w:asciiTheme="minorHAnsi" w:hAnsiTheme="minorHAnsi" w:eastAsiaTheme="minorEastAsia" w:cstheme="minorBidi"/>
          <w:b w:val="0"/>
          <w:bCs w:val="0"/>
          <w:color w:val="000000"/>
          <w:kern w:val="0"/>
          <w:sz w:val="21"/>
          <w:szCs w:val="21"/>
          <w:lang w:val="en-US" w:eastAsia="zh-CN" w:bidi="ar-SA"/>
        </w:rPr>
        <w:t>2</w:t>
      </w:r>
      <w:r>
        <w:rPr>
          <w:rFonts w:hint="eastAsia" w:asciiTheme="minorHAnsi" w:hAnsiTheme="minorHAnsi" w:cstheme="minorBidi"/>
          <w:b w:val="0"/>
          <w:bCs w:val="0"/>
          <w:color w:val="000000"/>
          <w:kern w:val="0"/>
          <w:sz w:val="21"/>
          <w:szCs w:val="21"/>
          <w:lang w:val="en-US" w:eastAsia="zh-CN" w:bidi="ar-SA"/>
        </w:rPr>
        <w:t>6</w:t>
      </w:r>
      <w:r>
        <w:rPr>
          <w:rFonts w:hint="eastAsia" w:asciiTheme="minorHAnsi" w:hAnsiTheme="minorHAnsi" w:eastAsiaTheme="minorEastAsia" w:cstheme="minorBidi"/>
          <w:b w:val="0"/>
          <w:bCs w:val="0"/>
          <w:color w:val="000000"/>
          <w:kern w:val="0"/>
          <w:sz w:val="21"/>
          <w:szCs w:val="21"/>
          <w:lang w:val="en-US" w:eastAsia="zh-CN" w:bidi="ar-SA"/>
        </w:rPr>
        <w:t>、★卖方承诺电机在出厂前应在电机制造厂进行运转试验和型式试验，对本设备电动机运转试验方法需满足标准【《三相异步电动机试验方法》GB/T1032中第9部分。】。</w:t>
      </w:r>
    </w:p>
    <w:p>
      <w:pPr>
        <w:pStyle w:val="8"/>
        <w:numPr>
          <w:ilvl w:val="0"/>
          <w:numId w:val="0"/>
        </w:numPr>
        <w:rPr>
          <w:rFonts w:hint="default" w:asciiTheme="minorHAnsi" w:hAnsiTheme="minorHAnsi" w:eastAsiaTheme="minorEastAsia" w:cstheme="minorBidi"/>
          <w:b w:val="0"/>
          <w:bCs w:val="0"/>
          <w:color w:val="000000"/>
          <w:kern w:val="0"/>
          <w:sz w:val="21"/>
          <w:szCs w:val="21"/>
          <w:lang w:val="en-US" w:eastAsia="zh-CN" w:bidi="ar-SA"/>
        </w:rPr>
      </w:pPr>
    </w:p>
    <w:p>
      <w:pPr>
        <w:spacing w:line="360" w:lineRule="auto"/>
        <w:jc w:val="left"/>
        <w:rPr>
          <w:kern w:val="0"/>
          <w:szCs w:val="21"/>
        </w:rPr>
      </w:pPr>
      <w:r>
        <w:rPr>
          <w:rFonts w:hint="eastAsia"/>
          <w:color w:val="000000"/>
          <w:kern w:val="0"/>
          <w:szCs w:val="21"/>
          <w:lang w:val="en-US" w:eastAsia="zh-CN"/>
        </w:rPr>
        <w:t>乙方（应答人）</w:t>
      </w:r>
      <w:r>
        <w:rPr>
          <w:color w:val="000000"/>
          <w:kern w:val="0"/>
          <w:szCs w:val="21"/>
        </w:rPr>
        <w:t>：                             (盖章)</w:t>
      </w:r>
    </w:p>
    <w:p>
      <w:pPr>
        <w:spacing w:line="360" w:lineRule="auto"/>
        <w:rPr>
          <w:color w:val="000000"/>
          <w:kern w:val="0"/>
          <w:szCs w:val="21"/>
        </w:rPr>
      </w:pPr>
    </w:p>
    <w:p>
      <w:pPr>
        <w:spacing w:line="360" w:lineRule="auto"/>
        <w:rPr>
          <w:color w:val="000000"/>
          <w:kern w:val="0"/>
          <w:szCs w:val="21"/>
        </w:rPr>
      </w:pPr>
    </w:p>
    <w:p>
      <w:pPr>
        <w:spacing w:line="360" w:lineRule="auto"/>
        <w:rPr>
          <w:kern w:val="0"/>
          <w:szCs w:val="21"/>
        </w:rPr>
      </w:pPr>
      <w:r>
        <w:rPr>
          <w:color w:val="000000"/>
          <w:kern w:val="0"/>
          <w:szCs w:val="21"/>
        </w:rPr>
        <w:t xml:space="preserve">法定代表人或其委托代理人：       </w:t>
      </w:r>
      <w:r>
        <w:rPr>
          <w:rFonts w:hint="eastAsia"/>
          <w:color w:val="000000"/>
          <w:kern w:val="0"/>
          <w:szCs w:val="21"/>
          <w:lang w:val="en-US" w:eastAsia="zh-CN"/>
        </w:rPr>
        <w:t xml:space="preserve"> </w:t>
      </w:r>
      <w:r>
        <w:rPr>
          <w:color w:val="000000"/>
          <w:kern w:val="0"/>
          <w:szCs w:val="21"/>
        </w:rPr>
        <w:t xml:space="preserve">    (签字或盖章)   </w:t>
      </w:r>
    </w:p>
    <w:p>
      <w:pPr>
        <w:spacing w:line="360" w:lineRule="auto"/>
        <w:rPr>
          <w:color w:val="000000"/>
          <w:kern w:val="0"/>
          <w:szCs w:val="21"/>
        </w:rPr>
      </w:pPr>
    </w:p>
    <w:p>
      <w:pPr>
        <w:spacing w:line="360" w:lineRule="auto"/>
        <w:rPr>
          <w:lang w:val="en-US" w:eastAsia="zh-CN"/>
        </w:rPr>
      </w:pPr>
      <w:r>
        <w:rPr>
          <w:color w:val="000000"/>
          <w:kern w:val="0"/>
          <w:szCs w:val="21"/>
        </w:rPr>
        <w:t xml:space="preserve">日期：         年 </w:t>
      </w:r>
      <w:r>
        <w:rPr>
          <w:rFonts w:hint="eastAsia"/>
          <w:color w:val="000000"/>
          <w:kern w:val="0"/>
          <w:szCs w:val="21"/>
          <w:lang w:val="en-US" w:eastAsia="zh-CN"/>
        </w:rPr>
        <w:t xml:space="preserve"> </w:t>
      </w:r>
      <w:r>
        <w:rPr>
          <w:color w:val="000000"/>
          <w:kern w:val="0"/>
          <w:szCs w:val="21"/>
        </w:rPr>
        <w:t xml:space="preserve"> 月    日</w:t>
      </w:r>
    </w:p>
    <w:p>
      <w:pPr>
        <w:pStyle w:val="2"/>
        <w:jc w:val="both"/>
        <w:rPr>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pStyle w:val="8"/>
        <w:ind w:firstLine="0" w:firstLineChars="0"/>
        <w:rPr>
          <w:lang w:val="en-US" w:eastAsia="zh-CN"/>
        </w:rPr>
      </w:pPr>
    </w:p>
    <w:p>
      <w:pPr>
        <w:rPr>
          <w:lang w:val="en-US" w:eastAsia="zh-CN"/>
        </w:rPr>
      </w:pPr>
    </w:p>
    <w:p>
      <w:pPr>
        <w:pStyle w:val="4"/>
        <w:numPr>
          <w:ilvl w:val="-1"/>
          <w:numId w:val="0"/>
        </w:numPr>
        <w:rPr>
          <w:lang w:val="en-US" w:eastAsia="zh-CN"/>
        </w:rPr>
      </w:pPr>
    </w:p>
    <w:p>
      <w:pPr>
        <w:pStyle w:val="8"/>
        <w:ind w:firstLine="0" w:firstLineChars="0"/>
        <w:rPr>
          <w:lang w:val="en-US" w:eastAsia="zh-CN"/>
        </w:rPr>
      </w:pPr>
    </w:p>
    <w:p>
      <w:pPr>
        <w:pStyle w:val="8"/>
        <w:ind w:firstLine="0" w:firstLineChars="0"/>
        <w:rPr>
          <w:lang w:val="en-US" w:eastAsia="zh-CN"/>
        </w:rPr>
      </w:pPr>
    </w:p>
    <w:p>
      <w:pPr>
        <w:pStyle w:val="4"/>
        <w:numPr>
          <w:ilvl w:val="-1"/>
          <w:numId w:val="0"/>
        </w:numPr>
        <w:rPr>
          <w:lang w:val="en-US" w:eastAsia="zh-CN"/>
        </w:rPr>
      </w:pPr>
    </w:p>
    <w:p>
      <w:pPr>
        <w:rPr>
          <w:lang w:val="en-US" w:eastAsia="zh-CN"/>
        </w:rPr>
      </w:pPr>
    </w:p>
    <w:p>
      <w:pPr>
        <w:pStyle w:val="2"/>
        <w:rPr>
          <w:lang w:val="en-US" w:eastAsia="zh-CN"/>
        </w:rPr>
      </w:pPr>
    </w:p>
    <w:p>
      <w:pPr>
        <w:pStyle w:val="3"/>
        <w:rPr>
          <w:lang w:val="en-US" w:eastAsia="zh-CN"/>
        </w:rPr>
      </w:pPr>
    </w:p>
    <w:p>
      <w:pPr>
        <w:rPr>
          <w:lang w:val="en-US" w:eastAsia="zh-CN"/>
        </w:rPr>
      </w:pPr>
    </w:p>
    <w:p>
      <w:pPr>
        <w:pStyle w:val="2"/>
        <w:rPr>
          <w:lang w:val="en-US" w:eastAsia="zh-CN"/>
        </w:rPr>
      </w:pPr>
    </w:p>
    <w:p>
      <w:pPr>
        <w:pStyle w:val="3"/>
        <w:rPr>
          <w:lang w:val="en-US" w:eastAsia="zh-CN"/>
        </w:rPr>
      </w:pPr>
    </w:p>
    <w:p>
      <w:pPr>
        <w:rPr>
          <w:lang w:val="en-US" w:eastAsia="zh-CN"/>
        </w:rPr>
      </w:pPr>
    </w:p>
    <w:p>
      <w:pPr>
        <w:pStyle w:val="2"/>
        <w:rPr>
          <w:lang w:val="en-US" w:eastAsia="zh-CN"/>
        </w:rPr>
      </w:pPr>
    </w:p>
    <w:p>
      <w:pPr>
        <w:pStyle w:val="3"/>
        <w:rPr>
          <w:lang w:val="en-US" w:eastAsia="zh-CN"/>
        </w:rPr>
      </w:pPr>
    </w:p>
    <w:p>
      <w:pPr>
        <w:rPr>
          <w:lang w:val="en-US" w:eastAsia="zh-CN"/>
        </w:rPr>
      </w:pPr>
    </w:p>
    <w:p>
      <w:pPr>
        <w:pStyle w:val="2"/>
        <w:rPr>
          <w:lang w:val="en-US" w:eastAsia="zh-CN"/>
        </w:rPr>
      </w:pPr>
    </w:p>
    <w:p>
      <w:pPr>
        <w:pStyle w:val="3"/>
        <w:rPr>
          <w:lang w:val="en-US" w:eastAsia="zh-CN"/>
        </w:rPr>
      </w:pPr>
    </w:p>
    <w:p>
      <w:pPr>
        <w:rPr>
          <w:lang w:val="en-US" w:eastAsia="zh-CN"/>
        </w:rPr>
      </w:pPr>
    </w:p>
    <w:p>
      <w:pPr>
        <w:pStyle w:val="2"/>
        <w:rPr>
          <w:lang w:val="en-US" w:eastAsia="zh-CN"/>
        </w:rPr>
      </w:pPr>
    </w:p>
    <w:p>
      <w:pPr>
        <w:pStyle w:val="3"/>
        <w:rPr>
          <w:lang w:val="en-US" w:eastAsia="zh-CN"/>
        </w:rPr>
      </w:pPr>
    </w:p>
    <w:p>
      <w:pPr>
        <w:rPr>
          <w:lang w:val="en-US" w:eastAsia="zh-CN"/>
        </w:rPr>
      </w:pPr>
    </w:p>
    <w:p>
      <w:pPr>
        <w:pStyle w:val="3"/>
        <w:rPr>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附件7：</w:t>
      </w:r>
      <w:r>
        <w:rPr>
          <w:rFonts w:hint="eastAsia" w:ascii="黑体" w:hAnsi="黑体" w:eastAsia="黑体"/>
          <w:b/>
          <w:bCs/>
          <w:color w:val="000000" w:themeColor="text1"/>
          <w:sz w:val="24"/>
          <w:szCs w:val="24"/>
          <w:highlight w:val="none"/>
          <w14:textFill>
            <w14:solidFill>
              <w14:schemeClr w14:val="tx1"/>
            </w14:solidFill>
          </w14:textFill>
        </w:rPr>
        <w:t>报价</w:t>
      </w:r>
      <w:r>
        <w:rPr>
          <w:rFonts w:hint="eastAsia" w:ascii="黑体" w:hAnsi="黑体" w:eastAsia="黑体"/>
          <w:b/>
          <w:bCs/>
          <w:color w:val="000000" w:themeColor="text1"/>
          <w:sz w:val="24"/>
          <w:szCs w:val="24"/>
          <w:highlight w:val="none"/>
          <w:lang w:val="en-US" w:eastAsia="zh-CN"/>
          <w14:textFill>
            <w14:solidFill>
              <w14:schemeClr w14:val="tx1"/>
            </w14:solidFill>
          </w14:textFill>
        </w:rPr>
        <w:t>文件</w:t>
      </w:r>
    </w:p>
    <w:p>
      <w:pPr>
        <w:rPr>
          <w:rFonts w:ascii="黑体" w:hAnsi="黑体" w:eastAsia="黑体"/>
          <w:color w:val="000000" w:themeColor="text1"/>
          <w:sz w:val="21"/>
          <w:szCs w:val="21"/>
          <w:highlight w:val="none"/>
          <w14:textFill>
            <w14:solidFill>
              <w14:schemeClr w14:val="tx1"/>
            </w14:solidFill>
          </w14:textFill>
        </w:rPr>
      </w:pPr>
    </w:p>
    <w:p>
      <w:pPr>
        <w:pStyle w:val="40"/>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b/>
          <w:color w:val="000000" w:themeColor="text1"/>
          <w:sz w:val="21"/>
          <w:szCs w:val="21"/>
          <w:highlight w:val="none"/>
          <w14:textFill>
            <w14:solidFill>
              <w14:schemeClr w14:val="tx1"/>
            </w14:solidFill>
          </w14:textFill>
        </w:rPr>
        <w:t>报 价 单</w:t>
      </w:r>
    </w:p>
    <w:p>
      <w:pPr>
        <w:pStyle w:val="40"/>
        <w:spacing w:line="360" w:lineRule="auto"/>
        <w:ind w:left="-18" w:leftChars="-67" w:hanging="123" w:hangingChars="59"/>
        <w:rPr>
          <w:rFonts w:cs="Arial" w:asciiTheme="minorEastAsia" w:hAnsiTheme="minorEastAsia" w:eastAsiaTheme="minorEastAsia"/>
          <w:color w:val="000000" w:themeColor="text1"/>
          <w:sz w:val="21"/>
          <w:szCs w:val="21"/>
          <w:highlight w:val="none"/>
          <w14:textFill>
            <w14:solidFill>
              <w14:schemeClr w14:val="tx1"/>
            </w14:solidFill>
          </w14:textFill>
        </w:rPr>
      </w:pPr>
      <w:r>
        <w:rPr>
          <w:rFonts w:hint="eastAsia" w:cs="Arial" w:asciiTheme="minorEastAsia" w:hAnsiTheme="minorEastAsia" w:eastAsiaTheme="minorEastAsia"/>
          <w:color w:val="000000" w:themeColor="text1"/>
          <w:sz w:val="21"/>
          <w:szCs w:val="21"/>
          <w:highlight w:val="none"/>
          <w14:textFill>
            <w14:solidFill>
              <w14:schemeClr w14:val="tx1"/>
            </w14:solidFill>
          </w14:textFill>
        </w:rPr>
        <w:t>项目</w:t>
      </w:r>
      <w:r>
        <w:rPr>
          <w:rFonts w:cs="Arial"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cs="Arial" w:asciiTheme="minorEastAsia" w:hAnsiTheme="minorEastAsia" w:eastAsiaTheme="minorEastAsia"/>
          <w:color w:val="000000" w:themeColor="text1"/>
          <w:sz w:val="21"/>
          <w:szCs w:val="21"/>
          <w:highlight w:val="none"/>
          <w14:textFill>
            <w14:solidFill>
              <w14:schemeClr w14:val="tx1"/>
            </w14:solidFill>
          </w14:textFill>
        </w:rPr>
        <w:t xml:space="preserve"> 低温精馏回流泵采购       </w:t>
      </w:r>
      <w:r>
        <w:rPr>
          <w:rFonts w:hint="eastAsia" w:cs="Arial" w:asciiTheme="minorEastAsia" w:hAnsiTheme="minorEastAsia" w:eastAsiaTheme="minorEastAsia"/>
          <w:color w:val="000000" w:themeColor="text1"/>
          <w:sz w:val="21"/>
          <w:szCs w:val="21"/>
          <w:highlight w:val="none"/>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highlight w:val="none"/>
          <w14:textFill>
            <w14:solidFill>
              <w14:schemeClr w14:val="tx1"/>
            </w14:solidFill>
          </w14:textFill>
        </w:rPr>
        <w:t>报价</w:t>
      </w:r>
      <w:r>
        <w:rPr>
          <w:rFonts w:hint="eastAsia" w:asciiTheme="minorEastAsia" w:hAnsiTheme="minorEastAsia" w:eastAsiaTheme="minorEastAsia"/>
          <w:color w:val="000000" w:themeColor="text1"/>
          <w:sz w:val="21"/>
          <w:szCs w:val="21"/>
          <w:highlight w:val="none"/>
          <w14:textFill>
            <w14:solidFill>
              <w14:schemeClr w14:val="tx1"/>
            </w14:solidFill>
          </w14:textFill>
        </w:rPr>
        <w:t>单位：元；    货币</w:t>
      </w:r>
      <w:r>
        <w:rPr>
          <w:rFonts w:asciiTheme="minorEastAsia" w:hAnsiTheme="minorEastAsia" w:eastAsiaTheme="minorEastAsia"/>
          <w:color w:val="000000" w:themeColor="text1"/>
          <w:sz w:val="21"/>
          <w:szCs w:val="21"/>
          <w:highlight w:val="none"/>
          <w14:textFill>
            <w14:solidFill>
              <w14:schemeClr w14:val="tx1"/>
            </w14:solidFill>
          </w14:textFill>
        </w:rPr>
        <w:t>单位：</w:t>
      </w:r>
      <w:r>
        <w:rPr>
          <w:rFonts w:hint="eastAsia" w:asciiTheme="minorEastAsia" w:hAnsiTheme="minorEastAsia" w:eastAsiaTheme="minorEastAsia"/>
          <w:color w:val="000000" w:themeColor="text1"/>
          <w:sz w:val="21"/>
          <w:szCs w:val="21"/>
          <w:highlight w:val="none"/>
          <w14:textFill>
            <w14:solidFill>
              <w14:schemeClr w14:val="tx1"/>
            </w14:solidFill>
          </w14:textFill>
        </w:rPr>
        <w:t>人民币</w:t>
      </w:r>
    </w:p>
    <w:tbl>
      <w:tblPr>
        <w:tblStyle w:val="22"/>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056"/>
        <w:gridCol w:w="721"/>
        <w:gridCol w:w="1661"/>
        <w:gridCol w:w="653"/>
        <w:gridCol w:w="590"/>
        <w:gridCol w:w="996"/>
        <w:gridCol w:w="963"/>
        <w:gridCol w:w="889"/>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序号</w:t>
            </w:r>
          </w:p>
        </w:tc>
        <w:tc>
          <w:tcPr>
            <w:tcW w:w="105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val="en-US" w:eastAsia="zh-CN"/>
              </w:rPr>
              <w:t>物资编码</w:t>
            </w:r>
          </w:p>
        </w:tc>
        <w:tc>
          <w:tcPr>
            <w:tcW w:w="72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pacing w:val="0"/>
                <w:kern w:val="0"/>
                <w:sz w:val="21"/>
                <w:szCs w:val="18"/>
                <w:highlight w:val="none"/>
                <w:lang w:eastAsia="en-US"/>
              </w:rPr>
            </w:pPr>
            <w:r>
              <w:rPr>
                <w:rFonts w:hint="eastAsia" w:ascii="Times New Roman" w:hAnsi="Times New Roman" w:eastAsia="宋体" w:cs="Times New Roman"/>
                <w:color w:val="auto"/>
                <w:spacing w:val="0"/>
                <w:kern w:val="0"/>
                <w:sz w:val="21"/>
                <w:szCs w:val="18"/>
                <w:highlight w:val="none"/>
                <w:lang w:eastAsia="en-US"/>
              </w:rPr>
              <w:t>物资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eastAsia="en-US"/>
              </w:rPr>
              <w:t>名称</w:t>
            </w:r>
          </w:p>
        </w:tc>
        <w:tc>
          <w:tcPr>
            <w:tcW w:w="166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eastAsia="en-US"/>
              </w:rPr>
              <w:t>规格型号</w:t>
            </w:r>
          </w:p>
        </w:tc>
        <w:tc>
          <w:tcPr>
            <w:tcW w:w="653"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数量</w:t>
            </w:r>
          </w:p>
        </w:tc>
        <w:tc>
          <w:tcPr>
            <w:tcW w:w="590" w:type="dxa"/>
            <w:shd w:val="clear" w:color="auto" w:fill="auto"/>
            <w:vAlign w:val="center"/>
          </w:tcPr>
          <w:p>
            <w:pPr>
              <w:pStyle w:val="40"/>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单位</w:t>
            </w:r>
          </w:p>
        </w:tc>
        <w:tc>
          <w:tcPr>
            <w:tcW w:w="996"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不含税单价</w:t>
            </w:r>
          </w:p>
        </w:tc>
        <w:tc>
          <w:tcPr>
            <w:tcW w:w="963"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税率</w:t>
            </w:r>
          </w:p>
        </w:tc>
        <w:tc>
          <w:tcPr>
            <w:tcW w:w="889"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不含税小计</w:t>
            </w:r>
          </w:p>
        </w:tc>
        <w:tc>
          <w:tcPr>
            <w:tcW w:w="944"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asciiTheme="minorEastAsia" w:hAnsiTheme="minorEastAsia" w:eastAsiaTheme="minorEastAsia"/>
                <w:color w:val="000000" w:themeColor="text1"/>
                <w:sz w:val="21"/>
                <w:szCs w:val="21"/>
                <w:highlight w:val="none"/>
                <w14:textFill>
                  <w14:solidFill>
                    <w14:schemeClr w14:val="tx1"/>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shd w:val="clear" w:color="auto" w:fill="auto"/>
            <w:vAlign w:val="center"/>
          </w:tcPr>
          <w:p>
            <w:pPr>
              <w:pStyle w:val="40"/>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w:t>
            </w:r>
          </w:p>
        </w:tc>
        <w:tc>
          <w:tcPr>
            <w:tcW w:w="1056"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pacing w:val="0"/>
                <w:kern w:val="0"/>
                <w:sz w:val="21"/>
                <w:szCs w:val="18"/>
                <w:highlight w:val="none"/>
                <w:lang w:val="en-US" w:eastAsia="zh-CN"/>
              </w:rPr>
              <w:t>85331965</w:t>
            </w:r>
          </w:p>
        </w:tc>
        <w:tc>
          <w:tcPr>
            <w:tcW w:w="721" w:type="dxa"/>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firstLine="0" w:firstLineChars="0"/>
              <w:jc w:val="center"/>
              <w:textAlignment w:val="auto"/>
              <w:outlineLvl w:val="9"/>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auto"/>
                <w:kern w:val="0"/>
                <w:sz w:val="21"/>
                <w:szCs w:val="18"/>
                <w:highlight w:val="none"/>
                <w:lang w:val="en-US" w:eastAsia="zh-CN" w:bidi="ar-SA"/>
              </w:rPr>
              <w:t>低温精馏回流泵</w:t>
            </w:r>
          </w:p>
        </w:tc>
        <w:tc>
          <w:tcPr>
            <w:tcW w:w="1661" w:type="dxa"/>
            <w:shd w:val="clear" w:color="auto" w:fill="auto"/>
            <w:vAlign w:val="center"/>
          </w:tcPr>
          <w:p>
            <w:pPr>
              <w:keepNext w:val="0"/>
              <w:keepLines w:val="0"/>
              <w:widowControl w:val="0"/>
              <w:suppressLineNumbers w:val="0"/>
              <w:tabs>
                <w:tab w:val="center" w:pos="4153"/>
                <w:tab w:val="right" w:pos="8306"/>
              </w:tabs>
              <w:snapToGrid w:val="0"/>
              <w:spacing w:before="0" w:beforeAutospacing="0" w:after="0" w:afterAutospacing="0" w:line="400" w:lineRule="exact"/>
              <w:ind w:left="0" w:leftChars="0" w:right="0" w:rightChars="0" w:firstLine="0" w:firstLineChars="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auto"/>
                <w:kern w:val="0"/>
                <w:sz w:val="21"/>
                <w:szCs w:val="18"/>
                <w:highlight w:val="none"/>
                <w:lang w:val="en-US" w:eastAsia="zh-CN" w:bidi="ar-SA"/>
              </w:rPr>
              <w:t>介质：液体CO</w:t>
            </w:r>
            <w:r>
              <w:rPr>
                <w:rFonts w:hint="eastAsia" w:ascii="Times New Roman" w:hAnsi="Times New Roman" w:eastAsia="宋体" w:cs="Times New Roman"/>
                <w:b w:val="0"/>
                <w:bCs w:val="0"/>
                <w:color w:val="auto"/>
                <w:kern w:val="0"/>
                <w:sz w:val="21"/>
                <w:szCs w:val="18"/>
                <w:highlight w:val="none"/>
                <w:vertAlign w:val="subscript"/>
                <w:lang w:val="en-US" w:eastAsia="zh-CN" w:bidi="ar-SA"/>
              </w:rPr>
              <w:t>2</w:t>
            </w:r>
            <w:r>
              <w:rPr>
                <w:rFonts w:hint="eastAsia" w:ascii="Times New Roman" w:hAnsi="Times New Roman" w:eastAsia="宋体" w:cs="Times New Roman"/>
                <w:b w:val="0"/>
                <w:bCs w:val="0"/>
                <w:color w:val="auto"/>
                <w:kern w:val="0"/>
                <w:sz w:val="21"/>
                <w:szCs w:val="18"/>
                <w:highlight w:val="none"/>
                <w:lang w:val="en-US" w:eastAsia="zh-CN" w:bidi="ar-SA"/>
              </w:rPr>
              <w:t>/CH</w:t>
            </w:r>
            <w:r>
              <w:rPr>
                <w:rFonts w:hint="eastAsia" w:ascii="Times New Roman" w:hAnsi="Times New Roman" w:eastAsia="宋体" w:cs="Times New Roman"/>
                <w:b w:val="0"/>
                <w:bCs w:val="0"/>
                <w:color w:val="auto"/>
                <w:kern w:val="0"/>
                <w:sz w:val="21"/>
                <w:szCs w:val="18"/>
                <w:highlight w:val="none"/>
                <w:vertAlign w:val="subscript"/>
                <w:lang w:val="en-US" w:eastAsia="zh-CN" w:bidi="ar-SA"/>
              </w:rPr>
              <w:t>4</w:t>
            </w:r>
            <w:r>
              <w:rPr>
                <w:rFonts w:hint="eastAsia" w:ascii="Times New Roman" w:hAnsi="Times New Roman" w:eastAsia="宋体" w:cs="Times New Roman"/>
                <w:b w:val="0"/>
                <w:bCs w:val="0"/>
                <w:color w:val="auto"/>
                <w:kern w:val="0"/>
                <w:sz w:val="21"/>
                <w:szCs w:val="18"/>
                <w:highlight w:val="none"/>
                <w:lang w:val="en-US" w:eastAsia="zh-CN" w:bidi="ar-SA"/>
              </w:rPr>
              <w:t>，设计压力：8.235MPaG，设计温度：-55℃，泵额定流量：20m</w:t>
            </w:r>
            <w:r>
              <w:rPr>
                <w:rFonts w:hint="eastAsia" w:ascii="Times New Roman" w:hAnsi="Times New Roman" w:eastAsia="宋体" w:cs="Times New Roman"/>
                <w:b w:val="0"/>
                <w:bCs w:val="0"/>
                <w:color w:val="auto"/>
                <w:kern w:val="0"/>
                <w:sz w:val="21"/>
                <w:szCs w:val="18"/>
                <w:highlight w:val="none"/>
                <w:vertAlign w:val="superscript"/>
                <w:lang w:val="en-US" w:eastAsia="zh-CN" w:bidi="ar-SA"/>
              </w:rPr>
              <w:t>3</w:t>
            </w:r>
            <w:r>
              <w:rPr>
                <w:rFonts w:hint="eastAsia" w:ascii="Times New Roman" w:hAnsi="Times New Roman" w:eastAsia="宋体" w:cs="Times New Roman"/>
                <w:b w:val="0"/>
                <w:bCs w:val="0"/>
                <w:color w:val="auto"/>
                <w:kern w:val="0"/>
                <w:sz w:val="21"/>
                <w:szCs w:val="18"/>
                <w:highlight w:val="none"/>
                <w:lang w:val="en-US" w:eastAsia="zh-CN" w:bidi="ar-SA"/>
              </w:rPr>
              <w:t>/h，泵扬程：30m，泵入口操作压力：3.5MPaG，操作温度：-42℃。</w:t>
            </w:r>
          </w:p>
        </w:tc>
        <w:tc>
          <w:tcPr>
            <w:tcW w:w="653" w:type="dxa"/>
            <w:shd w:val="clear" w:color="auto" w:fill="auto"/>
            <w:vAlign w:val="center"/>
          </w:tcPr>
          <w:p>
            <w:pPr>
              <w:pStyle w:val="40"/>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2</w:t>
            </w:r>
          </w:p>
        </w:tc>
        <w:tc>
          <w:tcPr>
            <w:tcW w:w="590" w:type="dxa"/>
            <w:shd w:val="clear" w:color="auto" w:fill="auto"/>
            <w:vAlign w:val="center"/>
          </w:tcPr>
          <w:p>
            <w:pPr>
              <w:pStyle w:val="40"/>
              <w:spacing w:line="360" w:lineRule="auto"/>
              <w:ind w:firstLine="0"/>
              <w:jc w:val="center"/>
              <w:rPr>
                <w:rFonts w:hint="default"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件/EA</w:t>
            </w:r>
          </w:p>
        </w:tc>
        <w:tc>
          <w:tcPr>
            <w:tcW w:w="996"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c>
          <w:tcPr>
            <w:tcW w:w="963" w:type="dxa"/>
            <w:shd w:val="clear" w:color="auto" w:fill="auto"/>
            <w:vAlign w:val="center"/>
          </w:tcPr>
          <w:p>
            <w:pPr>
              <w:pStyle w:val="40"/>
              <w:spacing w:line="360" w:lineRule="auto"/>
              <w:ind w:firstLine="0"/>
              <w:jc w:val="center"/>
              <w:rPr>
                <w:rFonts w:hint="default"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13%</w:t>
            </w:r>
          </w:p>
        </w:tc>
        <w:tc>
          <w:tcPr>
            <w:tcW w:w="889"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c>
          <w:tcPr>
            <w:tcW w:w="944" w:type="dxa"/>
            <w:shd w:val="clear" w:color="auto" w:fill="auto"/>
            <w:vAlign w:val="center"/>
          </w:tcPr>
          <w:p>
            <w:pPr>
              <w:pStyle w:val="40"/>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1" w:type="dxa"/>
            <w:gridSpan w:val="8"/>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合计</w:t>
            </w:r>
            <w:r>
              <w:rPr>
                <w:rFonts w:asciiTheme="minorEastAsia" w:hAnsiTheme="minorEastAsia" w:eastAsiaTheme="minorEastAsia"/>
                <w:color w:val="000000" w:themeColor="text1"/>
                <w:sz w:val="21"/>
                <w:szCs w:val="21"/>
                <w:highlight w:val="none"/>
                <w14:textFill>
                  <w14:solidFill>
                    <w14:schemeClr w14:val="tx1"/>
                  </w14:solidFill>
                </w14:textFill>
              </w:rPr>
              <w:t>：</w:t>
            </w:r>
          </w:p>
        </w:tc>
        <w:tc>
          <w:tcPr>
            <w:tcW w:w="889" w:type="dxa"/>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p>
        </w:tc>
        <w:tc>
          <w:tcPr>
            <w:tcW w:w="944" w:type="dxa"/>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gridSpan w:val="10"/>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不</w:t>
            </w: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asciiTheme="minorEastAsia" w:hAnsiTheme="minorEastAsia" w:eastAsiaTheme="minorEastAsia"/>
                <w:color w:val="000000" w:themeColor="text1"/>
                <w:sz w:val="21"/>
                <w:szCs w:val="21"/>
                <w:highlight w:val="none"/>
                <w14:textFill>
                  <w14:solidFill>
                    <w14:schemeClr w14:val="tx1"/>
                  </w14:solidFill>
                </w14:textFill>
              </w:rPr>
              <w:t>总价</w:t>
            </w:r>
            <w:r>
              <w:rPr>
                <w:rFonts w:hint="eastAsia" w:asciiTheme="minorEastAsia" w:hAnsiTheme="minorEastAsia" w:eastAsiaTheme="minorEastAsia"/>
                <w:color w:val="000000" w:themeColor="text1"/>
                <w:sz w:val="21"/>
                <w:szCs w:val="21"/>
                <w:highlight w:val="none"/>
                <w14:textFill>
                  <w14:solidFill>
                    <w14:schemeClr w14:val="tx1"/>
                  </w14:solidFill>
                </w14:textFill>
              </w:rPr>
              <w:t>（大写</w:t>
            </w:r>
            <w:r>
              <w:rPr>
                <w:rFonts w:asciiTheme="minorEastAsia" w:hAnsiTheme="minorEastAsia" w:eastAsiaTheme="minorEastAsia"/>
                <w:color w:val="000000" w:themeColor="text1"/>
                <w:sz w:val="21"/>
                <w:szCs w:val="21"/>
                <w:highlight w:val="none"/>
                <w14:textFill>
                  <w14:solidFill>
                    <w14:schemeClr w14:val="tx1"/>
                  </w14:solidFill>
                </w14:textFill>
              </w:rPr>
              <w:t>人民币</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gridSpan w:val="10"/>
            <w:shd w:val="clear" w:color="auto" w:fill="auto"/>
          </w:tcPr>
          <w:p>
            <w:pPr>
              <w:pStyle w:val="40"/>
              <w:spacing w:line="360"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asciiTheme="minorEastAsia" w:hAnsiTheme="minorEastAsia" w:eastAsiaTheme="minorEastAsia"/>
                <w:color w:val="000000" w:themeColor="text1"/>
                <w:sz w:val="21"/>
                <w:szCs w:val="21"/>
                <w:highlight w:val="none"/>
                <w14:textFill>
                  <w14:solidFill>
                    <w14:schemeClr w14:val="tx1"/>
                  </w14:solidFill>
                </w14:textFill>
              </w:rPr>
              <w:t>总价</w:t>
            </w:r>
            <w:r>
              <w:rPr>
                <w:rFonts w:hint="eastAsia" w:asciiTheme="minorEastAsia" w:hAnsiTheme="minorEastAsia" w:eastAsiaTheme="minorEastAsia"/>
                <w:color w:val="000000" w:themeColor="text1"/>
                <w:sz w:val="21"/>
                <w:szCs w:val="21"/>
                <w:highlight w:val="none"/>
                <w14:textFill>
                  <w14:solidFill>
                    <w14:schemeClr w14:val="tx1"/>
                  </w14:solidFill>
                </w14:textFill>
              </w:rPr>
              <w:t>（大写</w:t>
            </w:r>
            <w:r>
              <w:rPr>
                <w:rFonts w:asciiTheme="minorEastAsia" w:hAnsiTheme="minorEastAsia" w:eastAsiaTheme="minorEastAsia"/>
                <w:color w:val="000000" w:themeColor="text1"/>
                <w:sz w:val="21"/>
                <w:szCs w:val="21"/>
                <w:highlight w:val="none"/>
                <w14:textFill>
                  <w14:solidFill>
                    <w14:schemeClr w14:val="tx1"/>
                  </w14:solidFill>
                </w14:textFill>
              </w:rPr>
              <w:t>人民币</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tc>
      </w:tr>
    </w:tbl>
    <w:p>
      <w:pPr>
        <w:snapToGrid w:val="0"/>
        <w:spacing w:line="360" w:lineRule="auto"/>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注：</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1、</w:t>
      </w:r>
      <w:r>
        <w:rPr>
          <w:rFonts w:asciiTheme="minorEastAsia" w:hAnsiTheme="minorEastAsia"/>
          <w:color w:val="000000" w:themeColor="text1"/>
          <w:sz w:val="21"/>
          <w:szCs w:val="21"/>
          <w:highlight w:val="none"/>
          <w14:textFill>
            <w14:solidFill>
              <w14:schemeClr w14:val="tx1"/>
            </w14:solidFill>
          </w14:textFill>
        </w:rPr>
        <w:t>报价有效期：</w:t>
      </w:r>
      <w:r>
        <w:rPr>
          <w:rFonts w:hint="eastAsia" w:asciiTheme="minorEastAsia" w:hAnsiTheme="minorEastAsia"/>
          <w:color w:val="000000" w:themeColor="text1"/>
          <w:sz w:val="21"/>
          <w:szCs w:val="21"/>
          <w:highlight w:val="none"/>
          <w14:textFill>
            <w14:solidFill>
              <w14:schemeClr w14:val="tx1"/>
            </w14:solidFill>
          </w14:textFill>
        </w:rPr>
        <w:t>自应答截止日次日起</w:t>
      </w:r>
      <w:r>
        <w:rPr>
          <w:rFonts w:hint="eastAsia" w:asciiTheme="minorEastAsia" w:hAnsiTheme="minorEastAsia"/>
          <w:color w:val="000000" w:themeColor="text1"/>
          <w:sz w:val="21"/>
          <w:szCs w:val="21"/>
          <w:highlight w:val="none"/>
          <w:lang w:val="en-US" w:eastAsia="zh-CN"/>
          <w14:textFill>
            <w14:solidFill>
              <w14:schemeClr w14:val="tx1"/>
            </w14:solidFill>
          </w14:textFill>
        </w:rPr>
        <w:t>120</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货物类）</w:t>
      </w:r>
      <w:r>
        <w:rPr>
          <w:rFonts w:hint="eastAsia" w:asciiTheme="minorEastAsia" w:hAnsiTheme="minorEastAsia"/>
          <w:color w:val="000000" w:themeColor="text1"/>
          <w:sz w:val="21"/>
          <w:szCs w:val="21"/>
          <w:highlight w:val="none"/>
          <w14:textFill>
            <w14:solidFill>
              <w14:schemeClr w14:val="tx1"/>
            </w14:solidFill>
          </w14:textFill>
        </w:rPr>
        <w:t>交货期</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自合同签订之日起120天内供货</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pStyle w:val="4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olor w:val="000000" w:themeColor="text1"/>
          <w:sz w:val="21"/>
          <w:szCs w:val="21"/>
          <w:highlight w:val="none"/>
          <w14:textFill>
            <w14:solidFill>
              <w14:schemeClr w14:val="tx1"/>
            </w14:solidFill>
          </w14:textFill>
        </w:rPr>
        <w:t>、以上报价包括：所有费用。人工费、材料费、设施设备费、管理费、服务费、税费、利润、税金/其它应付款项，报价文件中规定的其它义务/风险/责任有关的费用及一切与履行本</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询比</w:t>
      </w:r>
      <w:r>
        <w:rPr>
          <w:rFonts w:hint="eastAsia" w:asciiTheme="minorEastAsia" w:hAnsiTheme="minorEastAsia" w:eastAsiaTheme="minorEastAsia"/>
          <w:color w:val="000000" w:themeColor="text1"/>
          <w:sz w:val="21"/>
          <w:szCs w:val="21"/>
          <w:highlight w:val="none"/>
          <w14:textFill>
            <w14:solidFill>
              <w14:schemeClr w14:val="tx1"/>
            </w14:solidFill>
          </w14:textFill>
        </w:rPr>
        <w:t>文件有关的于此处未列明的其它所有费用。固定单价在</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询比</w:t>
      </w:r>
      <w:r>
        <w:rPr>
          <w:rFonts w:hint="eastAsia" w:asciiTheme="minorEastAsia" w:hAnsiTheme="minorEastAsia" w:eastAsiaTheme="minorEastAsia"/>
          <w:color w:val="000000" w:themeColor="text1"/>
          <w:sz w:val="21"/>
          <w:szCs w:val="21"/>
          <w:highlight w:val="none"/>
          <w14:textFill>
            <w14:solidFill>
              <w14:schemeClr w14:val="tx1"/>
            </w14:solidFill>
          </w14:textFill>
        </w:rPr>
        <w:t>有效期和其必要的延长期内是固定的，不因通货膨胀、利/汇率、税/费变化而作任何调整</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响应</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4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4、开具</w:t>
      </w:r>
      <w:r>
        <w:rPr>
          <w:rFonts w:asciiTheme="minorEastAsia" w:hAnsiTheme="minorEastAsia" w:eastAsiaTheme="minorEastAsia"/>
          <w:color w:val="000000" w:themeColor="text1"/>
          <w:sz w:val="21"/>
          <w:szCs w:val="21"/>
          <w:highlight w:val="none"/>
          <w14:textFill>
            <w14:solidFill>
              <w14:schemeClr w14:val="tx1"/>
            </w14:solidFill>
          </w14:textFill>
        </w:rPr>
        <w:t>发票种类：增值税专用发票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增值税普通发票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其它</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如实填写</w:t>
      </w:r>
      <w:r>
        <w:rPr>
          <w:rFonts w:hint="eastAsia" w:asciiTheme="minorEastAsia" w:hAnsiTheme="minorEastAsia" w:eastAsiaTheme="minorEastAsia"/>
          <w:color w:val="000000" w:themeColor="text1"/>
          <w:sz w:val="21"/>
          <w:szCs w:val="21"/>
          <w:highlight w:val="none"/>
          <w14:textFill>
            <w14:solidFill>
              <w14:schemeClr w14:val="tx1"/>
            </w14:solidFill>
          </w14:textFill>
        </w:rPr>
        <w:t>具体</w:t>
      </w:r>
      <w:r>
        <w:rPr>
          <w:rFonts w:asciiTheme="minorEastAsia" w:hAnsiTheme="minorEastAsia" w:eastAsiaTheme="minorEastAsia"/>
          <w:color w:val="000000" w:themeColor="text1"/>
          <w:sz w:val="21"/>
          <w:szCs w:val="21"/>
          <w:highlight w:val="none"/>
          <w14:textFill>
            <w14:solidFill>
              <w14:schemeClr w14:val="tx1"/>
            </w14:solidFill>
          </w14:textFill>
        </w:rPr>
        <w:t>发票种类</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4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5、其它</w:t>
      </w:r>
      <w:r>
        <w:rPr>
          <w:rFonts w:asciiTheme="minorEastAsia" w:hAnsiTheme="minorEastAsia" w:eastAsiaTheme="minorEastAsia"/>
          <w:color w:val="000000" w:themeColor="text1"/>
          <w:sz w:val="21"/>
          <w:szCs w:val="21"/>
          <w:highlight w:val="none"/>
          <w14:textFill>
            <w14:solidFill>
              <w14:schemeClr w14:val="tx1"/>
            </w14:solidFill>
          </w14:textFill>
        </w:rPr>
        <w:t>。应答人如有其它说明请补充。</w:t>
      </w:r>
    </w:p>
    <w:p>
      <w:pPr>
        <w:pStyle w:val="4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olor w:val="000000" w:themeColor="text1"/>
          <w:sz w:val="21"/>
          <w:szCs w:val="21"/>
          <w:highlight w:val="none"/>
          <w14:textFill>
            <w14:solidFill>
              <w14:schemeClr w14:val="tx1"/>
            </w14:solidFill>
          </w14:textFill>
        </w:rPr>
        <w:t>、应答人商务联系人姓名________电话_______________邮箱_______________</w:t>
      </w:r>
    </w:p>
    <w:p>
      <w:pPr>
        <w:pStyle w:val="40"/>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报价单位</w:t>
      </w:r>
      <w:r>
        <w:rPr>
          <w:rFonts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auto"/>
          <w:sz w:val="21"/>
          <w:szCs w:val="21"/>
          <w:highlight w:val="none"/>
          <w:lang w:val="en-US" w:eastAsia="zh-CN"/>
        </w:rPr>
        <w:t>加</w:t>
      </w:r>
      <w:r>
        <w:rPr>
          <w:rFonts w:hint="eastAsia" w:asciiTheme="minorEastAsia" w:hAnsiTheme="minorEastAsia" w:eastAsiaTheme="minorEastAsia"/>
          <w:color w:val="auto"/>
          <w:sz w:val="21"/>
          <w:szCs w:val="21"/>
          <w:highlight w:val="none"/>
        </w:rPr>
        <w:t>盖</w:t>
      </w:r>
      <w:r>
        <w:rPr>
          <w:rFonts w:asciiTheme="minorEastAsia" w:hAnsiTheme="minorEastAsia" w:eastAsiaTheme="minorEastAsia"/>
          <w:color w:val="auto"/>
          <w:sz w:val="21"/>
          <w:szCs w:val="21"/>
          <w:highlight w:val="none"/>
        </w:rPr>
        <w:t>公章</w:t>
      </w:r>
      <w:r>
        <w:rPr>
          <w:rFonts w:hint="eastAsia" w:asciiTheme="minorEastAsia" w:hAnsiTheme="minorEastAsia" w:eastAsiaTheme="minorEastAsia"/>
          <w:color w:val="auto"/>
          <w:sz w:val="21"/>
          <w:szCs w:val="21"/>
          <w:highlight w:val="none"/>
        </w:rPr>
        <w:t>）</w:t>
      </w:r>
    </w:p>
    <w:p>
      <w:pPr>
        <w:pStyle w:val="40"/>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仿宋" w:hAnsi="仿宋" w:eastAsia="仿宋" w:cs="仿宋"/>
          <w:bCs/>
          <w:color w:val="auto"/>
          <w:sz w:val="21"/>
          <w:szCs w:val="21"/>
          <w:highlight w:val="none"/>
          <w:lang w:eastAsia="zh-CN"/>
        </w:rPr>
        <w:t>法定代表人（单位负责人）或其委托代理人签字：</w:t>
      </w:r>
    </w:p>
    <w:p>
      <w:pPr>
        <w:pStyle w:val="40"/>
        <w:spacing w:line="360" w:lineRule="auto"/>
        <w:ind w:right="560" w:firstLine="4830" w:firstLineChars="230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报价日期</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***年**月**日</w:t>
      </w:r>
    </w:p>
    <w:p>
      <w:pPr>
        <w:pStyle w:val="8"/>
        <w:ind w:firstLine="0" w:firstLineChars="0"/>
        <w:rPr>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Noto Sans CJK DemiLight">
    <w:altName w:val="宋体"/>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Garamond">
    <w:panose1 w:val="02020404030301010803"/>
    <w:charset w:val="00"/>
    <w:family w:val="roman"/>
    <w:pitch w:val="default"/>
    <w:sig w:usb0="00000287" w:usb1="00000000" w:usb2="00000000" w:usb3="00000000" w:csb0="0000009F" w:csb1="DFD70000"/>
  </w:font>
  <w:font w:name="新宋体-18030">
    <w:altName w:val="黑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58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58</w:t>
    </w:r>
    <w:r>
      <w:rPr>
        <w:b/>
        <w:bCs/>
        <w:sz w:val="24"/>
        <w:szCs w:val="24"/>
      </w:rP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tab/>
    </w:r>
    <w:r>
      <w:tab/>
    </w:r>
    <w:r>
      <w:rPr>
        <w:rStyle w:val="26"/>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216" w:firstLineChars="2000"/>
      <w:rPr>
        <w:lang w:val="zh-C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rPr>
      <w:t xml:space="preserve">天津院低温精馏回流泵采购货物买卖合同    </w:t>
    </w:r>
    <w:r>
      <w:rPr>
        <w:rFonts w:hint="eastAsia"/>
        <w:lang w:val="en-US" w:eastAsia="zh-CN"/>
      </w:rPr>
      <w:t xml:space="preserve"> </w:t>
    </w:r>
    <w:r>
      <w:rPr>
        <w:rFonts w:hint="eastAsia"/>
      </w:rPr>
      <w:t xml:space="preserve"> 合同编号：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46650"/>
    <w:multiLevelType w:val="singleLevel"/>
    <w:tmpl w:val="92D46650"/>
    <w:lvl w:ilvl="0" w:tentative="0">
      <w:start w:val="1"/>
      <w:numFmt w:val="chineseCounting"/>
      <w:suff w:val="space"/>
      <w:lvlText w:val="第%1条"/>
      <w:lvlJc w:val="left"/>
      <w:rPr>
        <w:rFonts w:hint="eastAsia"/>
      </w:rPr>
    </w:lvl>
  </w:abstractNum>
  <w:abstractNum w:abstractNumId="1">
    <w:nsid w:val="A62393A7"/>
    <w:multiLevelType w:val="singleLevel"/>
    <w:tmpl w:val="A62393A7"/>
    <w:lvl w:ilvl="0" w:tentative="0">
      <w:start w:val="1"/>
      <w:numFmt w:val="decimal"/>
      <w:suff w:val="space"/>
      <w:lvlText w:val="%1."/>
      <w:lvlJc w:val="left"/>
    </w:lvl>
  </w:abstractNum>
  <w:abstractNum w:abstractNumId="2">
    <w:nsid w:val="C900F817"/>
    <w:multiLevelType w:val="multilevel"/>
    <w:tmpl w:val="C900F817"/>
    <w:lvl w:ilvl="0" w:tentative="0">
      <w:start w:val="1"/>
      <w:numFmt w:val="decimal"/>
      <w:lvlText w:val="%1、"/>
      <w:lvlJc w:val="left"/>
      <w:pPr>
        <w:ind w:left="999" w:hanging="375"/>
      </w:pPr>
      <w:rPr>
        <w:rFonts w:hint="default"/>
      </w:rPr>
    </w:lvl>
    <w:lvl w:ilvl="1" w:tentative="0">
      <w:start w:val="1"/>
      <w:numFmt w:val="decimal"/>
      <w:lvlText w:val="（%2）"/>
      <w:lvlJc w:val="left"/>
      <w:pPr>
        <w:ind w:left="0" w:leftChars="0" w:hanging="1" w:firstLineChars="0"/>
      </w:pPr>
      <w:rPr>
        <w:rFonts w:hint="default"/>
      </w:r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abstractNum w:abstractNumId="3">
    <w:nsid w:val="D685B7D6"/>
    <w:multiLevelType w:val="singleLevel"/>
    <w:tmpl w:val="D685B7D6"/>
    <w:lvl w:ilvl="0" w:tentative="0">
      <w:start w:val="1"/>
      <w:numFmt w:val="decimal"/>
      <w:lvlText w:val="%1."/>
      <w:lvlJc w:val="left"/>
      <w:pPr>
        <w:ind w:left="425" w:hanging="425"/>
      </w:pPr>
      <w:rPr>
        <w:rFonts w:hint="default"/>
      </w:rPr>
    </w:lvl>
  </w:abstractNum>
  <w:abstractNum w:abstractNumId="4">
    <w:nsid w:val="E6A8DD08"/>
    <w:multiLevelType w:val="multilevel"/>
    <w:tmpl w:val="E6A8DD08"/>
    <w:lvl w:ilvl="0" w:tentative="0">
      <w:start w:val="1"/>
      <w:numFmt w:val="decimal"/>
      <w:lvlText w:val="%1、"/>
      <w:lvlJc w:val="left"/>
      <w:pPr>
        <w:ind w:left="999" w:hanging="375"/>
      </w:pPr>
      <w:rPr>
        <w:rFonts w:hint="default"/>
      </w:rPr>
    </w:lvl>
    <w:lvl w:ilvl="1" w:tentative="0">
      <w:start w:val="1"/>
      <w:numFmt w:val="decimal"/>
      <w:lvlText w:val="（%2）"/>
      <w:lvlJc w:val="left"/>
      <w:pPr>
        <w:ind w:left="0" w:leftChars="0" w:hanging="1" w:firstLineChars="0"/>
      </w:pPr>
      <w:rPr>
        <w:rFonts w:hint="default"/>
      </w:r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abstractNum w:abstractNumId="5">
    <w:nsid w:val="085C09C1"/>
    <w:multiLevelType w:val="singleLevel"/>
    <w:tmpl w:val="085C09C1"/>
    <w:lvl w:ilvl="0" w:tentative="0">
      <w:start w:val="1"/>
      <w:numFmt w:val="decimal"/>
      <w:lvlText w:val="%1."/>
      <w:lvlJc w:val="left"/>
      <w:pPr>
        <w:tabs>
          <w:tab w:val="left" w:pos="373"/>
        </w:tabs>
        <w:ind w:left="0" w:leftChars="0" w:firstLine="0" w:firstLineChars="0"/>
      </w:pPr>
      <w:rPr>
        <w:rFonts w:hint="default"/>
      </w:rPr>
    </w:lvl>
  </w:abstractNum>
  <w:abstractNum w:abstractNumId="6">
    <w:nsid w:val="0B6542FA"/>
    <w:multiLevelType w:val="multilevel"/>
    <w:tmpl w:val="0B6542FA"/>
    <w:lvl w:ilvl="0" w:tentative="0">
      <w:start w:val="8"/>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ECB3DC2"/>
    <w:multiLevelType w:val="multilevel"/>
    <w:tmpl w:val="0ECB3DC2"/>
    <w:lvl w:ilvl="0" w:tentative="0">
      <w:start w:val="1"/>
      <w:numFmt w:val="decimal"/>
      <w:lvlText w:val="10.%1"/>
      <w:lvlJc w:val="left"/>
      <w:pPr>
        <w:ind w:left="418" w:hanging="420"/>
      </w:pPr>
      <w:rPr>
        <w:rFonts w:hint="default" w:ascii="Times New Roman" w:hAnsi="Times New Roman" w:cs="Times New Roman"/>
        <w:b w:val="0"/>
        <w:i w:val="0"/>
        <w:color w:val="auto"/>
        <w:sz w:val="24"/>
        <w:szCs w:val="24"/>
      </w:rPr>
    </w:lvl>
    <w:lvl w:ilvl="1" w:tentative="0">
      <w:start w:val="1"/>
      <w:numFmt w:val="decimal"/>
      <w:lvlText w:val="(%2)"/>
      <w:lvlJc w:val="left"/>
      <w:pPr>
        <w:ind w:left="808" w:hanging="390"/>
      </w:pPr>
      <w:rPr>
        <w:rFonts w:hint="default"/>
      </w:r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8">
    <w:nsid w:val="111D4901"/>
    <w:multiLevelType w:val="multilevel"/>
    <w:tmpl w:val="111D4901"/>
    <w:lvl w:ilvl="0" w:tentative="0">
      <w:start w:val="1"/>
      <w:numFmt w:val="decimal"/>
      <w:lvlText w:val="12.%1"/>
      <w:lvlJc w:val="left"/>
      <w:pPr>
        <w:ind w:left="420" w:hanging="420"/>
      </w:pPr>
      <w:rPr>
        <w:rFonts w:hint="default" w:ascii="Times New Roman" w:hAnsi="Times New Roman" w:cs="Times New Roman"/>
        <w:b w:val="0"/>
        <w:i w:val="0"/>
        <w:color w:val="auto"/>
        <w:sz w:val="24"/>
        <w:szCs w:val="24"/>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1594051"/>
    <w:multiLevelType w:val="multilevel"/>
    <w:tmpl w:val="11594051"/>
    <w:lvl w:ilvl="0" w:tentative="0">
      <w:start w:val="1"/>
      <w:numFmt w:val="decimal"/>
      <w:lvlText w:val="5.%1"/>
      <w:lvlJc w:val="left"/>
      <w:pPr>
        <w:ind w:left="420" w:hanging="420"/>
      </w:pPr>
      <w:rPr>
        <w:rFonts w:hint="eastAsia"/>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3AE254C"/>
    <w:multiLevelType w:val="multilevel"/>
    <w:tmpl w:val="13AE254C"/>
    <w:lvl w:ilvl="0" w:tentative="0">
      <w:start w:val="1"/>
      <w:numFmt w:val="decimal"/>
      <w:lvlText w:val="8.%1"/>
      <w:lvlJc w:val="left"/>
      <w:pPr>
        <w:ind w:left="704" w:hanging="420"/>
      </w:pPr>
      <w:rPr>
        <w:rFonts w:hint="eastAsia"/>
        <w:b w:val="0"/>
        <w:i w:val="0"/>
        <w:color w:val="auto"/>
        <w:sz w:val="24"/>
        <w:szCs w:val="24"/>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1">
    <w:nsid w:val="1629C429"/>
    <w:multiLevelType w:val="singleLevel"/>
    <w:tmpl w:val="1629C429"/>
    <w:lvl w:ilvl="0" w:tentative="0">
      <w:start w:val="2"/>
      <w:numFmt w:val="chineseCounting"/>
      <w:suff w:val="nothing"/>
      <w:lvlText w:val="%1、"/>
      <w:lvlJc w:val="left"/>
      <w:rPr>
        <w:rFonts w:hint="eastAsia"/>
      </w:rPr>
    </w:lvl>
  </w:abstractNum>
  <w:abstractNum w:abstractNumId="12">
    <w:nsid w:val="18324A0E"/>
    <w:multiLevelType w:val="singleLevel"/>
    <w:tmpl w:val="18324A0E"/>
    <w:lvl w:ilvl="0" w:tentative="0">
      <w:start w:val="1"/>
      <w:numFmt w:val="decimal"/>
      <w:suff w:val="nothing"/>
      <w:lvlText w:val="%1、"/>
      <w:lvlJc w:val="left"/>
    </w:lvl>
  </w:abstractNum>
  <w:abstractNum w:abstractNumId="13">
    <w:nsid w:val="187E4373"/>
    <w:multiLevelType w:val="multilevel"/>
    <w:tmpl w:val="187E4373"/>
    <w:lvl w:ilvl="0" w:tentative="0">
      <w:start w:val="1"/>
      <w:numFmt w:val="decimal"/>
      <w:lvlText w:val="19.%1"/>
      <w:lvlJc w:val="left"/>
      <w:pPr>
        <w:ind w:left="420" w:hanging="420"/>
      </w:pPr>
      <w:rPr>
        <w:rFonts w:hint="eastAsia"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0503823"/>
    <w:multiLevelType w:val="singleLevel"/>
    <w:tmpl w:val="20503823"/>
    <w:lvl w:ilvl="0" w:tentative="0">
      <w:start w:val="5"/>
      <w:numFmt w:val="chineseCounting"/>
      <w:suff w:val="nothing"/>
      <w:lvlText w:val="%1、"/>
      <w:lvlJc w:val="left"/>
      <w:rPr>
        <w:rFonts w:hint="eastAsia"/>
      </w:rPr>
    </w:lvl>
  </w:abstractNum>
  <w:abstractNum w:abstractNumId="15">
    <w:nsid w:val="20673A34"/>
    <w:multiLevelType w:val="multilevel"/>
    <w:tmpl w:val="20673A34"/>
    <w:lvl w:ilvl="0" w:tentative="0">
      <w:start w:val="1"/>
      <w:numFmt w:val="decimal"/>
      <w:lvlText w:val="9.%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20CD20B2"/>
    <w:multiLevelType w:val="multilevel"/>
    <w:tmpl w:val="20CD20B2"/>
    <w:lvl w:ilvl="0" w:tentative="0">
      <w:start w:val="1"/>
      <w:numFmt w:val="decimal"/>
      <w:pStyle w:val="4"/>
      <w:lvlText w:val="%1"/>
      <w:lvlJc w:val="left"/>
      <w:pPr>
        <w:ind w:left="0" w:firstLine="0"/>
      </w:pPr>
      <w:rPr>
        <w:rFonts w:hint="default" w:ascii="Times New Roman" w:hAnsi="Times New Roman" w:eastAsia="黑体" w:cs="Times New Roman"/>
        <w:color w:val="000000"/>
      </w:rPr>
    </w:lvl>
    <w:lvl w:ilvl="1" w:tentative="0">
      <w:start w:val="1"/>
      <w:numFmt w:val="decimal"/>
      <w:lvlText w:val="%1.%2"/>
      <w:lvlJc w:val="left"/>
      <w:pPr>
        <w:ind w:left="-31" w:firstLine="315"/>
      </w:pPr>
      <w:rPr>
        <w:rFonts w:hint="default" w:ascii="Times New Roman" w:hAnsi="Times New Roman" w:eastAsia="黑体" w:cs="Times New Roman"/>
        <w:b w:val="0"/>
        <w:bCs w:val="0"/>
        <w:i w:val="0"/>
        <w:iCs w:val="0"/>
        <w:caps w:val="0"/>
        <w:smallCaps w:val="0"/>
        <w:strike w:val="0"/>
        <w:dstrike w:val="0"/>
        <w:snapToGrid w:val="0"/>
        <w:vanish w:val="0"/>
        <w:color w:val="000000"/>
        <w:spacing w:val="0"/>
        <w:w w:val="0"/>
        <w:kern w:val="0"/>
        <w:position w:val="0"/>
        <w:sz w:val="24"/>
        <w:szCs w:val="24"/>
        <w:u w:val="none" w:color="000000"/>
        <w:shd w:val="clear" w:color="000000" w:fill="000000"/>
        <w:vertAlign w:val="baseline"/>
        <w:lang w:val="zh-CN" w:eastAsia="zh-CN" w:bidi="zh-CN"/>
      </w:rPr>
    </w:lvl>
    <w:lvl w:ilvl="2" w:tentative="0">
      <w:start w:val="1"/>
      <w:numFmt w:val="decimal"/>
      <w:lvlText w:val="%1.%2.%3"/>
      <w:lvlJc w:val="left"/>
      <w:pPr>
        <w:ind w:left="-142" w:firstLine="0"/>
      </w:pPr>
      <w:rPr>
        <w:rFonts w:hint="default" w:ascii="Times New Roman" w:hAnsi="Times New Roman" w:eastAsia="黑体" w:cs="Times New Roman"/>
        <w:b w:val="0"/>
        <w:bCs w:val="0"/>
        <w:i w:val="0"/>
        <w:iCs w:val="0"/>
        <w:caps w:val="0"/>
        <w:smallCaps w:val="0"/>
        <w:strike w:val="0"/>
        <w:dstrike w:val="0"/>
        <w:snapToGrid w:val="0"/>
        <w:vanish w:val="0"/>
        <w:color w:val="000000"/>
        <w:spacing w:val="0"/>
        <w:w w:val="0"/>
        <w:kern w:val="0"/>
        <w:position w:val="0"/>
        <w:sz w:val="24"/>
        <w:szCs w:val="24"/>
        <w:u w:val="none" w:color="000000"/>
        <w:shd w:val="clear" w:color="000000" w:fill="000000"/>
        <w:vertAlign w:val="baseline"/>
        <w:lang w:val="zh-CN" w:eastAsia="zh-CN" w:bidi="zh-CN"/>
      </w:rPr>
    </w:lvl>
    <w:lvl w:ilvl="3" w:tentative="0">
      <w:start w:val="1"/>
      <w:numFmt w:val="decimal"/>
      <w:lvlText w:val="%1.%2.%3.%4."/>
      <w:lvlJc w:val="left"/>
      <w:pPr>
        <w:ind w:left="-37" w:firstLine="0"/>
      </w:pPr>
      <w:rPr>
        <w:rFonts w:hint="eastAsia" w:ascii="黑体" w:hAnsi="黑体" w:eastAsia="黑体"/>
      </w:rPr>
    </w:lvl>
    <w:lvl w:ilvl="4" w:tentative="0">
      <w:start w:val="1"/>
      <w:numFmt w:val="decimal"/>
      <w:lvlText w:val="%1.%2.%3.%4.%5."/>
      <w:lvlJc w:val="left"/>
      <w:pPr>
        <w:ind w:left="-142" w:firstLine="0"/>
      </w:pPr>
      <w:rPr>
        <w:rFonts w:hint="eastAsia"/>
      </w:rPr>
    </w:lvl>
    <w:lvl w:ilvl="5" w:tentative="0">
      <w:start w:val="1"/>
      <w:numFmt w:val="decimal"/>
      <w:lvlText w:val="%1.%2.%3.%4.%5.%6."/>
      <w:lvlJc w:val="left"/>
      <w:pPr>
        <w:ind w:left="-142" w:firstLine="0"/>
      </w:pPr>
      <w:rPr>
        <w:rFonts w:hint="eastAsia"/>
      </w:rPr>
    </w:lvl>
    <w:lvl w:ilvl="6" w:tentative="0">
      <w:start w:val="1"/>
      <w:numFmt w:val="decimal"/>
      <w:lvlText w:val="%1.%2.%3.%4.%5.%6.%7."/>
      <w:lvlJc w:val="left"/>
      <w:pPr>
        <w:ind w:left="-142" w:firstLine="0"/>
      </w:pPr>
      <w:rPr>
        <w:rFonts w:hint="eastAsia"/>
      </w:rPr>
    </w:lvl>
    <w:lvl w:ilvl="7" w:tentative="0">
      <w:start w:val="1"/>
      <w:numFmt w:val="decimal"/>
      <w:lvlText w:val="%1.%2.%3.%4.%5.%6.%7.%8."/>
      <w:lvlJc w:val="left"/>
      <w:pPr>
        <w:ind w:left="-142" w:firstLine="0"/>
      </w:pPr>
      <w:rPr>
        <w:rFonts w:hint="eastAsia"/>
      </w:rPr>
    </w:lvl>
    <w:lvl w:ilvl="8" w:tentative="0">
      <w:start w:val="1"/>
      <w:numFmt w:val="decimal"/>
      <w:lvlText w:val="%1.%2.%3.%4.%5.%6.%7.%8.%9."/>
      <w:lvlJc w:val="left"/>
      <w:pPr>
        <w:ind w:left="-142" w:firstLine="0"/>
      </w:pPr>
      <w:rPr>
        <w:rFonts w:hint="eastAsia"/>
      </w:rPr>
    </w:lvl>
  </w:abstractNum>
  <w:abstractNum w:abstractNumId="17">
    <w:nsid w:val="213F27C5"/>
    <w:multiLevelType w:val="multilevel"/>
    <w:tmpl w:val="213F27C5"/>
    <w:lvl w:ilvl="0" w:tentative="0">
      <w:start w:val="1"/>
      <w:numFmt w:val="decimal"/>
      <w:lvlText w:val="(%1)"/>
      <w:lvlJc w:val="left"/>
      <w:pPr>
        <w:ind w:left="987" w:hanging="420"/>
      </w:pPr>
      <w:rPr>
        <w:rFonts w:hint="default" w:cs="Times New Roman"/>
        <w:b w:val="0"/>
        <w:i w:val="0"/>
        <w:color w:val="auto"/>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22030A0D"/>
    <w:multiLevelType w:val="multilevel"/>
    <w:tmpl w:val="22030A0D"/>
    <w:lvl w:ilvl="0" w:tentative="0">
      <w:start w:val="1"/>
      <w:numFmt w:val="decimal"/>
      <w:lvlText w:val="17.%1"/>
      <w:lvlJc w:val="left"/>
      <w:pPr>
        <w:ind w:left="420" w:hanging="420"/>
      </w:pPr>
      <w:rPr>
        <w:rFonts w:hint="default" w:cs="Times New Roman" w:asciiTheme="minorEastAsia" w:hAnsiTheme="minorEastAsia" w:eastAsiaTheme="minorEastAsia"/>
        <w:b w:val="0"/>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6DC0ECB"/>
    <w:multiLevelType w:val="multilevel"/>
    <w:tmpl w:val="26DC0ECB"/>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0">
    <w:nsid w:val="288C4446"/>
    <w:multiLevelType w:val="multilevel"/>
    <w:tmpl w:val="288C4446"/>
    <w:lvl w:ilvl="0" w:tentative="0">
      <w:start w:val="1"/>
      <w:numFmt w:val="decimal"/>
      <w:lvlText w:val="11.%1"/>
      <w:lvlJc w:val="left"/>
      <w:pPr>
        <w:tabs>
          <w:tab w:val="left" w:pos="1860"/>
        </w:tabs>
        <w:ind w:left="1860" w:hanging="420"/>
      </w:pPr>
      <w:rPr>
        <w:rFonts w:hint="default" w:ascii="Times New Roman" w:hAnsi="Times New Roman" w:cs="Times New Roman"/>
        <w:b w:val="0"/>
        <w:i w:val="0"/>
        <w:color w:val="auto"/>
        <w:sz w:val="24"/>
        <w:szCs w:val="24"/>
        <w:lang w:eastAsia="zh-CN"/>
      </w:rPr>
    </w:lvl>
    <w:lvl w:ilvl="1" w:tentative="0">
      <w:start w:val="1"/>
      <w:numFmt w:val="decimal"/>
      <w:lvlText w:val="(%2)"/>
      <w:lvlJc w:val="left"/>
      <w:pPr>
        <w:tabs>
          <w:tab w:val="left" w:pos="840"/>
        </w:tabs>
        <w:ind w:left="840" w:hanging="420"/>
      </w:pPr>
      <w:rPr>
        <w:rFonts w:ascii="Times New Roman"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2DC64C40"/>
    <w:multiLevelType w:val="multilevel"/>
    <w:tmpl w:val="2DC64C40"/>
    <w:lvl w:ilvl="0" w:tentative="0">
      <w:start w:val="1"/>
      <w:numFmt w:val="chineseCountingThousand"/>
      <w:lvlText w:val="第%1条"/>
      <w:lvlJc w:val="left"/>
      <w:pPr>
        <w:ind w:left="420" w:hanging="420"/>
      </w:pPr>
      <w:rPr>
        <w:rFonts w:hint="eastAsia"/>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E967B86"/>
    <w:multiLevelType w:val="multilevel"/>
    <w:tmpl w:val="2E967B86"/>
    <w:lvl w:ilvl="0" w:tentative="0">
      <w:start w:val="1"/>
      <w:numFmt w:val="decimal"/>
      <w:lvlText w:val="7.%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3274F6A2"/>
    <w:multiLevelType w:val="multilevel"/>
    <w:tmpl w:val="3274F6A2"/>
    <w:lvl w:ilvl="0" w:tentative="0">
      <w:start w:val="1"/>
      <w:numFmt w:val="decimal"/>
      <w:lvlText w:val="%1、"/>
      <w:lvlJc w:val="left"/>
      <w:pPr>
        <w:ind w:left="999" w:hanging="375"/>
      </w:pPr>
      <w:rPr>
        <w:rFonts w:hint="default"/>
      </w:rPr>
    </w:lvl>
    <w:lvl w:ilvl="1" w:tentative="0">
      <w:start w:val="1"/>
      <w:numFmt w:val="decimal"/>
      <w:lvlText w:val="（%2）"/>
      <w:lvlJc w:val="left"/>
      <w:pPr>
        <w:ind w:left="0" w:leftChars="0" w:hanging="1" w:firstLineChars="0"/>
      </w:pPr>
      <w:rPr>
        <w:rFonts w:hint="default"/>
      </w:r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abstractNum w:abstractNumId="24">
    <w:nsid w:val="344619A6"/>
    <w:multiLevelType w:val="multilevel"/>
    <w:tmpl w:val="344619A6"/>
    <w:lvl w:ilvl="0" w:tentative="0">
      <w:start w:val="1"/>
      <w:numFmt w:val="decimal"/>
      <w:lvlText w:val="18.%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7BB4534"/>
    <w:multiLevelType w:val="multilevel"/>
    <w:tmpl w:val="37BB4534"/>
    <w:lvl w:ilvl="0" w:tentative="0">
      <w:start w:val="1"/>
      <w:numFmt w:val="decimal"/>
      <w:lvlText w:val="(%1)"/>
      <w:lvlJc w:val="left"/>
      <w:pPr>
        <w:ind w:left="1068" w:hanging="420"/>
      </w:pPr>
      <w:rPr>
        <w:rFonts w:hint="eastAsia" w:ascii="Times New Roman" w:hAnsi="Times New Roman" w:eastAsia="宋体" w:cs="Times New Roman"/>
      </w:rPr>
    </w:lvl>
    <w:lvl w:ilvl="1" w:tentative="0">
      <w:start w:val="1"/>
      <w:numFmt w:val="decimal"/>
      <w:lvlText w:val="(%2)"/>
      <w:lvlJc w:val="left"/>
      <w:pPr>
        <w:ind w:left="1488" w:hanging="420"/>
      </w:pPr>
      <w:rPr>
        <w:rFonts w:hint="eastAsia" w:ascii="Times New Roman" w:hAnsi="Times New Roman" w:eastAsia="宋体" w:cs="Times New Roman"/>
      </w:rPr>
    </w:lvl>
    <w:lvl w:ilvl="2" w:tentative="0">
      <w:start w:val="1"/>
      <w:numFmt w:val="lowerRoman"/>
      <w:lvlText w:val="%3."/>
      <w:lvlJc w:val="right"/>
      <w:pPr>
        <w:ind w:left="1908" w:hanging="420"/>
      </w:pPr>
    </w:lvl>
    <w:lvl w:ilvl="3" w:tentative="0">
      <w:start w:val="1"/>
      <w:numFmt w:val="decimal"/>
      <w:lvlText w:val="%4."/>
      <w:lvlJc w:val="left"/>
      <w:pPr>
        <w:ind w:left="2328" w:hanging="420"/>
      </w:pPr>
    </w:lvl>
    <w:lvl w:ilvl="4" w:tentative="0">
      <w:start w:val="1"/>
      <w:numFmt w:val="lowerLetter"/>
      <w:lvlText w:val="%5)"/>
      <w:lvlJc w:val="left"/>
      <w:pPr>
        <w:ind w:left="2748" w:hanging="420"/>
      </w:pPr>
    </w:lvl>
    <w:lvl w:ilvl="5" w:tentative="0">
      <w:start w:val="1"/>
      <w:numFmt w:val="lowerRoman"/>
      <w:lvlText w:val="%6."/>
      <w:lvlJc w:val="right"/>
      <w:pPr>
        <w:ind w:left="3168" w:hanging="420"/>
      </w:pPr>
    </w:lvl>
    <w:lvl w:ilvl="6" w:tentative="0">
      <w:start w:val="1"/>
      <w:numFmt w:val="decimal"/>
      <w:lvlText w:val="%7."/>
      <w:lvlJc w:val="left"/>
      <w:pPr>
        <w:ind w:left="3588" w:hanging="420"/>
      </w:pPr>
    </w:lvl>
    <w:lvl w:ilvl="7" w:tentative="0">
      <w:start w:val="1"/>
      <w:numFmt w:val="lowerLetter"/>
      <w:lvlText w:val="%8)"/>
      <w:lvlJc w:val="left"/>
      <w:pPr>
        <w:ind w:left="4008" w:hanging="420"/>
      </w:pPr>
    </w:lvl>
    <w:lvl w:ilvl="8" w:tentative="0">
      <w:start w:val="1"/>
      <w:numFmt w:val="lowerRoman"/>
      <w:lvlText w:val="%9."/>
      <w:lvlJc w:val="right"/>
      <w:pPr>
        <w:ind w:left="4428" w:hanging="420"/>
      </w:pPr>
    </w:lvl>
  </w:abstractNum>
  <w:abstractNum w:abstractNumId="26">
    <w:nsid w:val="3B196A91"/>
    <w:multiLevelType w:val="multilevel"/>
    <w:tmpl w:val="3B196A91"/>
    <w:lvl w:ilvl="0" w:tentative="0">
      <w:start w:val="1"/>
      <w:numFmt w:val="decimal"/>
      <w:lvlText w:val="%1、"/>
      <w:lvlJc w:val="left"/>
      <w:pPr>
        <w:ind w:left="999" w:hanging="375"/>
      </w:pPr>
      <w:rPr>
        <w:rFonts w:hint="default"/>
      </w:rPr>
    </w:lvl>
    <w:lvl w:ilvl="1" w:tentative="0">
      <w:start w:val="1"/>
      <w:numFmt w:val="decimal"/>
      <w:lvlText w:val="（%2）"/>
      <w:lvlJc w:val="left"/>
      <w:pPr>
        <w:ind w:left="0" w:leftChars="0" w:hanging="1" w:firstLineChars="0"/>
      </w:pPr>
      <w:rPr>
        <w:rFonts w:hint="default"/>
      </w:r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abstractNum w:abstractNumId="27">
    <w:nsid w:val="3B6E3992"/>
    <w:multiLevelType w:val="multilevel"/>
    <w:tmpl w:val="3B6E3992"/>
    <w:lvl w:ilvl="0" w:tentative="0">
      <w:start w:val="1"/>
      <w:numFmt w:val="decimal"/>
      <w:lvlText w:val="16.%1"/>
      <w:lvlJc w:val="left"/>
      <w:pPr>
        <w:ind w:left="84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EB85368"/>
    <w:multiLevelType w:val="multilevel"/>
    <w:tmpl w:val="3EB85368"/>
    <w:lvl w:ilvl="0" w:tentative="0">
      <w:start w:val="1"/>
      <w:numFmt w:val="decimal"/>
      <w:lvlText w:val="1.%1"/>
      <w:lvlJc w:val="left"/>
      <w:pPr>
        <w:tabs>
          <w:tab w:val="left" w:pos="2278"/>
        </w:tabs>
        <w:ind w:left="2278" w:hanging="42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FC80A62"/>
    <w:multiLevelType w:val="multilevel"/>
    <w:tmpl w:val="3FC80A62"/>
    <w:lvl w:ilvl="0" w:tentative="0">
      <w:start w:val="1"/>
      <w:numFmt w:val="decimal"/>
      <w:lvlText w:val="4.%1"/>
      <w:lvlJc w:val="left"/>
      <w:pPr>
        <w:tabs>
          <w:tab w:val="left" w:pos="420"/>
        </w:tabs>
        <w:ind w:left="420" w:hanging="420"/>
      </w:pPr>
      <w:rPr>
        <w:rFonts w:hint="eastAsia"/>
        <w:b w:val="0"/>
        <w:i w:val="0"/>
        <w:color w:val="auto"/>
      </w:rPr>
    </w:lvl>
    <w:lvl w:ilvl="1" w:tentative="0">
      <w:start w:val="1"/>
      <w:numFmt w:val="decimal"/>
      <w:lvlText w:val="(%2)"/>
      <w:lvlJc w:val="left"/>
      <w:pPr>
        <w:tabs>
          <w:tab w:val="left" w:pos="-140"/>
        </w:tabs>
        <w:ind w:left="154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40B6C9A8"/>
    <w:multiLevelType w:val="singleLevel"/>
    <w:tmpl w:val="40B6C9A8"/>
    <w:lvl w:ilvl="0" w:tentative="0">
      <w:start w:val="1"/>
      <w:numFmt w:val="decimal"/>
      <w:suff w:val="nothing"/>
      <w:lvlText w:val="%1、"/>
      <w:lvlJc w:val="left"/>
      <w:pPr>
        <w:ind w:left="-140"/>
      </w:pPr>
    </w:lvl>
  </w:abstractNum>
  <w:abstractNum w:abstractNumId="31">
    <w:nsid w:val="40C5160D"/>
    <w:multiLevelType w:val="multilevel"/>
    <w:tmpl w:val="40C5160D"/>
    <w:lvl w:ilvl="0" w:tentative="0">
      <w:start w:val="1"/>
      <w:numFmt w:val="decimal"/>
      <w:lvlText w:val="(%1)"/>
      <w:lvlJc w:val="left"/>
      <w:pPr>
        <w:ind w:left="988" w:hanging="420"/>
      </w:pPr>
      <w:rPr>
        <w:rFonts w:hint="eastAsia"/>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2">
    <w:nsid w:val="490B6D34"/>
    <w:multiLevelType w:val="multilevel"/>
    <w:tmpl w:val="490B6D34"/>
    <w:lvl w:ilvl="0" w:tentative="0">
      <w:start w:val="1"/>
      <w:numFmt w:val="decimal"/>
      <w:lvlText w:val="15.%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4C4253E0"/>
    <w:multiLevelType w:val="multilevel"/>
    <w:tmpl w:val="4C4253E0"/>
    <w:lvl w:ilvl="0" w:tentative="0">
      <w:start w:val="1"/>
      <w:numFmt w:val="decimal"/>
      <w:lvlText w:val="(%1)"/>
      <w:lvlJc w:val="left"/>
      <w:pPr>
        <w:ind w:left="420" w:hanging="420"/>
      </w:pPr>
      <w:rPr>
        <w:rFonts w:hint="eastAsia" w:ascii="Times New Roman" w:hAnsi="Times New Roman" w:eastAsia="宋体" w:cs="Times New Roman"/>
      </w:rPr>
    </w:lvl>
    <w:lvl w:ilvl="1" w:tentative="0">
      <w:start w:val="1"/>
      <w:numFmt w:val="decimal"/>
      <w:lvlText w:val="(%2)"/>
      <w:lvlJc w:val="left"/>
      <w:pPr>
        <w:ind w:left="840" w:hanging="420"/>
      </w:pPr>
      <w:rPr>
        <w:rFonts w:hint="default" w:ascii="Times New Roman" w:hAnsi="Times New Roman" w:cs="Times New Roman"/>
        <w:b w:val="0"/>
        <w:i w:val="0"/>
        <w:color w:val="auto"/>
        <w:spacing w:val="0"/>
        <w:kern w:val="2"/>
        <w:sz w:val="24"/>
        <w:szCs w:val="24"/>
        <w:u w:val="none"/>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EEC7676"/>
    <w:multiLevelType w:val="multilevel"/>
    <w:tmpl w:val="4EEC7676"/>
    <w:lvl w:ilvl="0" w:tentative="0">
      <w:start w:val="1"/>
      <w:numFmt w:val="decimal"/>
      <w:lvlText w:val="13.%1."/>
      <w:lvlJc w:val="left"/>
      <w:pPr>
        <w:tabs>
          <w:tab w:val="left" w:pos="3681"/>
        </w:tabs>
        <w:ind w:left="3681" w:hanging="420"/>
      </w:pPr>
      <w:rPr>
        <w:rFonts w:hint="default" w:ascii="Times New Roman" w:hAnsi="Times New Roman" w:cs="Times New Roman"/>
        <w:b w:val="0"/>
        <w:i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4F2A4C79"/>
    <w:multiLevelType w:val="multilevel"/>
    <w:tmpl w:val="4F2A4C79"/>
    <w:lvl w:ilvl="0" w:tentative="0">
      <w:start w:val="1"/>
      <w:numFmt w:val="decimal"/>
      <w:lvlText w:val="17.%1"/>
      <w:lvlJc w:val="left"/>
      <w:pPr>
        <w:ind w:left="1126" w:hanging="420"/>
      </w:pPr>
      <w:rPr>
        <w:rFonts w:hint="eastAsia" w:cs="Times New Roman"/>
        <w:b w:val="0"/>
        <w:color w:val="auto"/>
        <w:sz w:val="24"/>
        <w:szCs w:val="21"/>
      </w:rPr>
    </w:lvl>
    <w:lvl w:ilvl="1" w:tentative="0">
      <w:start w:val="1"/>
      <w:numFmt w:val="lowerLetter"/>
      <w:lvlText w:val="%2)"/>
      <w:lvlJc w:val="left"/>
      <w:pPr>
        <w:ind w:left="1546" w:hanging="420"/>
      </w:pPr>
    </w:lvl>
    <w:lvl w:ilvl="2" w:tentative="0">
      <w:start w:val="1"/>
      <w:numFmt w:val="lowerRoman"/>
      <w:lvlText w:val="%3."/>
      <w:lvlJc w:val="right"/>
      <w:pPr>
        <w:ind w:left="1966" w:hanging="420"/>
      </w:pPr>
    </w:lvl>
    <w:lvl w:ilvl="3" w:tentative="0">
      <w:start w:val="1"/>
      <w:numFmt w:val="decimal"/>
      <w:lvlText w:val="%4."/>
      <w:lvlJc w:val="left"/>
      <w:pPr>
        <w:ind w:left="2386" w:hanging="420"/>
      </w:pPr>
    </w:lvl>
    <w:lvl w:ilvl="4" w:tentative="0">
      <w:start w:val="1"/>
      <w:numFmt w:val="lowerLetter"/>
      <w:lvlText w:val="%5)"/>
      <w:lvlJc w:val="left"/>
      <w:pPr>
        <w:ind w:left="2806" w:hanging="420"/>
      </w:pPr>
    </w:lvl>
    <w:lvl w:ilvl="5" w:tentative="0">
      <w:start w:val="1"/>
      <w:numFmt w:val="lowerRoman"/>
      <w:lvlText w:val="%6."/>
      <w:lvlJc w:val="right"/>
      <w:pPr>
        <w:ind w:left="3226" w:hanging="420"/>
      </w:pPr>
    </w:lvl>
    <w:lvl w:ilvl="6" w:tentative="0">
      <w:start w:val="1"/>
      <w:numFmt w:val="decimal"/>
      <w:lvlText w:val="%7."/>
      <w:lvlJc w:val="left"/>
      <w:pPr>
        <w:ind w:left="3646" w:hanging="420"/>
      </w:pPr>
    </w:lvl>
    <w:lvl w:ilvl="7" w:tentative="0">
      <w:start w:val="1"/>
      <w:numFmt w:val="lowerLetter"/>
      <w:lvlText w:val="%8)"/>
      <w:lvlJc w:val="left"/>
      <w:pPr>
        <w:ind w:left="4066" w:hanging="420"/>
      </w:pPr>
    </w:lvl>
    <w:lvl w:ilvl="8" w:tentative="0">
      <w:start w:val="1"/>
      <w:numFmt w:val="lowerRoman"/>
      <w:lvlText w:val="%9."/>
      <w:lvlJc w:val="right"/>
      <w:pPr>
        <w:ind w:left="4486" w:hanging="420"/>
      </w:pPr>
    </w:lvl>
  </w:abstractNum>
  <w:abstractNum w:abstractNumId="36">
    <w:nsid w:val="5014DA3F"/>
    <w:multiLevelType w:val="singleLevel"/>
    <w:tmpl w:val="5014DA3F"/>
    <w:lvl w:ilvl="0" w:tentative="0">
      <w:start w:val="1"/>
      <w:numFmt w:val="decimal"/>
      <w:lvlText w:val="%1."/>
      <w:lvlJc w:val="left"/>
      <w:pPr>
        <w:ind w:left="425" w:hanging="425"/>
      </w:pPr>
      <w:rPr>
        <w:rFonts w:hint="default"/>
      </w:rPr>
    </w:lvl>
  </w:abstractNum>
  <w:abstractNum w:abstractNumId="37">
    <w:nsid w:val="56791D3E"/>
    <w:multiLevelType w:val="multilevel"/>
    <w:tmpl w:val="56791D3E"/>
    <w:lvl w:ilvl="0" w:tentative="0">
      <w:start w:val="1"/>
      <w:numFmt w:val="decimal"/>
      <w:lvlText w:val="(%1)"/>
      <w:lvlJc w:val="left"/>
      <w:pPr>
        <w:tabs>
          <w:tab w:val="left" w:pos="840"/>
        </w:tabs>
        <w:ind w:left="840" w:hanging="420"/>
      </w:pPr>
      <w:rPr>
        <w:rFonts w:ascii="Times New Roman" w:hAnsi="宋体" w:eastAsia="宋体" w:cs="Times New Roman"/>
      </w:rPr>
    </w:lvl>
    <w:lvl w:ilvl="1" w:tentative="0">
      <w:start w:val="1"/>
      <w:numFmt w:val="lowerLetter"/>
      <w:lvlText w:val="%2)"/>
      <w:lvlJc w:val="left"/>
      <w:pPr>
        <w:tabs>
          <w:tab w:val="left" w:pos="360"/>
        </w:tabs>
        <w:ind w:left="360" w:hanging="420"/>
      </w:pPr>
    </w:lvl>
    <w:lvl w:ilvl="2" w:tentative="0">
      <w:start w:val="1"/>
      <w:numFmt w:val="lowerRoman"/>
      <w:lvlText w:val="%3."/>
      <w:lvlJc w:val="right"/>
      <w:pPr>
        <w:tabs>
          <w:tab w:val="left" w:pos="780"/>
        </w:tabs>
        <w:ind w:left="780" w:hanging="420"/>
      </w:pPr>
    </w:lvl>
    <w:lvl w:ilvl="3" w:tentative="0">
      <w:start w:val="1"/>
      <w:numFmt w:val="decimal"/>
      <w:lvlText w:val="%4."/>
      <w:lvlJc w:val="left"/>
      <w:pPr>
        <w:tabs>
          <w:tab w:val="left" w:pos="1200"/>
        </w:tabs>
        <w:ind w:left="1200" w:hanging="420"/>
      </w:pPr>
    </w:lvl>
    <w:lvl w:ilvl="4" w:tentative="0">
      <w:start w:val="1"/>
      <w:numFmt w:val="lowerLetter"/>
      <w:lvlText w:val="%5)"/>
      <w:lvlJc w:val="left"/>
      <w:pPr>
        <w:tabs>
          <w:tab w:val="left" w:pos="1620"/>
        </w:tabs>
        <w:ind w:left="1620" w:hanging="420"/>
      </w:pPr>
    </w:lvl>
    <w:lvl w:ilvl="5" w:tentative="0">
      <w:start w:val="1"/>
      <w:numFmt w:val="lowerRoman"/>
      <w:lvlText w:val="%6."/>
      <w:lvlJc w:val="right"/>
      <w:pPr>
        <w:tabs>
          <w:tab w:val="left" w:pos="2040"/>
        </w:tabs>
        <w:ind w:left="2040" w:hanging="420"/>
      </w:pPr>
    </w:lvl>
    <w:lvl w:ilvl="6" w:tentative="0">
      <w:start w:val="1"/>
      <w:numFmt w:val="decimal"/>
      <w:lvlText w:val="%7."/>
      <w:lvlJc w:val="left"/>
      <w:pPr>
        <w:tabs>
          <w:tab w:val="left" w:pos="2460"/>
        </w:tabs>
        <w:ind w:left="2460" w:hanging="420"/>
      </w:pPr>
    </w:lvl>
    <w:lvl w:ilvl="7" w:tentative="0">
      <w:start w:val="1"/>
      <w:numFmt w:val="lowerLetter"/>
      <w:lvlText w:val="%8)"/>
      <w:lvlJc w:val="left"/>
      <w:pPr>
        <w:tabs>
          <w:tab w:val="left" w:pos="2880"/>
        </w:tabs>
        <w:ind w:left="2880" w:hanging="420"/>
      </w:pPr>
    </w:lvl>
    <w:lvl w:ilvl="8" w:tentative="0">
      <w:start w:val="1"/>
      <w:numFmt w:val="lowerRoman"/>
      <w:lvlText w:val="%9."/>
      <w:lvlJc w:val="right"/>
      <w:pPr>
        <w:tabs>
          <w:tab w:val="left" w:pos="3300"/>
        </w:tabs>
        <w:ind w:left="3300" w:hanging="420"/>
      </w:pPr>
    </w:lvl>
  </w:abstractNum>
  <w:abstractNum w:abstractNumId="38">
    <w:nsid w:val="56B3827D"/>
    <w:multiLevelType w:val="multilevel"/>
    <w:tmpl w:val="56B3827D"/>
    <w:lvl w:ilvl="0" w:tentative="0">
      <w:start w:val="1"/>
      <w:numFmt w:val="decimal"/>
      <w:lvlText w:val="%1、"/>
      <w:lvlJc w:val="left"/>
      <w:pPr>
        <w:ind w:left="999" w:hanging="375"/>
      </w:pPr>
      <w:rPr>
        <w:rFonts w:hint="default"/>
      </w:rPr>
    </w:lvl>
    <w:lvl w:ilvl="1" w:tentative="0">
      <w:start w:val="1"/>
      <w:numFmt w:val="decimal"/>
      <w:lvlText w:val="（%2）"/>
      <w:lvlJc w:val="left"/>
      <w:pPr>
        <w:ind w:left="0" w:leftChars="0" w:hanging="1" w:firstLineChars="0"/>
      </w:pPr>
      <w:rPr>
        <w:rFonts w:hint="default"/>
      </w:r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abstractNum w:abstractNumId="39">
    <w:nsid w:val="5D5607AE"/>
    <w:multiLevelType w:val="multilevel"/>
    <w:tmpl w:val="5D5607AE"/>
    <w:lvl w:ilvl="0" w:tentative="0">
      <w:start w:val="1"/>
      <w:numFmt w:val="decimal"/>
      <w:lvlText w:val="2.%1"/>
      <w:lvlJc w:val="left"/>
      <w:pPr>
        <w:tabs>
          <w:tab w:val="left" w:pos="840"/>
        </w:tabs>
        <w:ind w:left="840" w:hanging="420"/>
      </w:pPr>
      <w:rPr>
        <w:rFonts w:hint="default" w:ascii="Times New Roman" w:hAnsi="Times New Roman" w:cs="Times New Roman"/>
      </w:rPr>
    </w:lvl>
    <w:lvl w:ilvl="1" w:tentative="0">
      <w:start w:val="1"/>
      <w:numFmt w:val="decimal"/>
      <w:lvlText w:val="(%2)"/>
      <w:lvlJc w:val="left"/>
      <w:pPr>
        <w:tabs>
          <w:tab w:val="left" w:pos="-560"/>
        </w:tabs>
        <w:ind w:left="112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5DD16306"/>
    <w:multiLevelType w:val="multilevel"/>
    <w:tmpl w:val="5DD16306"/>
    <w:lvl w:ilvl="0" w:tentative="0">
      <w:start w:val="1"/>
      <w:numFmt w:val="decimal"/>
      <w:lvlText w:val="3.%1"/>
      <w:lvlJc w:val="left"/>
      <w:pPr>
        <w:tabs>
          <w:tab w:val="left" w:pos="840"/>
        </w:tabs>
        <w:ind w:left="840" w:hanging="420"/>
      </w:pPr>
      <w:rPr>
        <w:rFonts w:hint="eastAsia"/>
      </w:rPr>
    </w:lvl>
    <w:lvl w:ilvl="1" w:tentative="0">
      <w:start w:val="1"/>
      <w:numFmt w:val="decimal"/>
      <w:lvlText w:val="(%2)"/>
      <w:lvlJc w:val="left"/>
      <w:pPr>
        <w:tabs>
          <w:tab w:val="left" w:pos="-560"/>
        </w:tabs>
        <w:ind w:left="112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6099CC55"/>
    <w:multiLevelType w:val="singleLevel"/>
    <w:tmpl w:val="6099CC55"/>
    <w:lvl w:ilvl="0" w:tentative="0">
      <w:start w:val="1"/>
      <w:numFmt w:val="decimal"/>
      <w:lvlText w:val="%1."/>
      <w:lvlJc w:val="left"/>
      <w:pPr>
        <w:ind w:left="425" w:hanging="425"/>
      </w:pPr>
      <w:rPr>
        <w:rFonts w:hint="default"/>
      </w:rPr>
    </w:lvl>
  </w:abstractNum>
  <w:abstractNum w:abstractNumId="42">
    <w:nsid w:val="61694D6C"/>
    <w:multiLevelType w:val="singleLevel"/>
    <w:tmpl w:val="61694D6C"/>
    <w:lvl w:ilvl="0" w:tentative="0">
      <w:start w:val="1"/>
      <w:numFmt w:val="decimal"/>
      <w:suff w:val="nothing"/>
      <w:lvlText w:val="%1、"/>
      <w:lvlJc w:val="left"/>
    </w:lvl>
  </w:abstractNum>
  <w:abstractNum w:abstractNumId="43">
    <w:nsid w:val="63BBF671"/>
    <w:multiLevelType w:val="singleLevel"/>
    <w:tmpl w:val="63BBF671"/>
    <w:lvl w:ilvl="0" w:tentative="0">
      <w:start w:val="1"/>
      <w:numFmt w:val="decimal"/>
      <w:lvlText w:val="(%1)"/>
      <w:lvlJc w:val="left"/>
      <w:pPr>
        <w:ind w:left="0" w:leftChars="0" w:firstLine="0" w:firstLineChars="0"/>
      </w:pPr>
      <w:rPr>
        <w:rFonts w:hint="default"/>
      </w:rPr>
    </w:lvl>
  </w:abstractNum>
  <w:abstractNum w:abstractNumId="44">
    <w:nsid w:val="69B179D7"/>
    <w:multiLevelType w:val="multilevel"/>
    <w:tmpl w:val="69B179D7"/>
    <w:lvl w:ilvl="0" w:tentative="0">
      <w:start w:val="1"/>
      <w:numFmt w:val="decimalFullWidth"/>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6CB93CF0"/>
    <w:multiLevelType w:val="multilevel"/>
    <w:tmpl w:val="6CB93CF0"/>
    <w:lvl w:ilvl="0" w:tentative="0">
      <w:start w:val="3"/>
      <w:numFmt w:val="none"/>
      <w:lvlText w:val="6"/>
      <w:lvlJc w:val="left"/>
      <w:pPr>
        <w:tabs>
          <w:tab w:val="left" w:pos="420"/>
        </w:tabs>
        <w:ind w:left="420" w:hanging="420"/>
      </w:pPr>
      <w:rPr>
        <w:rFonts w:hint="eastAsia"/>
      </w:rPr>
    </w:lvl>
    <w:lvl w:ilvl="1" w:tentative="0">
      <w:start w:val="1"/>
      <w:numFmt w:val="decimal"/>
      <w:lvlText w:val="20.%2"/>
      <w:lvlJc w:val="left"/>
      <w:pPr>
        <w:tabs>
          <w:tab w:val="left" w:pos="720"/>
        </w:tabs>
        <w:ind w:left="720" w:hanging="72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440"/>
        </w:tabs>
        <w:ind w:left="1440" w:hanging="1440"/>
      </w:pPr>
      <w:rPr>
        <w:rFonts w:hint="eastAsia"/>
      </w:rPr>
    </w:lvl>
    <w:lvl w:ilvl="5" w:tentative="0">
      <w:start w:val="1"/>
      <w:numFmt w:val="decimal"/>
      <w:lvlText w:val="%1.%2.%3.%4.%5.%6"/>
      <w:lvlJc w:val="left"/>
      <w:pPr>
        <w:tabs>
          <w:tab w:val="left" w:pos="1800"/>
        </w:tabs>
        <w:ind w:left="1800" w:hanging="1800"/>
      </w:pPr>
      <w:rPr>
        <w:rFonts w:hint="eastAsia"/>
      </w:rPr>
    </w:lvl>
    <w:lvl w:ilvl="6" w:tentative="0">
      <w:start w:val="1"/>
      <w:numFmt w:val="decimal"/>
      <w:lvlText w:val="%1.%2.%3.%4.%5.%6.%7"/>
      <w:lvlJc w:val="left"/>
      <w:pPr>
        <w:tabs>
          <w:tab w:val="left" w:pos="2160"/>
        </w:tabs>
        <w:ind w:left="2160" w:hanging="216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520"/>
        </w:tabs>
        <w:ind w:left="2520" w:hanging="2520"/>
      </w:pPr>
      <w:rPr>
        <w:rFonts w:hint="eastAsia"/>
      </w:rPr>
    </w:lvl>
  </w:abstractNum>
  <w:abstractNum w:abstractNumId="46">
    <w:nsid w:val="78E83899"/>
    <w:multiLevelType w:val="multilevel"/>
    <w:tmpl w:val="78E83899"/>
    <w:lvl w:ilvl="0" w:tentative="0">
      <w:start w:val="14"/>
      <w:numFmt w:val="decimal"/>
      <w:lvlText w:val="%1."/>
      <w:lvlJc w:val="left"/>
      <w:pPr>
        <w:tabs>
          <w:tab w:val="left" w:pos="0"/>
        </w:tabs>
        <w:ind w:left="810" w:hanging="810"/>
      </w:pPr>
      <w:rPr>
        <w:rFonts w:hint="default"/>
      </w:rPr>
    </w:lvl>
    <w:lvl w:ilvl="1" w:tentative="0">
      <w:start w:val="1"/>
      <w:numFmt w:val="decimal"/>
      <w:lvlText w:val="21.%2"/>
      <w:lvlJc w:val="left"/>
      <w:pPr>
        <w:tabs>
          <w:tab w:val="left" w:pos="0"/>
        </w:tabs>
        <w:ind w:left="810" w:hanging="81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0"/>
        </w:tabs>
        <w:ind w:left="1080" w:hanging="1080"/>
      </w:pPr>
      <w:rPr>
        <w:rFonts w:hint="default"/>
      </w:rPr>
    </w:lvl>
    <w:lvl w:ilvl="3" w:tentative="0">
      <w:start w:val="1"/>
      <w:numFmt w:val="decimal"/>
      <w:lvlText w:val="%1.%2、%3.%4."/>
      <w:lvlJc w:val="left"/>
      <w:pPr>
        <w:tabs>
          <w:tab w:val="left" w:pos="0"/>
        </w:tabs>
        <w:ind w:left="1080" w:hanging="1080"/>
      </w:pPr>
      <w:rPr>
        <w:rFonts w:hint="default"/>
      </w:rPr>
    </w:lvl>
    <w:lvl w:ilvl="4" w:tentative="0">
      <w:start w:val="1"/>
      <w:numFmt w:val="decimal"/>
      <w:lvlText w:val="%1.%2、%3.%4.%5."/>
      <w:lvlJc w:val="left"/>
      <w:pPr>
        <w:tabs>
          <w:tab w:val="left" w:pos="0"/>
        </w:tabs>
        <w:ind w:left="1440" w:hanging="1440"/>
      </w:pPr>
      <w:rPr>
        <w:rFonts w:hint="default"/>
      </w:rPr>
    </w:lvl>
    <w:lvl w:ilvl="5" w:tentative="0">
      <w:start w:val="1"/>
      <w:numFmt w:val="decimal"/>
      <w:lvlText w:val="%1.%2、%3.%4.%5.%6."/>
      <w:lvlJc w:val="left"/>
      <w:pPr>
        <w:tabs>
          <w:tab w:val="left" w:pos="0"/>
        </w:tabs>
        <w:ind w:left="1800" w:hanging="1800"/>
      </w:pPr>
      <w:rPr>
        <w:rFonts w:hint="default"/>
      </w:rPr>
    </w:lvl>
    <w:lvl w:ilvl="6" w:tentative="0">
      <w:start w:val="1"/>
      <w:numFmt w:val="decimal"/>
      <w:lvlText w:val="%1.%2、%3.%4.%5.%6.%7."/>
      <w:lvlJc w:val="left"/>
      <w:pPr>
        <w:tabs>
          <w:tab w:val="left" w:pos="0"/>
        </w:tabs>
        <w:ind w:left="1800" w:hanging="1800"/>
      </w:pPr>
      <w:rPr>
        <w:rFonts w:hint="default"/>
      </w:rPr>
    </w:lvl>
    <w:lvl w:ilvl="7" w:tentative="0">
      <w:start w:val="1"/>
      <w:numFmt w:val="decimal"/>
      <w:lvlText w:val="%1.%2、%3.%4.%5.%6.%7.%8."/>
      <w:lvlJc w:val="left"/>
      <w:pPr>
        <w:tabs>
          <w:tab w:val="left" w:pos="0"/>
        </w:tabs>
        <w:ind w:left="2160" w:hanging="2160"/>
      </w:pPr>
      <w:rPr>
        <w:rFonts w:hint="default"/>
      </w:rPr>
    </w:lvl>
    <w:lvl w:ilvl="8" w:tentative="0">
      <w:start w:val="1"/>
      <w:numFmt w:val="decimal"/>
      <w:lvlText w:val="%1.%2、%3.%4.%5.%6.%7.%8.%9."/>
      <w:lvlJc w:val="left"/>
      <w:pPr>
        <w:tabs>
          <w:tab w:val="left" w:pos="0"/>
        </w:tabs>
        <w:ind w:left="2160" w:hanging="2160"/>
      </w:pPr>
      <w:rPr>
        <w:rFonts w:hint="default"/>
      </w:rPr>
    </w:lvl>
  </w:abstractNum>
  <w:abstractNum w:abstractNumId="47">
    <w:nsid w:val="7C367DBC"/>
    <w:multiLevelType w:val="multilevel"/>
    <w:tmpl w:val="7C367DBC"/>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8">
    <w:nsid w:val="7C6A4F85"/>
    <w:multiLevelType w:val="multilevel"/>
    <w:tmpl w:val="7C6A4F85"/>
    <w:lvl w:ilvl="0" w:tentative="0">
      <w:start w:val="1"/>
      <w:numFmt w:val="decimal"/>
      <w:lvlText w:val="6.%1"/>
      <w:lvlJc w:val="left"/>
      <w:pPr>
        <w:ind w:left="420" w:hanging="420"/>
      </w:pPr>
      <w:rPr>
        <w:rFonts w:hint="eastAsia"/>
        <w:b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7EA82000"/>
    <w:multiLevelType w:val="singleLevel"/>
    <w:tmpl w:val="7EA82000"/>
    <w:lvl w:ilvl="0" w:tentative="0">
      <w:start w:val="1"/>
      <w:numFmt w:val="decimal"/>
      <w:lvlText w:val="(%1)"/>
      <w:lvlJc w:val="left"/>
      <w:pPr>
        <w:ind w:left="0" w:leftChars="0" w:firstLine="0" w:firstLineChars="0"/>
      </w:pPr>
      <w:rPr>
        <w:rFonts w:hint="default"/>
      </w:rPr>
    </w:lvl>
  </w:abstractNum>
  <w:num w:numId="1">
    <w:abstractNumId w:val="16"/>
  </w:num>
  <w:num w:numId="2">
    <w:abstractNumId w:val="1"/>
  </w:num>
  <w:num w:numId="3">
    <w:abstractNumId w:val="11"/>
  </w:num>
  <w:num w:numId="4">
    <w:abstractNumId w:val="49"/>
  </w:num>
  <w:num w:numId="5">
    <w:abstractNumId w:val="43"/>
  </w:num>
  <w:num w:numId="6">
    <w:abstractNumId w:val="36"/>
  </w:num>
  <w:num w:numId="7">
    <w:abstractNumId w:val="14"/>
  </w:num>
  <w:num w:numId="8">
    <w:abstractNumId w:val="5"/>
  </w:num>
  <w:num w:numId="9">
    <w:abstractNumId w:val="3"/>
  </w:num>
  <w:num w:numId="10">
    <w:abstractNumId w:val="38"/>
  </w:num>
  <w:num w:numId="11">
    <w:abstractNumId w:val="26"/>
  </w:num>
  <w:num w:numId="12">
    <w:abstractNumId w:val="6"/>
  </w:num>
  <w:num w:numId="13">
    <w:abstractNumId w:val="41"/>
  </w:num>
  <w:num w:numId="14">
    <w:abstractNumId w:val="4"/>
  </w:num>
  <w:num w:numId="15">
    <w:abstractNumId w:val="2"/>
  </w:num>
  <w:num w:numId="16">
    <w:abstractNumId w:val="23"/>
  </w:num>
  <w:num w:numId="17">
    <w:abstractNumId w:val="19"/>
  </w:num>
  <w:num w:numId="18">
    <w:abstractNumId w:val="21"/>
  </w:num>
  <w:num w:numId="19">
    <w:abstractNumId w:val="28"/>
  </w:num>
  <w:num w:numId="20">
    <w:abstractNumId w:val="39"/>
  </w:num>
  <w:num w:numId="21">
    <w:abstractNumId w:val="40"/>
  </w:num>
  <w:num w:numId="22">
    <w:abstractNumId w:val="17"/>
  </w:num>
  <w:num w:numId="23">
    <w:abstractNumId w:val="29"/>
  </w:num>
  <w:num w:numId="24">
    <w:abstractNumId w:val="31"/>
  </w:num>
  <w:num w:numId="25">
    <w:abstractNumId w:val="47"/>
  </w:num>
  <w:num w:numId="26">
    <w:abstractNumId w:val="9"/>
  </w:num>
  <w:num w:numId="27">
    <w:abstractNumId w:val="48"/>
  </w:num>
  <w:num w:numId="28">
    <w:abstractNumId w:val="22"/>
  </w:num>
  <w:num w:numId="29">
    <w:abstractNumId w:val="10"/>
  </w:num>
  <w:num w:numId="30">
    <w:abstractNumId w:val="15"/>
  </w:num>
  <w:num w:numId="31">
    <w:abstractNumId w:val="7"/>
  </w:num>
  <w:num w:numId="32">
    <w:abstractNumId w:val="20"/>
  </w:num>
  <w:num w:numId="33">
    <w:abstractNumId w:val="8"/>
  </w:num>
  <w:num w:numId="34">
    <w:abstractNumId w:val="33"/>
  </w:num>
  <w:num w:numId="35">
    <w:abstractNumId w:val="34"/>
  </w:num>
  <w:num w:numId="36">
    <w:abstractNumId w:val="37"/>
  </w:num>
  <w:num w:numId="37">
    <w:abstractNumId w:val="18"/>
  </w:num>
  <w:num w:numId="38">
    <w:abstractNumId w:val="32"/>
  </w:num>
  <w:num w:numId="39">
    <w:abstractNumId w:val="27"/>
  </w:num>
  <w:num w:numId="40">
    <w:abstractNumId w:val="35"/>
  </w:num>
  <w:num w:numId="41">
    <w:abstractNumId w:val="24"/>
  </w:num>
  <w:num w:numId="42">
    <w:abstractNumId w:val="13"/>
  </w:num>
  <w:num w:numId="43">
    <w:abstractNumId w:val="25"/>
  </w:num>
  <w:num w:numId="44">
    <w:abstractNumId w:val="45"/>
  </w:num>
  <w:num w:numId="45">
    <w:abstractNumId w:val="46"/>
  </w:num>
  <w:num w:numId="46">
    <w:abstractNumId w:val="0"/>
  </w:num>
  <w:num w:numId="47">
    <w:abstractNumId w:val="30"/>
  </w:num>
  <w:num w:numId="48">
    <w:abstractNumId w:val="12"/>
  </w:num>
  <w:num w:numId="49">
    <w:abstractNumId w:val="42"/>
  </w:num>
  <w:num w:numId="50">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uxl62">
    <w15:presenceInfo w15:providerId="None" w15:userId="liuxl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kNjI1N2Y2Zjg3ZGJkOWUyYWI5OTMxZTU0MzRmMjcifQ=="/>
  </w:docVars>
  <w:rsids>
    <w:rsidRoot w:val="00172A27"/>
    <w:rsid w:val="00026570"/>
    <w:rsid w:val="000338BA"/>
    <w:rsid w:val="000700B5"/>
    <w:rsid w:val="00087D76"/>
    <w:rsid w:val="00087F3D"/>
    <w:rsid w:val="000B1A0B"/>
    <w:rsid w:val="000B4F8A"/>
    <w:rsid w:val="000C4A61"/>
    <w:rsid w:val="000C4F62"/>
    <w:rsid w:val="000D1916"/>
    <w:rsid w:val="000E6039"/>
    <w:rsid w:val="00106163"/>
    <w:rsid w:val="00107ED5"/>
    <w:rsid w:val="00130596"/>
    <w:rsid w:val="0017120C"/>
    <w:rsid w:val="0017672C"/>
    <w:rsid w:val="00187256"/>
    <w:rsid w:val="001A73DF"/>
    <w:rsid w:val="001B0353"/>
    <w:rsid w:val="001B2B24"/>
    <w:rsid w:val="001D3F51"/>
    <w:rsid w:val="001E3AE4"/>
    <w:rsid w:val="001E4ADB"/>
    <w:rsid w:val="001F3EC5"/>
    <w:rsid w:val="002153A5"/>
    <w:rsid w:val="00225A93"/>
    <w:rsid w:val="00291FD3"/>
    <w:rsid w:val="002D2F52"/>
    <w:rsid w:val="00353A51"/>
    <w:rsid w:val="0036207E"/>
    <w:rsid w:val="003645C3"/>
    <w:rsid w:val="0036478D"/>
    <w:rsid w:val="00397854"/>
    <w:rsid w:val="003D0290"/>
    <w:rsid w:val="003D1AF0"/>
    <w:rsid w:val="003D3312"/>
    <w:rsid w:val="003E288B"/>
    <w:rsid w:val="003E4139"/>
    <w:rsid w:val="00403946"/>
    <w:rsid w:val="004157FC"/>
    <w:rsid w:val="004163F1"/>
    <w:rsid w:val="00424390"/>
    <w:rsid w:val="00450F51"/>
    <w:rsid w:val="00475A66"/>
    <w:rsid w:val="00477194"/>
    <w:rsid w:val="00482D8A"/>
    <w:rsid w:val="004859AF"/>
    <w:rsid w:val="004A66B6"/>
    <w:rsid w:val="004A77F2"/>
    <w:rsid w:val="004B60BC"/>
    <w:rsid w:val="004E3E2C"/>
    <w:rsid w:val="00513A7E"/>
    <w:rsid w:val="005145DD"/>
    <w:rsid w:val="00520CE4"/>
    <w:rsid w:val="0056144E"/>
    <w:rsid w:val="0058462C"/>
    <w:rsid w:val="00584D2E"/>
    <w:rsid w:val="00595133"/>
    <w:rsid w:val="005E0DBF"/>
    <w:rsid w:val="006534FA"/>
    <w:rsid w:val="00665C6E"/>
    <w:rsid w:val="006C2C6C"/>
    <w:rsid w:val="006E0EDE"/>
    <w:rsid w:val="006F618D"/>
    <w:rsid w:val="007476AB"/>
    <w:rsid w:val="00783C45"/>
    <w:rsid w:val="00785B28"/>
    <w:rsid w:val="007A2364"/>
    <w:rsid w:val="007B52C4"/>
    <w:rsid w:val="007B6404"/>
    <w:rsid w:val="007C2509"/>
    <w:rsid w:val="007E6710"/>
    <w:rsid w:val="007F01FE"/>
    <w:rsid w:val="008379ED"/>
    <w:rsid w:val="0085693A"/>
    <w:rsid w:val="008A6326"/>
    <w:rsid w:val="008B6CF2"/>
    <w:rsid w:val="0091771A"/>
    <w:rsid w:val="00936C9E"/>
    <w:rsid w:val="00940CFE"/>
    <w:rsid w:val="009471B4"/>
    <w:rsid w:val="009B0C32"/>
    <w:rsid w:val="009B4EA0"/>
    <w:rsid w:val="009C2191"/>
    <w:rsid w:val="009D6BC6"/>
    <w:rsid w:val="009E0253"/>
    <w:rsid w:val="009F0FA9"/>
    <w:rsid w:val="00A140D2"/>
    <w:rsid w:val="00A17E44"/>
    <w:rsid w:val="00A217AE"/>
    <w:rsid w:val="00A2290E"/>
    <w:rsid w:val="00A26202"/>
    <w:rsid w:val="00A306CE"/>
    <w:rsid w:val="00A4114C"/>
    <w:rsid w:val="00A9406F"/>
    <w:rsid w:val="00A94AE5"/>
    <w:rsid w:val="00A94CAC"/>
    <w:rsid w:val="00AA16F7"/>
    <w:rsid w:val="00AA483E"/>
    <w:rsid w:val="00AD6733"/>
    <w:rsid w:val="00AE0883"/>
    <w:rsid w:val="00AF6BBC"/>
    <w:rsid w:val="00B2206F"/>
    <w:rsid w:val="00B4682F"/>
    <w:rsid w:val="00B52410"/>
    <w:rsid w:val="00B621FF"/>
    <w:rsid w:val="00B65809"/>
    <w:rsid w:val="00B840C9"/>
    <w:rsid w:val="00BB5A4A"/>
    <w:rsid w:val="00C21648"/>
    <w:rsid w:val="00C70724"/>
    <w:rsid w:val="00CB3C62"/>
    <w:rsid w:val="00CB6556"/>
    <w:rsid w:val="00CD58F7"/>
    <w:rsid w:val="00CE75F6"/>
    <w:rsid w:val="00D2171E"/>
    <w:rsid w:val="00D2579F"/>
    <w:rsid w:val="00D37AE4"/>
    <w:rsid w:val="00D56376"/>
    <w:rsid w:val="00D56F82"/>
    <w:rsid w:val="00D721A9"/>
    <w:rsid w:val="00D866AC"/>
    <w:rsid w:val="00D940E3"/>
    <w:rsid w:val="00DB0291"/>
    <w:rsid w:val="00DF4A0E"/>
    <w:rsid w:val="00E011E8"/>
    <w:rsid w:val="00E15A0A"/>
    <w:rsid w:val="00E16229"/>
    <w:rsid w:val="00E21AB8"/>
    <w:rsid w:val="00E302A3"/>
    <w:rsid w:val="00E328B1"/>
    <w:rsid w:val="00E40E1C"/>
    <w:rsid w:val="00E42666"/>
    <w:rsid w:val="00E83304"/>
    <w:rsid w:val="00E8558C"/>
    <w:rsid w:val="00EB30DE"/>
    <w:rsid w:val="00EE638D"/>
    <w:rsid w:val="00F24C99"/>
    <w:rsid w:val="00F30FF5"/>
    <w:rsid w:val="00F332BC"/>
    <w:rsid w:val="00F45266"/>
    <w:rsid w:val="00F51B54"/>
    <w:rsid w:val="00FB7F69"/>
    <w:rsid w:val="00FF071E"/>
    <w:rsid w:val="00FF122F"/>
    <w:rsid w:val="013C06BC"/>
    <w:rsid w:val="014341E8"/>
    <w:rsid w:val="017967AC"/>
    <w:rsid w:val="01B97ACA"/>
    <w:rsid w:val="01BB351E"/>
    <w:rsid w:val="02293695"/>
    <w:rsid w:val="026E267E"/>
    <w:rsid w:val="027E3B30"/>
    <w:rsid w:val="028C0922"/>
    <w:rsid w:val="02987ACD"/>
    <w:rsid w:val="031B4CE9"/>
    <w:rsid w:val="032F103F"/>
    <w:rsid w:val="034D72B2"/>
    <w:rsid w:val="036B136E"/>
    <w:rsid w:val="03A64228"/>
    <w:rsid w:val="03C549C8"/>
    <w:rsid w:val="03D77C7B"/>
    <w:rsid w:val="03DA5EEB"/>
    <w:rsid w:val="040C6E91"/>
    <w:rsid w:val="0441765D"/>
    <w:rsid w:val="0442138C"/>
    <w:rsid w:val="04DB0285"/>
    <w:rsid w:val="04EE495B"/>
    <w:rsid w:val="056D40E2"/>
    <w:rsid w:val="05800AA3"/>
    <w:rsid w:val="059B46A8"/>
    <w:rsid w:val="064D75C2"/>
    <w:rsid w:val="06A00E6B"/>
    <w:rsid w:val="06A22467"/>
    <w:rsid w:val="06A478F6"/>
    <w:rsid w:val="06B37D6B"/>
    <w:rsid w:val="06C41C49"/>
    <w:rsid w:val="06E556B2"/>
    <w:rsid w:val="073A2498"/>
    <w:rsid w:val="07794418"/>
    <w:rsid w:val="08112BD9"/>
    <w:rsid w:val="08526EF5"/>
    <w:rsid w:val="087F37FD"/>
    <w:rsid w:val="08A40D88"/>
    <w:rsid w:val="08D65666"/>
    <w:rsid w:val="095A50FC"/>
    <w:rsid w:val="0971670A"/>
    <w:rsid w:val="098E03C7"/>
    <w:rsid w:val="09953F8B"/>
    <w:rsid w:val="09B7349E"/>
    <w:rsid w:val="09F2269B"/>
    <w:rsid w:val="0A6F0775"/>
    <w:rsid w:val="0A915AEA"/>
    <w:rsid w:val="0A9671D9"/>
    <w:rsid w:val="0AEB188B"/>
    <w:rsid w:val="0B29724A"/>
    <w:rsid w:val="0B4266BB"/>
    <w:rsid w:val="0B531E35"/>
    <w:rsid w:val="0BAC01B4"/>
    <w:rsid w:val="0BFD0F44"/>
    <w:rsid w:val="0C3A03CD"/>
    <w:rsid w:val="0C434FF4"/>
    <w:rsid w:val="0C443CCA"/>
    <w:rsid w:val="0CAB2C38"/>
    <w:rsid w:val="0CBD2ABF"/>
    <w:rsid w:val="0CEE32B2"/>
    <w:rsid w:val="0CFF776B"/>
    <w:rsid w:val="0D007BE0"/>
    <w:rsid w:val="0D026C09"/>
    <w:rsid w:val="0D2F3ECE"/>
    <w:rsid w:val="0D36577E"/>
    <w:rsid w:val="0D714258"/>
    <w:rsid w:val="0DF513F2"/>
    <w:rsid w:val="0EA20611"/>
    <w:rsid w:val="0EA44750"/>
    <w:rsid w:val="0EB219BC"/>
    <w:rsid w:val="0F2D3164"/>
    <w:rsid w:val="0F9D740E"/>
    <w:rsid w:val="0FAA4E26"/>
    <w:rsid w:val="0FD329CD"/>
    <w:rsid w:val="0FE442C8"/>
    <w:rsid w:val="0FF05B46"/>
    <w:rsid w:val="104E637E"/>
    <w:rsid w:val="10DC2046"/>
    <w:rsid w:val="110474F8"/>
    <w:rsid w:val="11263BFE"/>
    <w:rsid w:val="1151606A"/>
    <w:rsid w:val="116358B9"/>
    <w:rsid w:val="11A3156D"/>
    <w:rsid w:val="11C80560"/>
    <w:rsid w:val="11D51CD2"/>
    <w:rsid w:val="12404210"/>
    <w:rsid w:val="125A61FD"/>
    <w:rsid w:val="12CD4474"/>
    <w:rsid w:val="12D573EB"/>
    <w:rsid w:val="12DE0F4D"/>
    <w:rsid w:val="12F13DE0"/>
    <w:rsid w:val="131A51CB"/>
    <w:rsid w:val="136F1811"/>
    <w:rsid w:val="13991974"/>
    <w:rsid w:val="13A574D6"/>
    <w:rsid w:val="13AB3552"/>
    <w:rsid w:val="13EB3669"/>
    <w:rsid w:val="14586F29"/>
    <w:rsid w:val="148A193E"/>
    <w:rsid w:val="14962BF2"/>
    <w:rsid w:val="14B74989"/>
    <w:rsid w:val="14DE5C60"/>
    <w:rsid w:val="14F74019"/>
    <w:rsid w:val="15112F23"/>
    <w:rsid w:val="15560646"/>
    <w:rsid w:val="15875F52"/>
    <w:rsid w:val="158A0FC2"/>
    <w:rsid w:val="15A54611"/>
    <w:rsid w:val="15F97AE2"/>
    <w:rsid w:val="160D2A82"/>
    <w:rsid w:val="1658087C"/>
    <w:rsid w:val="166D1831"/>
    <w:rsid w:val="17070711"/>
    <w:rsid w:val="170B0129"/>
    <w:rsid w:val="170E5D6F"/>
    <w:rsid w:val="17270097"/>
    <w:rsid w:val="173E0430"/>
    <w:rsid w:val="176F1C9F"/>
    <w:rsid w:val="178E0C16"/>
    <w:rsid w:val="17D76195"/>
    <w:rsid w:val="180531A8"/>
    <w:rsid w:val="1839700F"/>
    <w:rsid w:val="18706007"/>
    <w:rsid w:val="1940737B"/>
    <w:rsid w:val="19820A7A"/>
    <w:rsid w:val="19BE1AAB"/>
    <w:rsid w:val="1A182DF0"/>
    <w:rsid w:val="1AF347C3"/>
    <w:rsid w:val="1B1501FB"/>
    <w:rsid w:val="1B204034"/>
    <w:rsid w:val="1B5929C7"/>
    <w:rsid w:val="1BF931D7"/>
    <w:rsid w:val="1C097081"/>
    <w:rsid w:val="1C293FA8"/>
    <w:rsid w:val="1C4F5EF0"/>
    <w:rsid w:val="1C84048A"/>
    <w:rsid w:val="1CC02D2D"/>
    <w:rsid w:val="1CE41371"/>
    <w:rsid w:val="1CED1F3C"/>
    <w:rsid w:val="1D0A0D0C"/>
    <w:rsid w:val="1D2F5DEB"/>
    <w:rsid w:val="1D506145"/>
    <w:rsid w:val="1D9045A5"/>
    <w:rsid w:val="1DD763E7"/>
    <w:rsid w:val="1DF64775"/>
    <w:rsid w:val="1DFB16B0"/>
    <w:rsid w:val="1E7A4FD0"/>
    <w:rsid w:val="1E8349E3"/>
    <w:rsid w:val="1E846C1E"/>
    <w:rsid w:val="1E9B2C01"/>
    <w:rsid w:val="1ECB3888"/>
    <w:rsid w:val="1ED61050"/>
    <w:rsid w:val="1F0307F1"/>
    <w:rsid w:val="1F0C773E"/>
    <w:rsid w:val="1F171B42"/>
    <w:rsid w:val="1F1B2614"/>
    <w:rsid w:val="1F510B7E"/>
    <w:rsid w:val="1F6751CA"/>
    <w:rsid w:val="1F731332"/>
    <w:rsid w:val="1FCA53B9"/>
    <w:rsid w:val="1FE03C26"/>
    <w:rsid w:val="20047027"/>
    <w:rsid w:val="20084B31"/>
    <w:rsid w:val="20B34A6E"/>
    <w:rsid w:val="20DA7F0E"/>
    <w:rsid w:val="210015CD"/>
    <w:rsid w:val="21374CB3"/>
    <w:rsid w:val="21990B89"/>
    <w:rsid w:val="21B454D9"/>
    <w:rsid w:val="21F62A9A"/>
    <w:rsid w:val="2258523D"/>
    <w:rsid w:val="227C146B"/>
    <w:rsid w:val="22B7139F"/>
    <w:rsid w:val="2363459D"/>
    <w:rsid w:val="23792D2F"/>
    <w:rsid w:val="23C7232D"/>
    <w:rsid w:val="240B77AE"/>
    <w:rsid w:val="2416236F"/>
    <w:rsid w:val="24587C1A"/>
    <w:rsid w:val="24780B22"/>
    <w:rsid w:val="24AF5796"/>
    <w:rsid w:val="24E77DFA"/>
    <w:rsid w:val="2535609A"/>
    <w:rsid w:val="255911D5"/>
    <w:rsid w:val="256F40F8"/>
    <w:rsid w:val="25A75231"/>
    <w:rsid w:val="25CE1A6E"/>
    <w:rsid w:val="25F31B81"/>
    <w:rsid w:val="27073F91"/>
    <w:rsid w:val="27344C9E"/>
    <w:rsid w:val="27582E99"/>
    <w:rsid w:val="2768684B"/>
    <w:rsid w:val="277E732D"/>
    <w:rsid w:val="27A40D9A"/>
    <w:rsid w:val="27BF12D5"/>
    <w:rsid w:val="27CC15C4"/>
    <w:rsid w:val="27DD40F7"/>
    <w:rsid w:val="28912EC0"/>
    <w:rsid w:val="289E4653"/>
    <w:rsid w:val="289F0B48"/>
    <w:rsid w:val="28CE7583"/>
    <w:rsid w:val="28DA1099"/>
    <w:rsid w:val="290D4A28"/>
    <w:rsid w:val="29452A44"/>
    <w:rsid w:val="295E1CE3"/>
    <w:rsid w:val="2984346A"/>
    <w:rsid w:val="299B3D6C"/>
    <w:rsid w:val="299B568F"/>
    <w:rsid w:val="29BE1D96"/>
    <w:rsid w:val="29DB7569"/>
    <w:rsid w:val="2A332146"/>
    <w:rsid w:val="2A692F09"/>
    <w:rsid w:val="2A9F5694"/>
    <w:rsid w:val="2B08706B"/>
    <w:rsid w:val="2B4625A1"/>
    <w:rsid w:val="2B716DF2"/>
    <w:rsid w:val="2BBF67B8"/>
    <w:rsid w:val="2C192C99"/>
    <w:rsid w:val="2C1F0E07"/>
    <w:rsid w:val="2CD163E1"/>
    <w:rsid w:val="2CD62941"/>
    <w:rsid w:val="2CEE1CB2"/>
    <w:rsid w:val="2D082ED1"/>
    <w:rsid w:val="2D127DEF"/>
    <w:rsid w:val="2D311594"/>
    <w:rsid w:val="2D762283"/>
    <w:rsid w:val="2D7E7C14"/>
    <w:rsid w:val="2D9428F5"/>
    <w:rsid w:val="2E136AA5"/>
    <w:rsid w:val="2E1B7152"/>
    <w:rsid w:val="2E494392"/>
    <w:rsid w:val="2EF2591B"/>
    <w:rsid w:val="2F80418D"/>
    <w:rsid w:val="2F9C3DA0"/>
    <w:rsid w:val="2FEC00E5"/>
    <w:rsid w:val="3029536B"/>
    <w:rsid w:val="3029773E"/>
    <w:rsid w:val="30413836"/>
    <w:rsid w:val="305B22C4"/>
    <w:rsid w:val="3062313F"/>
    <w:rsid w:val="309A1A6F"/>
    <w:rsid w:val="30C31CAD"/>
    <w:rsid w:val="30E402A4"/>
    <w:rsid w:val="31293F09"/>
    <w:rsid w:val="314822FB"/>
    <w:rsid w:val="318007EE"/>
    <w:rsid w:val="319D1881"/>
    <w:rsid w:val="31B450BB"/>
    <w:rsid w:val="31E43428"/>
    <w:rsid w:val="327D3291"/>
    <w:rsid w:val="32B3677D"/>
    <w:rsid w:val="32DF3A9C"/>
    <w:rsid w:val="32E43875"/>
    <w:rsid w:val="33151EAF"/>
    <w:rsid w:val="33512240"/>
    <w:rsid w:val="3375117B"/>
    <w:rsid w:val="33865643"/>
    <w:rsid w:val="33A773CB"/>
    <w:rsid w:val="33B67677"/>
    <w:rsid w:val="33F40DB5"/>
    <w:rsid w:val="34111CBD"/>
    <w:rsid w:val="34331621"/>
    <w:rsid w:val="348D0637"/>
    <w:rsid w:val="34BE50D4"/>
    <w:rsid w:val="34FB796B"/>
    <w:rsid w:val="35016446"/>
    <w:rsid w:val="353067F3"/>
    <w:rsid w:val="35870F10"/>
    <w:rsid w:val="35BB4D8F"/>
    <w:rsid w:val="35C36CBF"/>
    <w:rsid w:val="35C7006A"/>
    <w:rsid w:val="363A6264"/>
    <w:rsid w:val="365C14B7"/>
    <w:rsid w:val="366472A6"/>
    <w:rsid w:val="368A3B58"/>
    <w:rsid w:val="368F7C07"/>
    <w:rsid w:val="36A838BA"/>
    <w:rsid w:val="36BF0C66"/>
    <w:rsid w:val="36C4093C"/>
    <w:rsid w:val="36C831AB"/>
    <w:rsid w:val="36E8546D"/>
    <w:rsid w:val="370B2985"/>
    <w:rsid w:val="371B55D3"/>
    <w:rsid w:val="3738319B"/>
    <w:rsid w:val="37405D48"/>
    <w:rsid w:val="378F791B"/>
    <w:rsid w:val="379D6FCC"/>
    <w:rsid w:val="37C605A4"/>
    <w:rsid w:val="37F35CB8"/>
    <w:rsid w:val="37F66AB8"/>
    <w:rsid w:val="380F27E4"/>
    <w:rsid w:val="381C4EB2"/>
    <w:rsid w:val="38222326"/>
    <w:rsid w:val="382973F6"/>
    <w:rsid w:val="38453E1F"/>
    <w:rsid w:val="38807B07"/>
    <w:rsid w:val="38D30218"/>
    <w:rsid w:val="38D3488A"/>
    <w:rsid w:val="38E65DE7"/>
    <w:rsid w:val="39504729"/>
    <w:rsid w:val="39600EDA"/>
    <w:rsid w:val="39676373"/>
    <w:rsid w:val="39761180"/>
    <w:rsid w:val="397C1696"/>
    <w:rsid w:val="39936654"/>
    <w:rsid w:val="39BE3DBD"/>
    <w:rsid w:val="39BF1693"/>
    <w:rsid w:val="39E42A84"/>
    <w:rsid w:val="3A1F750A"/>
    <w:rsid w:val="3A4F4169"/>
    <w:rsid w:val="3A5C7E1C"/>
    <w:rsid w:val="3AAE035C"/>
    <w:rsid w:val="3AB45DE6"/>
    <w:rsid w:val="3AE40F3E"/>
    <w:rsid w:val="3B2A5A3C"/>
    <w:rsid w:val="3B394512"/>
    <w:rsid w:val="3B3E70E9"/>
    <w:rsid w:val="3B720CEE"/>
    <w:rsid w:val="3B9D199D"/>
    <w:rsid w:val="3BA825FE"/>
    <w:rsid w:val="3BBC6ED2"/>
    <w:rsid w:val="3BFA1DF4"/>
    <w:rsid w:val="3BFE0205"/>
    <w:rsid w:val="3C3022CE"/>
    <w:rsid w:val="3C6B58D1"/>
    <w:rsid w:val="3C83314E"/>
    <w:rsid w:val="3C905633"/>
    <w:rsid w:val="3C9C1A33"/>
    <w:rsid w:val="3CA75FD6"/>
    <w:rsid w:val="3CAA02A2"/>
    <w:rsid w:val="3CB74AC6"/>
    <w:rsid w:val="3CBB24EF"/>
    <w:rsid w:val="3CE26DBB"/>
    <w:rsid w:val="3D2D5518"/>
    <w:rsid w:val="3D891903"/>
    <w:rsid w:val="3E4037CC"/>
    <w:rsid w:val="3E615322"/>
    <w:rsid w:val="3E772188"/>
    <w:rsid w:val="3ED008B4"/>
    <w:rsid w:val="3EE111F7"/>
    <w:rsid w:val="3EF30CA8"/>
    <w:rsid w:val="3F1E0693"/>
    <w:rsid w:val="3F316D2F"/>
    <w:rsid w:val="3F476FDD"/>
    <w:rsid w:val="3F9A4869"/>
    <w:rsid w:val="3FA376F7"/>
    <w:rsid w:val="3FA866E1"/>
    <w:rsid w:val="3FBC4A1D"/>
    <w:rsid w:val="3FDD5D2F"/>
    <w:rsid w:val="40422E99"/>
    <w:rsid w:val="408E3CFE"/>
    <w:rsid w:val="40A971B0"/>
    <w:rsid w:val="415972F5"/>
    <w:rsid w:val="41755AFB"/>
    <w:rsid w:val="417E3DFD"/>
    <w:rsid w:val="41B11DA3"/>
    <w:rsid w:val="41BF617C"/>
    <w:rsid w:val="41CA5AEE"/>
    <w:rsid w:val="4200243F"/>
    <w:rsid w:val="4279224C"/>
    <w:rsid w:val="42972BCC"/>
    <w:rsid w:val="42C41E24"/>
    <w:rsid w:val="431C1B42"/>
    <w:rsid w:val="43533C20"/>
    <w:rsid w:val="43542786"/>
    <w:rsid w:val="43D2652D"/>
    <w:rsid w:val="44373FFB"/>
    <w:rsid w:val="444075C3"/>
    <w:rsid w:val="444E3F5B"/>
    <w:rsid w:val="445A34E7"/>
    <w:rsid w:val="445C7035"/>
    <w:rsid w:val="44A00541"/>
    <w:rsid w:val="44AD4835"/>
    <w:rsid w:val="452178C6"/>
    <w:rsid w:val="452F4F21"/>
    <w:rsid w:val="46052955"/>
    <w:rsid w:val="461B348E"/>
    <w:rsid w:val="46592F78"/>
    <w:rsid w:val="466E6504"/>
    <w:rsid w:val="46825A59"/>
    <w:rsid w:val="47721B46"/>
    <w:rsid w:val="477259E3"/>
    <w:rsid w:val="47E94804"/>
    <w:rsid w:val="484D79E5"/>
    <w:rsid w:val="485211B4"/>
    <w:rsid w:val="485E2C37"/>
    <w:rsid w:val="48B90C6B"/>
    <w:rsid w:val="4916306B"/>
    <w:rsid w:val="498B21B5"/>
    <w:rsid w:val="49B63741"/>
    <w:rsid w:val="49C02B87"/>
    <w:rsid w:val="4A0A6190"/>
    <w:rsid w:val="4A3B3017"/>
    <w:rsid w:val="4AB61CA3"/>
    <w:rsid w:val="4B845CB6"/>
    <w:rsid w:val="4B9E09D4"/>
    <w:rsid w:val="4BA45DBB"/>
    <w:rsid w:val="4BAE4AF4"/>
    <w:rsid w:val="4C5770B6"/>
    <w:rsid w:val="4C5A1839"/>
    <w:rsid w:val="4C7572CD"/>
    <w:rsid w:val="4C9F74B1"/>
    <w:rsid w:val="4CED79F8"/>
    <w:rsid w:val="4D05761F"/>
    <w:rsid w:val="4D2E5E14"/>
    <w:rsid w:val="4D9A33DC"/>
    <w:rsid w:val="4DC70A17"/>
    <w:rsid w:val="4DD059E1"/>
    <w:rsid w:val="4DED0341"/>
    <w:rsid w:val="4DFF61F1"/>
    <w:rsid w:val="4E0E49B4"/>
    <w:rsid w:val="4E1A19F6"/>
    <w:rsid w:val="4E294FCA"/>
    <w:rsid w:val="4E456F05"/>
    <w:rsid w:val="4E603CD2"/>
    <w:rsid w:val="4ECA55D0"/>
    <w:rsid w:val="4ECC5CC5"/>
    <w:rsid w:val="4F01352B"/>
    <w:rsid w:val="4F2547B0"/>
    <w:rsid w:val="4F385E88"/>
    <w:rsid w:val="4F9A75BC"/>
    <w:rsid w:val="4FD87D05"/>
    <w:rsid w:val="500C7739"/>
    <w:rsid w:val="50333805"/>
    <w:rsid w:val="50406C68"/>
    <w:rsid w:val="50656FCA"/>
    <w:rsid w:val="50D90CCF"/>
    <w:rsid w:val="512129F0"/>
    <w:rsid w:val="512E4FFA"/>
    <w:rsid w:val="51366100"/>
    <w:rsid w:val="51835AAE"/>
    <w:rsid w:val="51971635"/>
    <w:rsid w:val="51E444D7"/>
    <w:rsid w:val="520363D2"/>
    <w:rsid w:val="52272A53"/>
    <w:rsid w:val="52634E37"/>
    <w:rsid w:val="52B171FA"/>
    <w:rsid w:val="534918B2"/>
    <w:rsid w:val="53D86537"/>
    <w:rsid w:val="540E1365"/>
    <w:rsid w:val="543B525C"/>
    <w:rsid w:val="54956561"/>
    <w:rsid w:val="54AA3DF7"/>
    <w:rsid w:val="54B26C85"/>
    <w:rsid w:val="54B61E08"/>
    <w:rsid w:val="54E84524"/>
    <w:rsid w:val="54F55D2D"/>
    <w:rsid w:val="54FD7A90"/>
    <w:rsid w:val="553A7C2D"/>
    <w:rsid w:val="553C0438"/>
    <w:rsid w:val="556772A4"/>
    <w:rsid w:val="558A754F"/>
    <w:rsid w:val="55A84425"/>
    <w:rsid w:val="561D378D"/>
    <w:rsid w:val="56715961"/>
    <w:rsid w:val="56904254"/>
    <w:rsid w:val="56A30136"/>
    <w:rsid w:val="56B77204"/>
    <w:rsid w:val="56F810BD"/>
    <w:rsid w:val="570D617E"/>
    <w:rsid w:val="577838E9"/>
    <w:rsid w:val="577D7CF3"/>
    <w:rsid w:val="57A84D6C"/>
    <w:rsid w:val="57C562FA"/>
    <w:rsid w:val="57E47675"/>
    <w:rsid w:val="57EE4CDC"/>
    <w:rsid w:val="57F37162"/>
    <w:rsid w:val="57F618E2"/>
    <w:rsid w:val="58311772"/>
    <w:rsid w:val="583D707B"/>
    <w:rsid w:val="590B020F"/>
    <w:rsid w:val="5938747F"/>
    <w:rsid w:val="59766ED3"/>
    <w:rsid w:val="59B966C3"/>
    <w:rsid w:val="5A3316DD"/>
    <w:rsid w:val="5A3819DA"/>
    <w:rsid w:val="5A5C5ECC"/>
    <w:rsid w:val="5A792FD8"/>
    <w:rsid w:val="5A864044"/>
    <w:rsid w:val="5A873F8B"/>
    <w:rsid w:val="5B355F1A"/>
    <w:rsid w:val="5B5A6CFE"/>
    <w:rsid w:val="5B693109"/>
    <w:rsid w:val="5B896B40"/>
    <w:rsid w:val="5BD55FCE"/>
    <w:rsid w:val="5BD85C58"/>
    <w:rsid w:val="5C227DB6"/>
    <w:rsid w:val="5D40278C"/>
    <w:rsid w:val="5D46011A"/>
    <w:rsid w:val="5D65502F"/>
    <w:rsid w:val="5DD06C57"/>
    <w:rsid w:val="5DFB6CB9"/>
    <w:rsid w:val="5E9E2A34"/>
    <w:rsid w:val="5EB757F1"/>
    <w:rsid w:val="5F024FA7"/>
    <w:rsid w:val="5F14140D"/>
    <w:rsid w:val="5F146870"/>
    <w:rsid w:val="5F152C34"/>
    <w:rsid w:val="5F1E6936"/>
    <w:rsid w:val="5F492843"/>
    <w:rsid w:val="5F8A64CA"/>
    <w:rsid w:val="5FC85777"/>
    <w:rsid w:val="5FDD0E56"/>
    <w:rsid w:val="60086C66"/>
    <w:rsid w:val="60595BE0"/>
    <w:rsid w:val="60F40D61"/>
    <w:rsid w:val="611D63FB"/>
    <w:rsid w:val="6124336C"/>
    <w:rsid w:val="6152493E"/>
    <w:rsid w:val="615D075E"/>
    <w:rsid w:val="617270AD"/>
    <w:rsid w:val="61DC3943"/>
    <w:rsid w:val="62115573"/>
    <w:rsid w:val="625A33E9"/>
    <w:rsid w:val="62A80031"/>
    <w:rsid w:val="62CD0FA5"/>
    <w:rsid w:val="62F820BE"/>
    <w:rsid w:val="630009D9"/>
    <w:rsid w:val="63AD1E78"/>
    <w:rsid w:val="63AD5092"/>
    <w:rsid w:val="63CA6A17"/>
    <w:rsid w:val="644D2F22"/>
    <w:rsid w:val="648D1ADE"/>
    <w:rsid w:val="64C25323"/>
    <w:rsid w:val="651F6A4F"/>
    <w:rsid w:val="652A05D1"/>
    <w:rsid w:val="65494330"/>
    <w:rsid w:val="65A74DD4"/>
    <w:rsid w:val="65C57E73"/>
    <w:rsid w:val="65D51AA7"/>
    <w:rsid w:val="65F446AB"/>
    <w:rsid w:val="65F81FA5"/>
    <w:rsid w:val="660B1854"/>
    <w:rsid w:val="660E235D"/>
    <w:rsid w:val="661B3639"/>
    <w:rsid w:val="66286A3B"/>
    <w:rsid w:val="665530AA"/>
    <w:rsid w:val="666C3F70"/>
    <w:rsid w:val="667306C5"/>
    <w:rsid w:val="667818A0"/>
    <w:rsid w:val="66BA1B80"/>
    <w:rsid w:val="66C94D5E"/>
    <w:rsid w:val="66F33ADF"/>
    <w:rsid w:val="672F2C0B"/>
    <w:rsid w:val="681C674F"/>
    <w:rsid w:val="68470D8F"/>
    <w:rsid w:val="68836DC3"/>
    <w:rsid w:val="6887648C"/>
    <w:rsid w:val="68EA31C9"/>
    <w:rsid w:val="68FE71CA"/>
    <w:rsid w:val="68FF5939"/>
    <w:rsid w:val="691B4A91"/>
    <w:rsid w:val="69297877"/>
    <w:rsid w:val="692B5915"/>
    <w:rsid w:val="692C6424"/>
    <w:rsid w:val="69352903"/>
    <w:rsid w:val="69AB7968"/>
    <w:rsid w:val="6A0B4089"/>
    <w:rsid w:val="6A1207B2"/>
    <w:rsid w:val="6A9277E6"/>
    <w:rsid w:val="6AD356BF"/>
    <w:rsid w:val="6B33205C"/>
    <w:rsid w:val="6B9E7527"/>
    <w:rsid w:val="6BEB1B2A"/>
    <w:rsid w:val="6C3D3FC5"/>
    <w:rsid w:val="6CE6394F"/>
    <w:rsid w:val="6CF75DE0"/>
    <w:rsid w:val="6D783D26"/>
    <w:rsid w:val="6DD47186"/>
    <w:rsid w:val="6DE96CAF"/>
    <w:rsid w:val="6DEF510F"/>
    <w:rsid w:val="6DF01F33"/>
    <w:rsid w:val="6E146C1B"/>
    <w:rsid w:val="6E6C03DB"/>
    <w:rsid w:val="6E9523F6"/>
    <w:rsid w:val="6ECD0DD4"/>
    <w:rsid w:val="6EF40F46"/>
    <w:rsid w:val="6F3254E8"/>
    <w:rsid w:val="6F5B4BA2"/>
    <w:rsid w:val="6F615273"/>
    <w:rsid w:val="6FB60542"/>
    <w:rsid w:val="6FEB37AA"/>
    <w:rsid w:val="705120D8"/>
    <w:rsid w:val="70C71D41"/>
    <w:rsid w:val="70F328F1"/>
    <w:rsid w:val="711F0324"/>
    <w:rsid w:val="715E6563"/>
    <w:rsid w:val="71635BDF"/>
    <w:rsid w:val="719E2478"/>
    <w:rsid w:val="723B6A2A"/>
    <w:rsid w:val="724E2F94"/>
    <w:rsid w:val="725620A9"/>
    <w:rsid w:val="72CE6A57"/>
    <w:rsid w:val="730B78D2"/>
    <w:rsid w:val="735F1183"/>
    <w:rsid w:val="73BA3D76"/>
    <w:rsid w:val="73ED7C13"/>
    <w:rsid w:val="745E3FF9"/>
    <w:rsid w:val="747A11FA"/>
    <w:rsid w:val="7495799A"/>
    <w:rsid w:val="756E5D28"/>
    <w:rsid w:val="7593678E"/>
    <w:rsid w:val="759D7F32"/>
    <w:rsid w:val="75AF3950"/>
    <w:rsid w:val="76525BE7"/>
    <w:rsid w:val="767D3C7E"/>
    <w:rsid w:val="76A318C9"/>
    <w:rsid w:val="76BF62FB"/>
    <w:rsid w:val="76C259ED"/>
    <w:rsid w:val="76D550BD"/>
    <w:rsid w:val="77161D33"/>
    <w:rsid w:val="77506C1B"/>
    <w:rsid w:val="77DA1D31"/>
    <w:rsid w:val="77F11C00"/>
    <w:rsid w:val="78CE2547"/>
    <w:rsid w:val="79BB578D"/>
    <w:rsid w:val="79BE47F2"/>
    <w:rsid w:val="79FE72AE"/>
    <w:rsid w:val="7A846AC2"/>
    <w:rsid w:val="7ADB0F38"/>
    <w:rsid w:val="7B2909D9"/>
    <w:rsid w:val="7B2A787F"/>
    <w:rsid w:val="7B5876BE"/>
    <w:rsid w:val="7B850B4A"/>
    <w:rsid w:val="7BBE44BC"/>
    <w:rsid w:val="7BC01697"/>
    <w:rsid w:val="7BC47D5E"/>
    <w:rsid w:val="7C045E06"/>
    <w:rsid w:val="7C1B682B"/>
    <w:rsid w:val="7C43647E"/>
    <w:rsid w:val="7C541ED1"/>
    <w:rsid w:val="7C7D516C"/>
    <w:rsid w:val="7CBA372B"/>
    <w:rsid w:val="7CBB0FC0"/>
    <w:rsid w:val="7D073BAD"/>
    <w:rsid w:val="7D26110F"/>
    <w:rsid w:val="7D366C7B"/>
    <w:rsid w:val="7D7F0DE3"/>
    <w:rsid w:val="7D961C0E"/>
    <w:rsid w:val="7DBA5E84"/>
    <w:rsid w:val="7DCD3B4B"/>
    <w:rsid w:val="7E077AD2"/>
    <w:rsid w:val="7E094B88"/>
    <w:rsid w:val="7E815898"/>
    <w:rsid w:val="7F43615B"/>
    <w:rsid w:val="7F4A1012"/>
    <w:rsid w:val="7F744FDF"/>
    <w:rsid w:val="7F99329D"/>
    <w:rsid w:val="7FC5755B"/>
    <w:rsid w:val="7FED1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9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0"/>
    <w:pPr>
      <w:widowControl w:val="0"/>
      <w:numPr>
        <w:ilvl w:val="0"/>
        <w:numId w:val="1"/>
      </w:numPr>
      <w:spacing w:line="360" w:lineRule="auto"/>
      <w:outlineLvl w:val="0"/>
    </w:pPr>
    <w:rPr>
      <w:rFonts w:ascii="Times New Roman" w:hAnsi="Times New Roman" w:eastAsia="黑体" w:cs="Times New Roman"/>
      <w:bCs/>
      <w:kern w:val="44"/>
      <w:szCs w:val="44"/>
      <w:lang w:val="zh-CN"/>
    </w:rPr>
  </w:style>
  <w:style w:type="paragraph" w:styleId="5">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paragraph" w:styleId="7">
    <w:name w:val="heading 4"/>
    <w:basedOn w:val="1"/>
    <w:next w:val="1"/>
    <w:qFormat/>
    <w:uiPriority w:val="1"/>
    <w:pPr>
      <w:spacing w:before="14"/>
      <w:ind w:left="494"/>
      <w:outlineLvl w:val="3"/>
    </w:pPr>
    <w:rPr>
      <w:rFonts w:ascii="宋体" w:hAnsi="宋体" w:eastAsia="宋体"/>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正文（文本）"/>
    <w:next w:val="3"/>
    <w:qFormat/>
    <w:uiPriority w:val="0"/>
    <w:pPr>
      <w:widowControl w:val="0"/>
      <w:snapToGrid w:val="0"/>
      <w:spacing w:beforeLines="20" w:line="360" w:lineRule="auto"/>
      <w:jc w:val="center"/>
    </w:pPr>
    <w:rPr>
      <w:rFonts w:ascii="Times New Roman" w:hAnsi="宋体" w:eastAsia="宋体" w:cs="Times New Roman"/>
      <w:kern w:val="2"/>
      <w:sz w:val="28"/>
      <w:szCs w:val="28"/>
      <w:lang w:val="en-US" w:eastAsia="zh-CN" w:bidi="ar-SA"/>
    </w:rPr>
  </w:style>
  <w:style w:type="paragraph" w:styleId="3">
    <w:name w:val="toc 6"/>
    <w:basedOn w:val="1"/>
    <w:next w:val="1"/>
    <w:semiHidden/>
    <w:qFormat/>
    <w:uiPriority w:val="99"/>
    <w:pPr>
      <w:ind w:left="1200"/>
    </w:pPr>
    <w:rPr>
      <w:rFonts w:ascii="Calibri" w:hAnsi="Calibri"/>
      <w:sz w:val="18"/>
      <w:szCs w:val="18"/>
    </w:rPr>
  </w:style>
  <w:style w:type="paragraph" w:styleId="8">
    <w:name w:val="Normal Indent"/>
    <w:basedOn w:val="1"/>
    <w:next w:val="1"/>
    <w:qFormat/>
    <w:uiPriority w:val="0"/>
    <w:pPr>
      <w:ind w:firstLine="420" w:firstLineChars="200"/>
    </w:pPr>
    <w:rPr>
      <w:rFonts w:ascii="Times New Roman" w:hAnsi="Times New Roman"/>
      <w:szCs w:val="24"/>
    </w:rPr>
  </w:style>
  <w:style w:type="paragraph" w:styleId="9">
    <w:name w:val="annotation text"/>
    <w:basedOn w:val="1"/>
    <w:link w:val="44"/>
    <w:unhideWhenUsed/>
    <w:qFormat/>
    <w:uiPriority w:val="99"/>
    <w:pPr>
      <w:jc w:val="left"/>
    </w:pPr>
  </w:style>
  <w:style w:type="paragraph" w:styleId="10">
    <w:name w:val="Body Text"/>
    <w:basedOn w:val="1"/>
    <w:next w:val="1"/>
    <w:link w:val="47"/>
    <w:qFormat/>
    <w:uiPriority w:val="1"/>
    <w:pPr>
      <w:spacing w:before="36"/>
      <w:ind w:left="780"/>
      <w:jc w:val="left"/>
    </w:pPr>
    <w:rPr>
      <w:rFonts w:ascii="宋体" w:hAnsi="宋体" w:eastAsia="宋体"/>
      <w:kern w:val="0"/>
      <w:szCs w:val="21"/>
      <w:lang w:eastAsia="en-US"/>
    </w:rPr>
  </w:style>
  <w:style w:type="paragraph" w:styleId="11">
    <w:name w:val="Body Text Indent"/>
    <w:basedOn w:val="1"/>
    <w:next w:val="12"/>
    <w:unhideWhenUsed/>
    <w:qFormat/>
    <w:uiPriority w:val="0"/>
    <w:pPr>
      <w:spacing w:after="120"/>
      <w:ind w:left="420" w:leftChars="200"/>
    </w:pPr>
  </w:style>
  <w:style w:type="paragraph" w:styleId="12">
    <w:name w:val="envelope return"/>
    <w:basedOn w:val="1"/>
    <w:qFormat/>
    <w:uiPriority w:val="0"/>
    <w:pPr>
      <w:snapToGrid w:val="0"/>
    </w:pPr>
    <w:rPr>
      <w:rFonts w:ascii="Arial" w:hAnsi="Arial" w:eastAsia="等线" w:cs="等线"/>
    </w:rPr>
  </w:style>
  <w:style w:type="paragraph" w:styleId="13">
    <w:name w:val="List 2"/>
    <w:basedOn w:val="1"/>
    <w:qFormat/>
    <w:uiPriority w:val="0"/>
    <w:pPr>
      <w:ind w:left="100" w:leftChars="200" w:hanging="200" w:hangingChars="200"/>
    </w:pPr>
  </w:style>
  <w:style w:type="paragraph" w:styleId="14">
    <w:name w:val="Balloon Text"/>
    <w:basedOn w:val="1"/>
    <w:link w:val="43"/>
    <w:semiHidden/>
    <w:unhideWhenUsed/>
    <w:qFormat/>
    <w:uiPriority w:val="99"/>
    <w:rPr>
      <w:sz w:val="18"/>
      <w:szCs w:val="18"/>
    </w:rPr>
  </w:style>
  <w:style w:type="paragraph" w:styleId="15">
    <w:name w:val="footer"/>
    <w:basedOn w:val="1"/>
    <w:next w:val="8"/>
    <w:link w:val="42"/>
    <w:unhideWhenUsed/>
    <w:qFormat/>
    <w:uiPriority w:val="99"/>
    <w:pPr>
      <w:tabs>
        <w:tab w:val="center" w:pos="4153"/>
        <w:tab w:val="right" w:pos="8306"/>
      </w:tabs>
      <w:snapToGrid w:val="0"/>
      <w:jc w:val="left"/>
    </w:pPr>
    <w:rPr>
      <w:sz w:val="18"/>
      <w:szCs w:val="18"/>
    </w:rPr>
  </w:style>
  <w:style w:type="paragraph" w:styleId="16">
    <w:name w:val="header"/>
    <w:basedOn w:val="1"/>
    <w:link w:val="4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608"/>
      </w:tabs>
      <w:spacing w:line="360" w:lineRule="auto"/>
      <w:ind w:firstLine="425" w:firstLineChars="177"/>
    </w:pPr>
    <w:rPr>
      <w:rFonts w:ascii="Times New Roman" w:hAnsi="Times New Roman" w:eastAsia="宋体" w:cs="Times New Roman"/>
      <w:szCs w:val="24"/>
    </w:rPr>
  </w:style>
  <w:style w:type="paragraph" w:styleId="18">
    <w:name w:val="Title"/>
    <w:basedOn w:val="1"/>
    <w:qFormat/>
    <w:uiPriority w:val="0"/>
    <w:pPr>
      <w:spacing w:before="240" w:after="60"/>
      <w:jc w:val="center"/>
      <w:outlineLvl w:val="0"/>
    </w:pPr>
    <w:rPr>
      <w:rFonts w:ascii="Arial" w:hAnsi="Arial" w:eastAsia="楷体_GB2312"/>
      <w:b/>
      <w:bCs/>
      <w:sz w:val="32"/>
      <w:szCs w:val="32"/>
    </w:rPr>
  </w:style>
  <w:style w:type="paragraph" w:styleId="19">
    <w:name w:val="annotation subject"/>
    <w:next w:val="9"/>
    <w:unhideWhenUsed/>
    <w:qFormat/>
    <w:uiPriority w:val="0"/>
    <w:pPr>
      <w:widowControl w:val="0"/>
      <w:jc w:val="left"/>
    </w:pPr>
    <w:rPr>
      <w:rFonts w:asciiTheme="minorHAnsi" w:hAnsiTheme="minorHAnsi" w:eastAsiaTheme="minorEastAsia" w:cstheme="minorBidi"/>
      <w:b/>
      <w:bCs/>
      <w:kern w:val="2"/>
      <w:sz w:val="21"/>
      <w:szCs w:val="22"/>
      <w:lang w:val="en-US" w:eastAsia="zh-CN" w:bidi="ar-SA"/>
    </w:rPr>
  </w:style>
  <w:style w:type="paragraph" w:styleId="20">
    <w:name w:val="Body Text First Indent"/>
    <w:basedOn w:val="10"/>
    <w:next w:val="1"/>
    <w:unhideWhenUsed/>
    <w:qFormat/>
    <w:uiPriority w:val="99"/>
    <w:pPr>
      <w:ind w:firstLine="567"/>
    </w:pPr>
  </w:style>
  <w:style w:type="paragraph" w:styleId="21">
    <w:name w:val="Body Text First Indent 2"/>
    <w:basedOn w:val="11"/>
    <w:semiHidden/>
    <w:unhideWhenUsed/>
    <w:qFormat/>
    <w:uiPriority w:val="99"/>
    <w:pPr>
      <w:ind w:firstLine="420" w:firstLineChars="200"/>
    </w:p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style>
  <w:style w:type="character" w:styleId="26">
    <w:name w:val="page number"/>
    <w:basedOn w:val="24"/>
    <w:qFormat/>
    <w:uiPriority w:val="0"/>
  </w:style>
  <w:style w:type="character" w:styleId="27">
    <w:name w:val="FollowedHyperlink"/>
    <w:basedOn w:val="24"/>
    <w:semiHidden/>
    <w:unhideWhenUsed/>
    <w:qFormat/>
    <w:uiPriority w:val="99"/>
    <w:rPr>
      <w:color w:val="333333"/>
      <w:u w:val="none"/>
    </w:rPr>
  </w:style>
  <w:style w:type="character" w:styleId="28">
    <w:name w:val="Emphasis"/>
    <w:basedOn w:val="24"/>
    <w:qFormat/>
    <w:uiPriority w:val="20"/>
  </w:style>
  <w:style w:type="character" w:styleId="29">
    <w:name w:val="HTML Definition"/>
    <w:basedOn w:val="24"/>
    <w:semiHidden/>
    <w:unhideWhenUsed/>
    <w:qFormat/>
    <w:uiPriority w:val="99"/>
  </w:style>
  <w:style w:type="character" w:styleId="30">
    <w:name w:val="HTML Typewriter"/>
    <w:basedOn w:val="24"/>
    <w:semiHidden/>
    <w:unhideWhenUsed/>
    <w:qFormat/>
    <w:uiPriority w:val="99"/>
    <w:rPr>
      <w:rFonts w:hint="default" w:ascii="monospace" w:hAnsi="monospace" w:eastAsia="monospace" w:cs="monospace"/>
      <w:sz w:val="20"/>
    </w:rPr>
  </w:style>
  <w:style w:type="character" w:styleId="31">
    <w:name w:val="HTML Acronym"/>
    <w:basedOn w:val="24"/>
    <w:semiHidden/>
    <w:unhideWhenUsed/>
    <w:qFormat/>
    <w:uiPriority w:val="99"/>
  </w:style>
  <w:style w:type="character" w:styleId="32">
    <w:name w:val="HTML Variable"/>
    <w:basedOn w:val="24"/>
    <w:semiHidden/>
    <w:unhideWhenUsed/>
    <w:qFormat/>
    <w:uiPriority w:val="99"/>
  </w:style>
  <w:style w:type="character" w:styleId="33">
    <w:name w:val="Hyperlink"/>
    <w:basedOn w:val="24"/>
    <w:unhideWhenUsed/>
    <w:qFormat/>
    <w:uiPriority w:val="99"/>
    <w:rPr>
      <w:color w:val="0000FF" w:themeColor="hyperlink"/>
      <w:u w:val="single"/>
      <w14:textFill>
        <w14:solidFill>
          <w14:schemeClr w14:val="hlink"/>
        </w14:solidFill>
      </w14:textFill>
    </w:rPr>
  </w:style>
  <w:style w:type="character" w:styleId="34">
    <w:name w:val="HTML Code"/>
    <w:basedOn w:val="24"/>
    <w:semiHidden/>
    <w:unhideWhenUsed/>
    <w:qFormat/>
    <w:uiPriority w:val="99"/>
    <w:rPr>
      <w:rFonts w:hint="default" w:ascii="monospace" w:hAnsi="monospace" w:eastAsia="monospace" w:cs="monospace"/>
      <w:sz w:val="20"/>
    </w:rPr>
  </w:style>
  <w:style w:type="character" w:styleId="35">
    <w:name w:val="annotation reference"/>
    <w:basedOn w:val="24"/>
    <w:semiHidden/>
    <w:unhideWhenUsed/>
    <w:qFormat/>
    <w:uiPriority w:val="99"/>
    <w:rPr>
      <w:sz w:val="21"/>
      <w:szCs w:val="21"/>
    </w:rPr>
  </w:style>
  <w:style w:type="character" w:styleId="36">
    <w:name w:val="HTML Cite"/>
    <w:basedOn w:val="24"/>
    <w:semiHidden/>
    <w:unhideWhenUsed/>
    <w:qFormat/>
    <w:uiPriority w:val="99"/>
  </w:style>
  <w:style w:type="character" w:styleId="37">
    <w:name w:val="HTML Keyboard"/>
    <w:basedOn w:val="24"/>
    <w:semiHidden/>
    <w:unhideWhenUsed/>
    <w:qFormat/>
    <w:uiPriority w:val="99"/>
    <w:rPr>
      <w:rFonts w:hint="default" w:ascii="monospace" w:hAnsi="monospace" w:eastAsia="monospace" w:cs="monospace"/>
      <w:sz w:val="20"/>
    </w:rPr>
  </w:style>
  <w:style w:type="character" w:styleId="38">
    <w:name w:val="HTML Sample"/>
    <w:basedOn w:val="24"/>
    <w:semiHidden/>
    <w:unhideWhenUsed/>
    <w:qFormat/>
    <w:uiPriority w:val="99"/>
    <w:rPr>
      <w:rFonts w:ascii="monospace" w:hAnsi="monospace" w:eastAsia="monospace" w:cs="monospace"/>
    </w:rPr>
  </w:style>
  <w:style w:type="paragraph" w:customStyle="1" w:styleId="39">
    <w:name w:val="书目1"/>
    <w:basedOn w:val="1"/>
    <w:next w:val="1"/>
    <w:unhideWhenUsed/>
    <w:qFormat/>
    <w:uiPriority w:val="37"/>
  </w:style>
  <w:style w:type="paragraph" w:styleId="40">
    <w:name w:val="List Paragraph"/>
    <w:basedOn w:val="1"/>
    <w:qFormat/>
    <w:uiPriority w:val="34"/>
    <w:pPr>
      <w:widowControl/>
      <w:ind w:firstLine="420"/>
    </w:pPr>
    <w:rPr>
      <w:rFonts w:ascii="Calibri" w:hAnsi="Calibri" w:eastAsia="宋体" w:cs="Calibri"/>
      <w:kern w:val="0"/>
      <w:szCs w:val="21"/>
    </w:rPr>
  </w:style>
  <w:style w:type="character" w:customStyle="1" w:styleId="41">
    <w:name w:val="页眉 字符"/>
    <w:basedOn w:val="24"/>
    <w:link w:val="16"/>
    <w:qFormat/>
    <w:uiPriority w:val="0"/>
    <w:rPr>
      <w:sz w:val="18"/>
      <w:szCs w:val="18"/>
    </w:rPr>
  </w:style>
  <w:style w:type="character" w:customStyle="1" w:styleId="42">
    <w:name w:val="页脚 字符"/>
    <w:basedOn w:val="24"/>
    <w:link w:val="15"/>
    <w:qFormat/>
    <w:uiPriority w:val="99"/>
    <w:rPr>
      <w:sz w:val="18"/>
      <w:szCs w:val="18"/>
    </w:rPr>
  </w:style>
  <w:style w:type="character" w:customStyle="1" w:styleId="43">
    <w:name w:val="批注框文本 字符"/>
    <w:basedOn w:val="24"/>
    <w:link w:val="14"/>
    <w:semiHidden/>
    <w:qFormat/>
    <w:uiPriority w:val="99"/>
    <w:rPr>
      <w:sz w:val="18"/>
      <w:szCs w:val="18"/>
    </w:rPr>
  </w:style>
  <w:style w:type="character" w:customStyle="1" w:styleId="44">
    <w:name w:val="批注文字 字符"/>
    <w:basedOn w:val="24"/>
    <w:link w:val="9"/>
    <w:qFormat/>
    <w:uiPriority w:val="99"/>
  </w:style>
  <w:style w:type="paragraph" w:customStyle="1" w:styleId="45">
    <w:name w:val="Table Paragraph"/>
    <w:basedOn w:val="1"/>
    <w:qFormat/>
    <w:uiPriority w:val="0"/>
    <w:pPr>
      <w:jc w:val="left"/>
    </w:pPr>
    <w:rPr>
      <w:kern w:val="0"/>
      <w:sz w:val="22"/>
      <w:lang w:eastAsia="en-US"/>
    </w:rPr>
  </w:style>
  <w:style w:type="paragraph" w:customStyle="1" w:styleId="46">
    <w:name w:val="标题 21"/>
    <w:basedOn w:val="1"/>
    <w:qFormat/>
    <w:uiPriority w:val="0"/>
    <w:pPr>
      <w:ind w:right="5" w:rightChars="5"/>
      <w:jc w:val="left"/>
      <w:outlineLvl w:val="2"/>
    </w:pPr>
    <w:rPr>
      <w:rFonts w:ascii="Noto Sans CJK DemiLight" w:hAnsi="Noto Sans CJK DemiLight" w:eastAsia="Noto Sans CJK DemiLight" w:cs="Times New Roman"/>
      <w:kern w:val="0"/>
      <w:sz w:val="32"/>
      <w:szCs w:val="32"/>
      <w:lang w:eastAsia="en-US"/>
    </w:rPr>
  </w:style>
  <w:style w:type="character" w:customStyle="1" w:styleId="47">
    <w:name w:val="正文文本 字符"/>
    <w:basedOn w:val="24"/>
    <w:link w:val="10"/>
    <w:qFormat/>
    <w:uiPriority w:val="1"/>
    <w:rPr>
      <w:rFonts w:ascii="宋体" w:hAnsi="宋体" w:cstheme="minorBidi"/>
      <w:sz w:val="21"/>
      <w:szCs w:val="21"/>
      <w:lang w:eastAsia="en-US"/>
    </w:rPr>
  </w:style>
  <w:style w:type="character" w:customStyle="1" w:styleId="48">
    <w:name w:val="font41"/>
    <w:basedOn w:val="24"/>
    <w:qFormat/>
    <w:uiPriority w:val="0"/>
    <w:rPr>
      <w:rFonts w:hint="eastAsia" w:ascii="宋体" w:hAnsi="宋体" w:eastAsia="宋体" w:cs="宋体"/>
      <w:color w:val="000000"/>
      <w:sz w:val="21"/>
      <w:szCs w:val="21"/>
      <w:u w:val="none"/>
    </w:rPr>
  </w:style>
  <w:style w:type="character" w:customStyle="1" w:styleId="49">
    <w:name w:val="font31"/>
    <w:basedOn w:val="24"/>
    <w:qFormat/>
    <w:uiPriority w:val="0"/>
    <w:rPr>
      <w:rFonts w:hint="default" w:ascii="Times New Roman" w:hAnsi="Times New Roman" w:cs="Times New Roman"/>
      <w:color w:val="000000"/>
      <w:sz w:val="21"/>
      <w:szCs w:val="21"/>
      <w:u w:val="none"/>
    </w:rPr>
  </w:style>
  <w:style w:type="paragraph" w:customStyle="1" w:styleId="50">
    <w:name w:val="默认段落字体 Para Char"/>
    <w:basedOn w:val="51"/>
    <w:next w:val="1"/>
    <w:qFormat/>
    <w:uiPriority w:val="0"/>
    <w:pPr>
      <w:widowControl w:val="0"/>
      <w:spacing w:before="80" w:after="80" w:line="360" w:lineRule="auto"/>
      <w:jc w:val="both"/>
    </w:pPr>
    <w:rPr>
      <w:rFonts w:ascii="Calibri" w:hAnsi="Calibri" w:cs="Times New Roman"/>
      <w:kern w:val="2"/>
      <w:szCs w:val="20"/>
    </w:rPr>
  </w:style>
  <w:style w:type="paragraph" w:customStyle="1" w:styleId="51">
    <w:name w:val="Normal_0"/>
    <w:next w:val="50"/>
    <w:qFormat/>
    <w:uiPriority w:val="0"/>
    <w:pPr>
      <w:overflowPunct w:val="0"/>
      <w:autoSpaceDE w:val="0"/>
      <w:autoSpaceDN w:val="0"/>
      <w:adjustRightInd w:val="0"/>
    </w:pPr>
    <w:rPr>
      <w:rFonts w:ascii="Times New Roman" w:hAnsi="Times New Roman" w:eastAsia="宋体" w:cs="Times New Roman"/>
      <w:lang w:val="en-US" w:eastAsia="en-US" w:bidi="ar-SA"/>
    </w:rPr>
  </w:style>
  <w:style w:type="paragraph" w:customStyle="1" w:styleId="5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Normal_1"/>
    <w:next w:val="50"/>
    <w:qFormat/>
    <w:uiPriority w:val="0"/>
    <w:rPr>
      <w:rFonts w:ascii="Times New Roman" w:hAnsi="Times New Roman" w:eastAsia="Times New Roman" w:cs="Times New Roman"/>
      <w:sz w:val="24"/>
      <w:szCs w:val="24"/>
    </w:rPr>
  </w:style>
  <w:style w:type="paragraph" w:customStyle="1" w:styleId="54">
    <w:name w:val="标题 22"/>
    <w:qFormat/>
    <w:uiPriority w:val="1"/>
    <w:pPr>
      <w:widowControl w:val="0"/>
      <w:ind w:right="5" w:rightChars="5"/>
      <w:jc w:val="left"/>
      <w:outlineLvl w:val="2"/>
    </w:pPr>
    <w:rPr>
      <w:rFonts w:ascii="Noto Sans CJK DemiLight" w:hAnsi="Noto Sans CJK DemiLight" w:eastAsia="Noto Sans CJK DemiLight" w:cs="Times New Roman"/>
      <w:kern w:val="0"/>
      <w:sz w:val="32"/>
      <w:szCs w:val="32"/>
      <w:lang w:val="en-US" w:eastAsia="en-US" w:bidi="ar-SA"/>
    </w:rPr>
  </w:style>
  <w:style w:type="paragraph" w:customStyle="1" w:styleId="55">
    <w:name w:val="Default"/>
    <w:basedOn w:val="56"/>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56">
    <w:name w:val="纯文本1"/>
    <w:basedOn w:val="1"/>
    <w:qFormat/>
    <w:uiPriority w:val="0"/>
    <w:rPr>
      <w:rFonts w:ascii="宋体" w:hAnsi="Courier New"/>
    </w:rPr>
  </w:style>
  <w:style w:type="character" w:customStyle="1" w:styleId="57">
    <w:name w:val="font01"/>
    <w:basedOn w:val="24"/>
    <w:qFormat/>
    <w:uiPriority w:val="0"/>
    <w:rPr>
      <w:rFonts w:hint="eastAsia" w:ascii="宋体" w:hAnsi="宋体" w:eastAsia="宋体" w:cs="宋体"/>
      <w:color w:val="000000"/>
      <w:sz w:val="20"/>
      <w:szCs w:val="20"/>
      <w:u w:val="none"/>
    </w:rPr>
  </w:style>
  <w:style w:type="character" w:customStyle="1" w:styleId="58">
    <w:name w:val="font51"/>
    <w:basedOn w:val="24"/>
    <w:qFormat/>
    <w:uiPriority w:val="0"/>
    <w:rPr>
      <w:rFonts w:hint="eastAsia" w:ascii="宋体" w:hAnsi="宋体" w:eastAsia="宋体" w:cs="宋体"/>
      <w:color w:val="000000"/>
      <w:sz w:val="22"/>
      <w:szCs w:val="22"/>
      <w:u w:val="none"/>
    </w:rPr>
  </w:style>
  <w:style w:type="character" w:customStyle="1" w:styleId="59">
    <w:name w:val="font21"/>
    <w:basedOn w:val="24"/>
    <w:qFormat/>
    <w:uiPriority w:val="0"/>
    <w:rPr>
      <w:rFonts w:hint="eastAsia" w:ascii="宋体" w:hAnsi="宋体" w:eastAsia="宋体" w:cs="宋体"/>
      <w:color w:val="000000"/>
      <w:sz w:val="22"/>
      <w:szCs w:val="22"/>
      <w:u w:val="none"/>
    </w:rPr>
  </w:style>
  <w:style w:type="table" w:customStyle="1" w:styleId="60">
    <w:name w:val="Table Grid_0"/>
    <w:basedOn w:val="22"/>
    <w:qFormat/>
    <w:uiPriority w:val="0"/>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61">
    <w:name w:val="Table Grid_1"/>
    <w:basedOn w:val="22"/>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62">
    <w:name w:val="font11"/>
    <w:basedOn w:val="2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5298</Words>
  <Characters>5513</Characters>
  <Lines>115</Lines>
  <Paragraphs>32</Paragraphs>
  <TotalTime>9</TotalTime>
  <ScaleCrop>false</ScaleCrop>
  <LinksUpToDate>false</LinksUpToDate>
  <CharactersWithSpaces>5679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2022-10-06T13:54:00Z</dcterms:created>
  <dc:creator>李津</dc:creator>
  <cp:lastModifiedBy>汪家佳</cp:lastModifiedBy>
  <cp:lastPrinted>2025-07-07T05:58:00Z</cp:lastPrinted>
  <dcterms:modified xsi:type="dcterms:W3CDTF">2026-03-31T01:15:28Z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9BB283352EB64219B84235AC9672EB6F</vt:lpwstr>
  </property>
  <property fmtid="{D5CDD505-2E9C-101B-9397-08002B2CF9AE}" pid="4" name="KSOTemplateDocerSaveRecord">
    <vt:lpwstr>eyJoZGlkIjoiYTY1MWQ0NTY4YjkxNTFjNzVlMGJiODVhNjk2MGRmZTUiLCJ1c2VySWQiOiI2MjAxNzkxMzQifQ==</vt:lpwstr>
  </property>
</Properties>
</file>