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b/>
          <w:sz w:val="52"/>
          <w:szCs w:val="52"/>
          <w:highlight w:val="none"/>
          <w:lang w:val="en-GB"/>
        </w:rPr>
      </w:pPr>
    </w:p>
    <w:p>
      <w:pPr>
        <w:spacing w:line="360" w:lineRule="auto"/>
        <w:jc w:val="center"/>
        <w:rPr>
          <w:b/>
          <w:sz w:val="52"/>
          <w:szCs w:val="52"/>
          <w:highlight w:val="none"/>
          <w:lang w:val="en-GB"/>
        </w:rPr>
      </w:pPr>
      <w:r>
        <w:rPr>
          <w:b/>
          <w:sz w:val="52"/>
          <w:szCs w:val="52"/>
          <w:highlight w:val="none"/>
          <w:lang w:val="en-GB"/>
        </w:rPr>
        <w:t>采购合同</w:t>
      </w:r>
    </w:p>
    <w:p>
      <w:pPr>
        <w:pStyle w:val="22"/>
        <w:spacing w:line="360" w:lineRule="auto"/>
        <w:rPr>
          <w:b/>
          <w:bCs/>
          <w:color w:val="0000FF"/>
          <w:sz w:val="28"/>
          <w:szCs w:val="28"/>
          <w:highlight w:val="none"/>
          <w:lang w:eastAsia="zh-CN"/>
        </w:rPr>
      </w:pPr>
    </w:p>
    <w:p>
      <w:pPr>
        <w:pStyle w:val="22"/>
        <w:spacing w:line="360" w:lineRule="auto"/>
        <w:jc w:val="center"/>
        <w:rPr>
          <w:rFonts w:hint="eastAsia" w:ascii="Times New Roman" w:hAnsi="Times New Roman" w:cs="Times New Roman" w:eastAsiaTheme="minorEastAsia"/>
          <w:b/>
          <w:bCs/>
          <w:color w:val="0000FF"/>
          <w:sz w:val="28"/>
          <w:szCs w:val="28"/>
          <w:highlight w:val="none"/>
          <w:u w:val="single"/>
          <w:lang w:eastAsia="zh-CN"/>
        </w:rPr>
      </w:pPr>
      <w:r>
        <w:rPr>
          <w:rFonts w:hint="eastAsia" w:eastAsiaTheme="minorEastAsia"/>
          <w:b/>
          <w:bCs/>
          <w:color w:val="0000FF"/>
          <w:sz w:val="28"/>
          <w:szCs w:val="28"/>
          <w:highlight w:val="none"/>
          <w:u w:val="single"/>
          <w:lang w:eastAsia="zh-CN"/>
        </w:rPr>
        <w:t>（</w:t>
      </w:r>
      <w:r>
        <w:rPr>
          <w:rFonts w:hint="eastAsia" w:cs="Times New Roman" w:eastAsiaTheme="minorEastAsia"/>
          <w:b/>
          <w:bCs/>
          <w:color w:val="0000FF"/>
          <w:sz w:val="28"/>
          <w:szCs w:val="28"/>
          <w:highlight w:val="none"/>
          <w:u w:val="single"/>
          <w:lang w:val="en-US" w:eastAsia="zh-CN"/>
        </w:rPr>
        <w:t>XXXXXXXXXXXXXX</w:t>
      </w:r>
      <w:r>
        <w:rPr>
          <w:rFonts w:hint="eastAsia" w:ascii="Times New Roman" w:hAnsi="Times New Roman" w:cs="Times New Roman" w:eastAsiaTheme="minorEastAsia"/>
          <w:b/>
          <w:bCs/>
          <w:color w:val="0000FF"/>
          <w:sz w:val="28"/>
          <w:szCs w:val="28"/>
          <w:highlight w:val="none"/>
          <w:u w:val="single"/>
          <w:lang w:eastAsia="zh-CN"/>
        </w:rPr>
        <w:t>）</w:t>
      </w: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r>
        <w:rPr>
          <w:b/>
          <w:bCs/>
          <w:highlight w:val="none"/>
          <w:lang w:eastAsia="zh-CN"/>
        </w:rPr>
        <w:t>由</w:t>
      </w:r>
    </w:p>
    <w:p>
      <w:pPr>
        <w:pStyle w:val="22"/>
        <w:spacing w:line="360" w:lineRule="auto"/>
        <w:jc w:val="right"/>
        <w:rPr>
          <w:b/>
          <w:bCs/>
          <w:highlight w:val="none"/>
          <w:lang w:eastAsia="zh-CN"/>
        </w:rPr>
      </w:pPr>
    </w:p>
    <w:p>
      <w:pPr>
        <w:pStyle w:val="22"/>
        <w:spacing w:line="360" w:lineRule="auto"/>
        <w:jc w:val="center"/>
        <w:rPr>
          <w:b/>
          <w:bCs/>
          <w:highlight w:val="none"/>
          <w:lang w:eastAsia="zh-CN"/>
        </w:rPr>
      </w:pPr>
      <w:r>
        <w:rPr>
          <w:b/>
          <w:bCs/>
          <w:highlight w:val="none"/>
          <w:lang w:eastAsia="zh-CN"/>
        </w:rPr>
        <w:t>买方：</w:t>
      </w:r>
      <w:r>
        <w:rPr>
          <w:rFonts w:hint="eastAsia"/>
          <w:b/>
          <w:bCs/>
          <w:highlight w:val="none"/>
          <w:u w:val="single"/>
          <w:lang w:eastAsia="zh-CN"/>
        </w:rPr>
        <w:t>中海油田服务股份有限公司</w:t>
      </w:r>
      <w:r>
        <w:rPr>
          <w:rFonts w:hint="eastAsia"/>
          <w:b/>
          <w:bCs/>
          <w:color w:val="0000FF"/>
          <w:highlight w:val="none"/>
          <w:u w:val="single"/>
          <w:lang w:val="en-US" w:eastAsia="zh-CN"/>
        </w:rPr>
        <w:t>XX</w:t>
      </w:r>
      <w:r>
        <w:rPr>
          <w:rFonts w:hint="eastAsia"/>
          <w:b/>
          <w:bCs/>
          <w:color w:val="0000FF"/>
          <w:highlight w:val="none"/>
          <w:u w:val="single"/>
          <w:lang w:eastAsia="zh-CN"/>
        </w:rPr>
        <w:t>分公司</w:t>
      </w:r>
    </w:p>
    <w:p>
      <w:pPr>
        <w:pStyle w:val="22"/>
        <w:spacing w:line="360" w:lineRule="auto"/>
        <w:rPr>
          <w:b/>
          <w:bCs/>
          <w:i/>
          <w:iCs/>
          <w:highlight w:val="none"/>
          <w:lang w:eastAsia="zh-CN"/>
        </w:rPr>
      </w:pPr>
    </w:p>
    <w:p>
      <w:pPr>
        <w:pStyle w:val="22"/>
        <w:spacing w:line="360" w:lineRule="auto"/>
        <w:jc w:val="center"/>
        <w:rPr>
          <w:b/>
          <w:bCs/>
          <w:highlight w:val="none"/>
          <w:lang w:eastAsia="zh-CN"/>
        </w:rPr>
      </w:pPr>
      <w:r>
        <w:rPr>
          <w:b/>
          <w:bCs/>
          <w:highlight w:val="none"/>
          <w:lang w:eastAsia="zh-CN"/>
        </w:rPr>
        <w:t>和</w:t>
      </w:r>
    </w:p>
    <w:p>
      <w:pPr>
        <w:pStyle w:val="22"/>
        <w:spacing w:line="360" w:lineRule="auto"/>
        <w:rPr>
          <w:b/>
          <w:bCs/>
          <w:highlight w:val="none"/>
          <w:lang w:eastAsia="zh-CN"/>
        </w:rPr>
      </w:pPr>
    </w:p>
    <w:p>
      <w:pPr>
        <w:pStyle w:val="22"/>
        <w:spacing w:line="360" w:lineRule="auto"/>
        <w:jc w:val="center"/>
        <w:rPr>
          <w:rFonts w:hint="default"/>
          <w:b/>
          <w:bCs/>
          <w:color w:val="0000FF"/>
          <w:highlight w:val="none"/>
          <w:lang w:val="en-US" w:eastAsia="zh-CN"/>
        </w:rPr>
      </w:pPr>
      <w:r>
        <w:rPr>
          <w:b/>
          <w:bCs/>
          <w:color w:val="0000FF"/>
          <w:highlight w:val="none"/>
          <w:lang w:eastAsia="zh-CN"/>
        </w:rPr>
        <w:t>卖方</w:t>
      </w:r>
      <w:r>
        <w:rPr>
          <w:rFonts w:hint="eastAsia" w:ascii="Times New Roman" w:hAnsi="Times New Roman" w:eastAsia="宋体" w:cs="Times New Roman"/>
          <w:b/>
          <w:bCs/>
          <w:color w:val="0000FF"/>
          <w:highlight w:val="none"/>
          <w:u w:val="single"/>
          <w:lang w:eastAsia="zh-CN"/>
        </w:rPr>
        <w:t>：</w:t>
      </w:r>
      <w:r>
        <w:rPr>
          <w:rFonts w:hint="eastAsia" w:cs="Times New Roman"/>
          <w:b/>
          <w:bCs/>
          <w:color w:val="0000FF"/>
          <w:highlight w:val="none"/>
          <w:u w:val="single"/>
          <w:lang w:val="en-US" w:eastAsia="zh-CN"/>
        </w:rPr>
        <w:t>XXXXXXXXXXXXXXXXX</w:t>
      </w:r>
    </w:p>
    <w:p>
      <w:pPr>
        <w:pStyle w:val="22"/>
        <w:spacing w:line="360" w:lineRule="auto"/>
        <w:jc w:val="center"/>
        <w:rPr>
          <w:b/>
          <w:bCs/>
          <w:highlight w:val="none"/>
          <w:lang w:eastAsia="zh-CN"/>
        </w:rPr>
      </w:pPr>
    </w:p>
    <w:p>
      <w:pPr>
        <w:pStyle w:val="22"/>
        <w:spacing w:line="360" w:lineRule="auto"/>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pStyle w:val="22"/>
        <w:spacing w:line="360" w:lineRule="auto"/>
        <w:jc w:val="center"/>
        <w:rPr>
          <w:b/>
          <w:bCs/>
          <w:highlight w:val="none"/>
          <w:lang w:eastAsia="zh-CN"/>
        </w:rPr>
      </w:pPr>
    </w:p>
    <w:p>
      <w:pPr>
        <w:spacing w:line="360" w:lineRule="auto"/>
        <w:ind w:firstLine="2047" w:firstLineChars="975"/>
        <w:rPr>
          <w:highlight w:val="none"/>
          <w:u w:val="single"/>
        </w:rPr>
      </w:pPr>
      <w:r>
        <w:rPr>
          <w:highlight w:val="none"/>
        </w:rPr>
        <w:t>签订地点：</w:t>
      </w:r>
      <w:r>
        <w:rPr>
          <w:rFonts w:hint="eastAsia"/>
          <w:b/>
          <w:bCs/>
          <w:highlight w:val="none"/>
          <w:u w:val="single"/>
        </w:rPr>
        <w:t>中海油田服务股份有限公司采办共享中心</w:t>
      </w:r>
    </w:p>
    <w:p>
      <w:pPr>
        <w:spacing w:line="360" w:lineRule="auto"/>
        <w:ind w:firstLine="2047" w:firstLineChars="975"/>
        <w:rPr>
          <w:highlight w:val="none"/>
          <w:u w:val="single"/>
        </w:rPr>
      </w:pPr>
      <w:r>
        <w:rPr>
          <w:highlight w:val="none"/>
        </w:rPr>
        <w:t>签订时间：</w:t>
      </w:r>
      <w:r>
        <w:rPr>
          <w:highlight w:val="none"/>
          <w:u w:val="single"/>
        </w:rPr>
        <w:t xml:space="preserve">        </w:t>
      </w:r>
      <w:r>
        <w:rPr>
          <w:rFonts w:hint="eastAsia"/>
          <w:highlight w:val="none"/>
          <w:u w:val="single"/>
          <w:lang w:val="en-US" w:eastAsia="zh-CN"/>
        </w:rPr>
        <w:t xml:space="preserve"> </w:t>
      </w:r>
      <w:r>
        <w:rPr>
          <w:color w:val="0000FF"/>
          <w:highlight w:val="none"/>
          <w:u w:val="single"/>
        </w:rPr>
        <w:t xml:space="preserve"> </w:t>
      </w:r>
      <w:r>
        <w:rPr>
          <w:rFonts w:hint="eastAsia"/>
          <w:color w:val="0000FF"/>
          <w:highlight w:val="none"/>
          <w:u w:val="single"/>
          <w:lang w:val="en-US" w:eastAsia="zh-CN"/>
        </w:rPr>
        <w:t xml:space="preserve"> </w:t>
      </w:r>
      <w:r>
        <w:rPr>
          <w:color w:val="0000FF"/>
          <w:highlight w:val="none"/>
          <w:u w:val="single"/>
        </w:rPr>
        <w:t xml:space="preserve"> </w:t>
      </w:r>
      <w:r>
        <w:rPr>
          <w:rFonts w:hint="eastAsia"/>
          <w:color w:val="0000FF"/>
          <w:highlight w:val="none"/>
          <w:u w:val="single"/>
        </w:rPr>
        <w:t>202</w:t>
      </w:r>
      <w:r>
        <w:rPr>
          <w:rFonts w:hint="eastAsia"/>
          <w:color w:val="0000FF"/>
          <w:highlight w:val="none"/>
          <w:u w:val="single"/>
          <w:lang w:val="en-US" w:eastAsia="zh-CN"/>
        </w:rPr>
        <w:t>5</w:t>
      </w:r>
      <w:r>
        <w:rPr>
          <w:rFonts w:hint="eastAsia"/>
          <w:color w:val="0000FF"/>
          <w:highlight w:val="none"/>
          <w:u w:val="single"/>
        </w:rPr>
        <w:t>年</w:t>
      </w:r>
      <w:r>
        <w:rPr>
          <w:rFonts w:hint="eastAsia"/>
          <w:color w:val="0000FF"/>
          <w:highlight w:val="none"/>
          <w:u w:val="single"/>
          <w:lang w:val="en-US" w:eastAsia="zh-CN"/>
        </w:rPr>
        <w:t>XX</w:t>
      </w:r>
      <w:r>
        <w:rPr>
          <w:rFonts w:hint="eastAsia"/>
          <w:color w:val="0000FF"/>
          <w:highlight w:val="none"/>
          <w:u w:val="single"/>
        </w:rPr>
        <w:t>月</w:t>
      </w:r>
      <w:r>
        <w:rPr>
          <w:highlight w:val="none"/>
          <w:u w:val="single"/>
        </w:rPr>
        <w:t xml:space="preserve">     </w:t>
      </w:r>
      <w:r>
        <w:rPr>
          <w:rFonts w:hint="eastAsia"/>
          <w:highlight w:val="none"/>
          <w:u w:val="single"/>
          <w:lang w:val="en-US" w:eastAsia="zh-CN"/>
        </w:rPr>
        <w:t xml:space="preserve"> </w:t>
      </w:r>
      <w:r>
        <w:rPr>
          <w:highlight w:val="none"/>
          <w:u w:val="single"/>
        </w:rPr>
        <w:t xml:space="preserve">       </w:t>
      </w:r>
    </w:p>
    <w:p>
      <w:pPr>
        <w:pStyle w:val="22"/>
        <w:spacing w:line="360" w:lineRule="auto"/>
        <w:jc w:val="center"/>
        <w:rPr>
          <w:b/>
          <w:bCs/>
          <w:highlight w:val="none"/>
          <w:lang w:eastAsia="zh-CN"/>
        </w:rPr>
      </w:pPr>
      <w:bookmarkStart w:id="126" w:name="_GoBack"/>
      <w:bookmarkEnd w:id="126"/>
    </w:p>
    <w:p>
      <w:pPr>
        <w:widowControl/>
        <w:spacing w:line="360" w:lineRule="auto"/>
        <w:jc w:val="left"/>
        <w:rPr>
          <w:highlight w:val="none"/>
        </w:rPr>
      </w:pPr>
      <w:r>
        <w:rPr>
          <w:highlight w:val="none"/>
        </w:rPr>
        <w:br w:type="page"/>
      </w:r>
    </w:p>
    <w:sdt>
      <w:sdtPr>
        <w:rPr>
          <w:rFonts w:ascii="Times New Roman" w:hAnsi="Times New Roman" w:eastAsia="宋体" w:cs="Times New Roman"/>
          <w:color w:val="auto"/>
          <w:kern w:val="2"/>
          <w:sz w:val="21"/>
          <w:szCs w:val="20"/>
          <w:highlight w:val="none"/>
          <w:lang w:val="zh-CN"/>
        </w:rPr>
        <w:id w:val="520208359"/>
        <w:docPartObj>
          <w:docPartGallery w:val="Table of Contents"/>
          <w:docPartUnique/>
        </w:docPartObj>
      </w:sdtPr>
      <w:sdtEndPr>
        <w:rPr>
          <w:rFonts w:ascii="Times New Roman" w:hAnsi="Times New Roman" w:cs="Times New Roman" w:eastAsiaTheme="minorEastAsia"/>
          <w:b/>
          <w:bCs/>
          <w:color w:val="auto"/>
          <w:kern w:val="2"/>
          <w:sz w:val="24"/>
          <w:szCs w:val="24"/>
          <w:highlight w:val="none"/>
          <w:lang w:val="zh-CN"/>
        </w:rPr>
      </w:sdtEndPr>
      <w:sdtContent>
        <w:p>
          <w:pPr>
            <w:pStyle w:val="31"/>
            <w:jc w:val="center"/>
            <w:rPr>
              <w:rFonts w:ascii="Times New Roman" w:hAnsi="Times New Roman" w:cs="Times New Roman" w:eastAsiaTheme="minorEastAsia"/>
              <w:b/>
              <w:color w:val="000000" w:themeColor="text1"/>
              <w:highlight w:val="none"/>
              <w14:textFill>
                <w14:solidFill>
                  <w14:schemeClr w14:val="tx1"/>
                </w14:solidFill>
              </w14:textFill>
            </w:rPr>
          </w:pPr>
          <w:r>
            <w:rPr>
              <w:rFonts w:ascii="Times New Roman" w:hAnsi="Times New Roman" w:cs="Times New Roman" w:eastAsiaTheme="minorEastAsia"/>
              <w:b/>
              <w:color w:val="000000" w:themeColor="text1"/>
              <w:highlight w:val="none"/>
              <w:lang w:val="zh-CN"/>
              <w14:textFill>
                <w14:solidFill>
                  <w14:schemeClr w14:val="tx1"/>
                </w14:solidFill>
              </w14:textFill>
            </w:rPr>
            <w:t>目录</w:t>
          </w:r>
        </w:p>
        <w:p>
          <w:pPr>
            <w:pStyle w:val="11"/>
            <w:tabs>
              <w:tab w:val="right" w:leader="dot" w:pos="8787"/>
            </w:tabs>
            <w:rPr>
              <w:highlight w:val="none"/>
            </w:rPr>
          </w:pPr>
          <w:r>
            <w:rPr>
              <w:rFonts w:eastAsiaTheme="minorEastAsia"/>
              <w:sz w:val="24"/>
              <w:szCs w:val="24"/>
              <w:highlight w:val="none"/>
            </w:rPr>
            <w:fldChar w:fldCharType="begin"/>
          </w:r>
          <w:r>
            <w:rPr>
              <w:rFonts w:eastAsiaTheme="minorEastAsia"/>
              <w:sz w:val="24"/>
              <w:szCs w:val="24"/>
              <w:highlight w:val="none"/>
            </w:rPr>
            <w:instrText xml:space="preserve"> TOC \o "1-3" \h \z \u </w:instrText>
          </w:r>
          <w:r>
            <w:rPr>
              <w:rFonts w:eastAsiaTheme="minorEastAsia"/>
              <w:sz w:val="24"/>
              <w:szCs w:val="24"/>
              <w:highlight w:val="none"/>
            </w:rPr>
            <w:fldChar w:fldCharType="separate"/>
          </w:r>
          <w:r>
            <w:rPr>
              <w:rFonts w:eastAsiaTheme="minorEastAsia"/>
              <w:szCs w:val="24"/>
              <w:highlight w:val="none"/>
            </w:rPr>
            <w:fldChar w:fldCharType="begin"/>
          </w:r>
          <w:r>
            <w:rPr>
              <w:rFonts w:eastAsiaTheme="minorEastAsia"/>
              <w:szCs w:val="24"/>
              <w:highlight w:val="none"/>
            </w:rPr>
            <w:instrText xml:space="preserve"> HYPERLINK \l _Toc11144 </w:instrText>
          </w:r>
          <w:r>
            <w:rPr>
              <w:rFonts w:eastAsiaTheme="minorEastAsia"/>
              <w:szCs w:val="24"/>
              <w:highlight w:val="none"/>
            </w:rPr>
            <w:fldChar w:fldCharType="separate"/>
          </w:r>
          <w:r>
            <w:rPr>
              <w:rFonts w:hint="eastAsia"/>
              <w:iCs/>
              <w:szCs w:val="24"/>
              <w:highlight w:val="none"/>
            </w:rPr>
            <w:t xml:space="preserve">第一条 </w:t>
          </w:r>
          <w:r>
            <w:rPr>
              <w:iCs/>
              <w:szCs w:val="24"/>
              <w:highlight w:val="none"/>
            </w:rPr>
            <w:t>合同标的</w:t>
          </w:r>
          <w:r>
            <w:rPr>
              <w:highlight w:val="none"/>
            </w:rPr>
            <w:tab/>
          </w:r>
          <w:r>
            <w:rPr>
              <w:highlight w:val="none"/>
            </w:rPr>
            <w:fldChar w:fldCharType="begin"/>
          </w:r>
          <w:r>
            <w:rPr>
              <w:highlight w:val="none"/>
            </w:rPr>
            <w:instrText xml:space="preserve"> PAGEREF _Toc11144 \h </w:instrText>
          </w:r>
          <w:r>
            <w:rPr>
              <w:highlight w:val="none"/>
            </w:rPr>
            <w:fldChar w:fldCharType="separate"/>
          </w:r>
          <w:r>
            <w:rPr>
              <w:highlight w:val="none"/>
            </w:rPr>
            <w:t>1</w:t>
          </w:r>
          <w:r>
            <w:rPr>
              <w:highlight w:val="none"/>
            </w:rPr>
            <w:fldChar w:fldCharType="end"/>
          </w:r>
          <w:r>
            <w:rPr>
              <w:rFonts w:eastAsiaTheme="minorEastAsia"/>
              <w:szCs w:val="24"/>
              <w:highlight w:val="none"/>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_Toc17994 </w:instrText>
          </w:r>
          <w:r>
            <w:rPr>
              <w:rFonts w:eastAsiaTheme="minorEastAsia"/>
              <w:bCs/>
              <w:szCs w:val="24"/>
              <w:highlight w:val="none"/>
              <w:lang w:val="zh-CN"/>
            </w:rPr>
            <w:fldChar w:fldCharType="separate"/>
          </w:r>
          <w:r>
            <w:rPr>
              <w:rFonts w:hint="eastAsia"/>
              <w:iCs/>
              <w:szCs w:val="24"/>
              <w:highlight w:val="none"/>
            </w:rPr>
            <w:t xml:space="preserve">第二条 </w:t>
          </w:r>
          <w:r>
            <w:rPr>
              <w:iCs/>
              <w:szCs w:val="24"/>
              <w:highlight w:val="none"/>
            </w:rPr>
            <w:t>合同价款</w:t>
          </w:r>
          <w:r>
            <w:rPr>
              <w:highlight w:val="none"/>
            </w:rPr>
            <w:tab/>
          </w:r>
          <w:r>
            <w:rPr>
              <w:highlight w:val="none"/>
            </w:rPr>
            <w:fldChar w:fldCharType="begin"/>
          </w:r>
          <w:r>
            <w:rPr>
              <w:highlight w:val="none"/>
            </w:rPr>
            <w:instrText xml:space="preserve"> PAGEREF _Toc17994 \h </w:instrText>
          </w:r>
          <w:r>
            <w:rPr>
              <w:highlight w:val="none"/>
            </w:rPr>
            <w:fldChar w:fldCharType="separate"/>
          </w:r>
          <w:r>
            <w:rPr>
              <w:highlight w:val="none"/>
            </w:rPr>
            <w:t>2</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_Toc2916 </w:instrText>
          </w:r>
          <w:r>
            <w:rPr>
              <w:rFonts w:eastAsiaTheme="minorEastAsia"/>
              <w:bCs/>
              <w:szCs w:val="24"/>
              <w:highlight w:val="none"/>
              <w:lang w:val="zh-CN"/>
            </w:rPr>
            <w:fldChar w:fldCharType="separate"/>
          </w:r>
          <w:r>
            <w:rPr>
              <w:rFonts w:hint="eastAsia"/>
              <w:iCs/>
              <w:szCs w:val="24"/>
              <w:highlight w:val="none"/>
            </w:rPr>
            <w:t xml:space="preserve">第三条 </w:t>
          </w:r>
          <w:r>
            <w:rPr>
              <w:iCs/>
              <w:szCs w:val="24"/>
              <w:highlight w:val="none"/>
            </w:rPr>
            <w:t>包装</w:t>
          </w:r>
          <w:r>
            <w:rPr>
              <w:highlight w:val="none"/>
            </w:rPr>
            <w:tab/>
          </w:r>
          <w:r>
            <w:rPr>
              <w:highlight w:val="none"/>
            </w:rPr>
            <w:fldChar w:fldCharType="begin"/>
          </w:r>
          <w:r>
            <w:rPr>
              <w:highlight w:val="none"/>
            </w:rPr>
            <w:instrText xml:space="preserve"> PAGEREF _Toc2916 \h </w:instrText>
          </w:r>
          <w:r>
            <w:rPr>
              <w:highlight w:val="none"/>
            </w:rPr>
            <w:fldChar w:fldCharType="separate"/>
          </w:r>
          <w:r>
            <w:rPr>
              <w:highlight w:val="none"/>
            </w:rPr>
            <w:t>3</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_Toc32418 </w:instrText>
          </w:r>
          <w:r>
            <w:rPr>
              <w:rFonts w:eastAsiaTheme="minorEastAsia"/>
              <w:bCs/>
              <w:szCs w:val="24"/>
              <w:highlight w:val="none"/>
              <w:lang w:val="zh-CN"/>
            </w:rPr>
            <w:fldChar w:fldCharType="separate"/>
          </w:r>
          <w:r>
            <w:rPr>
              <w:rFonts w:hint="eastAsia"/>
              <w:iCs/>
              <w:szCs w:val="24"/>
              <w:highlight w:val="none"/>
            </w:rPr>
            <w:t xml:space="preserve">第四条 </w:t>
          </w:r>
          <w:r>
            <w:rPr>
              <w:iCs/>
              <w:szCs w:val="24"/>
              <w:highlight w:val="none"/>
            </w:rPr>
            <w:t>运输方式</w:t>
          </w:r>
          <w:r>
            <w:rPr>
              <w:highlight w:val="none"/>
            </w:rPr>
            <w:tab/>
          </w:r>
          <w:r>
            <w:rPr>
              <w:highlight w:val="none"/>
            </w:rPr>
            <w:fldChar w:fldCharType="begin"/>
          </w:r>
          <w:r>
            <w:rPr>
              <w:highlight w:val="none"/>
            </w:rPr>
            <w:instrText xml:space="preserve"> PAGEREF _Toc32418 \h </w:instrText>
          </w:r>
          <w:r>
            <w:rPr>
              <w:highlight w:val="none"/>
            </w:rPr>
            <w:fldChar w:fldCharType="separate"/>
          </w:r>
          <w:r>
            <w:rPr>
              <w:highlight w:val="none"/>
            </w:rPr>
            <w:t>4</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_Toc5425 </w:instrText>
          </w:r>
          <w:r>
            <w:rPr>
              <w:rFonts w:eastAsiaTheme="minorEastAsia"/>
              <w:bCs/>
              <w:szCs w:val="24"/>
              <w:highlight w:val="none"/>
              <w:lang w:val="zh-CN"/>
            </w:rPr>
            <w:fldChar w:fldCharType="separate"/>
          </w:r>
          <w:r>
            <w:rPr>
              <w:rFonts w:hint="eastAsia"/>
              <w:iCs/>
              <w:szCs w:val="24"/>
              <w:highlight w:val="none"/>
            </w:rPr>
            <w:t xml:space="preserve">第五条 </w:t>
          </w:r>
          <w:r>
            <w:rPr>
              <w:iCs/>
              <w:szCs w:val="24"/>
              <w:highlight w:val="none"/>
            </w:rPr>
            <w:t>保险</w:t>
          </w:r>
          <w:r>
            <w:rPr>
              <w:highlight w:val="none"/>
            </w:rPr>
            <w:tab/>
          </w:r>
          <w:r>
            <w:rPr>
              <w:highlight w:val="none"/>
            </w:rPr>
            <w:fldChar w:fldCharType="begin"/>
          </w:r>
          <w:r>
            <w:rPr>
              <w:highlight w:val="none"/>
            </w:rPr>
            <w:instrText xml:space="preserve"> PAGEREF _Toc5425 \h </w:instrText>
          </w:r>
          <w:r>
            <w:rPr>
              <w:highlight w:val="none"/>
            </w:rPr>
            <w:fldChar w:fldCharType="separate"/>
          </w:r>
          <w:r>
            <w:rPr>
              <w:highlight w:val="none"/>
            </w:rPr>
            <w:t>4</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_Toc6365 </w:instrText>
          </w:r>
          <w:r>
            <w:rPr>
              <w:rFonts w:eastAsiaTheme="minorEastAsia"/>
              <w:bCs/>
              <w:szCs w:val="24"/>
              <w:highlight w:val="none"/>
              <w:lang w:val="zh-CN"/>
            </w:rPr>
            <w:fldChar w:fldCharType="separate"/>
          </w:r>
          <w:r>
            <w:rPr>
              <w:rFonts w:hint="eastAsia"/>
              <w:iCs/>
              <w:szCs w:val="24"/>
              <w:highlight w:val="none"/>
            </w:rPr>
            <w:t xml:space="preserve">第六条 </w:t>
          </w:r>
          <w:r>
            <w:rPr>
              <w:iCs/>
              <w:szCs w:val="24"/>
              <w:highlight w:val="none"/>
            </w:rPr>
            <w:t>付款方式</w:t>
          </w:r>
          <w:r>
            <w:rPr>
              <w:highlight w:val="none"/>
            </w:rPr>
            <w:tab/>
          </w:r>
          <w:r>
            <w:rPr>
              <w:highlight w:val="none"/>
            </w:rPr>
            <w:fldChar w:fldCharType="begin"/>
          </w:r>
          <w:r>
            <w:rPr>
              <w:highlight w:val="none"/>
            </w:rPr>
            <w:instrText xml:space="preserve"> PAGEREF _Toc6365 \h </w:instrText>
          </w:r>
          <w:r>
            <w:rPr>
              <w:highlight w:val="none"/>
            </w:rPr>
            <w:fldChar w:fldCharType="separate"/>
          </w:r>
          <w:r>
            <w:rPr>
              <w:highlight w:val="none"/>
            </w:rPr>
            <w:t>5</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_Toc12099 </w:instrText>
          </w:r>
          <w:r>
            <w:rPr>
              <w:rFonts w:eastAsiaTheme="minorEastAsia"/>
              <w:bCs/>
              <w:szCs w:val="24"/>
              <w:highlight w:val="none"/>
              <w:lang w:val="zh-CN"/>
            </w:rPr>
            <w:fldChar w:fldCharType="separate"/>
          </w:r>
          <w:r>
            <w:rPr>
              <w:rFonts w:hint="eastAsia"/>
              <w:iCs/>
              <w:szCs w:val="24"/>
              <w:highlight w:val="none"/>
            </w:rPr>
            <w:t xml:space="preserve">第七条 </w:t>
          </w:r>
          <w:r>
            <w:rPr>
              <w:iCs/>
              <w:szCs w:val="24"/>
              <w:highlight w:val="none"/>
            </w:rPr>
            <w:t>货物交付</w:t>
          </w:r>
          <w:r>
            <w:rPr>
              <w:highlight w:val="none"/>
            </w:rPr>
            <w:tab/>
          </w:r>
          <w:r>
            <w:rPr>
              <w:highlight w:val="none"/>
            </w:rPr>
            <w:fldChar w:fldCharType="begin"/>
          </w:r>
          <w:r>
            <w:rPr>
              <w:highlight w:val="none"/>
            </w:rPr>
            <w:instrText xml:space="preserve"> PAGEREF _Toc12099 \h </w:instrText>
          </w:r>
          <w:r>
            <w:rPr>
              <w:highlight w:val="none"/>
            </w:rPr>
            <w:fldChar w:fldCharType="separate"/>
          </w:r>
          <w:r>
            <w:rPr>
              <w:highlight w:val="none"/>
            </w:rPr>
            <w:t>6</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_Toc24960 </w:instrText>
          </w:r>
          <w:r>
            <w:rPr>
              <w:rFonts w:eastAsiaTheme="minorEastAsia"/>
              <w:bCs/>
              <w:szCs w:val="24"/>
              <w:highlight w:val="none"/>
              <w:lang w:val="zh-CN"/>
            </w:rPr>
            <w:fldChar w:fldCharType="separate"/>
          </w:r>
          <w:r>
            <w:rPr>
              <w:rFonts w:hint="eastAsia"/>
              <w:iCs/>
              <w:szCs w:val="24"/>
              <w:highlight w:val="none"/>
            </w:rPr>
            <w:t xml:space="preserve">第八条 </w:t>
          </w:r>
          <w:r>
            <w:rPr>
              <w:iCs/>
              <w:szCs w:val="24"/>
              <w:highlight w:val="none"/>
            </w:rPr>
            <w:t>技术资料</w:t>
          </w:r>
          <w:r>
            <w:rPr>
              <w:highlight w:val="none"/>
            </w:rPr>
            <w:tab/>
          </w:r>
          <w:r>
            <w:rPr>
              <w:highlight w:val="none"/>
            </w:rPr>
            <w:fldChar w:fldCharType="begin"/>
          </w:r>
          <w:r>
            <w:rPr>
              <w:highlight w:val="none"/>
            </w:rPr>
            <w:instrText xml:space="preserve"> PAGEREF _Toc24960 \h </w:instrText>
          </w:r>
          <w:r>
            <w:rPr>
              <w:highlight w:val="none"/>
            </w:rPr>
            <w:fldChar w:fldCharType="separate"/>
          </w:r>
          <w:r>
            <w:rPr>
              <w:highlight w:val="none"/>
            </w:rPr>
            <w:t>7</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_Toc7529 </w:instrText>
          </w:r>
          <w:r>
            <w:rPr>
              <w:rFonts w:eastAsiaTheme="minorEastAsia"/>
              <w:bCs/>
              <w:szCs w:val="24"/>
              <w:highlight w:val="none"/>
              <w:lang w:val="zh-CN"/>
            </w:rPr>
            <w:fldChar w:fldCharType="separate"/>
          </w:r>
          <w:r>
            <w:rPr>
              <w:rFonts w:hint="eastAsia"/>
              <w:iCs/>
              <w:szCs w:val="24"/>
              <w:highlight w:val="none"/>
            </w:rPr>
            <w:t xml:space="preserve">第九条 </w:t>
          </w:r>
          <w:r>
            <w:rPr>
              <w:iCs/>
              <w:szCs w:val="24"/>
              <w:highlight w:val="none"/>
            </w:rPr>
            <w:t>货物质量及质保期</w:t>
          </w:r>
          <w:r>
            <w:rPr>
              <w:highlight w:val="none"/>
            </w:rPr>
            <w:tab/>
          </w:r>
          <w:r>
            <w:rPr>
              <w:highlight w:val="none"/>
            </w:rPr>
            <w:fldChar w:fldCharType="begin"/>
          </w:r>
          <w:r>
            <w:rPr>
              <w:highlight w:val="none"/>
            </w:rPr>
            <w:instrText xml:space="preserve"> PAGEREF _Toc7529 \h </w:instrText>
          </w:r>
          <w:r>
            <w:rPr>
              <w:highlight w:val="none"/>
            </w:rPr>
            <w:fldChar w:fldCharType="separate"/>
          </w:r>
          <w:r>
            <w:rPr>
              <w:highlight w:val="none"/>
            </w:rPr>
            <w:t>8</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_Toc6399 </w:instrText>
          </w:r>
          <w:r>
            <w:rPr>
              <w:rFonts w:eastAsiaTheme="minorEastAsia"/>
              <w:bCs/>
              <w:szCs w:val="24"/>
              <w:highlight w:val="none"/>
              <w:lang w:val="zh-CN"/>
            </w:rPr>
            <w:fldChar w:fldCharType="separate"/>
          </w:r>
          <w:r>
            <w:rPr>
              <w:rFonts w:hint="eastAsia"/>
              <w:iCs/>
              <w:szCs w:val="24"/>
              <w:highlight w:val="none"/>
            </w:rPr>
            <w:t xml:space="preserve">第十条 </w:t>
          </w:r>
          <w:r>
            <w:rPr>
              <w:iCs/>
              <w:szCs w:val="24"/>
              <w:highlight w:val="none"/>
            </w:rPr>
            <w:t>验收</w:t>
          </w:r>
          <w:r>
            <w:rPr>
              <w:highlight w:val="none"/>
            </w:rPr>
            <w:tab/>
          </w:r>
          <w:r>
            <w:rPr>
              <w:highlight w:val="none"/>
            </w:rPr>
            <w:fldChar w:fldCharType="begin"/>
          </w:r>
          <w:r>
            <w:rPr>
              <w:highlight w:val="none"/>
            </w:rPr>
            <w:instrText xml:space="preserve"> PAGEREF _Toc6399 \h </w:instrText>
          </w:r>
          <w:r>
            <w:rPr>
              <w:highlight w:val="none"/>
            </w:rPr>
            <w:fldChar w:fldCharType="separate"/>
          </w:r>
          <w:r>
            <w:rPr>
              <w:highlight w:val="none"/>
            </w:rPr>
            <w:t>9</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_Toc25276 </w:instrText>
          </w:r>
          <w:r>
            <w:rPr>
              <w:rFonts w:eastAsiaTheme="minorEastAsia"/>
              <w:bCs/>
              <w:szCs w:val="24"/>
              <w:highlight w:val="none"/>
              <w:lang w:val="zh-CN"/>
            </w:rPr>
            <w:fldChar w:fldCharType="separate"/>
          </w:r>
          <w:r>
            <w:rPr>
              <w:rFonts w:hint="eastAsia"/>
              <w:iCs/>
              <w:szCs w:val="24"/>
              <w:highlight w:val="none"/>
            </w:rPr>
            <w:t xml:space="preserve">第十一条 </w:t>
          </w:r>
          <w:r>
            <w:rPr>
              <w:iCs/>
              <w:szCs w:val="24"/>
              <w:highlight w:val="none"/>
            </w:rPr>
            <w:t>风险负担</w:t>
          </w:r>
          <w:r>
            <w:rPr>
              <w:highlight w:val="none"/>
            </w:rPr>
            <w:tab/>
          </w:r>
          <w:r>
            <w:rPr>
              <w:highlight w:val="none"/>
            </w:rPr>
            <w:fldChar w:fldCharType="begin"/>
          </w:r>
          <w:r>
            <w:rPr>
              <w:highlight w:val="none"/>
            </w:rPr>
            <w:instrText xml:space="preserve"> PAGEREF _Toc25276 \h </w:instrText>
          </w:r>
          <w:r>
            <w:rPr>
              <w:highlight w:val="none"/>
            </w:rPr>
            <w:fldChar w:fldCharType="separate"/>
          </w:r>
          <w:r>
            <w:rPr>
              <w:highlight w:val="none"/>
            </w:rPr>
            <w:t>10</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_Toc12468 </w:instrText>
          </w:r>
          <w:r>
            <w:rPr>
              <w:rFonts w:eastAsiaTheme="minorEastAsia"/>
              <w:bCs/>
              <w:szCs w:val="24"/>
              <w:highlight w:val="none"/>
              <w:lang w:val="zh-CN"/>
            </w:rPr>
            <w:fldChar w:fldCharType="separate"/>
          </w:r>
          <w:r>
            <w:rPr>
              <w:rFonts w:hint="eastAsia"/>
              <w:iCs/>
              <w:szCs w:val="24"/>
              <w:highlight w:val="none"/>
            </w:rPr>
            <w:t xml:space="preserve">第十二条 </w:t>
          </w:r>
          <w:r>
            <w:rPr>
              <w:iCs/>
              <w:szCs w:val="24"/>
              <w:highlight w:val="none"/>
            </w:rPr>
            <w:t>培训</w:t>
          </w:r>
          <w:r>
            <w:rPr>
              <w:highlight w:val="none"/>
            </w:rPr>
            <w:tab/>
          </w:r>
          <w:r>
            <w:rPr>
              <w:highlight w:val="none"/>
            </w:rPr>
            <w:fldChar w:fldCharType="begin"/>
          </w:r>
          <w:r>
            <w:rPr>
              <w:highlight w:val="none"/>
            </w:rPr>
            <w:instrText xml:space="preserve"> PAGEREF _Toc12468 \h </w:instrText>
          </w:r>
          <w:r>
            <w:rPr>
              <w:highlight w:val="none"/>
            </w:rPr>
            <w:fldChar w:fldCharType="separate"/>
          </w:r>
          <w:r>
            <w:rPr>
              <w:highlight w:val="none"/>
            </w:rPr>
            <w:t>10</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_Toc25394 </w:instrText>
          </w:r>
          <w:r>
            <w:rPr>
              <w:rFonts w:eastAsiaTheme="minorEastAsia"/>
              <w:bCs/>
              <w:szCs w:val="24"/>
              <w:highlight w:val="none"/>
              <w:lang w:val="zh-CN"/>
            </w:rPr>
            <w:fldChar w:fldCharType="separate"/>
          </w:r>
          <w:r>
            <w:rPr>
              <w:rFonts w:hint="eastAsia"/>
              <w:iCs/>
              <w:szCs w:val="24"/>
              <w:highlight w:val="none"/>
            </w:rPr>
            <w:t xml:space="preserve">第十三条 </w:t>
          </w:r>
          <w:r>
            <w:rPr>
              <w:iCs/>
              <w:szCs w:val="24"/>
              <w:highlight w:val="none"/>
            </w:rPr>
            <w:t>知识产权和其他权利保证</w:t>
          </w:r>
          <w:r>
            <w:rPr>
              <w:highlight w:val="none"/>
            </w:rPr>
            <w:tab/>
          </w:r>
          <w:r>
            <w:rPr>
              <w:highlight w:val="none"/>
            </w:rPr>
            <w:fldChar w:fldCharType="begin"/>
          </w:r>
          <w:r>
            <w:rPr>
              <w:highlight w:val="none"/>
            </w:rPr>
            <w:instrText xml:space="preserve"> PAGEREF _Toc25394 \h </w:instrText>
          </w:r>
          <w:r>
            <w:rPr>
              <w:highlight w:val="none"/>
            </w:rPr>
            <w:fldChar w:fldCharType="separate"/>
          </w:r>
          <w:r>
            <w:rPr>
              <w:highlight w:val="none"/>
            </w:rPr>
            <w:t>10</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_Toc23741 </w:instrText>
          </w:r>
          <w:r>
            <w:rPr>
              <w:rFonts w:eastAsiaTheme="minorEastAsia"/>
              <w:bCs/>
              <w:szCs w:val="24"/>
              <w:highlight w:val="none"/>
              <w:lang w:val="zh-CN"/>
            </w:rPr>
            <w:fldChar w:fldCharType="separate"/>
          </w:r>
          <w:r>
            <w:rPr>
              <w:rFonts w:hint="eastAsia"/>
              <w:iCs/>
              <w:szCs w:val="24"/>
              <w:highlight w:val="none"/>
            </w:rPr>
            <w:t xml:space="preserve">第十四条 </w:t>
          </w:r>
          <w:r>
            <w:rPr>
              <w:iCs/>
              <w:szCs w:val="24"/>
              <w:highlight w:val="none"/>
            </w:rPr>
            <w:t>延迟交货和违约金</w:t>
          </w:r>
          <w:r>
            <w:rPr>
              <w:highlight w:val="none"/>
            </w:rPr>
            <w:tab/>
          </w:r>
          <w:r>
            <w:rPr>
              <w:highlight w:val="none"/>
            </w:rPr>
            <w:fldChar w:fldCharType="begin"/>
          </w:r>
          <w:r>
            <w:rPr>
              <w:highlight w:val="none"/>
            </w:rPr>
            <w:instrText xml:space="preserve"> PAGEREF _Toc23741 \h </w:instrText>
          </w:r>
          <w:r>
            <w:rPr>
              <w:highlight w:val="none"/>
            </w:rPr>
            <w:fldChar w:fldCharType="separate"/>
          </w:r>
          <w:r>
            <w:rPr>
              <w:highlight w:val="none"/>
            </w:rPr>
            <w:t>12</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_Toc19070 </w:instrText>
          </w:r>
          <w:r>
            <w:rPr>
              <w:rFonts w:eastAsiaTheme="minorEastAsia"/>
              <w:bCs/>
              <w:szCs w:val="24"/>
              <w:highlight w:val="none"/>
              <w:lang w:val="zh-CN"/>
            </w:rPr>
            <w:fldChar w:fldCharType="separate"/>
          </w:r>
          <w:r>
            <w:rPr>
              <w:rFonts w:hint="eastAsia"/>
              <w:iCs/>
              <w:szCs w:val="24"/>
              <w:highlight w:val="none"/>
            </w:rPr>
            <w:t xml:space="preserve">第十五条 </w:t>
          </w:r>
          <w:r>
            <w:rPr>
              <w:iCs/>
              <w:szCs w:val="24"/>
              <w:highlight w:val="none"/>
            </w:rPr>
            <w:t>违约责任</w:t>
          </w:r>
          <w:r>
            <w:rPr>
              <w:highlight w:val="none"/>
            </w:rPr>
            <w:tab/>
          </w:r>
          <w:r>
            <w:rPr>
              <w:highlight w:val="none"/>
            </w:rPr>
            <w:fldChar w:fldCharType="begin"/>
          </w:r>
          <w:r>
            <w:rPr>
              <w:highlight w:val="none"/>
            </w:rPr>
            <w:instrText xml:space="preserve"> PAGEREF _Toc19070 \h </w:instrText>
          </w:r>
          <w:r>
            <w:rPr>
              <w:highlight w:val="none"/>
            </w:rPr>
            <w:fldChar w:fldCharType="separate"/>
          </w:r>
          <w:r>
            <w:rPr>
              <w:highlight w:val="none"/>
            </w:rPr>
            <w:t>12</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_Toc2500 </w:instrText>
          </w:r>
          <w:r>
            <w:rPr>
              <w:rFonts w:eastAsiaTheme="minorEastAsia"/>
              <w:bCs/>
              <w:szCs w:val="24"/>
              <w:highlight w:val="none"/>
              <w:lang w:val="zh-CN"/>
            </w:rPr>
            <w:fldChar w:fldCharType="separate"/>
          </w:r>
          <w:r>
            <w:rPr>
              <w:rFonts w:hint="eastAsia"/>
              <w:iCs/>
              <w:szCs w:val="24"/>
              <w:highlight w:val="none"/>
            </w:rPr>
            <w:t xml:space="preserve">第十六条 </w:t>
          </w:r>
          <w:r>
            <w:rPr>
              <w:iCs/>
              <w:szCs w:val="24"/>
              <w:highlight w:val="none"/>
            </w:rPr>
            <w:t>不可抗力</w:t>
          </w:r>
          <w:r>
            <w:rPr>
              <w:highlight w:val="none"/>
            </w:rPr>
            <w:tab/>
          </w:r>
          <w:r>
            <w:rPr>
              <w:highlight w:val="none"/>
            </w:rPr>
            <w:fldChar w:fldCharType="begin"/>
          </w:r>
          <w:r>
            <w:rPr>
              <w:highlight w:val="none"/>
            </w:rPr>
            <w:instrText xml:space="preserve"> PAGEREF _Toc2500 \h </w:instrText>
          </w:r>
          <w:r>
            <w:rPr>
              <w:highlight w:val="none"/>
            </w:rPr>
            <w:fldChar w:fldCharType="separate"/>
          </w:r>
          <w:r>
            <w:rPr>
              <w:highlight w:val="none"/>
            </w:rPr>
            <w:t>14</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_Toc11078 </w:instrText>
          </w:r>
          <w:r>
            <w:rPr>
              <w:rFonts w:eastAsiaTheme="minorEastAsia"/>
              <w:bCs/>
              <w:szCs w:val="24"/>
              <w:highlight w:val="none"/>
              <w:lang w:val="zh-CN"/>
            </w:rPr>
            <w:fldChar w:fldCharType="separate"/>
          </w:r>
          <w:r>
            <w:rPr>
              <w:rFonts w:hint="eastAsia"/>
              <w:iCs/>
              <w:szCs w:val="24"/>
              <w:highlight w:val="none"/>
            </w:rPr>
            <w:t xml:space="preserve">第十七条 </w:t>
          </w:r>
          <w:r>
            <w:rPr>
              <w:iCs/>
              <w:szCs w:val="24"/>
              <w:highlight w:val="none"/>
            </w:rPr>
            <w:t>合同解除</w:t>
          </w:r>
          <w:r>
            <w:rPr>
              <w:highlight w:val="none"/>
            </w:rPr>
            <w:tab/>
          </w:r>
          <w:r>
            <w:rPr>
              <w:highlight w:val="none"/>
            </w:rPr>
            <w:fldChar w:fldCharType="begin"/>
          </w:r>
          <w:r>
            <w:rPr>
              <w:highlight w:val="none"/>
            </w:rPr>
            <w:instrText xml:space="preserve"> PAGEREF _Toc11078 \h </w:instrText>
          </w:r>
          <w:r>
            <w:rPr>
              <w:highlight w:val="none"/>
            </w:rPr>
            <w:fldChar w:fldCharType="separate"/>
          </w:r>
          <w:r>
            <w:rPr>
              <w:highlight w:val="none"/>
            </w:rPr>
            <w:t>14</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_Toc32245 </w:instrText>
          </w:r>
          <w:r>
            <w:rPr>
              <w:rFonts w:eastAsiaTheme="minorEastAsia"/>
              <w:bCs/>
              <w:szCs w:val="24"/>
              <w:highlight w:val="none"/>
              <w:lang w:val="zh-CN"/>
            </w:rPr>
            <w:fldChar w:fldCharType="separate"/>
          </w:r>
          <w:r>
            <w:rPr>
              <w:rFonts w:hint="eastAsia"/>
              <w:iCs/>
              <w:szCs w:val="24"/>
              <w:highlight w:val="none"/>
            </w:rPr>
            <w:t xml:space="preserve">第十八条 </w:t>
          </w:r>
          <w:r>
            <w:rPr>
              <w:iCs/>
              <w:szCs w:val="24"/>
              <w:highlight w:val="none"/>
            </w:rPr>
            <w:t>适用法律和争议解决</w:t>
          </w:r>
          <w:r>
            <w:rPr>
              <w:highlight w:val="none"/>
            </w:rPr>
            <w:tab/>
          </w:r>
          <w:r>
            <w:rPr>
              <w:highlight w:val="none"/>
            </w:rPr>
            <w:fldChar w:fldCharType="begin"/>
          </w:r>
          <w:r>
            <w:rPr>
              <w:highlight w:val="none"/>
            </w:rPr>
            <w:instrText xml:space="preserve"> PAGEREF _Toc32245 \h </w:instrText>
          </w:r>
          <w:r>
            <w:rPr>
              <w:highlight w:val="none"/>
            </w:rPr>
            <w:fldChar w:fldCharType="separate"/>
          </w:r>
          <w:r>
            <w:rPr>
              <w:highlight w:val="none"/>
            </w:rPr>
            <w:t>15</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_Toc8376 </w:instrText>
          </w:r>
          <w:r>
            <w:rPr>
              <w:rFonts w:eastAsiaTheme="minorEastAsia"/>
              <w:bCs/>
              <w:szCs w:val="24"/>
              <w:highlight w:val="none"/>
              <w:lang w:val="zh-CN"/>
            </w:rPr>
            <w:fldChar w:fldCharType="separate"/>
          </w:r>
          <w:r>
            <w:rPr>
              <w:rFonts w:hint="eastAsia"/>
              <w:iCs/>
              <w:szCs w:val="24"/>
              <w:highlight w:val="none"/>
            </w:rPr>
            <w:t xml:space="preserve">第十九条 </w:t>
          </w:r>
          <w:r>
            <w:rPr>
              <w:iCs/>
              <w:szCs w:val="24"/>
              <w:highlight w:val="none"/>
            </w:rPr>
            <w:t>保密</w:t>
          </w:r>
          <w:r>
            <w:rPr>
              <w:highlight w:val="none"/>
            </w:rPr>
            <w:tab/>
          </w:r>
          <w:r>
            <w:rPr>
              <w:highlight w:val="none"/>
            </w:rPr>
            <w:fldChar w:fldCharType="begin"/>
          </w:r>
          <w:r>
            <w:rPr>
              <w:highlight w:val="none"/>
            </w:rPr>
            <w:instrText xml:space="preserve"> PAGEREF _Toc8376 \h </w:instrText>
          </w:r>
          <w:r>
            <w:rPr>
              <w:highlight w:val="none"/>
            </w:rPr>
            <w:fldChar w:fldCharType="separate"/>
          </w:r>
          <w:r>
            <w:rPr>
              <w:highlight w:val="none"/>
            </w:rPr>
            <w:t>15</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_Toc26285 </w:instrText>
          </w:r>
          <w:r>
            <w:rPr>
              <w:rFonts w:eastAsiaTheme="minorEastAsia"/>
              <w:bCs/>
              <w:szCs w:val="24"/>
              <w:highlight w:val="none"/>
              <w:lang w:val="zh-CN"/>
            </w:rPr>
            <w:fldChar w:fldCharType="separate"/>
          </w:r>
          <w:r>
            <w:rPr>
              <w:rFonts w:hint="eastAsia"/>
              <w:iCs/>
              <w:szCs w:val="24"/>
              <w:highlight w:val="none"/>
            </w:rPr>
            <w:t xml:space="preserve">第二十条 </w:t>
          </w:r>
          <w:r>
            <w:rPr>
              <w:iCs/>
              <w:szCs w:val="24"/>
              <w:highlight w:val="none"/>
            </w:rPr>
            <w:t>转让与分包</w:t>
          </w:r>
          <w:r>
            <w:rPr>
              <w:highlight w:val="none"/>
            </w:rPr>
            <w:tab/>
          </w:r>
          <w:r>
            <w:rPr>
              <w:highlight w:val="none"/>
            </w:rPr>
            <w:fldChar w:fldCharType="begin"/>
          </w:r>
          <w:r>
            <w:rPr>
              <w:highlight w:val="none"/>
            </w:rPr>
            <w:instrText xml:space="preserve"> PAGEREF _Toc26285 \h </w:instrText>
          </w:r>
          <w:r>
            <w:rPr>
              <w:highlight w:val="none"/>
            </w:rPr>
            <w:fldChar w:fldCharType="separate"/>
          </w:r>
          <w:r>
            <w:rPr>
              <w:highlight w:val="none"/>
            </w:rPr>
            <w:t>16</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_Toc19965 </w:instrText>
          </w:r>
          <w:r>
            <w:rPr>
              <w:rFonts w:eastAsiaTheme="minorEastAsia"/>
              <w:bCs/>
              <w:szCs w:val="24"/>
              <w:highlight w:val="none"/>
              <w:lang w:val="zh-CN"/>
            </w:rPr>
            <w:fldChar w:fldCharType="separate"/>
          </w:r>
          <w:r>
            <w:rPr>
              <w:rFonts w:hint="eastAsia"/>
              <w:iCs/>
              <w:szCs w:val="24"/>
              <w:highlight w:val="none"/>
            </w:rPr>
            <w:t xml:space="preserve">第二十一条 </w:t>
          </w:r>
          <w:r>
            <w:rPr>
              <w:iCs/>
              <w:szCs w:val="24"/>
              <w:highlight w:val="none"/>
            </w:rPr>
            <w:t>通知</w:t>
          </w:r>
          <w:r>
            <w:rPr>
              <w:highlight w:val="none"/>
            </w:rPr>
            <w:tab/>
          </w:r>
          <w:r>
            <w:rPr>
              <w:highlight w:val="none"/>
            </w:rPr>
            <w:fldChar w:fldCharType="begin"/>
          </w:r>
          <w:r>
            <w:rPr>
              <w:highlight w:val="none"/>
            </w:rPr>
            <w:instrText xml:space="preserve"> PAGEREF _Toc19965 \h </w:instrText>
          </w:r>
          <w:r>
            <w:rPr>
              <w:highlight w:val="none"/>
            </w:rPr>
            <w:fldChar w:fldCharType="separate"/>
          </w:r>
          <w:r>
            <w:rPr>
              <w:highlight w:val="none"/>
            </w:rPr>
            <w:t>17</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_Toc24751 </w:instrText>
          </w:r>
          <w:r>
            <w:rPr>
              <w:rFonts w:eastAsiaTheme="minorEastAsia"/>
              <w:bCs/>
              <w:szCs w:val="24"/>
              <w:highlight w:val="none"/>
              <w:lang w:val="zh-CN"/>
            </w:rPr>
            <w:fldChar w:fldCharType="separate"/>
          </w:r>
          <w:r>
            <w:rPr>
              <w:rFonts w:hint="eastAsia"/>
              <w:iCs/>
              <w:szCs w:val="24"/>
              <w:highlight w:val="none"/>
            </w:rPr>
            <w:t xml:space="preserve">第二十二条 </w:t>
          </w:r>
          <w:r>
            <w:rPr>
              <w:iCs/>
              <w:szCs w:val="24"/>
              <w:highlight w:val="none"/>
            </w:rPr>
            <w:t>保障与赔偿</w:t>
          </w:r>
          <w:r>
            <w:rPr>
              <w:highlight w:val="none"/>
            </w:rPr>
            <w:tab/>
          </w:r>
          <w:r>
            <w:rPr>
              <w:highlight w:val="none"/>
            </w:rPr>
            <w:fldChar w:fldCharType="begin"/>
          </w:r>
          <w:r>
            <w:rPr>
              <w:highlight w:val="none"/>
            </w:rPr>
            <w:instrText xml:space="preserve"> PAGEREF _Toc24751 \h </w:instrText>
          </w:r>
          <w:r>
            <w:rPr>
              <w:highlight w:val="none"/>
            </w:rPr>
            <w:fldChar w:fldCharType="separate"/>
          </w:r>
          <w:r>
            <w:rPr>
              <w:highlight w:val="none"/>
            </w:rPr>
            <w:t>17</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_Toc12836 </w:instrText>
          </w:r>
          <w:r>
            <w:rPr>
              <w:rFonts w:eastAsiaTheme="minorEastAsia"/>
              <w:bCs/>
              <w:szCs w:val="24"/>
              <w:highlight w:val="none"/>
              <w:lang w:val="zh-CN"/>
            </w:rPr>
            <w:fldChar w:fldCharType="separate"/>
          </w:r>
          <w:r>
            <w:rPr>
              <w:rFonts w:hint="eastAsia"/>
              <w:iCs/>
              <w:szCs w:val="24"/>
              <w:highlight w:val="none"/>
            </w:rPr>
            <w:t xml:space="preserve">第二十三条 </w:t>
          </w:r>
          <w:r>
            <w:rPr>
              <w:iCs/>
              <w:szCs w:val="24"/>
              <w:highlight w:val="none"/>
            </w:rPr>
            <w:t>其他</w:t>
          </w:r>
          <w:r>
            <w:rPr>
              <w:highlight w:val="none"/>
            </w:rPr>
            <w:tab/>
          </w:r>
          <w:r>
            <w:rPr>
              <w:highlight w:val="none"/>
            </w:rPr>
            <w:fldChar w:fldCharType="begin"/>
          </w:r>
          <w:r>
            <w:rPr>
              <w:highlight w:val="none"/>
            </w:rPr>
            <w:instrText xml:space="preserve"> PAGEREF _Toc12836 \h </w:instrText>
          </w:r>
          <w:r>
            <w:rPr>
              <w:highlight w:val="none"/>
            </w:rPr>
            <w:fldChar w:fldCharType="separate"/>
          </w:r>
          <w:r>
            <w:rPr>
              <w:highlight w:val="none"/>
            </w:rPr>
            <w:t>18</w:t>
          </w:r>
          <w:r>
            <w:rPr>
              <w:highlight w:val="none"/>
            </w:rPr>
            <w:fldChar w:fldCharType="end"/>
          </w:r>
          <w:r>
            <w:rPr>
              <w:rFonts w:eastAsiaTheme="minorEastAsia"/>
              <w:bCs/>
              <w:szCs w:val="24"/>
              <w:highlight w:val="none"/>
              <w:lang w:val="zh-CN"/>
            </w:rPr>
            <w:fldChar w:fldCharType="end"/>
          </w:r>
        </w:p>
        <w:p>
          <w:pPr>
            <w:pStyle w:val="11"/>
            <w:tabs>
              <w:tab w:val="right" w:leader="dot" w:pos="8787"/>
            </w:tabs>
            <w:rPr>
              <w:highlight w:val="none"/>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_Toc14040 </w:instrText>
          </w:r>
          <w:r>
            <w:rPr>
              <w:rFonts w:eastAsiaTheme="minorEastAsia"/>
              <w:bCs/>
              <w:szCs w:val="24"/>
              <w:highlight w:val="none"/>
              <w:lang w:val="zh-CN"/>
            </w:rPr>
            <w:fldChar w:fldCharType="separate"/>
          </w:r>
          <w:r>
            <w:rPr>
              <w:rFonts w:hint="eastAsia"/>
              <w:iCs/>
              <w:szCs w:val="24"/>
              <w:highlight w:val="none"/>
            </w:rPr>
            <w:t xml:space="preserve">第二十四条 </w:t>
          </w:r>
          <w:r>
            <w:rPr>
              <w:iCs/>
              <w:szCs w:val="24"/>
              <w:highlight w:val="none"/>
            </w:rPr>
            <w:t>附件</w:t>
          </w:r>
          <w:r>
            <w:rPr>
              <w:highlight w:val="none"/>
            </w:rPr>
            <w:tab/>
          </w:r>
          <w:r>
            <w:rPr>
              <w:highlight w:val="none"/>
            </w:rPr>
            <w:fldChar w:fldCharType="begin"/>
          </w:r>
          <w:r>
            <w:rPr>
              <w:highlight w:val="none"/>
            </w:rPr>
            <w:instrText xml:space="preserve"> PAGEREF _Toc14040 \h </w:instrText>
          </w:r>
          <w:r>
            <w:rPr>
              <w:highlight w:val="none"/>
            </w:rPr>
            <w:fldChar w:fldCharType="separate"/>
          </w:r>
          <w:r>
            <w:rPr>
              <w:highlight w:val="none"/>
            </w:rPr>
            <w:t>19</w:t>
          </w:r>
          <w:r>
            <w:rPr>
              <w:highlight w:val="none"/>
            </w:rPr>
            <w:fldChar w:fldCharType="end"/>
          </w:r>
          <w:r>
            <w:rPr>
              <w:rFonts w:eastAsiaTheme="minorEastAsia"/>
              <w:bCs/>
              <w:szCs w:val="24"/>
              <w:highlight w:val="none"/>
              <w:lang w:val="zh-CN"/>
            </w:rPr>
            <w:fldChar w:fldCharType="end"/>
          </w:r>
        </w:p>
        <w:p>
          <w:pPr>
            <w:pStyle w:val="11"/>
            <w:tabs>
              <w:tab w:val="right" w:leader="dot" w:pos="8787"/>
            </w:tabs>
            <w:rPr>
              <w:rFonts w:eastAsiaTheme="minorEastAsia"/>
              <w:bCs/>
              <w:szCs w:val="24"/>
              <w:highlight w:val="none"/>
              <w:lang w:val="zh-CN"/>
            </w:rPr>
          </w:pPr>
          <w:r>
            <w:rPr>
              <w:rFonts w:eastAsiaTheme="minorEastAsia"/>
              <w:bCs/>
              <w:szCs w:val="24"/>
              <w:highlight w:val="none"/>
              <w:lang w:val="zh-CN"/>
            </w:rPr>
            <w:fldChar w:fldCharType="begin"/>
          </w:r>
          <w:r>
            <w:rPr>
              <w:rFonts w:eastAsiaTheme="minorEastAsia"/>
              <w:bCs/>
              <w:szCs w:val="24"/>
              <w:highlight w:val="none"/>
              <w:lang w:val="zh-CN"/>
            </w:rPr>
            <w:instrText xml:space="preserve"> HYPERLINK \l _Toc15474 </w:instrText>
          </w:r>
          <w:r>
            <w:rPr>
              <w:rFonts w:eastAsiaTheme="minorEastAsia"/>
              <w:bCs/>
              <w:szCs w:val="24"/>
              <w:highlight w:val="none"/>
              <w:lang w:val="zh-CN"/>
            </w:rPr>
            <w:fldChar w:fldCharType="separate"/>
          </w:r>
          <w:r>
            <w:rPr>
              <w:szCs w:val="24"/>
              <w:highlight w:val="none"/>
            </w:rPr>
            <w:t>附件一：廉 洁 备 忘 录</w:t>
          </w:r>
          <w:r>
            <w:rPr>
              <w:highlight w:val="none"/>
            </w:rPr>
            <w:tab/>
          </w:r>
          <w:r>
            <w:rPr>
              <w:highlight w:val="none"/>
            </w:rPr>
            <w:fldChar w:fldCharType="begin"/>
          </w:r>
          <w:r>
            <w:rPr>
              <w:highlight w:val="none"/>
            </w:rPr>
            <w:instrText xml:space="preserve"> PAGEREF _Toc15474 \h </w:instrText>
          </w:r>
          <w:r>
            <w:rPr>
              <w:highlight w:val="none"/>
            </w:rPr>
            <w:fldChar w:fldCharType="separate"/>
          </w:r>
          <w:r>
            <w:rPr>
              <w:highlight w:val="none"/>
            </w:rPr>
            <w:t>21</w:t>
          </w:r>
          <w:r>
            <w:rPr>
              <w:highlight w:val="none"/>
            </w:rPr>
            <w:fldChar w:fldCharType="end"/>
          </w:r>
          <w:r>
            <w:rPr>
              <w:rFonts w:eastAsiaTheme="minorEastAsia"/>
              <w:bCs/>
              <w:szCs w:val="24"/>
              <w:highlight w:val="none"/>
              <w:lang w:val="zh-CN"/>
            </w:rPr>
            <w:fldChar w:fldCharType="end"/>
          </w:r>
        </w:p>
        <w:p>
          <w:pPr>
            <w:rPr>
              <w:rFonts w:hint="default" w:eastAsiaTheme="minorEastAsia"/>
              <w:highlight w:val="none"/>
              <w:lang w:val="en-US" w:eastAsia="zh-CN"/>
            </w:rPr>
          </w:pPr>
          <w:r>
            <w:rPr>
              <w:rFonts w:hint="eastAsia" w:eastAsiaTheme="minorEastAsia"/>
              <w:bCs/>
              <w:szCs w:val="24"/>
              <w:highlight w:val="none"/>
              <w:lang w:val="en-US" w:eastAsia="zh-CN"/>
            </w:rPr>
            <w:t>附件二：货物清单</w:t>
          </w:r>
        </w:p>
        <w:p>
          <w:pPr>
            <w:spacing w:line="355" w:lineRule="auto"/>
            <w:rPr>
              <w:highlight w:val="none"/>
            </w:rPr>
          </w:pPr>
          <w:r>
            <w:rPr>
              <w:rFonts w:eastAsiaTheme="minorEastAsia"/>
              <w:bCs/>
              <w:szCs w:val="24"/>
              <w:highlight w:val="none"/>
              <w:lang w:val="zh-CN"/>
            </w:rPr>
            <w:fldChar w:fldCharType="end"/>
          </w:r>
        </w:p>
      </w:sdtContent>
    </w:sdt>
    <w:p>
      <w:pPr>
        <w:tabs>
          <w:tab w:val="center" w:pos="4393"/>
        </w:tabs>
        <w:spacing w:line="360" w:lineRule="auto"/>
        <w:rPr>
          <w:highlight w:val="none"/>
        </w:rPr>
        <w:sectPr>
          <w:headerReference r:id="rId3" w:type="default"/>
          <w:footerReference r:id="rId4" w:type="default"/>
          <w:footerReference r:id="rId5" w:type="even"/>
          <w:pgSz w:w="11906" w:h="16838"/>
          <w:pgMar w:top="1418" w:right="1418" w:bottom="1361" w:left="1701" w:header="851" w:footer="992" w:gutter="0"/>
          <w:pgNumType w:start="1"/>
          <w:cols w:space="425" w:num="1"/>
          <w:docGrid w:type="lines" w:linePitch="312" w:charSpace="0"/>
        </w:sectPr>
      </w:pPr>
    </w:p>
    <w:p>
      <w:pPr>
        <w:pStyle w:val="22"/>
        <w:spacing w:line="360" w:lineRule="auto"/>
        <w:jc w:val="left"/>
        <w:rPr>
          <w:rFonts w:eastAsiaTheme="minorEastAsia"/>
          <w:highlight w:val="none"/>
          <w:lang w:eastAsia="zh-CN"/>
        </w:rPr>
      </w:pPr>
      <w:r>
        <w:rPr>
          <w:rFonts w:eastAsiaTheme="minorEastAsia"/>
          <w:highlight w:val="none"/>
          <w:lang w:eastAsia="zh-CN"/>
        </w:rPr>
        <w:t>本</w:t>
      </w:r>
      <w:bookmarkStart w:id="0" w:name="OLE_LINK144"/>
      <w:bookmarkStart w:id="1" w:name="OLE_LINK145"/>
      <w:r>
        <w:rPr>
          <w:rFonts w:eastAsiaTheme="minorEastAsia"/>
          <w:highlight w:val="none"/>
          <w:lang w:eastAsia="zh-CN"/>
        </w:rPr>
        <w:t>采购合同（以下简称“合同”）</w:t>
      </w:r>
      <w:bookmarkEnd w:id="0"/>
      <w:bookmarkEnd w:id="1"/>
      <w:r>
        <w:rPr>
          <w:rFonts w:eastAsiaTheme="minorEastAsia"/>
          <w:highlight w:val="none"/>
          <w:lang w:eastAsia="zh-CN"/>
        </w:rPr>
        <w:t>由以下双方签订：</w:t>
      </w:r>
    </w:p>
    <w:p>
      <w:pPr>
        <w:spacing w:line="360" w:lineRule="auto"/>
        <w:rPr>
          <w:rFonts w:eastAsiaTheme="minorEastAsia"/>
          <w:b/>
          <w:sz w:val="24"/>
          <w:szCs w:val="24"/>
          <w:highlight w:val="none"/>
        </w:rPr>
      </w:pPr>
      <w:r>
        <w:rPr>
          <w:rFonts w:eastAsiaTheme="minorEastAsia"/>
          <w:b/>
          <w:sz w:val="24"/>
          <w:szCs w:val="24"/>
          <w:highlight w:val="none"/>
        </w:rPr>
        <w:t>买    方：</w:t>
      </w:r>
      <w:r>
        <w:rPr>
          <w:rFonts w:hint="eastAsia" w:eastAsiaTheme="minorEastAsia"/>
          <w:b/>
          <w:sz w:val="24"/>
          <w:szCs w:val="24"/>
          <w:highlight w:val="none"/>
        </w:rPr>
        <w:t>中海油田服务股份有限公司</w:t>
      </w:r>
      <w:r>
        <w:rPr>
          <w:rFonts w:hint="eastAsia" w:eastAsiaTheme="minorEastAsia"/>
          <w:b/>
          <w:color w:val="0000FF"/>
          <w:sz w:val="24"/>
          <w:szCs w:val="24"/>
          <w:highlight w:val="none"/>
          <w:lang w:val="en-US" w:eastAsia="zh-CN"/>
        </w:rPr>
        <w:t>XX</w:t>
      </w:r>
      <w:r>
        <w:rPr>
          <w:rFonts w:hint="eastAsia" w:eastAsiaTheme="minorEastAsia"/>
          <w:b/>
          <w:color w:val="0000FF"/>
          <w:sz w:val="24"/>
          <w:szCs w:val="24"/>
          <w:highlight w:val="none"/>
        </w:rPr>
        <w:t>分公司</w:t>
      </w:r>
    </w:p>
    <w:p>
      <w:pPr>
        <w:spacing w:line="360" w:lineRule="auto"/>
        <w:rPr>
          <w:rFonts w:hint="default" w:ascii="宋体" w:hAnsi="宋体" w:cs="宋体" w:eastAsiaTheme="minorEastAsia"/>
          <w:bCs/>
          <w:szCs w:val="21"/>
          <w:lang w:val="en-US" w:eastAsia="zh-CN"/>
        </w:rPr>
      </w:pPr>
      <w:r>
        <w:rPr>
          <w:rFonts w:eastAsiaTheme="minorEastAsia"/>
          <w:sz w:val="24"/>
          <w:szCs w:val="24"/>
          <w:highlight w:val="none"/>
        </w:rPr>
        <w:t>注册地址：</w:t>
      </w:r>
      <w:r>
        <w:rPr>
          <w:rFonts w:hint="eastAsia" w:cs="Times New Roman" w:eastAsiaTheme="minorEastAsia"/>
          <w:sz w:val="24"/>
          <w:szCs w:val="24"/>
          <w:highlight w:val="none"/>
          <w:lang w:val="en-US" w:eastAsia="zh-CN"/>
        </w:rPr>
        <w:t>XXXXXXXXXXXXXXXX</w:t>
      </w:r>
    </w:p>
    <w:p>
      <w:pPr>
        <w:spacing w:line="360" w:lineRule="auto"/>
        <w:rPr>
          <w:rFonts w:hint="default" w:eastAsiaTheme="minorEastAsia"/>
          <w:sz w:val="24"/>
          <w:szCs w:val="24"/>
          <w:highlight w:val="none"/>
          <w:lang w:val="en-US" w:eastAsia="zh-CN"/>
        </w:rPr>
      </w:pPr>
      <w:r>
        <w:rPr>
          <w:rFonts w:eastAsiaTheme="minorEastAsia"/>
          <w:sz w:val="24"/>
          <w:szCs w:val="24"/>
          <w:highlight w:val="none"/>
        </w:rPr>
        <w:t>法定代表人：</w:t>
      </w:r>
      <w:r>
        <w:rPr>
          <w:rFonts w:hint="eastAsia" w:eastAsiaTheme="minorEastAsia"/>
          <w:sz w:val="24"/>
          <w:szCs w:val="24"/>
          <w:highlight w:val="none"/>
          <w:lang w:val="en-US" w:eastAsia="zh-CN"/>
        </w:rPr>
        <w:t>XXXXXXXXXXXXXXXXX</w:t>
      </w:r>
    </w:p>
    <w:p>
      <w:pPr>
        <w:spacing w:line="360" w:lineRule="auto"/>
        <w:rPr>
          <w:rFonts w:hint="default" w:eastAsiaTheme="minorEastAsia"/>
          <w:sz w:val="24"/>
          <w:szCs w:val="24"/>
          <w:highlight w:val="none"/>
          <w:lang w:val="en-US" w:eastAsia="zh-CN"/>
        </w:rPr>
      </w:pPr>
      <w:r>
        <w:rPr>
          <w:rFonts w:eastAsiaTheme="minorEastAsia"/>
          <w:sz w:val="24"/>
          <w:szCs w:val="24"/>
          <w:highlight w:val="none"/>
        </w:rPr>
        <w:t>统一社会信用代码</w:t>
      </w:r>
      <w:r>
        <w:rPr>
          <w:rFonts w:hint="eastAsia" w:eastAsiaTheme="minorEastAsia"/>
          <w:sz w:val="24"/>
          <w:szCs w:val="24"/>
          <w:highlight w:val="none"/>
          <w:lang w:eastAsia="zh-CN"/>
        </w:rPr>
        <w:t>：</w:t>
      </w:r>
      <w:r>
        <w:rPr>
          <w:rFonts w:hint="eastAsia" w:cs="Times New Roman" w:eastAsiaTheme="minorEastAsia"/>
          <w:color w:val="0000FF"/>
          <w:sz w:val="24"/>
          <w:szCs w:val="24"/>
          <w:highlight w:val="none"/>
          <w:lang w:val="en-US" w:eastAsia="zh-CN"/>
        </w:rPr>
        <w:t>XXXXXXXXXXXXXXXXXXX</w:t>
      </w:r>
    </w:p>
    <w:p>
      <w:pPr>
        <w:spacing w:line="360" w:lineRule="auto"/>
        <w:rPr>
          <w:rFonts w:hint="default" w:ascii="Times New Roman" w:hAnsi="Times New Roman" w:cs="Times New Roman" w:eastAsiaTheme="minorEastAsia"/>
          <w:sz w:val="24"/>
          <w:szCs w:val="24"/>
          <w:highlight w:val="none"/>
          <w:lang w:val="en-US" w:eastAsia="zh-CN"/>
        </w:rPr>
      </w:pPr>
      <w:r>
        <w:rPr>
          <w:rFonts w:eastAsiaTheme="minorEastAsia"/>
          <w:sz w:val="24"/>
          <w:szCs w:val="24"/>
          <w:highlight w:val="none"/>
        </w:rPr>
        <w:t>办公地址：</w:t>
      </w:r>
      <w:r>
        <w:rPr>
          <w:rFonts w:hint="eastAsia" w:cs="Times New Roman" w:eastAsiaTheme="minorEastAsia"/>
          <w:sz w:val="24"/>
          <w:szCs w:val="24"/>
          <w:highlight w:val="none"/>
          <w:lang w:val="en-US" w:eastAsia="zh-CN"/>
        </w:rPr>
        <w:t>XXXXXXXXXXXXXXXXXXXX</w:t>
      </w:r>
    </w:p>
    <w:p>
      <w:pPr>
        <w:spacing w:line="360" w:lineRule="auto"/>
        <w:rPr>
          <w:rFonts w:hint="default" w:eastAsiaTheme="minorEastAsia"/>
          <w:b/>
          <w:bCs/>
          <w:color w:val="0000FF"/>
          <w:sz w:val="24"/>
          <w:szCs w:val="24"/>
          <w:highlight w:val="none"/>
          <w:lang w:val="en-US" w:eastAsia="zh-CN"/>
        </w:rPr>
      </w:pPr>
      <w:r>
        <w:rPr>
          <w:rFonts w:hint="eastAsia" w:eastAsiaTheme="minorEastAsia"/>
          <w:b/>
          <w:bCs/>
          <w:color w:val="0000FF"/>
          <w:sz w:val="24"/>
          <w:szCs w:val="24"/>
          <w:highlight w:val="none"/>
        </w:rPr>
        <w:t>卖    方：</w:t>
      </w:r>
      <w:r>
        <w:rPr>
          <w:rFonts w:hint="eastAsia" w:eastAsiaTheme="minorEastAsia"/>
          <w:b/>
          <w:bCs/>
          <w:color w:val="0000FF"/>
          <w:sz w:val="24"/>
          <w:szCs w:val="24"/>
          <w:highlight w:val="none"/>
          <w:lang w:val="en-US" w:eastAsia="zh-CN"/>
        </w:rPr>
        <w:t>XXXXXXXXXXXXXXXXXX</w:t>
      </w:r>
    </w:p>
    <w:p>
      <w:pPr>
        <w:spacing w:line="360" w:lineRule="auto"/>
        <w:rPr>
          <w:rFonts w:hint="default" w:eastAsiaTheme="minorEastAsia"/>
          <w:color w:val="0000FF"/>
          <w:sz w:val="24"/>
          <w:szCs w:val="24"/>
          <w:highlight w:val="none"/>
          <w:lang w:val="en-US" w:eastAsia="zh-CN"/>
        </w:rPr>
      </w:pPr>
      <w:r>
        <w:rPr>
          <w:rFonts w:hint="eastAsia" w:eastAsiaTheme="minorEastAsia"/>
          <w:color w:val="0000FF"/>
          <w:sz w:val="24"/>
          <w:szCs w:val="24"/>
          <w:highlight w:val="none"/>
        </w:rPr>
        <w:t>注册地址：</w:t>
      </w:r>
      <w:r>
        <w:rPr>
          <w:rFonts w:hint="eastAsia" w:eastAsiaTheme="minorEastAsia"/>
          <w:color w:val="0000FF"/>
          <w:sz w:val="24"/>
          <w:szCs w:val="24"/>
          <w:highlight w:val="none"/>
          <w:lang w:val="en-US" w:eastAsia="zh-CN"/>
        </w:rPr>
        <w:t>XXXXXXXXXXXXXXXXXX</w:t>
      </w:r>
    </w:p>
    <w:p>
      <w:pPr>
        <w:spacing w:line="360" w:lineRule="auto"/>
        <w:rPr>
          <w:rFonts w:hint="default" w:eastAsiaTheme="minorEastAsia"/>
          <w:color w:val="0000FF"/>
          <w:sz w:val="24"/>
          <w:szCs w:val="24"/>
          <w:highlight w:val="none"/>
          <w:lang w:val="en-US" w:eastAsia="zh-CN"/>
        </w:rPr>
      </w:pPr>
      <w:r>
        <w:rPr>
          <w:rFonts w:hint="eastAsia" w:eastAsiaTheme="minorEastAsia"/>
          <w:color w:val="0000FF"/>
          <w:sz w:val="24"/>
          <w:szCs w:val="24"/>
          <w:highlight w:val="none"/>
        </w:rPr>
        <w:t>法定代表人：</w:t>
      </w:r>
      <w:r>
        <w:rPr>
          <w:rFonts w:hint="eastAsia" w:eastAsiaTheme="minorEastAsia"/>
          <w:color w:val="0000FF"/>
          <w:sz w:val="24"/>
          <w:szCs w:val="24"/>
          <w:highlight w:val="none"/>
          <w:lang w:val="en-US" w:eastAsia="zh-CN"/>
        </w:rPr>
        <w:t>XXXXXXXXXXXXXXXX</w:t>
      </w:r>
    </w:p>
    <w:p>
      <w:pPr>
        <w:spacing w:line="360" w:lineRule="auto"/>
        <w:rPr>
          <w:rFonts w:hint="default" w:eastAsiaTheme="minorEastAsia"/>
          <w:color w:val="0000FF"/>
          <w:sz w:val="24"/>
          <w:szCs w:val="24"/>
          <w:highlight w:val="none"/>
          <w:lang w:val="en-US" w:eastAsia="zh-CN"/>
        </w:rPr>
      </w:pPr>
      <w:r>
        <w:rPr>
          <w:rFonts w:hint="eastAsia" w:eastAsiaTheme="minorEastAsia"/>
          <w:color w:val="0000FF"/>
          <w:sz w:val="24"/>
          <w:szCs w:val="24"/>
          <w:highlight w:val="none"/>
        </w:rPr>
        <w:t>统一社会信用代码：</w:t>
      </w:r>
      <w:r>
        <w:rPr>
          <w:rFonts w:hint="eastAsia" w:eastAsiaTheme="minorEastAsia"/>
          <w:color w:val="0000FF"/>
          <w:sz w:val="24"/>
          <w:szCs w:val="24"/>
          <w:highlight w:val="none"/>
          <w:lang w:val="en-US" w:eastAsia="zh-CN"/>
        </w:rPr>
        <w:t>XXXXXXXXXXXXXXXXXXXX</w:t>
      </w:r>
    </w:p>
    <w:p>
      <w:pPr>
        <w:spacing w:line="360" w:lineRule="auto"/>
        <w:rPr>
          <w:rFonts w:hint="default" w:eastAsiaTheme="minorEastAsia"/>
          <w:color w:val="0000FF"/>
          <w:sz w:val="24"/>
          <w:szCs w:val="24"/>
          <w:highlight w:val="none"/>
          <w:lang w:val="en-US" w:eastAsia="zh-CN"/>
        </w:rPr>
      </w:pPr>
      <w:r>
        <w:rPr>
          <w:rFonts w:hint="eastAsia" w:eastAsiaTheme="minorEastAsia"/>
          <w:color w:val="0000FF"/>
          <w:sz w:val="24"/>
          <w:szCs w:val="24"/>
          <w:highlight w:val="none"/>
        </w:rPr>
        <w:t>办公地址：</w:t>
      </w:r>
      <w:r>
        <w:rPr>
          <w:rFonts w:hint="eastAsia" w:eastAsiaTheme="minorEastAsia"/>
          <w:color w:val="0000FF"/>
          <w:sz w:val="24"/>
          <w:szCs w:val="24"/>
          <w:highlight w:val="none"/>
          <w:lang w:val="en-US" w:eastAsia="zh-CN"/>
        </w:rPr>
        <w:t>XXXXXXXXXXXXXXXX</w:t>
      </w:r>
    </w:p>
    <w:p>
      <w:pPr>
        <w:spacing w:line="360" w:lineRule="auto"/>
        <w:rPr>
          <w:rFonts w:hint="eastAsia" w:eastAsiaTheme="minorEastAsia"/>
          <w:color w:val="0000FF"/>
          <w:sz w:val="24"/>
          <w:szCs w:val="24"/>
          <w:highlight w:val="none"/>
        </w:rPr>
      </w:pPr>
    </w:p>
    <w:p>
      <w:pPr>
        <w:spacing w:line="360" w:lineRule="auto"/>
        <w:ind w:firstLine="480" w:firstLineChars="200"/>
        <w:rPr>
          <w:rFonts w:eastAsiaTheme="minorEastAsia"/>
          <w:sz w:val="24"/>
          <w:szCs w:val="24"/>
          <w:highlight w:val="none"/>
        </w:rPr>
      </w:pPr>
      <w:r>
        <w:rPr>
          <w:rFonts w:eastAsiaTheme="minorEastAsia"/>
          <w:sz w:val="24"/>
          <w:szCs w:val="24"/>
          <w:highlight w:val="none"/>
        </w:rPr>
        <w:t>鉴于，买方是一家根据中华人民共和国法律合法设立并存续的企业，希望购买符合本合同要求的货物；</w:t>
      </w:r>
    </w:p>
    <w:p>
      <w:pPr>
        <w:spacing w:line="360" w:lineRule="auto"/>
        <w:ind w:firstLine="480" w:firstLineChars="200"/>
        <w:rPr>
          <w:rFonts w:eastAsiaTheme="minorEastAsia"/>
          <w:sz w:val="24"/>
          <w:szCs w:val="24"/>
          <w:highlight w:val="none"/>
        </w:rPr>
      </w:pPr>
      <w:r>
        <w:rPr>
          <w:rFonts w:eastAsiaTheme="minorEastAsia"/>
          <w:sz w:val="24"/>
          <w:szCs w:val="24"/>
          <w:highlight w:val="none"/>
        </w:rPr>
        <w:t>鉴于，卖方是一家根据中华人民共和国法律合法设立并存续的企业，具备提供符合本合同要求的货物的全部资质、资格和条件；</w:t>
      </w:r>
    </w:p>
    <w:p>
      <w:pPr>
        <w:spacing w:line="360" w:lineRule="auto"/>
        <w:ind w:firstLine="480" w:firstLineChars="200"/>
        <w:rPr>
          <w:rFonts w:eastAsiaTheme="minorEastAsia"/>
          <w:sz w:val="24"/>
          <w:szCs w:val="24"/>
          <w:highlight w:val="none"/>
        </w:rPr>
      </w:pPr>
      <w:r>
        <w:rPr>
          <w:rFonts w:eastAsiaTheme="minorEastAsia"/>
          <w:sz w:val="24"/>
          <w:szCs w:val="24"/>
          <w:highlight w:val="none"/>
        </w:rPr>
        <w:t>鉴于，卖方在货物的制造、安装、质量保证、技术服务等方面具有较强的专业能力和良好信誉，愿意根据本合同的规定向买方提供货物。</w:t>
      </w:r>
    </w:p>
    <w:p>
      <w:pPr>
        <w:spacing w:line="360" w:lineRule="auto"/>
        <w:ind w:firstLine="480" w:firstLineChars="200"/>
        <w:rPr>
          <w:rFonts w:eastAsiaTheme="minorEastAsia"/>
          <w:sz w:val="24"/>
          <w:szCs w:val="24"/>
          <w:highlight w:val="none"/>
        </w:rPr>
      </w:pPr>
      <w:r>
        <w:rPr>
          <w:rFonts w:eastAsiaTheme="minorEastAsia"/>
          <w:sz w:val="24"/>
          <w:szCs w:val="24"/>
          <w:highlight w:val="none"/>
        </w:rPr>
        <w:t>买方和卖方本着自愿、平等、互惠互利、诚实信用的原则，经友好协商，根据《中华人民共和国民法典》及相关法律法规，订立如下合同条款，并承诺共同恪守履行。</w:t>
      </w:r>
    </w:p>
    <w:p>
      <w:pPr>
        <w:spacing w:line="360" w:lineRule="auto"/>
        <w:ind w:firstLine="480" w:firstLineChars="200"/>
        <w:rPr>
          <w:rFonts w:eastAsiaTheme="minorEastAsia"/>
          <w:sz w:val="24"/>
          <w:szCs w:val="24"/>
          <w:highlight w:val="none"/>
        </w:rPr>
      </w:pPr>
    </w:p>
    <w:p>
      <w:pPr>
        <w:pStyle w:val="2"/>
        <w:numPr>
          <w:ilvl w:val="0"/>
          <w:numId w:val="1"/>
        </w:numPr>
        <w:spacing w:before="0" w:after="0" w:line="360" w:lineRule="auto"/>
        <w:ind w:left="419" w:hanging="130"/>
        <w:jc w:val="center"/>
        <w:rPr>
          <w:iCs/>
          <w:sz w:val="24"/>
          <w:szCs w:val="24"/>
          <w:highlight w:val="none"/>
        </w:rPr>
      </w:pPr>
      <w:bookmarkStart w:id="2" w:name="_Toc274343600"/>
      <w:bookmarkStart w:id="3" w:name="_Toc274754019"/>
      <w:bookmarkStart w:id="4" w:name="_Toc274403529"/>
      <w:bookmarkStart w:id="5" w:name="_Toc287364267"/>
      <w:bookmarkStart w:id="6" w:name="_Toc288567127"/>
      <w:bookmarkStart w:id="7" w:name="_Toc287657099"/>
      <w:bookmarkStart w:id="8" w:name="_Toc152081933"/>
      <w:bookmarkStart w:id="9" w:name="_Toc274075952"/>
      <w:bookmarkStart w:id="10" w:name="_Toc274669313"/>
      <w:bookmarkStart w:id="11" w:name="_Toc275597818"/>
      <w:bookmarkStart w:id="12" w:name="_Toc276157510"/>
      <w:bookmarkStart w:id="13" w:name="_Toc276251151"/>
      <w:bookmarkStart w:id="14" w:name="_Toc274075953"/>
      <w:bookmarkStart w:id="15" w:name="_Toc300671183"/>
      <w:bookmarkStart w:id="16" w:name="_Toc274076141"/>
      <w:bookmarkStart w:id="17" w:name="_Toc11144"/>
      <w:r>
        <w:rPr>
          <w:iCs/>
          <w:sz w:val="24"/>
          <w:szCs w:val="24"/>
          <w:highlight w:val="none"/>
        </w:rPr>
        <w:t>合同标的</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pStyle w:val="20"/>
        <w:numPr>
          <w:ilvl w:val="0"/>
          <w:numId w:val="2"/>
        </w:numPr>
        <w:spacing w:line="360" w:lineRule="auto"/>
        <w:ind w:left="567" w:hanging="567" w:firstLineChars="0"/>
        <w:rPr>
          <w:rFonts w:eastAsiaTheme="minorEastAsia"/>
          <w:sz w:val="24"/>
          <w:highlight w:val="none"/>
        </w:rPr>
      </w:pPr>
      <w:r>
        <w:rPr>
          <w:rFonts w:eastAsiaTheme="minorEastAsia"/>
          <w:sz w:val="24"/>
          <w:highlight w:val="none"/>
        </w:rPr>
        <w:t>货物明细：</w:t>
      </w:r>
    </w:p>
    <w:p>
      <w:pPr>
        <w:spacing w:line="360" w:lineRule="auto"/>
        <w:rPr>
          <w:rFonts w:eastAsiaTheme="minorEastAsia"/>
          <w:sz w:val="24"/>
          <w:highlight w:val="none"/>
        </w:rPr>
      </w:pPr>
      <w:bookmarkStart w:id="18" w:name="_MON_1551506983"/>
      <w:bookmarkEnd w:id="18"/>
      <w:bookmarkStart w:id="19" w:name="_MON_1361856944"/>
      <w:bookmarkEnd w:id="19"/>
      <w:bookmarkStart w:id="20" w:name="_MON_1256562288"/>
      <w:bookmarkEnd w:id="20"/>
      <w:bookmarkStart w:id="21" w:name="_MON_1539677591"/>
      <w:bookmarkEnd w:id="21"/>
      <w:bookmarkStart w:id="22" w:name="_MON_1188987102"/>
      <w:bookmarkEnd w:id="22"/>
      <w:bookmarkStart w:id="23" w:name="_MON_1188046269"/>
      <w:bookmarkEnd w:id="23"/>
      <w:bookmarkStart w:id="24" w:name="_MON_1255429551"/>
      <w:bookmarkEnd w:id="24"/>
      <w:bookmarkStart w:id="25" w:name="_MON_1491646792"/>
      <w:bookmarkEnd w:id="25"/>
      <w:bookmarkStart w:id="26" w:name="_MON_1188987452"/>
      <w:bookmarkEnd w:id="26"/>
      <w:bookmarkStart w:id="27" w:name="_MON_1246085784"/>
      <w:bookmarkEnd w:id="27"/>
      <w:bookmarkStart w:id="28" w:name="_MON_1333975165"/>
      <w:bookmarkEnd w:id="28"/>
      <w:bookmarkStart w:id="29" w:name="_MON_1258870968"/>
      <w:bookmarkEnd w:id="29"/>
      <w:bookmarkStart w:id="30" w:name="_MON_1255429782"/>
      <w:bookmarkEnd w:id="30"/>
      <w:bookmarkStart w:id="31" w:name="_MON_1539685244"/>
      <w:bookmarkEnd w:id="31"/>
      <w:bookmarkStart w:id="32" w:name="_MON_1255429682"/>
      <w:bookmarkEnd w:id="32"/>
      <w:bookmarkStart w:id="33" w:name="_MON_1262585799"/>
      <w:bookmarkEnd w:id="33"/>
      <w:bookmarkStart w:id="34" w:name="_MON_1333975255"/>
      <w:bookmarkEnd w:id="34"/>
      <w:bookmarkStart w:id="35" w:name="_MON_1537940431"/>
      <w:bookmarkEnd w:id="35"/>
      <w:bookmarkStart w:id="36" w:name="_MON_1183963304"/>
      <w:bookmarkEnd w:id="36"/>
      <w:bookmarkStart w:id="37" w:name="_MON_1329544587"/>
      <w:bookmarkEnd w:id="37"/>
      <w:bookmarkStart w:id="38" w:name="_MON_1543073892"/>
      <w:bookmarkEnd w:id="38"/>
      <w:bookmarkStart w:id="39" w:name="_MON_1262585942"/>
      <w:bookmarkEnd w:id="39"/>
      <w:bookmarkStart w:id="40" w:name="_MON_1531574860"/>
      <w:bookmarkEnd w:id="40"/>
      <w:bookmarkStart w:id="41" w:name="_MON_1519817005"/>
      <w:bookmarkEnd w:id="41"/>
      <w:bookmarkStart w:id="42" w:name="_MON_1188047059"/>
      <w:bookmarkEnd w:id="42"/>
      <w:bookmarkStart w:id="43" w:name="_MON_1335793467"/>
      <w:bookmarkEnd w:id="43"/>
      <w:bookmarkStart w:id="44" w:name="_MON_1255429731"/>
      <w:bookmarkEnd w:id="44"/>
      <w:bookmarkStart w:id="45" w:name="_MON_1539685509"/>
      <w:bookmarkEnd w:id="45"/>
      <w:bookmarkStart w:id="46" w:name="_MON_1333974991"/>
      <w:bookmarkEnd w:id="46"/>
      <w:bookmarkStart w:id="47" w:name="_MON_1261291943"/>
      <w:bookmarkEnd w:id="47"/>
      <w:bookmarkStart w:id="48" w:name="_MON_1539677877"/>
      <w:bookmarkEnd w:id="48"/>
      <w:bookmarkStart w:id="49" w:name="_MON_1344238791"/>
      <w:bookmarkEnd w:id="49"/>
      <w:bookmarkStart w:id="50" w:name="_MON_1261292888"/>
      <w:bookmarkEnd w:id="50"/>
      <w:bookmarkStart w:id="51" w:name="_MON_1329745524"/>
      <w:bookmarkEnd w:id="51"/>
      <w:bookmarkStart w:id="52" w:name="_MON_1491646818"/>
      <w:bookmarkEnd w:id="52"/>
      <w:bookmarkStart w:id="53" w:name="_MON_1542175955"/>
      <w:bookmarkEnd w:id="53"/>
      <w:bookmarkStart w:id="54" w:name="_MON_1188046326"/>
      <w:bookmarkEnd w:id="54"/>
      <w:bookmarkStart w:id="55" w:name="_MON_1542175962"/>
      <w:bookmarkEnd w:id="55"/>
      <w:bookmarkStart w:id="56" w:name="_MON_1395143531"/>
      <w:bookmarkEnd w:id="56"/>
      <w:bookmarkStart w:id="57" w:name="_MON_1255429991"/>
      <w:bookmarkEnd w:id="57"/>
      <w:bookmarkStart w:id="58" w:name="_MON_1188987457"/>
      <w:bookmarkEnd w:id="58"/>
      <w:bookmarkStart w:id="59" w:name="_MON_1491646910"/>
      <w:bookmarkEnd w:id="59"/>
      <w:bookmarkStart w:id="60" w:name="_MON_1542175918"/>
      <w:bookmarkEnd w:id="60"/>
      <w:bookmarkStart w:id="61" w:name="_MON_1139067982"/>
      <w:bookmarkEnd w:id="61"/>
      <w:bookmarkStart w:id="62" w:name="_MON_1302524990"/>
      <w:bookmarkEnd w:id="62"/>
      <w:bookmarkStart w:id="63" w:name="_MON_1258870959"/>
      <w:bookmarkEnd w:id="63"/>
      <w:bookmarkStart w:id="64" w:name="_MON_1255429981"/>
      <w:bookmarkEnd w:id="64"/>
      <w:bookmarkStart w:id="65" w:name="_MON_1188987116"/>
      <w:bookmarkEnd w:id="65"/>
      <w:bookmarkStart w:id="66" w:name="_MON_1329915285"/>
      <w:bookmarkEnd w:id="66"/>
      <w:bookmarkStart w:id="67" w:name="_MON_1261393334"/>
      <w:bookmarkEnd w:id="67"/>
      <w:bookmarkStart w:id="68" w:name="_MON_1331443284"/>
      <w:bookmarkEnd w:id="68"/>
      <w:bookmarkStart w:id="69" w:name="_MON_1242652158"/>
      <w:bookmarkEnd w:id="69"/>
      <w:bookmarkStart w:id="70" w:name="_MON_1551618749"/>
      <w:bookmarkEnd w:id="70"/>
      <w:bookmarkStart w:id="71" w:name="_MON_1188038964"/>
      <w:bookmarkEnd w:id="71"/>
      <w:bookmarkStart w:id="72" w:name="_MON_1256562313"/>
      <w:bookmarkEnd w:id="72"/>
      <w:bookmarkStart w:id="73" w:name="_MON_1255870109"/>
      <w:bookmarkEnd w:id="73"/>
      <w:bookmarkStart w:id="74" w:name="_MON_1191043020"/>
      <w:bookmarkEnd w:id="74"/>
      <w:bookmarkStart w:id="75" w:name="_MON_1494145221"/>
      <w:bookmarkEnd w:id="75"/>
      <w:bookmarkStart w:id="76" w:name="_MON_1167482531"/>
      <w:bookmarkEnd w:id="76"/>
      <w:bookmarkStart w:id="77" w:name="_MON_1336541745"/>
      <w:bookmarkEnd w:id="77"/>
      <w:bookmarkStart w:id="78" w:name="_MON_1535952292"/>
      <w:bookmarkEnd w:id="78"/>
      <w:bookmarkStart w:id="79" w:name="_MON_1531574960"/>
      <w:bookmarkEnd w:id="79"/>
      <w:bookmarkStart w:id="80" w:name="_MON_1539677897"/>
      <w:bookmarkEnd w:id="80"/>
      <w:bookmarkStart w:id="81" w:name="_MON_1257863824"/>
      <w:bookmarkEnd w:id="81"/>
      <w:bookmarkStart w:id="82" w:name="_MON_1493020456"/>
      <w:bookmarkEnd w:id="82"/>
      <w:bookmarkStart w:id="83" w:name="_MON_1234330485"/>
      <w:bookmarkEnd w:id="83"/>
      <w:bookmarkStart w:id="84" w:name="_MON_1539685334"/>
      <w:bookmarkEnd w:id="84"/>
      <w:bookmarkStart w:id="85" w:name="_MON_1539685459"/>
      <w:bookmarkEnd w:id="85"/>
      <w:bookmarkStart w:id="86" w:name="_MON_1262586029"/>
      <w:bookmarkEnd w:id="86"/>
      <w:bookmarkStart w:id="87" w:name="_MON_1397558023"/>
      <w:bookmarkEnd w:id="87"/>
      <w:bookmarkStart w:id="88" w:name="_MON_1171268067"/>
      <w:bookmarkEnd w:id="88"/>
      <w:bookmarkStart w:id="89" w:name="_MON_1183963352"/>
      <w:bookmarkEnd w:id="89"/>
      <w:bookmarkStart w:id="90" w:name="_MON_1172906952"/>
      <w:bookmarkEnd w:id="90"/>
      <w:bookmarkStart w:id="91" w:name="_MON_1257863927"/>
      <w:bookmarkEnd w:id="91"/>
      <w:bookmarkStart w:id="92" w:name="_MON_1225547009"/>
      <w:bookmarkEnd w:id="92"/>
      <w:bookmarkStart w:id="93" w:name="_MON_1256562664"/>
      <w:bookmarkEnd w:id="93"/>
      <w:r>
        <w:rPr>
          <w:rFonts w:eastAsiaTheme="minorEastAsia"/>
          <w:sz w:val="24"/>
          <w:szCs w:val="24"/>
          <w:highlight w:val="none"/>
        </w:rPr>
        <w:object>
          <v:shape id="_x0000_i1025" o:spt="75" type="#_x0000_t75" style="height:95.35pt;width:469.45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pPr>
        <w:pStyle w:val="20"/>
        <w:numPr>
          <w:ilvl w:val="0"/>
          <w:numId w:val="2"/>
        </w:numPr>
        <w:spacing w:line="360" w:lineRule="auto"/>
        <w:ind w:firstLineChars="0"/>
        <w:rPr>
          <w:rFonts w:hint="eastAsia" w:eastAsiaTheme="minorEastAsia"/>
          <w:color w:val="0000FF"/>
          <w:sz w:val="24"/>
          <w:highlight w:val="none"/>
        </w:rPr>
      </w:pPr>
      <w:r>
        <w:rPr>
          <w:rFonts w:eastAsiaTheme="minorEastAsia"/>
          <w:sz w:val="24"/>
          <w:highlight w:val="none"/>
        </w:rPr>
        <w:t>交货日期：</w:t>
      </w:r>
      <w:r>
        <w:rPr>
          <w:rFonts w:hint="eastAsia" w:eastAsiaTheme="minorEastAsia"/>
          <w:color w:val="0000FF"/>
          <w:sz w:val="24"/>
          <w:highlight w:val="none"/>
          <w:lang w:val="en-US" w:eastAsia="zh-CN"/>
        </w:rPr>
        <w:t>XXXXXXXXXXXXXXXXX</w:t>
      </w:r>
    </w:p>
    <w:p>
      <w:pPr>
        <w:pStyle w:val="20"/>
        <w:numPr>
          <w:ilvl w:val="0"/>
          <w:numId w:val="2"/>
        </w:numPr>
        <w:spacing w:line="360" w:lineRule="auto"/>
        <w:ind w:firstLineChars="0"/>
        <w:rPr>
          <w:rFonts w:hint="eastAsia" w:ascii="Times New Roman" w:hAnsi="Times New Roman" w:cs="Times New Roman" w:eastAsiaTheme="minorEastAsia"/>
          <w:color w:val="0000FF"/>
          <w:kern w:val="2"/>
          <w:sz w:val="24"/>
          <w:szCs w:val="24"/>
          <w:highlight w:val="none"/>
          <w:lang w:val="en-US" w:eastAsia="zh-CN" w:bidi="ar-SA"/>
        </w:rPr>
      </w:pPr>
      <w:r>
        <w:rPr>
          <w:rFonts w:eastAsiaTheme="minorEastAsia"/>
          <w:color w:val="auto"/>
          <w:sz w:val="24"/>
          <w:highlight w:val="none"/>
        </w:rPr>
        <w:t>交货地点：</w:t>
      </w:r>
      <w:r>
        <w:rPr>
          <w:rFonts w:hint="eastAsia" w:cs="Times New Roman" w:eastAsiaTheme="minorEastAsia"/>
          <w:color w:val="0000FF"/>
          <w:kern w:val="2"/>
          <w:sz w:val="24"/>
          <w:szCs w:val="24"/>
          <w:highlight w:val="none"/>
          <w:lang w:val="en-US" w:eastAsia="zh-CN" w:bidi="ar-SA"/>
        </w:rPr>
        <w:t>XXXXXXXXXXXXXXXXXXXXXXX</w:t>
      </w:r>
      <w:r>
        <w:rPr>
          <w:rFonts w:hint="eastAsia" w:ascii="Times New Roman" w:hAnsi="Times New Roman" w:cs="Times New Roman" w:eastAsiaTheme="minorEastAsia"/>
          <w:color w:val="0000FF"/>
          <w:kern w:val="2"/>
          <w:sz w:val="24"/>
          <w:szCs w:val="24"/>
          <w:highlight w:val="none"/>
          <w:lang w:val="en-US" w:eastAsia="zh-CN" w:bidi="ar-SA"/>
        </w:rPr>
        <w:t xml:space="preserve">  </w:t>
      </w:r>
    </w:p>
    <w:p>
      <w:pPr>
        <w:pStyle w:val="20"/>
        <w:numPr>
          <w:ilvl w:val="0"/>
          <w:numId w:val="0"/>
        </w:numPr>
        <w:spacing w:line="360" w:lineRule="auto"/>
        <w:ind w:leftChars="0"/>
        <w:rPr>
          <w:rFonts w:eastAsiaTheme="minorEastAsia"/>
          <w:color w:val="0000FF"/>
          <w:sz w:val="24"/>
          <w:highlight w:val="none"/>
        </w:rPr>
      </w:pPr>
    </w:p>
    <w:p>
      <w:pPr>
        <w:pStyle w:val="2"/>
        <w:numPr>
          <w:ilvl w:val="0"/>
          <w:numId w:val="1"/>
        </w:numPr>
        <w:spacing w:before="0" w:after="0" w:line="360" w:lineRule="auto"/>
        <w:ind w:left="419" w:hanging="130"/>
        <w:jc w:val="center"/>
        <w:rPr>
          <w:iCs/>
          <w:sz w:val="24"/>
          <w:szCs w:val="24"/>
          <w:highlight w:val="none"/>
        </w:rPr>
      </w:pPr>
      <w:bookmarkStart w:id="94" w:name="_Toc17994"/>
      <w:r>
        <w:rPr>
          <w:iCs/>
          <w:sz w:val="24"/>
          <w:szCs w:val="24"/>
          <w:highlight w:val="none"/>
        </w:rPr>
        <w:t>合同价款</w:t>
      </w:r>
      <w:bookmarkEnd w:id="94"/>
    </w:p>
    <w:p>
      <w:pPr>
        <w:pStyle w:val="20"/>
        <w:numPr>
          <w:ilvl w:val="0"/>
          <w:numId w:val="3"/>
        </w:numPr>
        <w:spacing w:line="360" w:lineRule="auto"/>
        <w:ind w:left="425" w:leftChars="0" w:hanging="425" w:firstLineChars="0"/>
        <w:rPr>
          <w:rFonts w:eastAsiaTheme="minorEastAsia"/>
          <w:sz w:val="24"/>
          <w:highlight w:val="none"/>
        </w:rPr>
      </w:pPr>
      <w:r>
        <w:rPr>
          <w:rFonts w:eastAsiaTheme="minorEastAsia"/>
          <w:sz w:val="24"/>
          <w:highlight w:val="none"/>
        </w:rPr>
        <w:t>本合同为固定包干总价合同。含税</w:t>
      </w:r>
      <w:r>
        <w:rPr>
          <w:rFonts w:hint="eastAsia" w:eastAsiaTheme="minorEastAsia"/>
          <w:sz w:val="24"/>
          <w:highlight w:val="none"/>
        </w:rPr>
        <w:t>合同</w:t>
      </w:r>
      <w:r>
        <w:rPr>
          <w:rFonts w:eastAsiaTheme="minorEastAsia"/>
          <w:sz w:val="24"/>
          <w:highlight w:val="none"/>
        </w:rPr>
        <w:t>总价为人民币</w:t>
      </w:r>
      <w:r>
        <w:rPr>
          <w:rFonts w:hint="eastAsia" w:eastAsiaTheme="minorEastAsia"/>
          <w:color w:val="1D41D5"/>
          <w:sz w:val="24"/>
          <w:highlight w:val="none"/>
          <w:lang w:val="en-US" w:eastAsia="zh-CN"/>
        </w:rPr>
        <w:t>XXXXXXXXXXXXX</w:t>
      </w:r>
      <w:r>
        <w:rPr>
          <w:rFonts w:eastAsiaTheme="minorEastAsia"/>
          <w:sz w:val="24"/>
          <w:highlight w:val="none"/>
        </w:rPr>
        <w:t>元（大写：人民币</w:t>
      </w:r>
      <w:r>
        <w:rPr>
          <w:rFonts w:hint="eastAsia" w:eastAsiaTheme="minorEastAsia"/>
          <w:color w:val="1D41D5"/>
          <w:sz w:val="24"/>
          <w:highlight w:val="none"/>
          <w:lang w:val="en-US" w:eastAsia="zh-CN"/>
        </w:rPr>
        <w:t>XXXXXXXXXXXXXXXX</w:t>
      </w:r>
      <w:r>
        <w:rPr>
          <w:rFonts w:eastAsiaTheme="minorEastAsia"/>
          <w:sz w:val="24"/>
          <w:highlight w:val="none"/>
        </w:rPr>
        <w:t>），增值税税率为</w:t>
      </w:r>
      <w:r>
        <w:rPr>
          <w:rFonts w:hint="eastAsia" w:eastAsiaTheme="minorEastAsia"/>
          <w:sz w:val="24"/>
          <w:highlight w:val="none"/>
          <w:lang w:val="en-US" w:eastAsia="zh-CN"/>
        </w:rPr>
        <w:t>13</w:t>
      </w:r>
      <w:r>
        <w:rPr>
          <w:rFonts w:eastAsiaTheme="minorEastAsia"/>
          <w:sz w:val="24"/>
          <w:highlight w:val="none"/>
        </w:rPr>
        <w:t>%，不含税合同</w:t>
      </w:r>
      <w:r>
        <w:rPr>
          <w:rFonts w:hint="eastAsia" w:eastAsiaTheme="minorEastAsia"/>
          <w:sz w:val="24"/>
          <w:highlight w:val="none"/>
        </w:rPr>
        <w:t>总价</w:t>
      </w:r>
      <w:r>
        <w:rPr>
          <w:rFonts w:eastAsiaTheme="minorEastAsia"/>
          <w:sz w:val="24"/>
          <w:highlight w:val="none"/>
        </w:rPr>
        <w:t>为人民币</w:t>
      </w:r>
      <w:r>
        <w:rPr>
          <w:rFonts w:hint="eastAsia" w:eastAsiaTheme="minorEastAsia"/>
          <w:color w:val="1D41D5"/>
          <w:sz w:val="24"/>
          <w:highlight w:val="none"/>
          <w:lang w:val="en-US" w:eastAsia="zh-CN"/>
        </w:rPr>
        <w:t>XXXXXXXXXXX</w:t>
      </w:r>
      <w:r>
        <w:rPr>
          <w:rFonts w:eastAsiaTheme="minorEastAsia"/>
          <w:sz w:val="24"/>
          <w:highlight w:val="none"/>
        </w:rPr>
        <w:t>元（大写：人民币</w:t>
      </w:r>
      <w:r>
        <w:rPr>
          <w:rFonts w:hint="eastAsia" w:cs="Times New Roman" w:eastAsiaTheme="minorEastAsia"/>
          <w:color w:val="0000FF"/>
          <w:kern w:val="2"/>
          <w:sz w:val="24"/>
          <w:szCs w:val="24"/>
          <w:highlight w:val="none"/>
          <w:lang w:val="en-US" w:eastAsia="zh-CN" w:bidi="ar-SA"/>
        </w:rPr>
        <w:t>XXXXXXXXXXXXXX</w:t>
      </w:r>
      <w:r>
        <w:rPr>
          <w:rFonts w:eastAsiaTheme="minorEastAsia"/>
          <w:sz w:val="24"/>
          <w:highlight w:val="none"/>
        </w:rPr>
        <w:t>）。本合同执行期间，如遇增值税税率依法调整，则增值税以最新税率为准进行计算，合同不含税总价保持不变；含税总价相应自动调整。增值税由卖方承担。</w:t>
      </w:r>
    </w:p>
    <w:p>
      <w:pPr>
        <w:pStyle w:val="20"/>
        <w:numPr>
          <w:ilvl w:val="0"/>
          <w:numId w:val="3"/>
        </w:numPr>
        <w:spacing w:line="360" w:lineRule="auto"/>
        <w:ind w:left="425" w:leftChars="0" w:hanging="425" w:firstLineChars="0"/>
        <w:rPr>
          <w:rFonts w:eastAsiaTheme="minorEastAsia"/>
          <w:sz w:val="24"/>
          <w:highlight w:val="none"/>
        </w:rPr>
      </w:pPr>
      <w:r>
        <w:rPr>
          <w:rFonts w:eastAsiaTheme="minorEastAsia"/>
          <w:sz w:val="24"/>
          <w:highlight w:val="none"/>
        </w:rPr>
        <w:t>双方同意，除非本合同另有明确规定，在本合同有效期内，上述第2.1款规定的不含税合同总价为固定价格，不因合同生效后物价上涨、原材料上涨、通货膨胀、汇率或利率变化、税收变化或政策性变化等因素而调整。卖方不得以情势变更或任何其他理由为由，要求增加合同价款。</w:t>
      </w:r>
    </w:p>
    <w:p>
      <w:pPr>
        <w:pStyle w:val="20"/>
        <w:numPr>
          <w:ilvl w:val="0"/>
          <w:numId w:val="3"/>
        </w:numPr>
        <w:spacing w:line="360" w:lineRule="auto"/>
        <w:ind w:left="425" w:leftChars="0" w:hanging="425" w:firstLineChars="0"/>
        <w:rPr>
          <w:rFonts w:eastAsiaTheme="minorEastAsia"/>
          <w:sz w:val="24"/>
          <w:highlight w:val="none"/>
        </w:rPr>
      </w:pPr>
      <w:r>
        <w:rPr>
          <w:rFonts w:eastAsiaTheme="minorEastAsia"/>
          <w:sz w:val="24"/>
          <w:highlight w:val="none"/>
        </w:rPr>
        <w:t>上述第2.1款约定的合同总价是本合同项下买方向卖方支付的全部款项。除非合同另有规定，卖方应承担其在履行合同义务时所产生的全部费用和税费。卖方确认，其在同意合同价格前已经获得了所有的信息并已考虑了所有可能影响成本</w:t>
      </w:r>
      <w:r>
        <w:rPr>
          <w:rFonts w:hint="eastAsia" w:eastAsiaTheme="minorEastAsia"/>
          <w:sz w:val="24"/>
          <w:highlight w:val="none"/>
        </w:rPr>
        <w:t>、利润</w:t>
      </w:r>
      <w:r>
        <w:rPr>
          <w:rFonts w:eastAsiaTheme="minorEastAsia"/>
          <w:sz w:val="24"/>
          <w:highlight w:val="none"/>
        </w:rPr>
        <w:t>和费用的因素。为避免歧义，合同总价已覆盖物资成本、易耗品和易耗材料费用；税费（包括关税、增值税、营业税、所得税等）；运输、储存、包装、维修、保险、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w:t>
      </w:r>
    </w:p>
    <w:p>
      <w:pPr>
        <w:pStyle w:val="2"/>
        <w:numPr>
          <w:ilvl w:val="0"/>
          <w:numId w:val="1"/>
        </w:numPr>
        <w:spacing w:before="0" w:after="0" w:line="360" w:lineRule="auto"/>
        <w:ind w:left="419" w:hanging="130"/>
        <w:jc w:val="center"/>
        <w:rPr>
          <w:iCs/>
          <w:sz w:val="24"/>
          <w:szCs w:val="24"/>
          <w:highlight w:val="none"/>
        </w:rPr>
      </w:pPr>
      <w:bookmarkStart w:id="95" w:name="_Toc2916"/>
      <w:r>
        <w:rPr>
          <w:iCs/>
          <w:sz w:val="24"/>
          <w:szCs w:val="24"/>
          <w:highlight w:val="none"/>
        </w:rPr>
        <w:t>包装</w:t>
      </w:r>
      <w:bookmarkEnd w:id="95"/>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本合同项下的货物由卖方负责包装，卖方应按货物的特点提供货物运至交货地点所需要的包装，并承担与包装相关的全部费用。所有货物均应当具有适合长途运输和多次搬运、装卸的坚固包装，以避免造成运输过程中箱件破损、设备和零件散失；并且，卖方应按货物的特点，按需要分别采用防潮、防霉、防锈、防晒、防腐蚀及防止其它损坏的保护措施，以保证货物在没有任何缺损和腐蚀的情况下完好、安全地运抵交货地点。</w:t>
      </w:r>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卖方对包装箱内和捆内的各散装部件均应系加标签，并注明合同号、主机名称、部件名称以及该部件在装配图中的位号、零件号。备件和工具除注明上述内容外，还需注明“备件”或“工具”字样。</w:t>
      </w:r>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卖方应在每件包装箱的邻接四个侧面上，用不褪色的油漆以明显易见的中文印刷以下标记：</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(1)</w:t>
      </w:r>
      <w:r>
        <w:rPr>
          <w:rFonts w:eastAsiaTheme="minorEastAsia"/>
          <w:sz w:val="24"/>
          <w:szCs w:val="24"/>
          <w:highlight w:val="none"/>
        </w:rPr>
        <w:tab/>
      </w:r>
      <w:r>
        <w:rPr>
          <w:rFonts w:eastAsiaTheme="minorEastAsia"/>
          <w:sz w:val="24"/>
          <w:szCs w:val="24"/>
          <w:highlight w:val="none"/>
        </w:rPr>
        <w:t>合同号；</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(2)</w:t>
      </w:r>
      <w:r>
        <w:rPr>
          <w:rFonts w:eastAsiaTheme="minorEastAsia"/>
          <w:sz w:val="24"/>
          <w:szCs w:val="24"/>
          <w:highlight w:val="none"/>
        </w:rPr>
        <w:tab/>
      </w:r>
      <w:r>
        <w:rPr>
          <w:rFonts w:eastAsiaTheme="minorEastAsia"/>
          <w:sz w:val="24"/>
          <w:szCs w:val="24"/>
          <w:highlight w:val="none"/>
        </w:rPr>
        <w:t>目的站／码头；</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(3)</w:t>
      </w:r>
      <w:r>
        <w:rPr>
          <w:rFonts w:eastAsiaTheme="minorEastAsia"/>
          <w:sz w:val="24"/>
          <w:szCs w:val="24"/>
          <w:highlight w:val="none"/>
        </w:rPr>
        <w:tab/>
      </w:r>
      <w:r>
        <w:rPr>
          <w:rFonts w:eastAsiaTheme="minorEastAsia"/>
          <w:sz w:val="24"/>
          <w:szCs w:val="24"/>
          <w:highlight w:val="none"/>
        </w:rPr>
        <w:t>收货人：        ；联系电话：    ；</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(4)</w:t>
      </w:r>
      <w:r>
        <w:rPr>
          <w:rFonts w:eastAsiaTheme="minorEastAsia"/>
          <w:sz w:val="24"/>
          <w:szCs w:val="24"/>
          <w:highlight w:val="none"/>
        </w:rPr>
        <w:tab/>
      </w:r>
      <w:r>
        <w:rPr>
          <w:rFonts w:eastAsiaTheme="minorEastAsia"/>
          <w:sz w:val="24"/>
          <w:szCs w:val="24"/>
          <w:highlight w:val="none"/>
        </w:rPr>
        <w:t>货物名称、机组号、图号；</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(5)</w:t>
      </w:r>
      <w:r>
        <w:rPr>
          <w:rFonts w:eastAsiaTheme="minorEastAsia"/>
          <w:sz w:val="24"/>
          <w:szCs w:val="24"/>
          <w:highlight w:val="none"/>
        </w:rPr>
        <w:tab/>
      </w:r>
      <w:r>
        <w:rPr>
          <w:rFonts w:eastAsiaTheme="minorEastAsia"/>
          <w:sz w:val="24"/>
          <w:szCs w:val="24"/>
          <w:highlight w:val="none"/>
        </w:rPr>
        <w:t>箱号／件号；</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(6)</w:t>
      </w:r>
      <w:r>
        <w:rPr>
          <w:rFonts w:eastAsiaTheme="minorEastAsia"/>
          <w:sz w:val="24"/>
          <w:szCs w:val="24"/>
          <w:highlight w:val="none"/>
        </w:rPr>
        <w:tab/>
      </w:r>
      <w:r>
        <w:rPr>
          <w:rFonts w:eastAsiaTheme="minorEastAsia"/>
          <w:sz w:val="24"/>
          <w:szCs w:val="24"/>
          <w:highlight w:val="none"/>
        </w:rPr>
        <w:t>毛重／净重（公斤）；</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(7)</w:t>
      </w:r>
      <w:r>
        <w:rPr>
          <w:rFonts w:eastAsiaTheme="minorEastAsia"/>
          <w:sz w:val="24"/>
          <w:szCs w:val="24"/>
          <w:highlight w:val="none"/>
        </w:rPr>
        <w:tab/>
      </w:r>
      <w:r>
        <w:rPr>
          <w:rFonts w:eastAsiaTheme="minorEastAsia"/>
          <w:sz w:val="24"/>
          <w:szCs w:val="24"/>
          <w:highlight w:val="none"/>
        </w:rPr>
        <w:t>体积（长×宽×高，以毫米表示）；</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(8)</w:t>
      </w:r>
      <w:r>
        <w:rPr>
          <w:rFonts w:eastAsiaTheme="minorEastAsia"/>
          <w:sz w:val="24"/>
          <w:szCs w:val="24"/>
          <w:highlight w:val="none"/>
        </w:rPr>
        <w:tab/>
      </w:r>
      <w:r>
        <w:rPr>
          <w:rFonts w:eastAsiaTheme="minorEastAsia"/>
          <w:sz w:val="24"/>
          <w:szCs w:val="24"/>
          <w:highlight w:val="none"/>
        </w:rPr>
        <w:t>吊点；（注：当货物重量超过2吨或体积超过2方时适用）</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(9)</w:t>
      </w:r>
      <w:r>
        <w:rPr>
          <w:rFonts w:eastAsiaTheme="minorEastAsia"/>
          <w:sz w:val="24"/>
          <w:szCs w:val="24"/>
          <w:highlight w:val="none"/>
        </w:rPr>
        <w:tab/>
      </w:r>
      <w:r>
        <w:rPr>
          <w:rFonts w:eastAsiaTheme="minorEastAsia"/>
          <w:sz w:val="24"/>
          <w:szCs w:val="24"/>
          <w:highlight w:val="none"/>
        </w:rPr>
        <w:t>其他：。（注：如有其它特殊需要请自行添加）</w:t>
      </w:r>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凡重量超过2吨或体积超过2方的货物，应在包装箱的侧面以运输常用的标记和图案标明重心位置及起吊点。</w:t>
      </w:r>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根据货物的特点和装卸、运输的不同要求，包装箱应显著标明“轻放”、“勿倒置”、“防潮”和“防雨”等字样。</w:t>
      </w:r>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对裸装货物应以金属标签或直接在设备本体上注明本条第3.3款规定的内容。大件货物应带有足够的支架或包装垫木。</w:t>
      </w:r>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每件包装箱内，应附有包括分件名称、数量、价格、机组号、图号的详细装箱单、合格证、保修单、使用说明书，外购件包装箱内还应有产品出厂质量合格证明书和技术说明（如有）各一份（上述各项合称为“货物资料”）。</w:t>
      </w:r>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货物包装还应符合相应的国家标准或行业标准。</w:t>
      </w:r>
    </w:p>
    <w:p>
      <w:pPr>
        <w:pStyle w:val="20"/>
        <w:numPr>
          <w:ilvl w:val="0"/>
          <w:numId w:val="4"/>
        </w:numPr>
        <w:spacing w:line="360" w:lineRule="auto"/>
        <w:ind w:left="425" w:leftChars="0" w:hanging="425" w:firstLineChars="0"/>
        <w:rPr>
          <w:rFonts w:eastAsiaTheme="minorEastAsia"/>
          <w:sz w:val="24"/>
          <w:highlight w:val="none"/>
        </w:rPr>
      </w:pPr>
      <w:r>
        <w:rPr>
          <w:rFonts w:eastAsiaTheme="minorEastAsia"/>
          <w:sz w:val="24"/>
          <w:highlight w:val="none"/>
        </w:rPr>
        <w:t>如因包装、保护措施不当或因卖方保管不善引起货物或货物资料损坏、缺陷、短缺、遗失或质量不符合要求，卖方应予以替换、补充并赔偿买方因此遭受的全部损失。卖方应尽快将替换或补充的货物、货物资料运达目的地，并承担因此发生的任何费用。</w:t>
      </w:r>
    </w:p>
    <w:p>
      <w:pPr>
        <w:pStyle w:val="2"/>
        <w:numPr>
          <w:ilvl w:val="0"/>
          <w:numId w:val="1"/>
        </w:numPr>
        <w:spacing w:before="0" w:after="0" w:line="360" w:lineRule="auto"/>
        <w:ind w:left="419" w:hanging="130"/>
        <w:jc w:val="center"/>
        <w:rPr>
          <w:iCs/>
          <w:sz w:val="24"/>
          <w:szCs w:val="24"/>
          <w:highlight w:val="none"/>
        </w:rPr>
      </w:pPr>
      <w:bookmarkStart w:id="96" w:name="_Toc152602032"/>
      <w:bookmarkEnd w:id="96"/>
      <w:bookmarkStart w:id="97" w:name="_Toc152601952"/>
      <w:bookmarkEnd w:id="97"/>
      <w:bookmarkStart w:id="98" w:name="_Toc152602306"/>
      <w:bookmarkEnd w:id="98"/>
      <w:bookmarkStart w:id="99" w:name="_Toc32418"/>
      <w:r>
        <w:rPr>
          <w:iCs/>
          <w:sz w:val="24"/>
          <w:szCs w:val="24"/>
          <w:highlight w:val="none"/>
        </w:rPr>
        <w:t>运输方式</w:t>
      </w:r>
      <w:bookmarkEnd w:id="99"/>
    </w:p>
    <w:p>
      <w:pPr>
        <w:pStyle w:val="20"/>
        <w:numPr>
          <w:ilvl w:val="0"/>
          <w:numId w:val="5"/>
        </w:numPr>
        <w:spacing w:line="360" w:lineRule="auto"/>
        <w:ind w:left="567" w:hanging="567" w:firstLineChars="0"/>
        <w:rPr>
          <w:rFonts w:eastAsiaTheme="minorEastAsia"/>
          <w:sz w:val="24"/>
          <w:highlight w:val="none"/>
        </w:rPr>
      </w:pPr>
      <w:r>
        <w:rPr>
          <w:rFonts w:eastAsiaTheme="minorEastAsia"/>
          <w:sz w:val="24"/>
          <w:highlight w:val="none"/>
        </w:rPr>
        <w:t>本合同项下的货物由卖方负责运输并承担与运输相关的全部费用，运输方式由卖方自行决定，但必须适合货物特点，满足买方对供货时间、地点和供货安全的需要。</w:t>
      </w:r>
    </w:p>
    <w:p>
      <w:pPr>
        <w:pStyle w:val="20"/>
        <w:numPr>
          <w:ilvl w:val="0"/>
          <w:numId w:val="5"/>
        </w:numPr>
        <w:spacing w:line="360" w:lineRule="auto"/>
        <w:ind w:left="567" w:hanging="567" w:firstLineChars="0"/>
        <w:rPr>
          <w:rFonts w:eastAsiaTheme="minorEastAsia"/>
          <w:sz w:val="24"/>
          <w:highlight w:val="none"/>
        </w:rPr>
      </w:pPr>
      <w:r>
        <w:rPr>
          <w:rFonts w:eastAsiaTheme="minorEastAsia"/>
          <w:sz w:val="24"/>
          <w:highlight w:val="none"/>
        </w:rPr>
        <w:t>如因运输不当引起货物或货物资料损坏、缺陷、短缺、遗失或质量不符合要求，卖方应在买方指定的时间内到达现场协助调查，并负责与承运人及保险公司交涉。但是，无论如何，卖方有义务对上述损坏、缺陷、短缺、遗失或质量不符合要求的货物或货物资料予以替换、补充并赔偿买方因此遭受的全部损失。卖方应尽快将替换或补充的货物、货物资料运达目的地，并承担因此发生的任何费用。</w:t>
      </w:r>
    </w:p>
    <w:p>
      <w:pPr>
        <w:pStyle w:val="2"/>
        <w:numPr>
          <w:ilvl w:val="0"/>
          <w:numId w:val="1"/>
        </w:numPr>
        <w:spacing w:before="0" w:after="0" w:line="360" w:lineRule="auto"/>
        <w:ind w:left="419" w:hanging="130"/>
        <w:jc w:val="center"/>
        <w:rPr>
          <w:iCs/>
          <w:sz w:val="24"/>
          <w:szCs w:val="24"/>
          <w:highlight w:val="none"/>
        </w:rPr>
      </w:pPr>
      <w:bookmarkStart w:id="100" w:name="_Toc5425"/>
      <w:r>
        <w:rPr>
          <w:iCs/>
          <w:sz w:val="24"/>
          <w:szCs w:val="24"/>
          <w:highlight w:val="none"/>
        </w:rPr>
        <w:t>保险</w:t>
      </w:r>
      <w:bookmarkEnd w:id="100"/>
    </w:p>
    <w:p>
      <w:pPr>
        <w:pStyle w:val="20"/>
        <w:numPr>
          <w:ilvl w:val="0"/>
          <w:numId w:val="6"/>
        </w:numPr>
        <w:spacing w:line="360" w:lineRule="auto"/>
        <w:ind w:left="567" w:hanging="567" w:firstLineChars="0"/>
        <w:rPr>
          <w:rFonts w:eastAsiaTheme="minorEastAsia"/>
          <w:sz w:val="24"/>
          <w:highlight w:val="none"/>
        </w:rPr>
      </w:pPr>
      <w:r>
        <w:rPr>
          <w:rFonts w:eastAsiaTheme="minorEastAsia"/>
          <w:sz w:val="24"/>
          <w:highlight w:val="none"/>
        </w:rPr>
        <w:t>对于本合同项下的货物，卖方应向买方认可的、拥有合法资质的著名保险公司投保以下规定的保险金额和险种的保险，并将买方列为共同被保险人或受益人。保险保障区段为卖方制造厂存储货物的仓库到买方用于存储货物的仓库，投保的期限始于装货（含装货）止于卸货后</w:t>
      </w:r>
      <w:r>
        <w:rPr>
          <w:rFonts w:hint="eastAsia" w:eastAsiaTheme="minorEastAsia"/>
          <w:sz w:val="24"/>
          <w:highlight w:val="none"/>
          <w:lang w:val="en-US" w:eastAsia="zh-CN"/>
        </w:rPr>
        <w:t>3</w:t>
      </w:r>
      <w:r>
        <w:rPr>
          <w:rFonts w:eastAsiaTheme="minorEastAsia"/>
          <w:sz w:val="24"/>
          <w:highlight w:val="none"/>
        </w:rPr>
        <w:t>日：</w:t>
      </w:r>
    </w:p>
    <w:p>
      <w:pPr>
        <w:tabs>
          <w:tab w:val="left" w:pos="993"/>
        </w:tabs>
        <w:spacing w:line="360" w:lineRule="auto"/>
        <w:ind w:left="424" w:leftChars="202" w:firstLine="141" w:firstLineChars="59"/>
        <w:rPr>
          <w:rFonts w:eastAsiaTheme="minorEastAsia"/>
          <w:sz w:val="24"/>
          <w:szCs w:val="24"/>
          <w:highlight w:val="none"/>
        </w:rPr>
      </w:pPr>
      <w:r>
        <w:rPr>
          <w:rFonts w:eastAsiaTheme="minorEastAsia"/>
          <w:sz w:val="24"/>
          <w:szCs w:val="24"/>
          <w:highlight w:val="none"/>
        </w:rPr>
        <w:t>(1)</w:t>
      </w:r>
      <w:r>
        <w:rPr>
          <w:rFonts w:eastAsiaTheme="minorEastAsia"/>
          <w:sz w:val="24"/>
          <w:szCs w:val="24"/>
          <w:highlight w:val="none"/>
        </w:rPr>
        <w:tab/>
      </w:r>
      <w:r>
        <w:rPr>
          <w:rFonts w:eastAsiaTheme="minorEastAsia"/>
          <w:sz w:val="24"/>
          <w:szCs w:val="24"/>
          <w:highlight w:val="none"/>
        </w:rPr>
        <w:t>保险金额为合同总价10%的运输保险；</w:t>
      </w:r>
    </w:p>
    <w:p>
      <w:pPr>
        <w:pStyle w:val="20"/>
        <w:numPr>
          <w:ilvl w:val="0"/>
          <w:numId w:val="6"/>
        </w:numPr>
        <w:spacing w:line="360" w:lineRule="auto"/>
        <w:ind w:left="567" w:hanging="567" w:firstLineChars="0"/>
        <w:rPr>
          <w:rFonts w:eastAsiaTheme="minorEastAsia"/>
          <w:sz w:val="24"/>
          <w:highlight w:val="none"/>
        </w:rPr>
      </w:pPr>
      <w:r>
        <w:rPr>
          <w:rFonts w:eastAsiaTheme="minorEastAsia"/>
          <w:sz w:val="24"/>
          <w:highlight w:val="none"/>
        </w:rPr>
        <w:t>货物交付前</w:t>
      </w:r>
      <w:r>
        <w:rPr>
          <w:rFonts w:hint="eastAsia" w:eastAsiaTheme="minorEastAsia"/>
          <w:sz w:val="24"/>
          <w:highlight w:val="none"/>
          <w:lang w:val="en-US" w:eastAsia="zh-CN"/>
        </w:rPr>
        <w:t>3</w:t>
      </w:r>
      <w:r>
        <w:rPr>
          <w:rFonts w:eastAsiaTheme="minorEastAsia"/>
          <w:sz w:val="24"/>
          <w:highlight w:val="none"/>
        </w:rPr>
        <w:t>日内，卖方应向买方提交保险合同的复印件，并应至少提前三十（30）日向买方通知所有保险的取消或内容的变更。</w:t>
      </w:r>
    </w:p>
    <w:p>
      <w:pPr>
        <w:pStyle w:val="20"/>
        <w:numPr>
          <w:ilvl w:val="0"/>
          <w:numId w:val="6"/>
        </w:numPr>
        <w:spacing w:line="360" w:lineRule="auto"/>
        <w:ind w:left="567" w:hanging="567" w:firstLineChars="0"/>
        <w:rPr>
          <w:rFonts w:eastAsiaTheme="minorEastAsia"/>
          <w:sz w:val="24"/>
          <w:highlight w:val="none"/>
        </w:rPr>
      </w:pPr>
      <w:r>
        <w:rPr>
          <w:rFonts w:eastAsiaTheme="minorEastAsia"/>
          <w:sz w:val="24"/>
          <w:highlight w:val="none"/>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pPr>
        <w:pStyle w:val="20"/>
        <w:numPr>
          <w:ilvl w:val="0"/>
          <w:numId w:val="6"/>
        </w:numPr>
        <w:spacing w:line="360" w:lineRule="auto"/>
        <w:ind w:left="567" w:hanging="567" w:firstLineChars="0"/>
        <w:rPr>
          <w:rFonts w:eastAsiaTheme="minorEastAsia"/>
          <w:sz w:val="24"/>
          <w:highlight w:val="none"/>
        </w:rPr>
      </w:pPr>
      <w:r>
        <w:rPr>
          <w:rFonts w:eastAsiaTheme="minorEastAsia"/>
          <w:sz w:val="24"/>
          <w:highlight w:val="none"/>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pPr>
        <w:pStyle w:val="20"/>
        <w:numPr>
          <w:ilvl w:val="0"/>
          <w:numId w:val="6"/>
        </w:numPr>
        <w:spacing w:line="360" w:lineRule="auto"/>
        <w:ind w:left="567" w:hanging="567" w:firstLineChars="0"/>
        <w:rPr>
          <w:rFonts w:eastAsiaTheme="minorEastAsia"/>
          <w:sz w:val="24"/>
          <w:highlight w:val="none"/>
        </w:rPr>
      </w:pPr>
      <w:r>
        <w:rPr>
          <w:rFonts w:eastAsiaTheme="minorEastAsia"/>
          <w:sz w:val="24"/>
          <w:highlight w:val="none"/>
        </w:rPr>
        <w:t>卖方在本合同项下购买的所有保险合同均应明确规定，承保人放弃任何可能因为卖方而产生的对买方的代位求偿权或任何形式的追索权。</w:t>
      </w:r>
    </w:p>
    <w:p>
      <w:pPr>
        <w:pStyle w:val="20"/>
        <w:numPr>
          <w:ilvl w:val="0"/>
          <w:numId w:val="6"/>
        </w:numPr>
        <w:spacing w:line="360" w:lineRule="auto"/>
        <w:ind w:left="567" w:hanging="567" w:firstLineChars="0"/>
        <w:rPr>
          <w:rFonts w:eastAsiaTheme="minorEastAsia"/>
          <w:sz w:val="24"/>
          <w:highlight w:val="none"/>
        </w:rPr>
      </w:pPr>
      <w:r>
        <w:rPr>
          <w:rFonts w:eastAsiaTheme="minorEastAsia"/>
          <w:sz w:val="24"/>
          <w:highlight w:val="none"/>
        </w:rPr>
        <w:t>本第五条的规定不能限制并免除卖方在本合同项下的责任。</w:t>
      </w:r>
    </w:p>
    <w:p>
      <w:pPr>
        <w:pStyle w:val="2"/>
        <w:numPr>
          <w:ilvl w:val="0"/>
          <w:numId w:val="1"/>
        </w:numPr>
        <w:spacing w:before="0" w:after="0" w:line="360" w:lineRule="auto"/>
        <w:ind w:left="419" w:hanging="130"/>
        <w:jc w:val="center"/>
        <w:rPr>
          <w:iCs/>
          <w:sz w:val="24"/>
          <w:szCs w:val="24"/>
          <w:highlight w:val="none"/>
        </w:rPr>
      </w:pPr>
      <w:bookmarkStart w:id="101" w:name="_Toc6365"/>
      <w:r>
        <w:rPr>
          <w:iCs/>
          <w:sz w:val="24"/>
          <w:szCs w:val="24"/>
          <w:highlight w:val="none"/>
        </w:rPr>
        <w:t>付款方式</w:t>
      </w:r>
      <w:bookmarkEnd w:id="101"/>
    </w:p>
    <w:p>
      <w:pPr>
        <w:pStyle w:val="20"/>
        <w:numPr>
          <w:ilvl w:val="0"/>
          <w:numId w:val="7"/>
        </w:numPr>
        <w:spacing w:line="360" w:lineRule="auto"/>
        <w:ind w:firstLineChars="0"/>
        <w:rPr>
          <w:rFonts w:eastAsiaTheme="minorEastAsia"/>
          <w:sz w:val="24"/>
          <w:highlight w:val="none"/>
        </w:rPr>
      </w:pPr>
      <w:r>
        <w:rPr>
          <w:rFonts w:eastAsiaTheme="minorEastAsia"/>
          <w:sz w:val="24"/>
          <w:highlight w:val="none"/>
        </w:rPr>
        <w:t>卖方应在依据本合同约定完成货物交付且验收合格后</w:t>
      </w:r>
      <w:r>
        <w:rPr>
          <w:rFonts w:hint="eastAsia" w:eastAsiaTheme="minorEastAsia"/>
          <w:color w:val="1D41D5"/>
          <w:sz w:val="24"/>
          <w:highlight w:val="none"/>
          <w:lang w:val="en-US" w:eastAsia="zh-CN"/>
        </w:rPr>
        <w:t>60（</w:t>
      </w:r>
      <w:r>
        <w:rPr>
          <w:rFonts w:hint="eastAsia" w:eastAsiaTheme="minorEastAsia"/>
          <w:color w:val="1D41D5"/>
          <w:sz w:val="24"/>
          <w:highlight w:val="none"/>
        </w:rPr>
        <w:t>陆拾</w:t>
      </w:r>
      <w:r>
        <w:rPr>
          <w:rFonts w:hint="eastAsia" w:eastAsiaTheme="minorEastAsia"/>
          <w:color w:val="1D41D5"/>
          <w:sz w:val="24"/>
          <w:highlight w:val="none"/>
          <w:lang w:val="en-US" w:eastAsia="zh-CN"/>
        </w:rPr>
        <w:t>）</w:t>
      </w:r>
      <w:r>
        <w:rPr>
          <w:rFonts w:eastAsiaTheme="minorEastAsia"/>
          <w:sz w:val="24"/>
          <w:highlight w:val="none"/>
        </w:rPr>
        <w:t>天内向买方提供合法有效的增值税专用发票（依法只能开具增值税普通发票的除外）。买方应在收到卖方开具的有效税务发票后</w:t>
      </w:r>
      <w:r>
        <w:rPr>
          <w:rFonts w:hint="eastAsia" w:eastAsiaTheme="minorEastAsia"/>
          <w:color w:val="1D41D5"/>
          <w:sz w:val="24"/>
          <w:highlight w:val="none"/>
          <w:lang w:val="en-US" w:eastAsia="zh-CN"/>
        </w:rPr>
        <w:t>60（</w:t>
      </w:r>
      <w:r>
        <w:rPr>
          <w:rFonts w:hint="eastAsia" w:eastAsiaTheme="minorEastAsia"/>
          <w:color w:val="1D41D5"/>
          <w:sz w:val="24"/>
          <w:highlight w:val="none"/>
        </w:rPr>
        <w:t>陆拾</w:t>
      </w:r>
      <w:r>
        <w:rPr>
          <w:rFonts w:hint="eastAsia" w:eastAsiaTheme="minorEastAsia"/>
          <w:color w:val="1D41D5"/>
          <w:sz w:val="24"/>
          <w:highlight w:val="none"/>
          <w:lang w:val="en-US" w:eastAsia="zh-CN"/>
        </w:rPr>
        <w:t>）</w:t>
      </w:r>
      <w:r>
        <w:rPr>
          <w:rFonts w:eastAsiaTheme="minorEastAsia"/>
          <w:sz w:val="24"/>
          <w:highlight w:val="none"/>
        </w:rPr>
        <w:t>天内，依据货物验收合格的数量及卖方提供的有效发票，通过银行以电汇/转帐方式将货款的</w:t>
      </w:r>
      <w:r>
        <w:rPr>
          <w:rFonts w:hint="eastAsia" w:eastAsiaTheme="minorEastAsia"/>
          <w:sz w:val="24"/>
          <w:highlight w:val="none"/>
          <w:lang w:val="en-US" w:eastAsia="zh-CN"/>
        </w:rPr>
        <w:t>100</w:t>
      </w:r>
      <w:r>
        <w:rPr>
          <w:rFonts w:eastAsiaTheme="minorEastAsia"/>
          <w:sz w:val="24"/>
          <w:highlight w:val="none"/>
        </w:rPr>
        <w:t>%（计人民币</w:t>
      </w:r>
      <w:r>
        <w:rPr>
          <w:rFonts w:hint="eastAsia" w:eastAsiaTheme="minorEastAsia"/>
          <w:color w:val="1D41D5"/>
          <w:sz w:val="24"/>
          <w:highlight w:val="none"/>
          <w:lang w:val="en-US" w:eastAsia="zh-CN"/>
        </w:rPr>
        <w:t>XXXXXXXXXXXX</w:t>
      </w:r>
      <w:r>
        <w:rPr>
          <w:rFonts w:eastAsiaTheme="minorEastAsia"/>
          <w:sz w:val="24"/>
          <w:highlight w:val="none"/>
        </w:rPr>
        <w:t>元，大写金额：人民币</w:t>
      </w:r>
      <w:r>
        <w:rPr>
          <w:rFonts w:hint="eastAsia" w:eastAsiaTheme="minorEastAsia"/>
          <w:color w:val="1D41D5"/>
          <w:sz w:val="24"/>
          <w:highlight w:val="none"/>
          <w:lang w:val="en-US" w:eastAsia="zh-CN"/>
        </w:rPr>
        <w:t>XXXXXXXXXXXX</w:t>
      </w:r>
      <w:r>
        <w:rPr>
          <w:rFonts w:eastAsiaTheme="minorEastAsia"/>
          <w:sz w:val="24"/>
          <w:highlight w:val="none"/>
        </w:rPr>
        <w:t>）支付给卖方。</w:t>
      </w:r>
    </w:p>
    <w:p>
      <w:pPr>
        <w:pStyle w:val="20"/>
        <w:numPr>
          <w:ilvl w:val="0"/>
          <w:numId w:val="7"/>
        </w:numPr>
        <w:spacing w:line="360" w:lineRule="auto"/>
        <w:ind w:firstLineChars="0"/>
        <w:rPr>
          <w:rFonts w:eastAsiaTheme="minorEastAsia"/>
          <w:sz w:val="24"/>
          <w:highlight w:val="none"/>
        </w:rPr>
      </w:pPr>
      <w:r>
        <w:rPr>
          <w:rFonts w:eastAsiaTheme="minorEastAsia"/>
          <w:sz w:val="24"/>
          <w:highlight w:val="none"/>
        </w:rPr>
        <w:t>卖方为买方开具上述发票所需信息如下：</w:t>
      </w:r>
    </w:p>
    <w:p>
      <w:pPr>
        <w:tabs>
          <w:tab w:val="left" w:pos="993"/>
        </w:tabs>
        <w:spacing w:line="360" w:lineRule="auto"/>
        <w:ind w:firstLine="566" w:firstLineChars="236"/>
        <w:rPr>
          <w:rFonts w:hint="eastAsia" w:ascii="Times New Roman" w:hAnsi="Times New Roman" w:cs="Times New Roman" w:eastAsiaTheme="minorEastAsia"/>
          <w:sz w:val="24"/>
          <w:szCs w:val="24"/>
          <w:highlight w:val="none"/>
        </w:rPr>
      </w:pPr>
      <w:r>
        <w:rPr>
          <w:rFonts w:hint="eastAsia" w:ascii="Times New Roman" w:hAnsi="Times New Roman" w:cs="Times New Roman" w:eastAsiaTheme="minorEastAsia"/>
          <w:sz w:val="24"/>
          <w:szCs w:val="24"/>
          <w:highlight w:val="none"/>
        </w:rPr>
        <w:t>（1）公司名称： 中海油田服务股份有限公司</w:t>
      </w:r>
      <w:r>
        <w:rPr>
          <w:rFonts w:hint="eastAsia" w:cs="Times New Roman" w:eastAsiaTheme="minorEastAsia"/>
          <w:color w:val="0000FF"/>
          <w:sz w:val="24"/>
          <w:szCs w:val="24"/>
          <w:highlight w:val="none"/>
          <w:lang w:val="en-US" w:eastAsia="zh-CN"/>
        </w:rPr>
        <w:t>XXXXXXXXX</w:t>
      </w:r>
      <w:r>
        <w:rPr>
          <w:rFonts w:hint="eastAsia" w:ascii="Times New Roman" w:hAnsi="Times New Roman" w:cs="Times New Roman" w:eastAsiaTheme="minorEastAsia"/>
          <w:color w:val="0000FF"/>
          <w:sz w:val="24"/>
          <w:szCs w:val="24"/>
          <w:highlight w:val="none"/>
        </w:rPr>
        <w:t>分公司</w:t>
      </w:r>
    </w:p>
    <w:p>
      <w:pPr>
        <w:tabs>
          <w:tab w:val="left" w:pos="993"/>
        </w:tabs>
        <w:spacing w:line="360" w:lineRule="auto"/>
        <w:ind w:firstLine="566" w:firstLineChars="236"/>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rPr>
        <w:t>（2）纳税人识别号：</w:t>
      </w:r>
      <w:r>
        <w:rPr>
          <w:rFonts w:hint="eastAsia" w:cs="Times New Roman" w:eastAsiaTheme="minorEastAsia"/>
          <w:sz w:val="24"/>
          <w:szCs w:val="24"/>
          <w:highlight w:val="none"/>
          <w:lang w:val="en-US" w:eastAsia="zh-CN"/>
        </w:rPr>
        <w:t>XXXXXXXXXXXXXX</w:t>
      </w:r>
    </w:p>
    <w:p>
      <w:pPr>
        <w:tabs>
          <w:tab w:val="left" w:pos="993"/>
        </w:tabs>
        <w:spacing w:line="360" w:lineRule="auto"/>
        <w:ind w:firstLine="566" w:firstLineChars="236"/>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rPr>
        <w:t>（3）经营地址：</w:t>
      </w:r>
      <w:r>
        <w:rPr>
          <w:rFonts w:hint="eastAsia" w:cs="Times New Roman" w:eastAsiaTheme="minorEastAsia"/>
          <w:sz w:val="24"/>
          <w:szCs w:val="24"/>
          <w:highlight w:val="none"/>
          <w:lang w:val="en-US" w:eastAsia="zh-CN"/>
        </w:rPr>
        <w:t>XXXXXXXXXXXXXX</w:t>
      </w:r>
    </w:p>
    <w:p>
      <w:pPr>
        <w:tabs>
          <w:tab w:val="left" w:pos="993"/>
        </w:tabs>
        <w:spacing w:line="360" w:lineRule="auto"/>
        <w:ind w:firstLine="566" w:firstLineChars="236"/>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rPr>
        <w:t>（4）联系电话：</w:t>
      </w:r>
      <w:r>
        <w:rPr>
          <w:rFonts w:hint="eastAsia" w:cs="Times New Roman" w:eastAsiaTheme="minorEastAsia"/>
          <w:sz w:val="24"/>
          <w:szCs w:val="24"/>
          <w:highlight w:val="none"/>
          <w:lang w:val="en-US" w:eastAsia="zh-CN"/>
        </w:rPr>
        <w:t>XXXXXXXXXXXX</w:t>
      </w:r>
    </w:p>
    <w:p>
      <w:pPr>
        <w:tabs>
          <w:tab w:val="left" w:pos="993"/>
        </w:tabs>
        <w:spacing w:line="360" w:lineRule="auto"/>
        <w:ind w:firstLine="566" w:firstLineChars="236"/>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rPr>
        <w:t>（5）开户行名称：</w:t>
      </w:r>
      <w:r>
        <w:rPr>
          <w:rFonts w:hint="eastAsia" w:cs="Times New Roman" w:eastAsiaTheme="minorEastAsia"/>
          <w:sz w:val="24"/>
          <w:szCs w:val="24"/>
          <w:highlight w:val="none"/>
          <w:lang w:val="en-US" w:eastAsia="zh-CN"/>
        </w:rPr>
        <w:t>XXXXXXXXXXXXX</w:t>
      </w:r>
    </w:p>
    <w:p>
      <w:pPr>
        <w:tabs>
          <w:tab w:val="left" w:pos="993"/>
        </w:tabs>
        <w:spacing w:line="360" w:lineRule="auto"/>
        <w:ind w:firstLine="566" w:firstLineChars="236"/>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rPr>
        <w:t>（6）银行账号：</w:t>
      </w:r>
      <w:r>
        <w:rPr>
          <w:rFonts w:hint="eastAsia" w:cs="Times New Roman" w:eastAsiaTheme="minorEastAsia"/>
          <w:sz w:val="24"/>
          <w:szCs w:val="24"/>
          <w:highlight w:val="none"/>
          <w:lang w:val="en-US" w:eastAsia="zh-CN"/>
        </w:rPr>
        <w:t>XXXXXXXXXX</w:t>
      </w:r>
    </w:p>
    <w:p>
      <w:pPr>
        <w:tabs>
          <w:tab w:val="left" w:pos="993"/>
        </w:tabs>
        <w:spacing w:line="360" w:lineRule="auto"/>
        <w:ind w:firstLine="566" w:firstLineChars="236"/>
        <w:rPr>
          <w:rFonts w:hint="eastAsia" w:eastAsiaTheme="minorEastAsia"/>
          <w:sz w:val="24"/>
          <w:szCs w:val="24"/>
          <w:highlight w:val="none"/>
        </w:rPr>
      </w:pPr>
    </w:p>
    <w:p>
      <w:pPr>
        <w:pStyle w:val="20"/>
        <w:numPr>
          <w:ilvl w:val="0"/>
          <w:numId w:val="7"/>
        </w:numPr>
        <w:spacing w:line="360" w:lineRule="auto"/>
        <w:ind w:firstLineChars="0"/>
        <w:rPr>
          <w:rFonts w:eastAsiaTheme="minorEastAsia"/>
          <w:sz w:val="24"/>
          <w:highlight w:val="none"/>
        </w:rPr>
      </w:pPr>
      <w:r>
        <w:rPr>
          <w:rFonts w:eastAsiaTheme="minorEastAsia"/>
          <w:sz w:val="24"/>
          <w:highlight w:val="none"/>
        </w:rPr>
        <w:t>买方或买方指定的第三方将应付款支付至卖方指定的如下银行账户：</w:t>
      </w:r>
    </w:p>
    <w:p>
      <w:pPr>
        <w:numPr>
          <w:ilvl w:val="0"/>
          <w:numId w:val="8"/>
        </w:numPr>
        <w:tabs>
          <w:tab w:val="left" w:pos="993"/>
        </w:tabs>
        <w:spacing w:line="360" w:lineRule="auto"/>
        <w:ind w:firstLine="566" w:firstLineChars="236"/>
        <w:rPr>
          <w:rFonts w:hint="eastAsia" w:ascii="Times New Roman" w:hAnsi="Times New Roman" w:cs="Times New Roman" w:eastAsiaTheme="minorEastAsia"/>
          <w:sz w:val="24"/>
          <w:szCs w:val="24"/>
          <w:highlight w:val="none"/>
        </w:rPr>
      </w:pPr>
      <w:r>
        <w:rPr>
          <w:rFonts w:hint="eastAsia" w:ascii="Times New Roman" w:hAnsi="Times New Roman" w:cs="Times New Roman" w:eastAsiaTheme="minorEastAsia"/>
          <w:sz w:val="24"/>
          <w:szCs w:val="24"/>
          <w:highlight w:val="none"/>
        </w:rPr>
        <w:t>开户名称：</w:t>
      </w:r>
      <w:r>
        <w:rPr>
          <w:rFonts w:hint="eastAsia" w:cs="Times New Roman" w:eastAsiaTheme="minorEastAsia"/>
          <w:sz w:val="24"/>
          <w:szCs w:val="24"/>
          <w:highlight w:val="none"/>
          <w:lang w:val="en-US" w:eastAsia="zh-CN"/>
        </w:rPr>
        <w:t>XXXXXXXXXXXXX</w:t>
      </w:r>
    </w:p>
    <w:p>
      <w:pPr>
        <w:tabs>
          <w:tab w:val="left" w:pos="993"/>
        </w:tabs>
        <w:spacing w:line="360" w:lineRule="auto"/>
        <w:ind w:firstLine="566" w:firstLineChars="236"/>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rPr>
        <w:t>(2)</w:t>
      </w:r>
      <w:r>
        <w:rPr>
          <w:rFonts w:hint="eastAsia" w:cs="Times New Roman" w:eastAsiaTheme="minorEastAsia"/>
          <w:sz w:val="24"/>
          <w:szCs w:val="24"/>
          <w:highlight w:val="none"/>
          <w:lang w:val="en-US" w:eastAsia="zh-CN"/>
        </w:rPr>
        <w:t xml:space="preserve"> </w:t>
      </w:r>
      <w:r>
        <w:rPr>
          <w:rFonts w:hint="eastAsia" w:ascii="Times New Roman" w:hAnsi="Times New Roman" w:cs="Times New Roman" w:eastAsiaTheme="minorEastAsia"/>
          <w:sz w:val="24"/>
          <w:szCs w:val="24"/>
          <w:highlight w:val="none"/>
        </w:rPr>
        <w:t>开户行：</w:t>
      </w:r>
      <w:r>
        <w:rPr>
          <w:rFonts w:hint="eastAsia" w:cs="Times New Roman" w:eastAsiaTheme="minorEastAsia"/>
          <w:sz w:val="24"/>
          <w:szCs w:val="24"/>
          <w:highlight w:val="none"/>
          <w:lang w:val="en-US" w:eastAsia="zh-CN"/>
        </w:rPr>
        <w:t>XXXXXXXXXXXXXX</w:t>
      </w:r>
    </w:p>
    <w:p>
      <w:pPr>
        <w:tabs>
          <w:tab w:val="left" w:pos="993"/>
        </w:tabs>
        <w:spacing w:line="360" w:lineRule="auto"/>
        <w:ind w:firstLine="566" w:firstLineChars="236"/>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rPr>
        <w:t>(3)</w:t>
      </w:r>
      <w:r>
        <w:rPr>
          <w:rFonts w:hint="eastAsia" w:ascii="Times New Roman" w:hAnsi="Times New Roman" w:cs="Times New Roman" w:eastAsiaTheme="minorEastAsia"/>
          <w:sz w:val="24"/>
          <w:szCs w:val="24"/>
          <w:highlight w:val="none"/>
        </w:rPr>
        <w:tab/>
      </w:r>
      <w:r>
        <w:rPr>
          <w:rFonts w:hint="eastAsia" w:ascii="Times New Roman" w:hAnsi="Times New Roman" w:cs="Times New Roman" w:eastAsiaTheme="minorEastAsia"/>
          <w:sz w:val="24"/>
          <w:szCs w:val="24"/>
          <w:highlight w:val="none"/>
        </w:rPr>
        <w:t>开户行地址：</w:t>
      </w:r>
      <w:r>
        <w:rPr>
          <w:rFonts w:hint="eastAsia" w:cs="Times New Roman" w:eastAsiaTheme="minorEastAsia"/>
          <w:sz w:val="24"/>
          <w:szCs w:val="24"/>
          <w:highlight w:val="none"/>
          <w:lang w:val="en-US" w:eastAsia="zh-CN"/>
        </w:rPr>
        <w:t>XXXXXXXXXXX</w:t>
      </w:r>
    </w:p>
    <w:p>
      <w:pPr>
        <w:tabs>
          <w:tab w:val="left" w:pos="993"/>
        </w:tabs>
        <w:spacing w:line="360" w:lineRule="auto"/>
        <w:ind w:firstLine="566" w:firstLineChars="236"/>
        <w:rPr>
          <w:rFonts w:hint="default" w:eastAsiaTheme="minorEastAsia"/>
          <w:sz w:val="24"/>
          <w:szCs w:val="24"/>
          <w:highlight w:val="none"/>
          <w:lang w:val="en-US" w:eastAsia="zh-CN"/>
        </w:rPr>
      </w:pPr>
      <w:r>
        <w:rPr>
          <w:rFonts w:hint="eastAsia" w:ascii="Times New Roman" w:hAnsi="Times New Roman" w:cs="Times New Roman" w:eastAsiaTheme="minorEastAsia"/>
          <w:sz w:val="24"/>
          <w:szCs w:val="24"/>
          <w:highlight w:val="none"/>
        </w:rPr>
        <w:t>(4)</w:t>
      </w:r>
      <w:r>
        <w:rPr>
          <w:rFonts w:hint="eastAsia" w:cs="Times New Roman" w:eastAsiaTheme="minorEastAsia"/>
          <w:sz w:val="24"/>
          <w:szCs w:val="24"/>
          <w:highlight w:val="none"/>
          <w:lang w:val="en-US" w:eastAsia="zh-CN"/>
        </w:rPr>
        <w:t xml:space="preserve"> </w:t>
      </w:r>
      <w:r>
        <w:rPr>
          <w:rFonts w:hint="eastAsia" w:ascii="Times New Roman" w:hAnsi="Times New Roman" w:cs="Times New Roman" w:eastAsiaTheme="minorEastAsia"/>
          <w:sz w:val="24"/>
          <w:szCs w:val="24"/>
          <w:highlight w:val="none"/>
        </w:rPr>
        <w:t>银行账号：</w:t>
      </w:r>
      <w:r>
        <w:rPr>
          <w:rFonts w:hint="eastAsia" w:cs="Times New Roman" w:eastAsiaTheme="minorEastAsia"/>
          <w:sz w:val="24"/>
          <w:szCs w:val="24"/>
          <w:highlight w:val="none"/>
          <w:lang w:val="en-US" w:eastAsia="zh-CN"/>
        </w:rPr>
        <w:t>XXXXXXXXXXXXXXX</w:t>
      </w:r>
    </w:p>
    <w:p>
      <w:pPr>
        <w:pStyle w:val="2"/>
        <w:numPr>
          <w:ilvl w:val="0"/>
          <w:numId w:val="1"/>
        </w:numPr>
        <w:spacing w:before="0" w:after="0" w:line="360" w:lineRule="auto"/>
        <w:ind w:left="419" w:hanging="130"/>
        <w:jc w:val="center"/>
        <w:rPr>
          <w:iCs/>
          <w:sz w:val="24"/>
          <w:szCs w:val="24"/>
          <w:highlight w:val="none"/>
        </w:rPr>
      </w:pPr>
      <w:bookmarkStart w:id="102" w:name="_Toc12099"/>
      <w:r>
        <w:rPr>
          <w:iCs/>
          <w:sz w:val="24"/>
          <w:szCs w:val="24"/>
          <w:highlight w:val="none"/>
        </w:rPr>
        <w:t>货物交付</w:t>
      </w:r>
      <w:bookmarkEnd w:id="102"/>
    </w:p>
    <w:p>
      <w:pPr>
        <w:pStyle w:val="20"/>
        <w:numPr>
          <w:ilvl w:val="0"/>
          <w:numId w:val="9"/>
        </w:numPr>
        <w:spacing w:line="360" w:lineRule="auto"/>
        <w:ind w:firstLineChars="0"/>
        <w:rPr>
          <w:rFonts w:eastAsiaTheme="minorEastAsia"/>
          <w:color w:val="0000FF"/>
          <w:sz w:val="24"/>
          <w:highlight w:val="none"/>
        </w:rPr>
      </w:pPr>
      <w:r>
        <w:rPr>
          <w:rFonts w:eastAsiaTheme="minorEastAsia"/>
          <w:color w:val="0000FF"/>
          <w:sz w:val="24"/>
          <w:highlight w:val="none"/>
        </w:rPr>
        <w:t>交付时间：卖方应在本合同第1.</w:t>
      </w:r>
      <w:r>
        <w:rPr>
          <w:rFonts w:hint="eastAsia" w:eastAsiaTheme="minorEastAsia"/>
          <w:color w:val="0000FF"/>
          <w:sz w:val="24"/>
          <w:highlight w:val="none"/>
          <w:lang w:val="en-US" w:eastAsia="zh-CN"/>
        </w:rPr>
        <w:t>2</w:t>
      </w:r>
      <w:r>
        <w:rPr>
          <w:rFonts w:eastAsiaTheme="minorEastAsia"/>
          <w:color w:val="0000FF"/>
          <w:sz w:val="24"/>
          <w:highlight w:val="none"/>
        </w:rPr>
        <w:t>款规定的交货日期之前分批次完成全部货物的交付，此日期为本合同计算迟延交货违约金的根据。</w:t>
      </w:r>
    </w:p>
    <w:p>
      <w:pPr>
        <w:pStyle w:val="20"/>
        <w:numPr>
          <w:ilvl w:val="0"/>
          <w:numId w:val="9"/>
        </w:numPr>
        <w:spacing w:line="360" w:lineRule="auto"/>
        <w:ind w:firstLineChars="0"/>
        <w:rPr>
          <w:rFonts w:eastAsiaTheme="minorEastAsia"/>
          <w:sz w:val="24"/>
          <w:highlight w:val="none"/>
        </w:rPr>
      </w:pPr>
      <w:r>
        <w:rPr>
          <w:rFonts w:eastAsiaTheme="minorEastAsia"/>
          <w:sz w:val="24"/>
          <w:highlight w:val="none"/>
        </w:rPr>
        <w:t>交付内容：当卖方依照本合同有关货物数量、质量、规格、包装、运输、交货方式、交货地点等方面的规定，完整依约交付所有货物以及本合同约定的装箱单、合格证、保修单、使用说明书、技术说明书等全部货物资料时，卖方的交货义务完成。若因卖方交付内容不符合本合同约定，而需修理、更换、补发或采取其他补救措施的，卖方完成交货义务的时间应以其最终完成符合本合同约定之交付的时间为准。</w:t>
      </w:r>
    </w:p>
    <w:p>
      <w:pPr>
        <w:pStyle w:val="20"/>
        <w:numPr>
          <w:ilvl w:val="0"/>
          <w:numId w:val="9"/>
        </w:numPr>
        <w:spacing w:line="360" w:lineRule="auto"/>
        <w:ind w:firstLineChars="0"/>
        <w:rPr>
          <w:rFonts w:eastAsiaTheme="minorEastAsia"/>
          <w:sz w:val="24"/>
          <w:highlight w:val="none"/>
        </w:rPr>
      </w:pPr>
      <w:r>
        <w:rPr>
          <w:rFonts w:eastAsiaTheme="minorEastAsia"/>
          <w:sz w:val="24"/>
          <w:highlight w:val="none"/>
        </w:rPr>
        <w:t>交付地点：本合同项下货物由卖方负责运至本合同第1.</w:t>
      </w:r>
      <w:r>
        <w:rPr>
          <w:rFonts w:hint="eastAsia" w:eastAsiaTheme="minorEastAsia"/>
          <w:sz w:val="24"/>
          <w:highlight w:val="none"/>
          <w:lang w:val="en-US" w:eastAsia="zh-CN"/>
        </w:rPr>
        <w:t>3</w:t>
      </w:r>
      <w:r>
        <w:rPr>
          <w:rFonts w:eastAsiaTheme="minorEastAsia"/>
          <w:sz w:val="24"/>
          <w:highlight w:val="none"/>
        </w:rPr>
        <w:t>款规定的交货地点。</w:t>
      </w:r>
    </w:p>
    <w:p>
      <w:pPr>
        <w:pStyle w:val="20"/>
        <w:numPr>
          <w:ilvl w:val="0"/>
          <w:numId w:val="9"/>
        </w:numPr>
        <w:spacing w:line="360" w:lineRule="auto"/>
        <w:ind w:firstLineChars="0"/>
        <w:rPr>
          <w:rFonts w:eastAsiaTheme="minorEastAsia"/>
          <w:sz w:val="24"/>
          <w:highlight w:val="none"/>
        </w:rPr>
      </w:pPr>
      <w:r>
        <w:rPr>
          <w:rFonts w:eastAsiaTheme="minorEastAsia"/>
          <w:sz w:val="24"/>
          <w:highlight w:val="none"/>
        </w:rPr>
        <w:t>卖方应于合同签订后每隔</w:t>
      </w:r>
      <w:r>
        <w:rPr>
          <w:rFonts w:hint="eastAsia" w:eastAsiaTheme="minorEastAsia"/>
          <w:sz w:val="24"/>
          <w:highlight w:val="none"/>
          <w:lang w:val="en-US" w:eastAsia="zh-CN"/>
        </w:rPr>
        <w:t>30</w:t>
      </w:r>
      <w:r>
        <w:rPr>
          <w:rFonts w:eastAsiaTheme="minorEastAsia"/>
          <w:sz w:val="24"/>
          <w:highlight w:val="none"/>
        </w:rPr>
        <w:t>日，通过传真、电子邮件、电话等方式将合同货物准备、发货交运等情况通知买方联系人。</w:t>
      </w:r>
    </w:p>
    <w:p>
      <w:pPr>
        <w:pStyle w:val="20"/>
        <w:numPr>
          <w:ilvl w:val="0"/>
          <w:numId w:val="9"/>
        </w:numPr>
        <w:spacing w:line="360" w:lineRule="auto"/>
        <w:ind w:firstLineChars="0"/>
        <w:rPr>
          <w:rFonts w:eastAsiaTheme="minorEastAsia"/>
          <w:sz w:val="24"/>
          <w:highlight w:val="none"/>
        </w:rPr>
      </w:pPr>
      <w:r>
        <w:rPr>
          <w:rFonts w:eastAsiaTheme="minorEastAsia"/>
          <w:sz w:val="24"/>
          <w:highlight w:val="none"/>
        </w:rPr>
        <w:t>卖方应于每一批次货物交货日前</w:t>
      </w:r>
      <w:r>
        <w:rPr>
          <w:rFonts w:hint="eastAsia" w:eastAsiaTheme="minorEastAsia"/>
          <w:sz w:val="24"/>
          <w:highlight w:val="none"/>
          <w:lang w:val="en-US" w:eastAsia="zh-CN"/>
        </w:rPr>
        <w:t>3</w:t>
      </w:r>
      <w:r>
        <w:rPr>
          <w:rFonts w:eastAsiaTheme="minorEastAsia"/>
          <w:sz w:val="24"/>
          <w:highlight w:val="none"/>
        </w:rPr>
        <w:t>日，通过传真、电子邮件、电话等方式将合同货物的如下情况通知买方：</w:t>
      </w:r>
    </w:p>
    <w:p>
      <w:pPr>
        <w:tabs>
          <w:tab w:val="left" w:pos="993"/>
        </w:tabs>
        <w:spacing w:line="360" w:lineRule="auto"/>
        <w:ind w:firstLine="566" w:firstLineChars="236"/>
        <w:rPr>
          <w:rFonts w:eastAsiaTheme="minorEastAsia"/>
          <w:sz w:val="24"/>
          <w:szCs w:val="24"/>
          <w:highlight w:val="none"/>
        </w:rPr>
      </w:pPr>
      <w:r>
        <w:rPr>
          <w:rFonts w:eastAsiaTheme="minorEastAsia"/>
          <w:sz w:val="24"/>
          <w:szCs w:val="24"/>
          <w:highlight w:val="none"/>
        </w:rPr>
        <w:t>(1)</w:t>
      </w:r>
      <w:r>
        <w:rPr>
          <w:rFonts w:eastAsiaTheme="minorEastAsia"/>
          <w:sz w:val="24"/>
          <w:szCs w:val="24"/>
          <w:highlight w:val="none"/>
        </w:rPr>
        <w:tab/>
      </w:r>
      <w:r>
        <w:rPr>
          <w:rFonts w:eastAsiaTheme="minorEastAsia"/>
          <w:sz w:val="24"/>
          <w:szCs w:val="24"/>
          <w:highlight w:val="none"/>
        </w:rPr>
        <w:t>合同号；</w:t>
      </w:r>
    </w:p>
    <w:p>
      <w:pPr>
        <w:tabs>
          <w:tab w:val="left" w:pos="993"/>
        </w:tabs>
        <w:spacing w:line="360" w:lineRule="auto"/>
        <w:ind w:firstLine="566" w:firstLineChars="236"/>
        <w:rPr>
          <w:rFonts w:eastAsiaTheme="minorEastAsia"/>
          <w:sz w:val="24"/>
          <w:szCs w:val="24"/>
          <w:highlight w:val="none"/>
        </w:rPr>
      </w:pPr>
      <w:r>
        <w:rPr>
          <w:rFonts w:eastAsiaTheme="minorEastAsia"/>
          <w:sz w:val="24"/>
          <w:szCs w:val="24"/>
          <w:highlight w:val="none"/>
        </w:rPr>
        <w:t>(2)</w:t>
      </w:r>
      <w:r>
        <w:rPr>
          <w:rFonts w:eastAsiaTheme="minorEastAsia"/>
          <w:sz w:val="24"/>
          <w:szCs w:val="24"/>
          <w:highlight w:val="none"/>
        </w:rPr>
        <w:tab/>
      </w:r>
      <w:r>
        <w:rPr>
          <w:rFonts w:eastAsiaTheme="minorEastAsia"/>
          <w:sz w:val="24"/>
          <w:szCs w:val="24"/>
          <w:highlight w:val="none"/>
        </w:rPr>
        <w:t>货物名称及编号和价格；</w:t>
      </w:r>
    </w:p>
    <w:p>
      <w:pPr>
        <w:tabs>
          <w:tab w:val="left" w:pos="993"/>
        </w:tabs>
        <w:spacing w:line="360" w:lineRule="auto"/>
        <w:ind w:firstLine="566" w:firstLineChars="236"/>
        <w:rPr>
          <w:rFonts w:eastAsiaTheme="minorEastAsia"/>
          <w:sz w:val="24"/>
          <w:szCs w:val="24"/>
          <w:highlight w:val="none"/>
        </w:rPr>
      </w:pPr>
      <w:r>
        <w:rPr>
          <w:rFonts w:eastAsiaTheme="minorEastAsia"/>
          <w:sz w:val="24"/>
          <w:szCs w:val="24"/>
          <w:highlight w:val="none"/>
        </w:rPr>
        <w:t>(3)</w:t>
      </w:r>
      <w:r>
        <w:rPr>
          <w:rFonts w:eastAsiaTheme="minorEastAsia"/>
          <w:sz w:val="24"/>
          <w:szCs w:val="24"/>
          <w:highlight w:val="none"/>
        </w:rPr>
        <w:tab/>
      </w:r>
      <w:r>
        <w:rPr>
          <w:rFonts w:eastAsiaTheme="minorEastAsia"/>
          <w:sz w:val="24"/>
          <w:szCs w:val="24"/>
          <w:highlight w:val="none"/>
        </w:rPr>
        <w:t>货物备妥发运日；</w:t>
      </w:r>
    </w:p>
    <w:p>
      <w:pPr>
        <w:tabs>
          <w:tab w:val="left" w:pos="993"/>
        </w:tabs>
        <w:spacing w:line="360" w:lineRule="auto"/>
        <w:ind w:firstLine="566" w:firstLineChars="236"/>
        <w:rPr>
          <w:rFonts w:eastAsiaTheme="minorEastAsia"/>
          <w:sz w:val="24"/>
          <w:szCs w:val="24"/>
          <w:highlight w:val="none"/>
        </w:rPr>
      </w:pPr>
      <w:r>
        <w:rPr>
          <w:rFonts w:eastAsiaTheme="minorEastAsia"/>
          <w:sz w:val="24"/>
          <w:szCs w:val="24"/>
          <w:highlight w:val="none"/>
        </w:rPr>
        <w:t>(4)</w:t>
      </w:r>
      <w:r>
        <w:rPr>
          <w:rFonts w:eastAsiaTheme="minorEastAsia"/>
          <w:sz w:val="24"/>
          <w:szCs w:val="24"/>
          <w:highlight w:val="none"/>
        </w:rPr>
        <w:tab/>
      </w:r>
      <w:r>
        <w:rPr>
          <w:rFonts w:eastAsiaTheme="minorEastAsia"/>
          <w:sz w:val="24"/>
          <w:szCs w:val="24"/>
          <w:highlight w:val="none"/>
        </w:rPr>
        <w:t>预计货物交付时间；</w:t>
      </w:r>
    </w:p>
    <w:p>
      <w:pPr>
        <w:tabs>
          <w:tab w:val="left" w:pos="993"/>
        </w:tabs>
        <w:spacing w:line="360" w:lineRule="auto"/>
        <w:ind w:firstLine="566" w:firstLineChars="236"/>
        <w:rPr>
          <w:rFonts w:eastAsiaTheme="minorEastAsia"/>
          <w:sz w:val="24"/>
          <w:szCs w:val="24"/>
          <w:highlight w:val="none"/>
        </w:rPr>
      </w:pPr>
      <w:r>
        <w:rPr>
          <w:rFonts w:eastAsiaTheme="minorEastAsia"/>
          <w:sz w:val="24"/>
          <w:szCs w:val="24"/>
          <w:highlight w:val="none"/>
        </w:rPr>
        <w:t>(5)</w:t>
      </w:r>
      <w:r>
        <w:rPr>
          <w:rFonts w:eastAsiaTheme="minorEastAsia"/>
          <w:sz w:val="24"/>
          <w:szCs w:val="24"/>
          <w:highlight w:val="none"/>
        </w:rPr>
        <w:tab/>
      </w:r>
      <w:r>
        <w:rPr>
          <w:rFonts w:eastAsiaTheme="minorEastAsia"/>
          <w:sz w:val="24"/>
          <w:szCs w:val="24"/>
          <w:highlight w:val="none"/>
        </w:rPr>
        <w:t>货物总毛重；</w:t>
      </w:r>
    </w:p>
    <w:p>
      <w:pPr>
        <w:tabs>
          <w:tab w:val="left" w:pos="993"/>
        </w:tabs>
        <w:spacing w:line="360" w:lineRule="auto"/>
        <w:ind w:firstLine="566" w:firstLineChars="236"/>
        <w:rPr>
          <w:rFonts w:eastAsiaTheme="minorEastAsia"/>
          <w:sz w:val="24"/>
          <w:szCs w:val="24"/>
          <w:highlight w:val="none"/>
        </w:rPr>
      </w:pPr>
      <w:r>
        <w:rPr>
          <w:rFonts w:eastAsiaTheme="minorEastAsia"/>
          <w:sz w:val="24"/>
          <w:szCs w:val="24"/>
          <w:highlight w:val="none"/>
        </w:rPr>
        <w:t>(6)</w:t>
      </w:r>
      <w:r>
        <w:rPr>
          <w:rFonts w:eastAsiaTheme="minorEastAsia"/>
          <w:sz w:val="24"/>
          <w:szCs w:val="24"/>
          <w:highlight w:val="none"/>
        </w:rPr>
        <w:tab/>
      </w:r>
      <w:r>
        <w:rPr>
          <w:rFonts w:eastAsiaTheme="minorEastAsia"/>
          <w:sz w:val="24"/>
          <w:szCs w:val="24"/>
          <w:highlight w:val="none"/>
        </w:rPr>
        <w:t>货物总体积；</w:t>
      </w:r>
    </w:p>
    <w:p>
      <w:pPr>
        <w:tabs>
          <w:tab w:val="left" w:pos="993"/>
        </w:tabs>
        <w:spacing w:line="360" w:lineRule="auto"/>
        <w:ind w:firstLine="566" w:firstLineChars="236"/>
        <w:rPr>
          <w:rFonts w:eastAsiaTheme="minorEastAsia"/>
          <w:sz w:val="24"/>
          <w:szCs w:val="24"/>
          <w:highlight w:val="none"/>
        </w:rPr>
      </w:pPr>
      <w:r>
        <w:rPr>
          <w:rFonts w:eastAsiaTheme="minorEastAsia"/>
          <w:sz w:val="24"/>
          <w:szCs w:val="24"/>
          <w:highlight w:val="none"/>
        </w:rPr>
        <w:t>(7)</w:t>
      </w:r>
      <w:r>
        <w:rPr>
          <w:rFonts w:eastAsiaTheme="minorEastAsia"/>
          <w:sz w:val="24"/>
          <w:szCs w:val="24"/>
          <w:highlight w:val="none"/>
        </w:rPr>
        <w:tab/>
      </w:r>
      <w:r>
        <w:rPr>
          <w:rFonts w:eastAsiaTheme="minorEastAsia"/>
          <w:sz w:val="24"/>
          <w:szCs w:val="24"/>
          <w:highlight w:val="none"/>
        </w:rPr>
        <w:t>总包装件数；</w:t>
      </w:r>
    </w:p>
    <w:p>
      <w:pPr>
        <w:tabs>
          <w:tab w:val="left" w:pos="993"/>
        </w:tabs>
        <w:spacing w:line="360" w:lineRule="auto"/>
        <w:ind w:firstLine="566" w:firstLineChars="236"/>
        <w:rPr>
          <w:rFonts w:eastAsiaTheme="minorEastAsia"/>
          <w:sz w:val="24"/>
          <w:szCs w:val="24"/>
          <w:highlight w:val="none"/>
        </w:rPr>
      </w:pPr>
      <w:r>
        <w:rPr>
          <w:rFonts w:eastAsiaTheme="minorEastAsia"/>
          <w:sz w:val="24"/>
          <w:szCs w:val="24"/>
          <w:highlight w:val="none"/>
        </w:rPr>
        <w:t>(8)</w:t>
      </w:r>
      <w:r>
        <w:rPr>
          <w:rFonts w:eastAsiaTheme="minorEastAsia"/>
          <w:sz w:val="24"/>
          <w:szCs w:val="24"/>
          <w:highlight w:val="none"/>
        </w:rPr>
        <w:tab/>
      </w:r>
      <w:r>
        <w:rPr>
          <w:rFonts w:eastAsiaTheme="minorEastAsia"/>
          <w:sz w:val="24"/>
          <w:szCs w:val="24"/>
          <w:highlight w:val="none"/>
        </w:rPr>
        <w:t>交运车站／港口／机场名称、车号／船号／航班号和运单号；</w:t>
      </w:r>
    </w:p>
    <w:p>
      <w:pPr>
        <w:tabs>
          <w:tab w:val="left" w:pos="993"/>
        </w:tabs>
        <w:spacing w:line="360" w:lineRule="auto"/>
        <w:ind w:left="991" w:leftChars="271" w:hanging="422" w:hangingChars="176"/>
        <w:rPr>
          <w:rFonts w:eastAsiaTheme="minorEastAsia"/>
          <w:sz w:val="24"/>
          <w:szCs w:val="24"/>
          <w:highlight w:val="none"/>
        </w:rPr>
      </w:pPr>
      <w:r>
        <w:rPr>
          <w:rFonts w:eastAsiaTheme="minorEastAsia"/>
          <w:sz w:val="24"/>
          <w:szCs w:val="24"/>
          <w:highlight w:val="none"/>
        </w:rPr>
        <w:t>(9)</w:t>
      </w:r>
      <w:r>
        <w:rPr>
          <w:rFonts w:eastAsiaTheme="minorEastAsia"/>
          <w:sz w:val="24"/>
          <w:szCs w:val="24"/>
          <w:highlight w:val="none"/>
        </w:rPr>
        <w:tab/>
      </w:r>
      <w:r>
        <w:rPr>
          <w:rFonts w:eastAsiaTheme="minorEastAsia"/>
          <w:sz w:val="24"/>
          <w:szCs w:val="24"/>
          <w:highlight w:val="none"/>
        </w:rPr>
        <w:t>重量超过20吨或尺寸超过9米×3米×3米的每件货物的名称、重量、体积和件数，对每件该类货物（部件）必须标明重心和吊点位置，并附有草图；</w:t>
      </w:r>
    </w:p>
    <w:p>
      <w:pPr>
        <w:tabs>
          <w:tab w:val="left" w:pos="993"/>
        </w:tabs>
        <w:spacing w:line="360" w:lineRule="auto"/>
        <w:ind w:left="991" w:leftChars="271" w:hanging="422" w:hangingChars="176"/>
        <w:rPr>
          <w:rFonts w:eastAsiaTheme="minorEastAsia"/>
          <w:sz w:val="24"/>
          <w:szCs w:val="24"/>
          <w:highlight w:val="none"/>
        </w:rPr>
      </w:pPr>
      <w:r>
        <w:rPr>
          <w:rFonts w:eastAsiaTheme="minorEastAsia"/>
          <w:sz w:val="24"/>
          <w:szCs w:val="24"/>
          <w:highlight w:val="none"/>
        </w:rPr>
        <w:t>(10)</w:t>
      </w:r>
      <w:r>
        <w:rPr>
          <w:rFonts w:eastAsiaTheme="minorEastAsia"/>
          <w:sz w:val="24"/>
          <w:szCs w:val="24"/>
          <w:highlight w:val="none"/>
        </w:rPr>
        <w:tab/>
      </w:r>
      <w:r>
        <w:rPr>
          <w:rFonts w:eastAsiaTheme="minorEastAsia"/>
          <w:sz w:val="24"/>
          <w:szCs w:val="24"/>
          <w:highlight w:val="none"/>
        </w:rPr>
        <w:t>对于特殊物品（易燃、易爆、有毒物品及其它危险品和运输过程中对温度等环境因素和震动有特殊要求的设备或物品）必须特别标明其品名、性质，特殊保护措施、保存方法以及处理意外情况的方法。</w:t>
      </w:r>
    </w:p>
    <w:p>
      <w:pPr>
        <w:pStyle w:val="2"/>
        <w:numPr>
          <w:ilvl w:val="0"/>
          <w:numId w:val="1"/>
        </w:numPr>
        <w:spacing w:before="0" w:after="0" w:line="360" w:lineRule="auto"/>
        <w:ind w:left="419" w:hanging="130"/>
        <w:jc w:val="center"/>
        <w:rPr>
          <w:iCs/>
          <w:sz w:val="24"/>
          <w:szCs w:val="24"/>
          <w:highlight w:val="none"/>
        </w:rPr>
      </w:pPr>
      <w:bookmarkStart w:id="103" w:name="_Toc24960"/>
      <w:r>
        <w:rPr>
          <w:iCs/>
          <w:sz w:val="24"/>
          <w:szCs w:val="24"/>
          <w:highlight w:val="none"/>
        </w:rPr>
        <w:t>技术资料</w:t>
      </w:r>
      <w:bookmarkEnd w:id="103"/>
    </w:p>
    <w:p>
      <w:pPr>
        <w:pStyle w:val="20"/>
        <w:numPr>
          <w:ilvl w:val="0"/>
          <w:numId w:val="10"/>
        </w:numPr>
        <w:spacing w:line="360" w:lineRule="auto"/>
        <w:ind w:firstLineChars="0"/>
        <w:rPr>
          <w:rFonts w:eastAsiaTheme="minorEastAsia"/>
          <w:sz w:val="24"/>
          <w:highlight w:val="none"/>
        </w:rPr>
      </w:pPr>
      <w:r>
        <w:rPr>
          <w:rFonts w:eastAsiaTheme="minorEastAsia"/>
          <w:sz w:val="24"/>
          <w:highlight w:val="none"/>
        </w:rPr>
        <w:t>卖方应当按照本合同或双方另行签订的技术协议（如有）的规定向买方提供技术资料。</w:t>
      </w:r>
    </w:p>
    <w:p>
      <w:pPr>
        <w:pStyle w:val="20"/>
        <w:numPr>
          <w:ilvl w:val="0"/>
          <w:numId w:val="10"/>
        </w:numPr>
        <w:spacing w:line="360" w:lineRule="auto"/>
        <w:ind w:firstLineChars="0"/>
        <w:rPr>
          <w:rFonts w:eastAsiaTheme="minorEastAsia"/>
          <w:sz w:val="24"/>
          <w:highlight w:val="none"/>
        </w:rPr>
      </w:pPr>
      <w:r>
        <w:rPr>
          <w:rFonts w:eastAsiaTheme="minorEastAsia"/>
          <w:sz w:val="24"/>
          <w:highlight w:val="none"/>
        </w:rPr>
        <w:t>技术资料交付</w:t>
      </w:r>
    </w:p>
    <w:p>
      <w:pPr>
        <w:pStyle w:val="20"/>
        <w:numPr>
          <w:ilvl w:val="0"/>
          <w:numId w:val="11"/>
        </w:numPr>
        <w:spacing w:line="360" w:lineRule="auto"/>
        <w:ind w:left="709" w:hanging="709" w:firstLineChars="0"/>
        <w:rPr>
          <w:rFonts w:eastAsiaTheme="minorEastAsia"/>
          <w:sz w:val="24"/>
          <w:highlight w:val="none"/>
        </w:rPr>
      </w:pPr>
      <w:r>
        <w:rPr>
          <w:rFonts w:eastAsiaTheme="minorEastAsia"/>
          <w:sz w:val="24"/>
          <w:highlight w:val="none"/>
        </w:rPr>
        <w:t>卖方应于本合同生效日后</w:t>
      </w:r>
      <w:r>
        <w:rPr>
          <w:rFonts w:hint="eastAsia" w:eastAsiaTheme="minorEastAsia"/>
          <w:sz w:val="24"/>
          <w:highlight w:val="none"/>
          <w:lang w:val="en-US" w:eastAsia="zh-CN"/>
        </w:rPr>
        <w:t>30</w:t>
      </w:r>
      <w:r>
        <w:rPr>
          <w:rFonts w:eastAsiaTheme="minorEastAsia"/>
          <w:sz w:val="24"/>
          <w:highlight w:val="none"/>
        </w:rPr>
        <w:t>日内，将与合同货物有关的图纸、资料、技术文件等技术资料以当面递交/空运/邮寄方式交付给买方。</w:t>
      </w:r>
    </w:p>
    <w:p>
      <w:pPr>
        <w:pStyle w:val="20"/>
        <w:numPr>
          <w:ilvl w:val="0"/>
          <w:numId w:val="11"/>
        </w:numPr>
        <w:spacing w:line="360" w:lineRule="auto"/>
        <w:ind w:left="709" w:hanging="709" w:firstLineChars="0"/>
        <w:rPr>
          <w:rFonts w:eastAsiaTheme="minorEastAsia"/>
          <w:sz w:val="24"/>
          <w:highlight w:val="none"/>
        </w:rPr>
      </w:pPr>
      <w:r>
        <w:rPr>
          <w:rFonts w:eastAsiaTheme="minorEastAsia"/>
          <w:sz w:val="24"/>
          <w:highlight w:val="none"/>
        </w:rPr>
        <w:t>技术资料采用空运方式交付的，</w:t>
      </w:r>
      <w:r>
        <w:rPr>
          <w:rFonts w:hint="eastAsia" w:eastAsiaTheme="minorEastAsia"/>
          <w:sz w:val="24"/>
          <w:highlight w:val="none"/>
        </w:rPr>
        <w:t>买方所在地</w:t>
      </w:r>
      <w:r>
        <w:rPr>
          <w:rFonts w:eastAsiaTheme="minorEastAsia"/>
          <w:sz w:val="24"/>
          <w:highlight w:val="none"/>
        </w:rPr>
        <w:t>机场在技术资料空运提单上所加盖的日期戳为技术资料实际交付的日期。买方应在收到资料</w:t>
      </w:r>
      <w:r>
        <w:rPr>
          <w:rFonts w:hint="eastAsia" w:eastAsiaTheme="minorEastAsia"/>
          <w:sz w:val="24"/>
          <w:highlight w:val="none"/>
          <w:lang w:val="en-US" w:eastAsia="zh-CN"/>
        </w:rPr>
        <w:t>10</w:t>
      </w:r>
      <w:r>
        <w:rPr>
          <w:rFonts w:eastAsiaTheme="minorEastAsia"/>
          <w:sz w:val="24"/>
          <w:highlight w:val="none"/>
        </w:rPr>
        <w:t>日内将带有到达日期印戳的空运提单复印件一份寄送卖方。技术资料采用邮寄方式交付的，买方所在地所属邮局的落地印戳日期为技术资料的实际交付日期。买方在收到资料</w:t>
      </w:r>
      <w:r>
        <w:rPr>
          <w:rFonts w:hint="eastAsia" w:eastAsiaTheme="minorEastAsia"/>
          <w:sz w:val="24"/>
          <w:highlight w:val="none"/>
          <w:lang w:val="en-US" w:eastAsia="zh-CN"/>
        </w:rPr>
        <w:t>10</w:t>
      </w:r>
      <w:r>
        <w:rPr>
          <w:rFonts w:eastAsiaTheme="minorEastAsia"/>
          <w:sz w:val="24"/>
          <w:highlight w:val="none"/>
        </w:rPr>
        <w:t>日内将收到单据复印件一份寄送给卖方。</w:t>
      </w:r>
    </w:p>
    <w:p>
      <w:pPr>
        <w:pStyle w:val="20"/>
        <w:numPr>
          <w:ilvl w:val="0"/>
          <w:numId w:val="11"/>
        </w:numPr>
        <w:spacing w:line="360" w:lineRule="auto"/>
        <w:ind w:left="709" w:hanging="709" w:firstLineChars="0"/>
        <w:rPr>
          <w:rFonts w:eastAsiaTheme="minorEastAsia"/>
          <w:sz w:val="24"/>
          <w:highlight w:val="none"/>
        </w:rPr>
      </w:pPr>
      <w:r>
        <w:rPr>
          <w:rFonts w:eastAsiaTheme="minorEastAsia"/>
          <w:sz w:val="24"/>
          <w:highlight w:val="none"/>
        </w:rPr>
        <w:t>在技术资料发运后的四十八（48）小时内，卖方应将合同号、空运提单号/邮单号、发出日期、资料项号、件数、重量、航班号（如采用空运方式）用传真、电话、电子邮件等方式通知买方。采用空运方式的，还应将空运提单正本</w:t>
      </w:r>
      <w:r>
        <w:rPr>
          <w:rFonts w:hint="eastAsia" w:eastAsiaTheme="minorEastAsia"/>
          <w:sz w:val="24"/>
          <w:highlight w:val="none"/>
          <w:lang w:val="en-US" w:eastAsia="zh-CN"/>
        </w:rPr>
        <w:t>1</w:t>
      </w:r>
      <w:r>
        <w:rPr>
          <w:rFonts w:eastAsiaTheme="minorEastAsia"/>
          <w:sz w:val="24"/>
          <w:highlight w:val="none"/>
        </w:rPr>
        <w:t>份、副本</w:t>
      </w:r>
      <w:r>
        <w:rPr>
          <w:rFonts w:hint="eastAsia" w:eastAsiaTheme="minorEastAsia"/>
          <w:sz w:val="24"/>
          <w:highlight w:val="none"/>
          <w:lang w:val="en-US" w:eastAsia="zh-CN"/>
        </w:rPr>
        <w:t>1</w:t>
      </w:r>
      <w:r>
        <w:rPr>
          <w:rFonts w:eastAsiaTheme="minorEastAsia"/>
          <w:sz w:val="24"/>
          <w:highlight w:val="none"/>
        </w:rPr>
        <w:t>份和技术资料装箱清单</w:t>
      </w:r>
      <w:r>
        <w:rPr>
          <w:rFonts w:hint="eastAsia" w:eastAsiaTheme="minorEastAsia"/>
          <w:sz w:val="24"/>
          <w:highlight w:val="none"/>
          <w:lang w:val="en-US" w:eastAsia="zh-CN"/>
        </w:rPr>
        <w:t>1</w:t>
      </w:r>
      <w:r>
        <w:rPr>
          <w:rFonts w:eastAsiaTheme="minorEastAsia"/>
          <w:sz w:val="24"/>
          <w:highlight w:val="none"/>
        </w:rPr>
        <w:t>份航空邮寄给买方。</w:t>
      </w:r>
    </w:p>
    <w:p>
      <w:pPr>
        <w:pStyle w:val="20"/>
        <w:numPr>
          <w:ilvl w:val="0"/>
          <w:numId w:val="11"/>
        </w:numPr>
        <w:spacing w:line="360" w:lineRule="auto"/>
        <w:ind w:left="709" w:hanging="709" w:firstLineChars="0"/>
        <w:rPr>
          <w:rFonts w:eastAsiaTheme="minorEastAsia"/>
          <w:sz w:val="24"/>
          <w:highlight w:val="none"/>
        </w:rPr>
      </w:pPr>
      <w:r>
        <w:rPr>
          <w:rFonts w:eastAsiaTheme="minorEastAsia"/>
          <w:sz w:val="24"/>
          <w:highlight w:val="none"/>
        </w:rPr>
        <w:t>对于危险化学品物资，供应商在交付产品时，必须按照国家标准GB/T16483提供每种规格型号物资的MSDS（物料安全数据表），内容必须包括但不限于：化学品及企业标识；危险性概述；成分／组成信息；急救措施；消防措施；泄漏应急处理；操作处置与储存；接触控制和个体防护；理化特性；稳定性和反应性；毒理学信息；生态学信息；废弃处置；运输信息；法规信息；其他信息。</w:t>
      </w:r>
    </w:p>
    <w:p>
      <w:pPr>
        <w:pStyle w:val="2"/>
        <w:numPr>
          <w:ilvl w:val="0"/>
          <w:numId w:val="1"/>
        </w:numPr>
        <w:spacing w:before="0" w:after="0" w:line="360" w:lineRule="auto"/>
        <w:ind w:left="419" w:hanging="130"/>
        <w:jc w:val="center"/>
        <w:rPr>
          <w:iCs/>
          <w:sz w:val="24"/>
          <w:szCs w:val="24"/>
          <w:highlight w:val="none"/>
        </w:rPr>
      </w:pPr>
      <w:bookmarkStart w:id="104" w:name="_Toc7529"/>
      <w:r>
        <w:rPr>
          <w:iCs/>
          <w:sz w:val="24"/>
          <w:szCs w:val="24"/>
          <w:highlight w:val="none"/>
        </w:rPr>
        <w:t>货物质量及质保期</w:t>
      </w:r>
      <w:bookmarkEnd w:id="104"/>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卖方应提供以一级工艺、采用一流材料制作的，全新的、未经使用的，并且在质量、规格等各方面均完全符合本合同相关要求的货物。</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(1)</w:t>
      </w:r>
      <w:r>
        <w:rPr>
          <w:rFonts w:eastAsiaTheme="minorEastAsia"/>
          <w:sz w:val="24"/>
          <w:highlight w:val="none"/>
        </w:rPr>
        <w:tab/>
      </w:r>
      <w:r>
        <w:rPr>
          <w:rFonts w:eastAsiaTheme="minorEastAsia"/>
          <w:sz w:val="24"/>
          <w:highlight w:val="none"/>
        </w:rPr>
        <w:t>本合同规定的标准和规范；</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(2)</w:t>
      </w:r>
      <w:r>
        <w:rPr>
          <w:rFonts w:eastAsiaTheme="minorEastAsia"/>
          <w:sz w:val="24"/>
          <w:highlight w:val="none"/>
        </w:rPr>
        <w:tab/>
      </w:r>
      <w:r>
        <w:rPr>
          <w:rFonts w:eastAsiaTheme="minorEastAsia"/>
          <w:sz w:val="24"/>
          <w:highlight w:val="none"/>
        </w:rPr>
        <w:t>中国最新颁布的相关标准和规范；</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(3)</w:t>
      </w:r>
      <w:r>
        <w:rPr>
          <w:rFonts w:eastAsiaTheme="minorEastAsia"/>
          <w:sz w:val="24"/>
          <w:highlight w:val="none"/>
        </w:rPr>
        <w:tab/>
      </w:r>
      <w:r>
        <w:rPr>
          <w:rFonts w:eastAsiaTheme="minorEastAsia"/>
          <w:sz w:val="24"/>
          <w:highlight w:val="none"/>
        </w:rPr>
        <w:t>如果没有中国国家标准，适用最新的行业标准；</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(4)</w:t>
      </w:r>
      <w:r>
        <w:rPr>
          <w:rFonts w:eastAsiaTheme="minorEastAsia"/>
          <w:sz w:val="24"/>
          <w:highlight w:val="none"/>
        </w:rPr>
        <w:tab/>
      </w:r>
      <w:r>
        <w:rPr>
          <w:rFonts w:eastAsiaTheme="minorEastAsia"/>
          <w:sz w:val="24"/>
          <w:highlight w:val="none"/>
        </w:rPr>
        <w:t>如果没有中国国家和行业标准，适用符合合同目的的标准。</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本合同项下货物的质量保证期为卖方交付最后一批货物并经双方签署送货单后</w:t>
      </w:r>
      <w:r>
        <w:rPr>
          <w:rFonts w:hint="eastAsia" w:eastAsiaTheme="minorEastAsia"/>
          <w:sz w:val="24"/>
          <w:highlight w:val="none"/>
          <w:lang w:val="en-US" w:eastAsia="zh-CN"/>
        </w:rPr>
        <w:t>12</w:t>
      </w:r>
      <w:r>
        <w:rPr>
          <w:rFonts w:eastAsiaTheme="minorEastAsia"/>
          <w:sz w:val="24"/>
          <w:highlight w:val="none"/>
        </w:rPr>
        <w:t>个月。</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质保期内，如发现货物违反本合同项下任何保证或存在任何缺陷或不符合情况，买方应及时书面通知卖方，卖方应在</w:t>
      </w:r>
      <w:r>
        <w:rPr>
          <w:rFonts w:hint="eastAsia" w:eastAsiaTheme="minorEastAsia"/>
          <w:sz w:val="24"/>
          <w:highlight w:val="none"/>
          <w:lang w:val="en-US" w:eastAsia="zh-CN"/>
        </w:rPr>
        <w:t>5</w:t>
      </w:r>
      <w:r>
        <w:rPr>
          <w:rFonts w:eastAsiaTheme="minorEastAsia"/>
          <w:sz w:val="24"/>
          <w:highlight w:val="none"/>
        </w:rPr>
        <w:t>日内提出合理的紧急处理建议，在</w:t>
      </w:r>
      <w:r>
        <w:rPr>
          <w:rFonts w:hint="eastAsia" w:eastAsiaTheme="minorEastAsia"/>
          <w:sz w:val="24"/>
          <w:highlight w:val="none"/>
          <w:lang w:val="en-US" w:eastAsia="zh-CN"/>
        </w:rPr>
        <w:t>10</w:t>
      </w:r>
      <w:r>
        <w:rPr>
          <w:rFonts w:eastAsiaTheme="minorEastAsia"/>
          <w:sz w:val="24"/>
          <w:highlight w:val="none"/>
        </w:rPr>
        <w:t>日内派遣合格的技术人员到现场进行免费检查；在</w:t>
      </w:r>
      <w:r>
        <w:rPr>
          <w:rFonts w:hint="eastAsia" w:eastAsiaTheme="minorEastAsia"/>
          <w:sz w:val="24"/>
          <w:highlight w:val="none"/>
          <w:lang w:val="en-US" w:eastAsia="zh-CN"/>
        </w:rPr>
        <w:t>15</w:t>
      </w:r>
      <w:r>
        <w:rPr>
          <w:rFonts w:eastAsiaTheme="minorEastAsia"/>
          <w:sz w:val="24"/>
          <w:highlight w:val="none"/>
        </w:rPr>
        <w:t>日内采取合理的临时紧急措施防止缺陷或损害扩大。对有缺陷的部分或全部货物，根据买方要求，采用符合本合同规定的规格、质量、性能、健康、安全、环保等要求的货物无偿进行更换。如买方在质保期届满后</w:t>
      </w:r>
      <w:r>
        <w:rPr>
          <w:rFonts w:hint="eastAsia" w:eastAsiaTheme="minorEastAsia"/>
          <w:sz w:val="24"/>
          <w:highlight w:val="none"/>
          <w:lang w:val="en-US" w:eastAsia="zh-CN"/>
        </w:rPr>
        <w:t>30</w:t>
      </w:r>
      <w:r>
        <w:rPr>
          <w:rFonts w:eastAsiaTheme="minorEastAsia"/>
          <w:sz w:val="24"/>
          <w:highlight w:val="none"/>
        </w:rPr>
        <w:t>日内发出货物缺陷或不符合通知，应视为在质保期内发出的有效通知。</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对于任何在现场进行的更换，卖方应在收到货物更换通知后</w:t>
      </w:r>
      <w:r>
        <w:rPr>
          <w:rFonts w:hint="eastAsia" w:eastAsiaTheme="minorEastAsia"/>
          <w:sz w:val="24"/>
          <w:highlight w:val="none"/>
          <w:lang w:val="en-US" w:eastAsia="zh-CN"/>
        </w:rPr>
        <w:t>30</w:t>
      </w:r>
      <w:r>
        <w:rPr>
          <w:rFonts w:eastAsiaTheme="minorEastAsia"/>
          <w:sz w:val="24"/>
          <w:highlight w:val="none"/>
        </w:rPr>
        <w:t>日内完成，卖方应自行承担费用将相关货物或者货物部件运输到现场以外的地点。卖方应承担该等货物在运输过程中的风险。</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如 (i) 卖方收到通知后</w:t>
      </w:r>
      <w:r>
        <w:rPr>
          <w:rFonts w:hint="eastAsia" w:eastAsiaTheme="minorEastAsia"/>
          <w:sz w:val="24"/>
          <w:highlight w:val="none"/>
          <w:lang w:val="en-US" w:eastAsia="zh-CN"/>
        </w:rPr>
        <w:t>15</w:t>
      </w:r>
      <w:r>
        <w:rPr>
          <w:rFonts w:eastAsiaTheme="minorEastAsia"/>
          <w:sz w:val="24"/>
          <w:highlight w:val="none"/>
        </w:rPr>
        <w:t>日内未进行任何回复；(ii) 卖方未在上述规定的时间内完成更换；或(iii) 经更换的货物仍存在缺陷或不符合合同规定，买方有权自行决定采取以下措施：</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(1)</w:t>
      </w:r>
      <w:r>
        <w:rPr>
          <w:rFonts w:eastAsiaTheme="minorEastAsia"/>
          <w:sz w:val="24"/>
          <w:highlight w:val="none"/>
        </w:rPr>
        <w:tab/>
      </w:r>
      <w:r>
        <w:rPr>
          <w:rFonts w:eastAsiaTheme="minorEastAsia"/>
          <w:sz w:val="24"/>
          <w:highlight w:val="none"/>
        </w:rPr>
        <w:t>自行（包括聘请第三方）消除货物缺陷，但买方对此不承担任何责任。卖方应承担因此发生的全部费用，包括但不限于向任何第三方支付的费用、设备费用、材料费用、零部件费用、人工费用等。</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(2)</w:t>
      </w:r>
      <w:r>
        <w:rPr>
          <w:rFonts w:eastAsiaTheme="minorEastAsia"/>
          <w:sz w:val="24"/>
          <w:highlight w:val="none"/>
        </w:rPr>
        <w:tab/>
      </w:r>
      <w:r>
        <w:rPr>
          <w:rFonts w:eastAsiaTheme="minorEastAsia"/>
          <w:sz w:val="24"/>
          <w:highlight w:val="none"/>
        </w:rPr>
        <w:t>直接扣减合同价款或要求卖方退还部分合同价款。</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(3)</w:t>
      </w:r>
      <w:r>
        <w:rPr>
          <w:rFonts w:eastAsiaTheme="minorEastAsia"/>
          <w:sz w:val="24"/>
          <w:highlight w:val="none"/>
        </w:rPr>
        <w:tab/>
      </w:r>
      <w:r>
        <w:rPr>
          <w:rFonts w:eastAsiaTheme="minorEastAsia"/>
          <w:sz w:val="24"/>
          <w:highlight w:val="none"/>
        </w:rPr>
        <w:t>要求退货，卖方应退还买方已经支付的全部合同价款，并赔偿买方因此遭受的全部损失。</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更换后的货物应根据本合同的标准进行检验，并符合本合同规定的规格、技术、质量、性能、健康、安全和环保等要求。经更换的货物的质保期应从更换完成之日起重新计算。质保期内，如因货物缺陷造成任何设备停机、生产暂停等，该等货物的质保期应相应延长。</w:t>
      </w:r>
    </w:p>
    <w:p>
      <w:pPr>
        <w:pStyle w:val="20"/>
        <w:numPr>
          <w:ilvl w:val="0"/>
          <w:numId w:val="12"/>
        </w:numPr>
        <w:spacing w:line="360" w:lineRule="auto"/>
        <w:ind w:firstLineChars="0"/>
        <w:rPr>
          <w:rFonts w:eastAsiaTheme="minorEastAsia"/>
          <w:sz w:val="24"/>
          <w:highlight w:val="none"/>
        </w:rPr>
      </w:pPr>
      <w:r>
        <w:rPr>
          <w:rFonts w:eastAsiaTheme="minorEastAsia"/>
          <w:sz w:val="24"/>
          <w:highlight w:val="none"/>
        </w:rPr>
        <w:t>卖方应承担买方因货物缺陷或不符合本合同约定而进行更换导致的一切费用和损失，包括但不限于人员、设备、材料、零部件费用、运输费、保险费、检测费、仓储费、装卸费、修理费、税费等。</w:t>
      </w:r>
    </w:p>
    <w:p>
      <w:pPr>
        <w:pStyle w:val="2"/>
        <w:numPr>
          <w:ilvl w:val="0"/>
          <w:numId w:val="1"/>
        </w:numPr>
        <w:spacing w:before="0" w:after="0" w:line="360" w:lineRule="auto"/>
        <w:ind w:left="419" w:hanging="130"/>
        <w:jc w:val="center"/>
        <w:rPr>
          <w:iCs/>
          <w:sz w:val="24"/>
          <w:szCs w:val="24"/>
          <w:highlight w:val="none"/>
        </w:rPr>
      </w:pPr>
      <w:bookmarkStart w:id="105" w:name="_Toc6399"/>
      <w:r>
        <w:rPr>
          <w:iCs/>
          <w:sz w:val="24"/>
          <w:szCs w:val="24"/>
          <w:highlight w:val="none"/>
        </w:rPr>
        <w:t>验收</w:t>
      </w:r>
      <w:bookmarkEnd w:id="105"/>
    </w:p>
    <w:p>
      <w:pPr>
        <w:pStyle w:val="20"/>
        <w:numPr>
          <w:ilvl w:val="0"/>
          <w:numId w:val="13"/>
        </w:numPr>
        <w:spacing w:line="360" w:lineRule="auto"/>
        <w:ind w:firstLineChars="0"/>
        <w:rPr>
          <w:rFonts w:eastAsiaTheme="minorEastAsia"/>
          <w:sz w:val="24"/>
          <w:highlight w:val="none"/>
        </w:rPr>
      </w:pPr>
      <w:r>
        <w:rPr>
          <w:rFonts w:eastAsiaTheme="minorEastAsia"/>
          <w:sz w:val="24"/>
          <w:highlight w:val="none"/>
        </w:rPr>
        <w:t>每一批次货物到达指定交货地点后，买方在</w:t>
      </w:r>
      <w:r>
        <w:rPr>
          <w:rFonts w:hint="eastAsia" w:eastAsiaTheme="minorEastAsia"/>
          <w:sz w:val="24"/>
          <w:highlight w:val="none"/>
          <w:lang w:val="en-US" w:eastAsia="zh-CN"/>
        </w:rPr>
        <w:t>7</w:t>
      </w:r>
      <w:r>
        <w:rPr>
          <w:rFonts w:eastAsiaTheme="minorEastAsia"/>
          <w:sz w:val="24"/>
          <w:highlight w:val="none"/>
        </w:rPr>
        <w:t>日内对货物进行验收，检验货物的数量、质量、所附资料及各项指标是否符合合同约定，危险化学品是否随产品提供MSDS（物料安全数据表）。验收由买方组织并指派专人参加，卖方应当指派人员参加。如检验时卖方人员未按买方通知的时间到达现场，买方有权自行验收，验收结果和记录对双方均有效，并可作为买方向卖方提出索赔的有效证据。验收标准见本合同附件四。</w:t>
      </w:r>
    </w:p>
    <w:p>
      <w:pPr>
        <w:pStyle w:val="20"/>
        <w:numPr>
          <w:ilvl w:val="0"/>
          <w:numId w:val="13"/>
        </w:numPr>
        <w:spacing w:line="360" w:lineRule="auto"/>
        <w:ind w:firstLineChars="0"/>
        <w:rPr>
          <w:rFonts w:eastAsiaTheme="minorEastAsia"/>
          <w:sz w:val="24"/>
          <w:highlight w:val="none"/>
        </w:rPr>
      </w:pPr>
      <w:r>
        <w:rPr>
          <w:rFonts w:eastAsiaTheme="minorEastAsia"/>
          <w:sz w:val="24"/>
          <w:highlight w:val="none"/>
        </w:rPr>
        <w:t>买方按照本合同约定的标准进行验收，并将验收结果通知卖方。对于验收合格的，由参与验收的人员在送货单（一式四联）上签字确认，买卖双方各留</w:t>
      </w:r>
      <w:r>
        <w:rPr>
          <w:rFonts w:hint="eastAsia" w:eastAsiaTheme="minorEastAsia"/>
          <w:sz w:val="24"/>
          <w:highlight w:val="none"/>
          <w:lang w:val="en-US" w:eastAsia="zh-CN"/>
        </w:rPr>
        <w:t>1</w:t>
      </w:r>
      <w:r>
        <w:rPr>
          <w:rFonts w:eastAsiaTheme="minorEastAsia"/>
          <w:sz w:val="24"/>
          <w:highlight w:val="none"/>
        </w:rPr>
        <w:t>份（送货单格式见本合同附件三。对于验收中买方发现的问题，卖方应当在</w:t>
      </w:r>
      <w:r>
        <w:rPr>
          <w:rFonts w:hint="eastAsia" w:eastAsiaTheme="minorEastAsia"/>
          <w:sz w:val="24"/>
          <w:highlight w:val="none"/>
          <w:lang w:val="en-US" w:eastAsia="zh-CN"/>
        </w:rPr>
        <w:t>5</w:t>
      </w:r>
      <w:r>
        <w:rPr>
          <w:rFonts w:eastAsiaTheme="minorEastAsia"/>
          <w:sz w:val="24"/>
          <w:highlight w:val="none"/>
        </w:rPr>
        <w:t>日内予以书面回复。对于验收中发现的任何短少、缺陷、与合同约定不符等质量问题，应做好记录，由双方代表签字，并由双方各执一份，作为买方向卖方提出修理、更换或索赔的依据（验收记录格式见本合同附件四），因此产生的所有费用由卖方承担，卖方应在验收后</w:t>
      </w:r>
      <w:r>
        <w:rPr>
          <w:rFonts w:hint="eastAsia" w:eastAsiaTheme="minorEastAsia"/>
          <w:sz w:val="24"/>
          <w:highlight w:val="none"/>
          <w:lang w:val="en-US" w:eastAsia="zh-CN"/>
        </w:rPr>
        <w:t>15</w:t>
      </w:r>
      <w:r>
        <w:rPr>
          <w:rFonts w:eastAsiaTheme="minorEastAsia"/>
          <w:sz w:val="24"/>
          <w:highlight w:val="none"/>
        </w:rPr>
        <w:t>日内根据买方的要求对上述问题予以解决。</w:t>
      </w:r>
    </w:p>
    <w:p>
      <w:pPr>
        <w:pStyle w:val="20"/>
        <w:numPr>
          <w:ilvl w:val="0"/>
          <w:numId w:val="13"/>
        </w:numPr>
        <w:spacing w:line="360" w:lineRule="auto"/>
        <w:ind w:firstLineChars="0"/>
        <w:rPr>
          <w:rFonts w:eastAsiaTheme="minorEastAsia"/>
          <w:sz w:val="24"/>
          <w:highlight w:val="none"/>
        </w:rPr>
      </w:pPr>
      <w:r>
        <w:rPr>
          <w:rFonts w:eastAsiaTheme="minorEastAsia"/>
          <w:sz w:val="24"/>
          <w:highlight w:val="none"/>
        </w:rPr>
        <w:t>卖方对验收结果提出异议的，由双方协商解决。协商不成的，买卖双方同意委托第三方检测机构进行检验并以该检验机构的检验结果为准。委托检验所发生的费用由卖方承担。</w:t>
      </w:r>
    </w:p>
    <w:p>
      <w:pPr>
        <w:pStyle w:val="2"/>
        <w:numPr>
          <w:ilvl w:val="0"/>
          <w:numId w:val="1"/>
        </w:numPr>
        <w:spacing w:before="0" w:after="0" w:line="360" w:lineRule="auto"/>
        <w:ind w:left="419" w:hanging="130"/>
        <w:jc w:val="center"/>
        <w:rPr>
          <w:iCs/>
          <w:sz w:val="24"/>
          <w:szCs w:val="24"/>
          <w:highlight w:val="none"/>
        </w:rPr>
      </w:pPr>
      <w:bookmarkStart w:id="106" w:name="_Toc152601960"/>
      <w:bookmarkEnd w:id="106"/>
      <w:bookmarkStart w:id="107" w:name="_Toc152602040"/>
      <w:bookmarkEnd w:id="107"/>
      <w:bookmarkStart w:id="108" w:name="_Toc152602314"/>
      <w:bookmarkEnd w:id="108"/>
      <w:bookmarkStart w:id="109" w:name="_Toc25276"/>
      <w:r>
        <w:rPr>
          <w:iCs/>
          <w:sz w:val="24"/>
          <w:szCs w:val="24"/>
          <w:highlight w:val="none"/>
        </w:rPr>
        <w:t>风险负担</w:t>
      </w:r>
      <w:bookmarkEnd w:id="109"/>
    </w:p>
    <w:p>
      <w:pPr>
        <w:widowControl/>
        <w:numPr>
          <w:ilvl w:val="1"/>
          <w:numId w:val="14"/>
        </w:numPr>
        <w:tabs>
          <w:tab w:val="left" w:pos="709"/>
          <w:tab w:val="clear" w:pos="420"/>
        </w:tabs>
        <w:spacing w:line="360" w:lineRule="auto"/>
        <w:ind w:left="567" w:hanging="567"/>
        <w:jc w:val="left"/>
        <w:rPr>
          <w:sz w:val="24"/>
          <w:szCs w:val="24"/>
          <w:highlight w:val="none"/>
        </w:rPr>
      </w:pPr>
      <w:r>
        <w:rPr>
          <w:sz w:val="24"/>
          <w:szCs w:val="24"/>
          <w:highlight w:val="none"/>
        </w:rPr>
        <w:t>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pPr>
        <w:widowControl/>
        <w:numPr>
          <w:ilvl w:val="1"/>
          <w:numId w:val="14"/>
        </w:numPr>
        <w:tabs>
          <w:tab w:val="left" w:pos="709"/>
          <w:tab w:val="clear" w:pos="420"/>
        </w:tabs>
        <w:spacing w:line="360" w:lineRule="auto"/>
        <w:ind w:left="567" w:hanging="567"/>
        <w:jc w:val="left"/>
        <w:rPr>
          <w:sz w:val="24"/>
          <w:szCs w:val="24"/>
          <w:highlight w:val="none"/>
        </w:rPr>
      </w:pPr>
      <w:r>
        <w:rPr>
          <w:sz w:val="24"/>
          <w:szCs w:val="24"/>
          <w:highlight w:val="none"/>
        </w:rPr>
        <w:t>因货物质量不符合要求，致使不能实现买方的需求或合同目的的，买方可以拒绝接受货物或者解除合同。买方拒绝接受货物或者解除合同的，货物毁损、灭失的风险由卖方承担。买方采取必要措施防止损失扩大的，费用由卖方承担。买方采取补救措施不影响买方的任何权利，也不能被视为是对卖方责任的免除或风险的承担。</w:t>
      </w:r>
    </w:p>
    <w:p>
      <w:pPr>
        <w:widowControl/>
        <w:numPr>
          <w:ilvl w:val="1"/>
          <w:numId w:val="14"/>
        </w:numPr>
        <w:tabs>
          <w:tab w:val="left" w:pos="709"/>
          <w:tab w:val="clear" w:pos="420"/>
        </w:tabs>
        <w:spacing w:line="360" w:lineRule="auto"/>
        <w:ind w:left="567" w:hanging="567"/>
        <w:jc w:val="left"/>
        <w:rPr>
          <w:sz w:val="24"/>
          <w:szCs w:val="24"/>
          <w:highlight w:val="none"/>
        </w:rPr>
      </w:pPr>
      <w:r>
        <w:rPr>
          <w:sz w:val="24"/>
          <w:szCs w:val="24"/>
          <w:highlight w:val="none"/>
        </w:rPr>
        <w:t>货物风险的转移不影响因卖方履行义务不符合约定，买方要求其承担违约责任的权利。</w:t>
      </w:r>
    </w:p>
    <w:p>
      <w:pPr>
        <w:pStyle w:val="2"/>
        <w:numPr>
          <w:ilvl w:val="0"/>
          <w:numId w:val="1"/>
        </w:numPr>
        <w:spacing w:before="0" w:after="0" w:line="360" w:lineRule="auto"/>
        <w:ind w:left="419" w:hanging="130"/>
        <w:jc w:val="center"/>
        <w:rPr>
          <w:iCs/>
          <w:sz w:val="24"/>
          <w:szCs w:val="24"/>
          <w:highlight w:val="none"/>
        </w:rPr>
      </w:pPr>
      <w:bookmarkStart w:id="110" w:name="_Toc12468"/>
      <w:r>
        <w:rPr>
          <w:iCs/>
          <w:sz w:val="24"/>
          <w:szCs w:val="24"/>
          <w:highlight w:val="none"/>
        </w:rPr>
        <w:t>培训</w:t>
      </w:r>
      <w:bookmarkEnd w:id="110"/>
    </w:p>
    <w:p>
      <w:pPr>
        <w:pStyle w:val="20"/>
        <w:numPr>
          <w:ilvl w:val="0"/>
          <w:numId w:val="15"/>
        </w:numPr>
        <w:spacing w:line="360" w:lineRule="auto"/>
        <w:ind w:firstLineChars="0"/>
        <w:rPr>
          <w:rFonts w:eastAsiaTheme="minorEastAsia"/>
          <w:color w:val="000000"/>
          <w:sz w:val="24"/>
          <w:highlight w:val="none"/>
        </w:rPr>
      </w:pPr>
      <w:r>
        <w:rPr>
          <w:rFonts w:eastAsiaTheme="minorEastAsia"/>
          <w:sz w:val="24"/>
          <w:highlight w:val="none"/>
        </w:rPr>
        <w:t>卖方应指派技术人员驻厂对买方的技术人员进行培训，保证买方的技术人员能够掌握相应技术以便正确地使用货物，培训期间的卖方技术人员薪酬、住宿费、饮食、交通等相关费用已包含在合同价款内，应由卖方承担。</w:t>
      </w:r>
    </w:p>
    <w:p>
      <w:pPr>
        <w:pStyle w:val="2"/>
        <w:numPr>
          <w:ilvl w:val="0"/>
          <w:numId w:val="1"/>
        </w:numPr>
        <w:spacing w:before="0" w:after="0" w:line="360" w:lineRule="auto"/>
        <w:ind w:left="419" w:hanging="130"/>
        <w:jc w:val="center"/>
        <w:rPr>
          <w:iCs/>
          <w:sz w:val="24"/>
          <w:szCs w:val="24"/>
          <w:highlight w:val="none"/>
        </w:rPr>
      </w:pPr>
      <w:bookmarkStart w:id="111" w:name="_Toc25394"/>
      <w:r>
        <w:rPr>
          <w:iCs/>
          <w:sz w:val="24"/>
          <w:szCs w:val="24"/>
          <w:highlight w:val="none"/>
        </w:rPr>
        <w:t>知识产权和其他权利保证</w:t>
      </w:r>
      <w:bookmarkEnd w:id="111"/>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双方同意，货物交付且买方按照本合同约定支付合同价款之后，买方：（删除不适用的选项）</w:t>
      </w:r>
    </w:p>
    <w:p>
      <w:pPr>
        <w:widowControl/>
        <w:numPr>
          <w:ilvl w:val="0"/>
          <w:numId w:val="17"/>
        </w:numPr>
        <w:tabs>
          <w:tab w:val="left" w:pos="426"/>
          <w:tab w:val="left" w:pos="540"/>
          <w:tab w:val="left" w:pos="993"/>
        </w:tabs>
        <w:spacing w:line="360" w:lineRule="auto"/>
        <w:ind w:left="964" w:hanging="397"/>
        <w:jc w:val="left"/>
        <w:rPr>
          <w:rFonts w:eastAsiaTheme="minorEastAsia"/>
          <w:kern w:val="0"/>
          <w:sz w:val="24"/>
          <w:szCs w:val="24"/>
          <w:highlight w:val="none"/>
        </w:rPr>
      </w:pPr>
      <w:r>
        <w:rPr>
          <w:rFonts w:eastAsiaTheme="minorEastAsia"/>
          <w:kern w:val="0"/>
          <w:sz w:val="24"/>
          <w:szCs w:val="24"/>
          <w:highlight w:val="none"/>
        </w:rPr>
        <w:t>自动获得并拥有货物自身附有的和/或为拥有、使用及维护货物所需的全部知识产权。</w:t>
      </w:r>
    </w:p>
    <w:p>
      <w:pPr>
        <w:widowControl/>
        <w:numPr>
          <w:ilvl w:val="0"/>
          <w:numId w:val="18"/>
        </w:numPr>
        <w:tabs>
          <w:tab w:val="left" w:pos="426"/>
          <w:tab w:val="left" w:pos="567"/>
        </w:tabs>
        <w:spacing w:line="360" w:lineRule="auto"/>
        <w:ind w:left="729" w:leftChars="347" w:firstLine="180" w:firstLineChars="75"/>
        <w:jc w:val="left"/>
        <w:rPr>
          <w:rFonts w:eastAsiaTheme="minorEastAsia"/>
          <w:color w:val="000000"/>
          <w:sz w:val="24"/>
          <w:szCs w:val="24"/>
          <w:highlight w:val="none"/>
        </w:rPr>
      </w:pPr>
      <w:r>
        <w:rPr>
          <w:rFonts w:eastAsiaTheme="minorEastAsia"/>
          <w:color w:val="000000"/>
          <w:sz w:val="24"/>
          <w:szCs w:val="24"/>
          <w:highlight w:val="none"/>
        </w:rPr>
        <w:t>自动获得并拥有货物自身附有的和/或为拥有、使用及维护货物所需的以下知识产权，且卖方同意无偿许可买方使用与货物有关的所有知识产权。</w:t>
      </w:r>
    </w:p>
    <w:p>
      <w:pPr>
        <w:widowControl/>
        <w:numPr>
          <w:ilvl w:val="0"/>
          <w:numId w:val="17"/>
        </w:numPr>
        <w:tabs>
          <w:tab w:val="left" w:pos="426"/>
          <w:tab w:val="left" w:pos="540"/>
          <w:tab w:val="left" w:pos="993"/>
        </w:tabs>
        <w:spacing w:line="360" w:lineRule="auto"/>
        <w:ind w:left="964" w:hanging="397"/>
        <w:jc w:val="left"/>
        <w:rPr>
          <w:rFonts w:eastAsiaTheme="minorEastAsia"/>
          <w:color w:val="000000"/>
          <w:sz w:val="24"/>
          <w:szCs w:val="24"/>
          <w:highlight w:val="none"/>
        </w:rPr>
      </w:pPr>
      <w:r>
        <w:rPr>
          <w:rFonts w:eastAsiaTheme="minorEastAsia"/>
          <w:color w:val="000000"/>
          <w:sz w:val="24"/>
          <w:szCs w:val="24"/>
          <w:highlight w:val="none"/>
        </w:rPr>
        <w:t>除非双方另有约定，不自动获得并拥有货物自身附有的相关知识产权，但卖方同意无偿许可买方使用与货物有关的所有知识产权。</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本合同有效期内，如卖方对所许可的专利和/或专有技术有所改进，则卖方应向买方免费提供技术支持以使该技术改进能顺利投入本合同项下货物的使用过程中。</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买方有权对卖方许可买方使用的专利和/或专有技术予以改进，买方所作的任何技术改进的专利申请权归买方所有。</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在货物设计、制造、组装、调试及运行期间，如果买方为此提供任何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始终拥有该等买方专有资料的所有权及与之相关的知识产权。</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损失、索赔或诉讼，卖方应赔偿买方因此产生的全部责任、义务及费用（包括但不限于律师费用、诉讼费用、鉴定费用、罚款和赔偿金等）。如卖方拒绝或怠于赔偿、处理或应诉，买方有权自行处理，卖方应承担买方因此发生的全部责任、义务和费用，买方有权从合同总价余额中直接扣除该等费用，不足部分由卖方予以补偿。</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损失、索赔或诉讼，卖方应赔偿买方因此产生的全部责任、义务及费用（包括但不限于律师费用、诉讼费用、鉴定费用、罚款和赔偿金等）。如卖方拒绝或怠于赔偿、处理或应诉，买方有权自行处理，卖方应承担买方因此发生的全部责任、义务和费用，买方有权从合同总价余额中直接扣除该等费用，不足部分由卖方予以补偿。</w:t>
      </w:r>
    </w:p>
    <w:p>
      <w:pPr>
        <w:pStyle w:val="20"/>
        <w:numPr>
          <w:ilvl w:val="0"/>
          <w:numId w:val="16"/>
        </w:numPr>
        <w:spacing w:line="360" w:lineRule="auto"/>
        <w:ind w:firstLineChars="0"/>
        <w:rPr>
          <w:rFonts w:eastAsiaTheme="minorEastAsia"/>
          <w:color w:val="000000"/>
          <w:sz w:val="24"/>
          <w:highlight w:val="none"/>
        </w:rPr>
      </w:pPr>
      <w:r>
        <w:rPr>
          <w:rFonts w:eastAsiaTheme="minorEastAsia"/>
          <w:color w:val="000000"/>
          <w:sz w:val="24"/>
          <w:highlight w:val="none"/>
        </w:rPr>
        <w:t>卖方无权因本条的适用而获得额外的履约时间或合同价款。</w:t>
      </w:r>
    </w:p>
    <w:p>
      <w:pPr>
        <w:pStyle w:val="2"/>
        <w:numPr>
          <w:ilvl w:val="0"/>
          <w:numId w:val="1"/>
        </w:numPr>
        <w:spacing w:before="0" w:after="0" w:line="360" w:lineRule="auto"/>
        <w:ind w:left="419" w:hanging="130"/>
        <w:jc w:val="center"/>
        <w:rPr>
          <w:iCs/>
          <w:sz w:val="24"/>
          <w:szCs w:val="24"/>
          <w:highlight w:val="none"/>
        </w:rPr>
      </w:pPr>
      <w:bookmarkStart w:id="112" w:name="_Toc23741"/>
      <w:r>
        <w:rPr>
          <w:iCs/>
          <w:sz w:val="24"/>
          <w:szCs w:val="24"/>
          <w:highlight w:val="none"/>
        </w:rPr>
        <w:t>延迟交货和违约金</w:t>
      </w:r>
      <w:bookmarkEnd w:id="112"/>
    </w:p>
    <w:p>
      <w:pPr>
        <w:pStyle w:val="20"/>
        <w:numPr>
          <w:ilvl w:val="0"/>
          <w:numId w:val="19"/>
        </w:numPr>
        <w:spacing w:line="360" w:lineRule="auto"/>
        <w:ind w:firstLineChars="0"/>
        <w:rPr>
          <w:rFonts w:eastAsiaTheme="minorEastAsia"/>
          <w:color w:val="auto"/>
          <w:sz w:val="24"/>
          <w:highlight w:val="none"/>
        </w:rPr>
      </w:pPr>
      <w:bookmarkStart w:id="113" w:name="_Toc19070"/>
      <w:r>
        <w:rPr>
          <w:rFonts w:eastAsiaTheme="minorEastAsia"/>
          <w:color w:val="auto"/>
          <w:sz w:val="24"/>
          <w:highlight w:val="none"/>
        </w:rPr>
        <w:t>在合同执行期间，如果卖方延迟交货，则每延迟七（7）个日历天（不满7天按7天计算）应向买方支付</w:t>
      </w:r>
      <w:r>
        <w:rPr>
          <w:rFonts w:hint="eastAsia" w:eastAsiaTheme="minorEastAsia"/>
          <w:color w:val="auto"/>
          <w:sz w:val="24"/>
          <w:highlight w:val="none"/>
          <w:lang w:val="en-US" w:eastAsia="zh-CN"/>
        </w:rPr>
        <w:t>延迟交货货物对应的合同</w:t>
      </w:r>
      <w:r>
        <w:rPr>
          <w:rFonts w:eastAsiaTheme="minorEastAsia"/>
          <w:color w:val="auto"/>
          <w:sz w:val="24"/>
          <w:highlight w:val="none"/>
        </w:rPr>
        <w:t>总价的1%作为违约金。如果卖方延迟交货超过五（5）周，除要求卖方按本条规定向买方支付违约金至合同解除日外，买方有权解除本合同，并有权要求卖方赔偿买方因此遭受的全部损失。</w:t>
      </w:r>
    </w:p>
    <w:p>
      <w:pPr>
        <w:pStyle w:val="2"/>
        <w:numPr>
          <w:ilvl w:val="0"/>
          <w:numId w:val="1"/>
        </w:numPr>
        <w:spacing w:before="0" w:after="0" w:line="360" w:lineRule="auto"/>
        <w:ind w:left="419" w:hanging="130"/>
        <w:jc w:val="center"/>
        <w:rPr>
          <w:iCs/>
          <w:sz w:val="24"/>
          <w:szCs w:val="24"/>
          <w:highlight w:val="none"/>
        </w:rPr>
      </w:pPr>
      <w:r>
        <w:rPr>
          <w:iCs/>
          <w:sz w:val="24"/>
          <w:szCs w:val="24"/>
          <w:highlight w:val="none"/>
        </w:rPr>
        <w:t>违约责任</w:t>
      </w:r>
      <w:bookmarkEnd w:id="113"/>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在验收时如发现货物质量、型号、规格等方面不符合合同规定，或相关证书、货物资料不齐、有错误或破损的，买方有权选择退货、更换、补齐或拒付货款，所发生的一切费用应由卖方承担。由于上述原因导致延迟交货的，卖方还应按照本合同第十四条约定向买方支付违约金，并同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卖方未按时交付本合同约定的技术资料，</w:t>
      </w:r>
      <w:r>
        <w:rPr>
          <w:rFonts w:hint="eastAsia" w:eastAsiaTheme="minorEastAsia"/>
          <w:sz w:val="24"/>
          <w:highlight w:val="none"/>
        </w:rPr>
        <w:t>每延迟七（7）个日历天（不满7天按7天计算）</w:t>
      </w:r>
      <w:r>
        <w:rPr>
          <w:rFonts w:eastAsiaTheme="minorEastAsia"/>
          <w:sz w:val="24"/>
          <w:highlight w:val="none"/>
        </w:rPr>
        <w:t>，卖方</w:t>
      </w:r>
      <w:r>
        <w:rPr>
          <w:rFonts w:hint="eastAsia" w:eastAsiaTheme="minorEastAsia"/>
          <w:sz w:val="24"/>
          <w:highlight w:val="none"/>
        </w:rPr>
        <w:t>应向买方支付合同总价的1%作为违约金</w:t>
      </w:r>
      <w:r>
        <w:rPr>
          <w:rFonts w:eastAsiaTheme="minorEastAsia"/>
          <w:sz w:val="24"/>
          <w:highlight w:val="none"/>
        </w:rPr>
        <w:t>。如卖方延期交付技术资料超过五（5）周，除要求卖方支付该等延期违约金外，买方有权解除本合同，并要求卖方赔偿买方因此遭受的全部损失。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卖方未按本合同规定的数量交货时，买方应及时通知卖方。如买方要求，卖方应在买方指定的时间内对不足的部分照数补齐。如卖方不能按照买方指定的时间全数补齐货物，卖方应赔偿买方因此遭受的全部损失。如因此导致延迟交货，卖方还应按本合同第十四条的规定向买方支付违约金，并赔偿买方因此遭受的全部损失。如买方不要求补齐，且已向卖方支付相应货款的，卖方应及时将货款退还买方，并按照合同签订日适用的中国人民银行授权银行间同业拆借中心发布的1年期银行贷款市场报价利率向买方支付从买方付款之日至卖方还款日期间的利息，卖方还应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货物包装不符合本合同规定时，卖方应负责返修或重新包装并承担所有相关费用，或按买方要求支付不超过合同总价20％的违约金，卖方应同时赔偿买方因此遭受的全部损失。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质保期内，如货物被发现存在任何缺陷或质量不符合本合同约定，且卖方未根据合同规定进行更换或更换仍无法消除该等缺陷或不符合项的，除行使合同规定的其它权利外，买方有权要求卖方支付该货物之合同价款10%的违约金，卖方应同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卖方为履行本合同提供的所有设备、材料均不能含有石棉材料，卖方需在合同签订起</w:t>
      </w:r>
      <w:r>
        <w:rPr>
          <w:rFonts w:hint="eastAsia" w:eastAsiaTheme="minorEastAsia"/>
          <w:sz w:val="24"/>
          <w:highlight w:val="none"/>
          <w:lang w:val="en-US" w:eastAsia="zh-CN"/>
        </w:rPr>
        <w:t>30</w:t>
      </w:r>
      <w:r>
        <w:rPr>
          <w:rFonts w:eastAsiaTheme="minorEastAsia"/>
          <w:sz w:val="24"/>
          <w:highlight w:val="none"/>
        </w:rPr>
        <w:t>日内向买方提交不含石棉材料的书面承诺书（或证明）；如果卖方违反承诺书规定使用石棉材料，买方有权解除本合同，卖方应向买方支付相当于合同总价20％的违约金并赔偿买方因此遭受的全部损失。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由于卖方不履行合同义务，或者严重违反本合同约定，造成本合同无法履行或履行成为不必要时，买方有权解除本合同，卖方应向买方支付相当于合同总价20％的违约金并赔偿买方因此遭受的全部损失。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未经买方同意，卖方擅自进行转让、分包，买方有权解除本合同，卖方应退还买方已支付的全部款项，并支付转让、分包货物之合同价款100%的违约金，卖方应同时赔偿买方因此遭受的全部损失。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除上述规定之外，若卖方存在任何其他违反本合同约定的行为，均应依法承担违约责任并赔偿买方因此遭受的全部损失。</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卖方根据本合同规定应承担违约金或赔偿责任的，买方有权从合同价款余额中直接扣除。</w:t>
      </w:r>
    </w:p>
    <w:p>
      <w:pPr>
        <w:pStyle w:val="20"/>
        <w:numPr>
          <w:ilvl w:val="0"/>
          <w:numId w:val="20"/>
        </w:numPr>
        <w:spacing w:line="360" w:lineRule="auto"/>
        <w:ind w:firstLineChars="0"/>
        <w:rPr>
          <w:rFonts w:eastAsiaTheme="minorEastAsia"/>
          <w:sz w:val="24"/>
          <w:highlight w:val="none"/>
        </w:rPr>
      </w:pPr>
      <w:r>
        <w:rPr>
          <w:rFonts w:hint="eastAsia" w:eastAsiaTheme="minorEastAsia"/>
          <w:sz w:val="24"/>
          <w:highlight w:val="none"/>
        </w:rPr>
        <w:t>如卖方同一行为符合多个违约事由、适用多个违约金条款的，买方有权择一主张或同时主张。</w:t>
      </w:r>
    </w:p>
    <w:p>
      <w:pPr>
        <w:pStyle w:val="20"/>
        <w:numPr>
          <w:ilvl w:val="0"/>
          <w:numId w:val="20"/>
        </w:numPr>
        <w:spacing w:line="360" w:lineRule="auto"/>
        <w:ind w:firstLineChars="0"/>
        <w:rPr>
          <w:rFonts w:eastAsiaTheme="minorEastAsia"/>
          <w:sz w:val="24"/>
          <w:highlight w:val="none"/>
        </w:rPr>
      </w:pPr>
      <w:r>
        <w:rPr>
          <w:rFonts w:eastAsiaTheme="minorEastAsia"/>
          <w:sz w:val="24"/>
          <w:highlight w:val="none"/>
        </w:rPr>
        <w:t>买方因自身原因逾期向卖方支付货款的，应按照合同签订日适用的中国人民银行授权银行间同业拆借中心发布的1年期银行贷款市场报价利率向卖方支付逾期应付而未付的合同价款的利息。（中小微企业适用）</w:t>
      </w:r>
      <w:r>
        <w:rPr>
          <w:rFonts w:hint="eastAsia" w:eastAsiaTheme="minorEastAsia"/>
          <w:sz w:val="24"/>
          <w:highlight w:val="none"/>
        </w:rPr>
        <w:t>双方同意，该等利息的支付是买方就未能如期支付相关合同价款所需承担的全部责任。</w:t>
      </w:r>
    </w:p>
    <w:p>
      <w:pPr>
        <w:pStyle w:val="2"/>
        <w:numPr>
          <w:ilvl w:val="0"/>
          <w:numId w:val="1"/>
        </w:numPr>
        <w:spacing w:before="0" w:after="0" w:line="360" w:lineRule="auto"/>
        <w:ind w:left="419" w:hanging="130"/>
        <w:jc w:val="center"/>
        <w:rPr>
          <w:iCs/>
          <w:sz w:val="24"/>
          <w:szCs w:val="24"/>
          <w:highlight w:val="none"/>
        </w:rPr>
      </w:pPr>
      <w:bookmarkStart w:id="114" w:name="_Toc2500"/>
      <w:r>
        <w:rPr>
          <w:iCs/>
          <w:sz w:val="24"/>
          <w:szCs w:val="24"/>
          <w:highlight w:val="none"/>
        </w:rPr>
        <w:t>不可抗力</w:t>
      </w:r>
      <w:bookmarkEnd w:id="114"/>
    </w:p>
    <w:p>
      <w:pPr>
        <w:pStyle w:val="20"/>
        <w:numPr>
          <w:ilvl w:val="0"/>
          <w:numId w:val="21"/>
        </w:numPr>
        <w:spacing w:line="360" w:lineRule="auto"/>
        <w:ind w:firstLineChars="0"/>
        <w:rPr>
          <w:rFonts w:eastAsiaTheme="minorEastAsia"/>
          <w:sz w:val="24"/>
          <w:highlight w:val="none"/>
        </w:rPr>
      </w:pPr>
      <w:r>
        <w:rPr>
          <w:rFonts w:eastAsiaTheme="minorEastAsia"/>
          <w:sz w:val="24"/>
          <w:highlight w:val="none"/>
        </w:rPr>
        <w:t>本条所称的“不可抗力”系指不能预见、不能避免并不能克服的客观事件或行为，包括但不限于如火灾、洪水、命名的台风、地震、爆炸、雷电、战争、政府管制等自然灾害或社会事件及行为。</w:t>
      </w:r>
    </w:p>
    <w:p>
      <w:pPr>
        <w:pStyle w:val="20"/>
        <w:numPr>
          <w:ilvl w:val="0"/>
          <w:numId w:val="21"/>
        </w:numPr>
        <w:spacing w:line="360" w:lineRule="auto"/>
        <w:ind w:firstLineChars="0"/>
        <w:rPr>
          <w:rFonts w:eastAsiaTheme="minorEastAsia"/>
          <w:sz w:val="24"/>
          <w:highlight w:val="none"/>
        </w:rPr>
      </w:pPr>
      <w:r>
        <w:rPr>
          <w:rFonts w:eastAsiaTheme="minorEastAsia"/>
          <w:sz w:val="24"/>
          <w:highlight w:val="none"/>
        </w:rPr>
        <w:t>任何一方因不可抗力不能或延迟履行本合同，不承担违约责任。</w:t>
      </w:r>
    </w:p>
    <w:p>
      <w:pPr>
        <w:pStyle w:val="20"/>
        <w:numPr>
          <w:ilvl w:val="0"/>
          <w:numId w:val="21"/>
        </w:numPr>
        <w:spacing w:line="360" w:lineRule="auto"/>
        <w:ind w:firstLineChars="0"/>
        <w:rPr>
          <w:rFonts w:eastAsiaTheme="minorEastAsia"/>
          <w:sz w:val="24"/>
          <w:highlight w:val="none"/>
        </w:rPr>
      </w:pPr>
      <w:r>
        <w:rPr>
          <w:rFonts w:eastAsiaTheme="minorEastAsia"/>
          <w:sz w:val="24"/>
          <w:highlight w:val="none"/>
        </w:rPr>
        <w:t>任何一方遇有不可抗力而全部或部分不能履行本合同或迟延履行本合同，应立即通知另一方，并在不可抗力事件发生之日起五（5）个工作日内，将当地市级以上有关政府部门或公证机构出具的证明不可抗力发生的书面文件或其他足以证明不可抗力发生的书面文件当面递交/空运/快速邮递给另一方，并于事件发生之日起十（10）天内，向另一方提交该等事件导致本合同全部或部分不能履行或迟延履行的证明。</w:t>
      </w:r>
    </w:p>
    <w:p>
      <w:pPr>
        <w:pStyle w:val="20"/>
        <w:numPr>
          <w:ilvl w:val="0"/>
          <w:numId w:val="21"/>
        </w:numPr>
        <w:spacing w:line="360" w:lineRule="auto"/>
        <w:ind w:firstLineChars="0"/>
        <w:rPr>
          <w:rFonts w:eastAsiaTheme="minorEastAsia"/>
          <w:sz w:val="24"/>
          <w:highlight w:val="none"/>
        </w:rPr>
      </w:pPr>
      <w:r>
        <w:rPr>
          <w:rFonts w:eastAsiaTheme="minorEastAsia"/>
          <w:sz w:val="24"/>
          <w:highlight w:val="none"/>
        </w:rPr>
        <w:t>各方应采取一切必要措施减少损失，并在事件消除后立即恢复本合同的履行，除非此履行已不可能或者不必要。一旦不可抗力事件的影响持续</w:t>
      </w:r>
      <w:r>
        <w:rPr>
          <w:rFonts w:hint="eastAsia" w:eastAsiaTheme="minorEastAsia"/>
          <w:sz w:val="24"/>
          <w:highlight w:val="none"/>
          <w:lang w:val="en-US" w:eastAsia="zh-CN"/>
        </w:rPr>
        <w:t>4</w:t>
      </w:r>
      <w:r>
        <w:rPr>
          <w:rFonts w:eastAsiaTheme="minorEastAsia"/>
          <w:sz w:val="24"/>
          <w:highlight w:val="none"/>
        </w:rPr>
        <w:t>周以上，买方有权解除本合同。</w:t>
      </w:r>
    </w:p>
    <w:p>
      <w:pPr>
        <w:pStyle w:val="2"/>
        <w:numPr>
          <w:ilvl w:val="0"/>
          <w:numId w:val="1"/>
        </w:numPr>
        <w:spacing w:before="0" w:after="0" w:line="360" w:lineRule="auto"/>
        <w:ind w:left="419" w:hanging="130"/>
        <w:jc w:val="center"/>
        <w:rPr>
          <w:iCs/>
          <w:sz w:val="24"/>
          <w:szCs w:val="24"/>
          <w:highlight w:val="none"/>
        </w:rPr>
      </w:pPr>
      <w:bookmarkStart w:id="115" w:name="_Toc11078"/>
      <w:r>
        <w:rPr>
          <w:iCs/>
          <w:sz w:val="24"/>
          <w:szCs w:val="24"/>
          <w:highlight w:val="none"/>
        </w:rPr>
        <w:t>合同解除</w:t>
      </w:r>
      <w:bookmarkEnd w:id="115"/>
    </w:p>
    <w:p>
      <w:pPr>
        <w:widowControl/>
        <w:numPr>
          <w:ilvl w:val="0"/>
          <w:numId w:val="22"/>
        </w:numPr>
        <w:tabs>
          <w:tab w:val="left" w:pos="709"/>
        </w:tabs>
        <w:spacing w:line="360" w:lineRule="auto"/>
        <w:ind w:left="567" w:hanging="567"/>
        <w:jc w:val="left"/>
        <w:rPr>
          <w:sz w:val="24"/>
          <w:highlight w:val="none"/>
        </w:rPr>
      </w:pPr>
      <w:r>
        <w:rPr>
          <w:sz w:val="24"/>
          <w:highlight w:val="none"/>
        </w:rPr>
        <w:t>本合同在下列任一情形下解除：</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(1)</w:t>
      </w:r>
      <w:r>
        <w:rPr>
          <w:rFonts w:eastAsiaTheme="minorEastAsia"/>
          <w:sz w:val="24"/>
          <w:highlight w:val="none"/>
        </w:rPr>
        <w:tab/>
      </w:r>
      <w:r>
        <w:rPr>
          <w:rFonts w:eastAsiaTheme="minorEastAsia"/>
          <w:sz w:val="24"/>
          <w:highlight w:val="none"/>
        </w:rPr>
        <w:t>本合同明确约定买方有权解除合同的情形；</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(2)</w:t>
      </w:r>
      <w:r>
        <w:rPr>
          <w:rFonts w:eastAsiaTheme="minorEastAsia"/>
          <w:sz w:val="24"/>
          <w:highlight w:val="none"/>
        </w:rPr>
        <w:tab/>
      </w:r>
      <w:r>
        <w:rPr>
          <w:rFonts w:eastAsiaTheme="minorEastAsia"/>
          <w:sz w:val="24"/>
          <w:highlight w:val="none"/>
        </w:rPr>
        <w:t>卖方破产、资不抵债、停业、清算、解散、被兼并、被查封；</w:t>
      </w:r>
    </w:p>
    <w:p>
      <w:pPr>
        <w:pStyle w:val="20"/>
        <w:tabs>
          <w:tab w:val="left" w:pos="993"/>
        </w:tabs>
        <w:spacing w:line="360" w:lineRule="auto"/>
        <w:ind w:left="567" w:firstLine="0" w:firstLineChars="0"/>
        <w:rPr>
          <w:rFonts w:eastAsiaTheme="minorEastAsia"/>
          <w:sz w:val="24"/>
          <w:highlight w:val="none"/>
        </w:rPr>
      </w:pPr>
      <w:r>
        <w:rPr>
          <w:rFonts w:eastAsiaTheme="minorEastAsia"/>
          <w:sz w:val="24"/>
          <w:highlight w:val="none"/>
        </w:rPr>
        <w:t>(3)</w:t>
      </w:r>
      <w:r>
        <w:rPr>
          <w:rFonts w:eastAsiaTheme="minorEastAsia"/>
          <w:sz w:val="24"/>
          <w:highlight w:val="none"/>
        </w:rPr>
        <w:tab/>
      </w:r>
      <w:r>
        <w:rPr>
          <w:rFonts w:eastAsiaTheme="minorEastAsia"/>
          <w:sz w:val="24"/>
          <w:highlight w:val="none"/>
        </w:rPr>
        <w:t>卖方发生其它严重违约，且未在买方要求的合同期限内纠正。</w:t>
      </w:r>
    </w:p>
    <w:p>
      <w:pPr>
        <w:pStyle w:val="20"/>
        <w:spacing w:line="360" w:lineRule="auto"/>
        <w:ind w:left="567" w:leftChars="270" w:firstLine="0" w:firstLineChars="0"/>
        <w:rPr>
          <w:rFonts w:eastAsiaTheme="minorEastAsia"/>
          <w:sz w:val="24"/>
          <w:highlight w:val="none"/>
        </w:rPr>
      </w:pPr>
      <w:r>
        <w:rPr>
          <w:rFonts w:eastAsiaTheme="minorEastAsia"/>
          <w:sz w:val="24"/>
          <w:highlight w:val="none"/>
        </w:rPr>
        <w:t>如买方因上述第（1）、（3）项主张解除本合同的，应当书面通知卖方，本合同自解除合同的通知到达卖方时解除。</w:t>
      </w:r>
    </w:p>
    <w:p>
      <w:pPr>
        <w:widowControl/>
        <w:numPr>
          <w:ilvl w:val="0"/>
          <w:numId w:val="22"/>
        </w:numPr>
        <w:tabs>
          <w:tab w:val="left" w:pos="709"/>
        </w:tabs>
        <w:spacing w:line="360" w:lineRule="auto"/>
        <w:ind w:left="567" w:hanging="567"/>
        <w:jc w:val="left"/>
        <w:rPr>
          <w:sz w:val="24"/>
          <w:highlight w:val="none"/>
        </w:rPr>
      </w:pPr>
      <w:r>
        <w:rPr>
          <w:sz w:val="24"/>
          <w:highlight w:val="none"/>
        </w:rPr>
        <w:t>如因卖方违约买方解除本合同，卖方应退回买方已经支付的全部款项（且未支付的款项不再支付），根据本合同规定支付违约金，并赔偿</w:t>
      </w:r>
      <w:r>
        <w:rPr>
          <w:rFonts w:hint="eastAsia"/>
          <w:sz w:val="24"/>
          <w:highlight w:val="none"/>
        </w:rPr>
        <w:t>买方</w:t>
      </w:r>
      <w:r>
        <w:rPr>
          <w:sz w:val="24"/>
          <w:highlight w:val="none"/>
        </w:rPr>
        <w:t>因此遭受的全部损失。买方有权以适当的条件和方式购买同等货物，卖方应承担买方购买同等货物的差额费用。</w:t>
      </w:r>
    </w:p>
    <w:p>
      <w:pPr>
        <w:widowControl/>
        <w:numPr>
          <w:ilvl w:val="0"/>
          <w:numId w:val="22"/>
        </w:numPr>
        <w:tabs>
          <w:tab w:val="left" w:pos="709"/>
        </w:tabs>
        <w:spacing w:line="360" w:lineRule="auto"/>
        <w:ind w:left="567" w:hanging="567"/>
        <w:jc w:val="left"/>
        <w:rPr>
          <w:sz w:val="24"/>
          <w:highlight w:val="none"/>
        </w:rPr>
      </w:pPr>
      <w:r>
        <w:rPr>
          <w:sz w:val="24"/>
          <w:highlight w:val="none"/>
        </w:rPr>
        <w:t>无论基于何种原因，经提前10日书面通知卖方，买方有权随时终止合同。卖方收到买方终止合同的书面通知后，应立即停止实施与本合同有关的工作，并配合买方对已履行的部分进行结算。结算金额应以卖方为履行合同已实际发生的直接、合理费用为限，卖方应提供书面证明文件。如买方已支付的合同价款不足以覆盖结算金额，经卖方提供证明文件后，买方应向卖方支付差额部分。如买方已支付的合同价款超过结算金额，卖方应向买方返还超额部分。买方向卖方支付的结算金额涵盖买方根据本款规定终止合同时，卖方可获得的全部赔偿及补偿。任何时候卖方均无权要求买方赔偿因合同终止而引起的预期利润的损失或损害。</w:t>
      </w:r>
    </w:p>
    <w:p>
      <w:pPr>
        <w:pStyle w:val="2"/>
        <w:numPr>
          <w:ilvl w:val="0"/>
          <w:numId w:val="1"/>
        </w:numPr>
        <w:spacing w:before="0" w:after="0" w:line="360" w:lineRule="auto"/>
        <w:ind w:left="419" w:hanging="130"/>
        <w:jc w:val="center"/>
        <w:rPr>
          <w:iCs/>
          <w:sz w:val="24"/>
          <w:szCs w:val="24"/>
          <w:highlight w:val="none"/>
        </w:rPr>
      </w:pPr>
      <w:bookmarkStart w:id="116" w:name="_Toc32245"/>
      <w:r>
        <w:rPr>
          <w:iCs/>
          <w:sz w:val="24"/>
          <w:szCs w:val="24"/>
          <w:highlight w:val="none"/>
        </w:rPr>
        <w:t>适用法律和争议解决</w:t>
      </w:r>
      <w:bookmarkEnd w:id="116"/>
    </w:p>
    <w:p>
      <w:pPr>
        <w:pStyle w:val="20"/>
        <w:numPr>
          <w:ilvl w:val="0"/>
          <w:numId w:val="23"/>
        </w:numPr>
        <w:tabs>
          <w:tab w:val="left" w:pos="567"/>
          <w:tab w:val="left" w:pos="710"/>
        </w:tabs>
        <w:spacing w:line="360" w:lineRule="auto"/>
        <w:ind w:right="-512" w:rightChars="-244" w:firstLineChars="0"/>
        <w:rPr>
          <w:rFonts w:eastAsiaTheme="minorEastAsia"/>
          <w:sz w:val="24"/>
          <w:highlight w:val="none"/>
        </w:rPr>
      </w:pPr>
      <w:r>
        <w:rPr>
          <w:rFonts w:eastAsiaTheme="minorEastAsia"/>
          <w:sz w:val="24"/>
          <w:highlight w:val="none"/>
        </w:rPr>
        <w:t>本合同适用中华人民共和国法律。</w:t>
      </w:r>
    </w:p>
    <w:p>
      <w:pPr>
        <w:pStyle w:val="20"/>
        <w:numPr>
          <w:ilvl w:val="0"/>
          <w:numId w:val="23"/>
        </w:numPr>
        <w:tabs>
          <w:tab w:val="left" w:pos="567"/>
          <w:tab w:val="left" w:pos="710"/>
        </w:tabs>
        <w:spacing w:line="360" w:lineRule="auto"/>
        <w:ind w:right="-512" w:rightChars="-244" w:firstLineChars="0"/>
        <w:rPr>
          <w:rFonts w:eastAsiaTheme="minorEastAsia"/>
          <w:sz w:val="24"/>
          <w:highlight w:val="none"/>
        </w:rPr>
      </w:pPr>
      <w:r>
        <w:rPr>
          <w:rFonts w:eastAsiaTheme="minorEastAsia"/>
          <w:sz w:val="24"/>
          <w:highlight w:val="none"/>
        </w:rPr>
        <w:t>因履行本合同发生的或与本合同有关的一切争议，双方首先应友好协商解决，如经协商仍不能解决，双方同意选择以下方式予以解决（不适用选项请删除）：</w:t>
      </w:r>
    </w:p>
    <w:p>
      <w:pPr>
        <w:numPr>
          <w:ilvl w:val="0"/>
          <w:numId w:val="24"/>
        </w:numPr>
        <w:tabs>
          <w:tab w:val="left" w:pos="567"/>
          <w:tab w:val="left" w:pos="709"/>
        </w:tabs>
        <w:spacing w:line="360" w:lineRule="auto"/>
        <w:ind w:left="567" w:right="-57" w:rightChars="-27"/>
        <w:rPr>
          <w:rFonts w:eastAsiaTheme="minorEastAsia"/>
          <w:bCs/>
          <w:sz w:val="24"/>
          <w:szCs w:val="24"/>
          <w:highlight w:val="none"/>
        </w:rPr>
      </w:pPr>
      <w:r>
        <w:rPr>
          <w:rFonts w:eastAsiaTheme="minorEastAsia"/>
          <w:sz w:val="24"/>
          <w:szCs w:val="24"/>
          <w:highlight w:val="none"/>
        </w:rPr>
        <w:t>提交北京仲裁委员会进行仲裁。仲裁应根据申请仲裁时该仲裁委员会现行有效的仲裁规则进行。仲裁裁决是终局的，对双方均有约束力。除仲裁庭另有裁决外，仲裁费用由败诉方承担</w:t>
      </w:r>
      <w:r>
        <w:rPr>
          <w:rFonts w:eastAsiaTheme="minorEastAsia"/>
          <w:bCs/>
          <w:sz w:val="24"/>
          <w:szCs w:val="24"/>
          <w:highlight w:val="none"/>
        </w:rPr>
        <w:t>。</w:t>
      </w:r>
    </w:p>
    <w:p>
      <w:pPr>
        <w:pStyle w:val="2"/>
        <w:numPr>
          <w:ilvl w:val="0"/>
          <w:numId w:val="1"/>
        </w:numPr>
        <w:spacing w:before="0" w:after="0" w:line="360" w:lineRule="auto"/>
        <w:ind w:left="419" w:hanging="130"/>
        <w:jc w:val="center"/>
        <w:rPr>
          <w:iCs/>
          <w:sz w:val="24"/>
          <w:szCs w:val="24"/>
          <w:highlight w:val="none"/>
        </w:rPr>
      </w:pPr>
      <w:bookmarkStart w:id="117" w:name="_Toc8376"/>
      <w:r>
        <w:rPr>
          <w:iCs/>
          <w:sz w:val="24"/>
          <w:szCs w:val="24"/>
          <w:highlight w:val="none"/>
        </w:rPr>
        <w:t>保密</w:t>
      </w:r>
      <w:bookmarkEnd w:id="117"/>
    </w:p>
    <w:p>
      <w:pPr>
        <w:pStyle w:val="20"/>
        <w:numPr>
          <w:ilvl w:val="0"/>
          <w:numId w:val="25"/>
        </w:numPr>
        <w:tabs>
          <w:tab w:val="left" w:pos="567"/>
          <w:tab w:val="left" w:pos="710"/>
        </w:tabs>
        <w:spacing w:line="360" w:lineRule="auto"/>
        <w:ind w:right="-512" w:rightChars="-244" w:firstLineChars="0"/>
        <w:rPr>
          <w:rFonts w:eastAsiaTheme="minorEastAsia"/>
          <w:kern w:val="0"/>
          <w:sz w:val="24"/>
          <w:highlight w:val="none"/>
        </w:rPr>
      </w:pPr>
      <w:r>
        <w:rPr>
          <w:rFonts w:eastAsiaTheme="minorEastAsia"/>
          <w:kern w:val="0"/>
          <w:sz w:val="24"/>
          <w:highlight w:val="none"/>
        </w:rPr>
        <w:t>未经买方同意，卖方不得将买方保密信息披露给任何第三方（包括与合同无关的卖方员工和政府部门），亦不得将该等信息用于与本合同无关的用途。买方保密信息包括但不限于：</w:t>
      </w:r>
    </w:p>
    <w:p>
      <w:pPr>
        <w:widowControl/>
        <w:numPr>
          <w:ilvl w:val="0"/>
          <w:numId w:val="26"/>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本合同的内容；</w:t>
      </w:r>
    </w:p>
    <w:p>
      <w:pPr>
        <w:widowControl/>
        <w:numPr>
          <w:ilvl w:val="0"/>
          <w:numId w:val="26"/>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与本合同相关的谈判内容；</w:t>
      </w:r>
    </w:p>
    <w:p>
      <w:pPr>
        <w:widowControl/>
        <w:numPr>
          <w:ilvl w:val="0"/>
          <w:numId w:val="26"/>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买方提供的与本合同有关的任何技术信息、图纸、样本、资料等；</w:t>
      </w:r>
    </w:p>
    <w:p>
      <w:pPr>
        <w:widowControl/>
        <w:numPr>
          <w:ilvl w:val="0"/>
          <w:numId w:val="26"/>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本合同的履行情况；</w:t>
      </w:r>
    </w:p>
    <w:p>
      <w:pPr>
        <w:widowControl/>
        <w:numPr>
          <w:ilvl w:val="0"/>
          <w:numId w:val="26"/>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买方提供的或履行合同过程中卖方获得的与项目或买方有关的任何技术和商务信息。</w:t>
      </w:r>
    </w:p>
    <w:p>
      <w:pPr>
        <w:pStyle w:val="20"/>
        <w:numPr>
          <w:ilvl w:val="0"/>
          <w:numId w:val="25"/>
        </w:numPr>
        <w:tabs>
          <w:tab w:val="left" w:pos="567"/>
          <w:tab w:val="left" w:pos="710"/>
        </w:tabs>
        <w:spacing w:line="360" w:lineRule="auto"/>
        <w:ind w:right="-512" w:rightChars="-244" w:firstLineChars="0"/>
        <w:rPr>
          <w:rFonts w:eastAsiaTheme="minorEastAsia"/>
          <w:kern w:val="0"/>
          <w:sz w:val="24"/>
          <w:highlight w:val="none"/>
        </w:rPr>
      </w:pPr>
      <w:r>
        <w:rPr>
          <w:rFonts w:eastAsiaTheme="minorEastAsia"/>
          <w:kern w:val="0"/>
          <w:sz w:val="24"/>
          <w:highlight w:val="none"/>
        </w:rPr>
        <w:t>买方有权将上述卖方保密信息提供给实施相关项目或为买方提供相关服务的第三方，买方向第三方披露卖方保密信息以第三方必须获得相关信息并对信息承担保密义务为前提条件。</w:t>
      </w:r>
    </w:p>
    <w:p>
      <w:pPr>
        <w:pStyle w:val="20"/>
        <w:numPr>
          <w:ilvl w:val="0"/>
          <w:numId w:val="25"/>
        </w:numPr>
        <w:tabs>
          <w:tab w:val="left" w:pos="567"/>
          <w:tab w:val="left" w:pos="710"/>
        </w:tabs>
        <w:spacing w:line="360" w:lineRule="auto"/>
        <w:ind w:right="-512" w:rightChars="-244" w:firstLineChars="0"/>
        <w:rPr>
          <w:rFonts w:eastAsiaTheme="minorEastAsia"/>
          <w:kern w:val="0"/>
          <w:sz w:val="24"/>
          <w:highlight w:val="none"/>
        </w:rPr>
      </w:pPr>
      <w:r>
        <w:rPr>
          <w:rFonts w:eastAsiaTheme="minorEastAsia"/>
          <w:kern w:val="0"/>
          <w:sz w:val="24"/>
          <w:highlight w:val="none"/>
        </w:rPr>
        <w:t>任何一方可在下列情况及范围内披露本属于保密的信息：</w:t>
      </w:r>
    </w:p>
    <w:p>
      <w:pPr>
        <w:widowControl/>
        <w:numPr>
          <w:ilvl w:val="0"/>
          <w:numId w:val="27"/>
        </w:numPr>
        <w:tabs>
          <w:tab w:val="left" w:pos="840"/>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为履行其在本合同下义务之需要披露给一方员工，但仅限于有合理需要并已作出本条第19.1款承诺的员工；</w:t>
      </w:r>
    </w:p>
    <w:p>
      <w:pPr>
        <w:widowControl/>
        <w:numPr>
          <w:ilvl w:val="0"/>
          <w:numId w:val="27"/>
        </w:numPr>
        <w:tabs>
          <w:tab w:val="left" w:pos="840"/>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任何对披露信息有管辖权的法律法规或政府机关强制要求的披露；</w:t>
      </w:r>
    </w:p>
    <w:p>
      <w:pPr>
        <w:widowControl/>
        <w:numPr>
          <w:ilvl w:val="0"/>
          <w:numId w:val="27"/>
        </w:numPr>
        <w:tabs>
          <w:tab w:val="left" w:pos="840"/>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为本合同或与本合同有关的索赔而透露给其专业顾问、或其审计人员、或该方的任何实际或潜在的银行或融资方，或向法院、仲裁庭或其它争议解决机构披露；或</w:t>
      </w:r>
    </w:p>
    <w:p>
      <w:pPr>
        <w:widowControl/>
        <w:numPr>
          <w:ilvl w:val="0"/>
          <w:numId w:val="27"/>
        </w:numPr>
        <w:tabs>
          <w:tab w:val="left" w:pos="840"/>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另一方已对此等披露事先给予明确的批准。</w:t>
      </w:r>
    </w:p>
    <w:p>
      <w:pPr>
        <w:pStyle w:val="20"/>
        <w:numPr>
          <w:ilvl w:val="0"/>
          <w:numId w:val="25"/>
        </w:numPr>
        <w:tabs>
          <w:tab w:val="left" w:pos="567"/>
          <w:tab w:val="left" w:pos="710"/>
        </w:tabs>
        <w:spacing w:line="360" w:lineRule="auto"/>
        <w:ind w:right="-512" w:rightChars="-244" w:firstLineChars="0"/>
        <w:rPr>
          <w:rFonts w:eastAsiaTheme="minorEastAsia"/>
          <w:kern w:val="0"/>
          <w:sz w:val="24"/>
          <w:highlight w:val="none"/>
        </w:rPr>
      </w:pPr>
      <w:r>
        <w:rPr>
          <w:rFonts w:eastAsiaTheme="minorEastAsia"/>
          <w:kern w:val="0"/>
          <w:sz w:val="24"/>
          <w:highlight w:val="none"/>
        </w:rPr>
        <w:t>本条不应适用于任何由一方披露的本属于保密的信息，但该信息在被披露时：</w:t>
      </w:r>
    </w:p>
    <w:p>
      <w:pPr>
        <w:widowControl/>
        <w:numPr>
          <w:ilvl w:val="0"/>
          <w:numId w:val="28"/>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已进入公众领域；</w:t>
      </w:r>
    </w:p>
    <w:p>
      <w:pPr>
        <w:widowControl/>
        <w:numPr>
          <w:ilvl w:val="0"/>
          <w:numId w:val="28"/>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披露方事前已从非另一方的合法途径获得，且对其使用及披露无任何限制；</w:t>
      </w:r>
    </w:p>
    <w:p>
      <w:pPr>
        <w:widowControl/>
        <w:numPr>
          <w:ilvl w:val="0"/>
          <w:numId w:val="28"/>
        </w:numPr>
        <w:tabs>
          <w:tab w:val="left" w:pos="1134"/>
          <w:tab w:val="left" w:pos="3060"/>
        </w:tabs>
        <w:spacing w:line="360" w:lineRule="auto"/>
        <w:jc w:val="left"/>
        <w:rPr>
          <w:rFonts w:eastAsiaTheme="minorEastAsia"/>
          <w:kern w:val="0"/>
          <w:sz w:val="24"/>
          <w:szCs w:val="24"/>
          <w:highlight w:val="none"/>
        </w:rPr>
      </w:pPr>
      <w:r>
        <w:rPr>
          <w:rFonts w:eastAsiaTheme="minorEastAsia"/>
          <w:kern w:val="0"/>
          <w:sz w:val="24"/>
          <w:szCs w:val="24"/>
          <w:highlight w:val="none"/>
        </w:rPr>
        <w:t>由第三方合法、独立地提供给披露方，且该第三方不受任何对该信息使用或披露的限制。</w:t>
      </w:r>
    </w:p>
    <w:p>
      <w:pPr>
        <w:pStyle w:val="2"/>
        <w:numPr>
          <w:ilvl w:val="0"/>
          <w:numId w:val="1"/>
        </w:numPr>
        <w:spacing w:before="0" w:after="0" w:line="360" w:lineRule="auto"/>
        <w:ind w:left="419" w:hanging="130"/>
        <w:jc w:val="center"/>
        <w:rPr>
          <w:iCs/>
          <w:sz w:val="24"/>
          <w:szCs w:val="24"/>
          <w:highlight w:val="none"/>
        </w:rPr>
      </w:pPr>
      <w:bookmarkStart w:id="118" w:name="_Toc26285"/>
      <w:r>
        <w:rPr>
          <w:iCs/>
          <w:sz w:val="24"/>
          <w:szCs w:val="24"/>
          <w:highlight w:val="none"/>
        </w:rPr>
        <w:t>转让与分包</w:t>
      </w:r>
      <w:bookmarkEnd w:id="118"/>
    </w:p>
    <w:p>
      <w:pPr>
        <w:numPr>
          <w:ilvl w:val="0"/>
          <w:numId w:val="29"/>
        </w:numPr>
        <w:tabs>
          <w:tab w:val="left" w:pos="567"/>
          <w:tab w:val="clear" w:pos="0"/>
        </w:tabs>
        <w:spacing w:line="360" w:lineRule="auto"/>
        <w:ind w:left="567" w:right="-57" w:rightChars="-27" w:hanging="567"/>
        <w:rPr>
          <w:rFonts w:eastAsiaTheme="minorEastAsia"/>
          <w:sz w:val="24"/>
          <w:szCs w:val="24"/>
          <w:highlight w:val="none"/>
        </w:rPr>
      </w:pPr>
      <w:r>
        <w:rPr>
          <w:rFonts w:eastAsiaTheme="minorEastAsia"/>
          <w:sz w:val="24"/>
          <w:szCs w:val="24"/>
          <w:highlight w:val="none"/>
        </w:rPr>
        <w:t>未经买方事先书面同意，卖方不得将其在本合同项下的任何权利和义务全部或部分转让给任何第三方，包括卖方关联企业。</w:t>
      </w:r>
    </w:p>
    <w:p>
      <w:pPr>
        <w:numPr>
          <w:ilvl w:val="0"/>
          <w:numId w:val="29"/>
        </w:numPr>
        <w:tabs>
          <w:tab w:val="left" w:pos="567"/>
          <w:tab w:val="clear" w:pos="0"/>
        </w:tabs>
        <w:spacing w:line="360" w:lineRule="auto"/>
        <w:ind w:left="567" w:right="-57" w:rightChars="-27" w:hanging="567"/>
        <w:rPr>
          <w:rFonts w:eastAsiaTheme="minorEastAsia"/>
          <w:sz w:val="24"/>
          <w:szCs w:val="24"/>
          <w:highlight w:val="none"/>
        </w:rPr>
      </w:pPr>
      <w:r>
        <w:rPr>
          <w:rFonts w:eastAsiaTheme="minorEastAsia"/>
          <w:sz w:val="24"/>
          <w:szCs w:val="24"/>
          <w:highlight w:val="none"/>
        </w:rPr>
        <w:t>未经买方事先书面同意，卖方不得将本合同分包给任何第三方，包括卖方关联企业。卖方应对分包商的工作负责，其合同项下责任和义务不因分包而减轻或免除。如果分包商的工作不符合本合同的规定，买方有权要求卖方终止分包合同，因分包合同终止产生的纠纷或责任，卖方承担全部责任，买方不承担任何责任。</w:t>
      </w:r>
    </w:p>
    <w:p>
      <w:pPr>
        <w:numPr>
          <w:ilvl w:val="0"/>
          <w:numId w:val="29"/>
        </w:numPr>
        <w:tabs>
          <w:tab w:val="left" w:pos="567"/>
          <w:tab w:val="clear" w:pos="0"/>
        </w:tabs>
        <w:spacing w:line="360" w:lineRule="auto"/>
        <w:ind w:left="567" w:right="-57" w:rightChars="-27" w:hanging="567"/>
        <w:rPr>
          <w:rFonts w:eastAsiaTheme="minorEastAsia"/>
          <w:sz w:val="24"/>
          <w:szCs w:val="24"/>
          <w:highlight w:val="none"/>
        </w:rPr>
      </w:pPr>
      <w:r>
        <w:rPr>
          <w:rFonts w:eastAsiaTheme="minorEastAsia"/>
          <w:sz w:val="24"/>
          <w:szCs w:val="24"/>
          <w:highlight w:val="none"/>
        </w:rPr>
        <w:t>卖方不得将本合同转包给任何第三方或将本合同主体义务分包给任何第三方，包括卖方关联企业。</w:t>
      </w:r>
    </w:p>
    <w:p>
      <w:pPr>
        <w:numPr>
          <w:ilvl w:val="0"/>
          <w:numId w:val="29"/>
        </w:numPr>
        <w:tabs>
          <w:tab w:val="left" w:pos="567"/>
          <w:tab w:val="clear" w:pos="0"/>
        </w:tabs>
        <w:spacing w:line="360" w:lineRule="auto"/>
        <w:ind w:left="567" w:right="-57" w:rightChars="-27" w:hanging="567"/>
        <w:rPr>
          <w:rFonts w:eastAsiaTheme="minorEastAsia"/>
          <w:sz w:val="24"/>
          <w:szCs w:val="24"/>
          <w:highlight w:val="none"/>
        </w:rPr>
      </w:pPr>
      <w:r>
        <w:rPr>
          <w:rFonts w:eastAsiaTheme="minorEastAsia"/>
          <w:sz w:val="24"/>
          <w:szCs w:val="24"/>
          <w:highlight w:val="none"/>
        </w:rPr>
        <w:t>如经买方事先书面同意，卖方将本合同项下的权利义务转让、分包的，应保证受让人或分包商知晓并完全接受和执行本合同的所有条款。</w:t>
      </w:r>
    </w:p>
    <w:p>
      <w:pPr>
        <w:pStyle w:val="2"/>
        <w:numPr>
          <w:ilvl w:val="0"/>
          <w:numId w:val="1"/>
        </w:numPr>
        <w:spacing w:before="0" w:after="0" w:line="360" w:lineRule="auto"/>
        <w:ind w:left="419" w:hanging="130"/>
        <w:jc w:val="center"/>
        <w:rPr>
          <w:iCs/>
          <w:sz w:val="24"/>
          <w:szCs w:val="24"/>
          <w:highlight w:val="none"/>
        </w:rPr>
      </w:pPr>
      <w:bookmarkStart w:id="119" w:name="_Toc19965"/>
      <w:r>
        <w:rPr>
          <w:iCs/>
          <w:sz w:val="24"/>
          <w:szCs w:val="24"/>
          <w:highlight w:val="none"/>
        </w:rPr>
        <w:t>通知</w:t>
      </w:r>
      <w:bookmarkEnd w:id="119"/>
    </w:p>
    <w:p>
      <w:pPr>
        <w:pStyle w:val="20"/>
        <w:numPr>
          <w:ilvl w:val="0"/>
          <w:numId w:val="30"/>
        </w:numPr>
        <w:spacing w:line="360" w:lineRule="auto"/>
        <w:ind w:left="567" w:hanging="567" w:firstLineChars="0"/>
        <w:rPr>
          <w:rFonts w:eastAsiaTheme="minorEastAsia"/>
          <w:sz w:val="24"/>
          <w:highlight w:val="none"/>
        </w:rPr>
      </w:pPr>
      <w:r>
        <w:rPr>
          <w:rFonts w:eastAsiaTheme="minorEastAsia"/>
          <w:sz w:val="24"/>
          <w:highlight w:val="none"/>
        </w:rPr>
        <w:t>本合同要求或允许的通知或通讯，均应按照如下的联系信息，单独或同时以书面形式作出。不论以何种方式作出，均自被通知一方实际收到时起生效。</w:t>
      </w:r>
    </w:p>
    <w:tbl>
      <w:tblPr>
        <w:tblStyle w:val="13"/>
        <w:tblW w:w="0" w:type="auto"/>
        <w:tblInd w:w="720" w:type="dxa"/>
        <w:tblLayout w:type="autofit"/>
        <w:tblCellMar>
          <w:top w:w="0" w:type="dxa"/>
          <w:left w:w="108" w:type="dxa"/>
          <w:bottom w:w="0" w:type="dxa"/>
          <w:right w:w="108" w:type="dxa"/>
        </w:tblCellMar>
      </w:tblPr>
      <w:tblGrid>
        <w:gridCol w:w="7576"/>
      </w:tblGrid>
      <w:tr>
        <w:tblPrEx>
          <w:tblCellMar>
            <w:top w:w="0" w:type="dxa"/>
            <w:left w:w="108" w:type="dxa"/>
            <w:bottom w:w="0" w:type="dxa"/>
            <w:right w:w="108" w:type="dxa"/>
          </w:tblCellMar>
        </w:tblPrEx>
        <w:tc>
          <w:tcPr>
            <w:tcW w:w="7576" w:type="dxa"/>
          </w:tcPr>
          <w:p>
            <w:pPr>
              <w:pStyle w:val="20"/>
              <w:adjustRightInd w:val="0"/>
              <w:snapToGrid w:val="0"/>
              <w:spacing w:line="360" w:lineRule="auto"/>
              <w:ind w:firstLine="0" w:firstLineChars="0"/>
              <w:rPr>
                <w:rFonts w:eastAsiaTheme="minorEastAsia"/>
                <w:sz w:val="24"/>
                <w:highlight w:val="none"/>
                <w:lang w:val="en-GB"/>
              </w:rPr>
            </w:pPr>
            <w:r>
              <w:rPr>
                <w:rFonts w:eastAsiaTheme="minorEastAsia"/>
                <w:b/>
                <w:sz w:val="24"/>
                <w:highlight w:val="none"/>
              </w:rPr>
              <w:t>买方</w:t>
            </w:r>
            <w:r>
              <w:rPr>
                <w:rFonts w:eastAsiaTheme="minorEastAsia"/>
                <w:sz w:val="24"/>
                <w:highlight w:val="none"/>
                <w:lang w:val="en-GB"/>
              </w:rPr>
              <w:t>：</w:t>
            </w:r>
          </w:p>
        </w:tc>
      </w:tr>
      <w:tr>
        <w:tblPrEx>
          <w:tblCellMar>
            <w:top w:w="0" w:type="dxa"/>
            <w:left w:w="108" w:type="dxa"/>
            <w:bottom w:w="0" w:type="dxa"/>
            <w:right w:w="108" w:type="dxa"/>
          </w:tblCellMar>
        </w:tblPrEx>
        <w:tc>
          <w:tcPr>
            <w:tcW w:w="7576" w:type="dxa"/>
          </w:tcPr>
          <w:p>
            <w:pPr>
              <w:adjustRightInd w:val="0"/>
              <w:snapToGrid w:val="0"/>
              <w:spacing w:line="360" w:lineRule="auto"/>
              <w:rPr>
                <w:rFonts w:hint="default" w:ascii="Times New Roman" w:hAnsi="Times New Roman" w:cs="Times New Roman" w:eastAsiaTheme="minorEastAsia"/>
                <w:sz w:val="24"/>
                <w:szCs w:val="24"/>
                <w:highlight w:val="none"/>
                <w:lang w:val="en-US" w:eastAsia="zh-CN"/>
              </w:rPr>
            </w:pPr>
            <w:r>
              <w:rPr>
                <w:rFonts w:ascii="Times New Roman" w:hAnsi="Times New Roman" w:cs="Times New Roman" w:eastAsiaTheme="minorEastAsia"/>
                <w:sz w:val="24"/>
                <w:szCs w:val="24"/>
                <w:highlight w:val="none"/>
                <w:lang w:val="en-GB"/>
              </w:rPr>
              <w:t>联系人：</w:t>
            </w:r>
            <w:r>
              <w:rPr>
                <w:rFonts w:hint="eastAsia" w:ascii="Times New Roman" w:hAnsi="Times New Roman" w:cs="Times New Roman" w:eastAsiaTheme="minorEastAsia"/>
                <w:sz w:val="24"/>
                <w:szCs w:val="24"/>
                <w:highlight w:val="none"/>
                <w:lang w:val="en-US" w:eastAsia="zh-CN"/>
              </w:rPr>
              <w:t>王雪涛</w:t>
            </w:r>
          </w:p>
          <w:p>
            <w:pPr>
              <w:adjustRightInd w:val="0"/>
              <w:snapToGrid w:val="0"/>
              <w:spacing w:line="360" w:lineRule="auto"/>
              <w:rPr>
                <w:rFonts w:ascii="Times New Roman" w:hAnsi="Times New Roman" w:cs="Times New Roman" w:eastAsiaTheme="minorEastAsia"/>
                <w:sz w:val="24"/>
                <w:szCs w:val="24"/>
                <w:highlight w:val="none"/>
                <w:lang w:val="en-GB"/>
              </w:rPr>
            </w:pPr>
            <w:r>
              <w:rPr>
                <w:rFonts w:ascii="Times New Roman" w:hAnsi="Times New Roman" w:cs="Times New Roman" w:eastAsiaTheme="minorEastAsia"/>
                <w:sz w:val="24"/>
                <w:szCs w:val="24"/>
                <w:highlight w:val="none"/>
                <w:lang w:val="en-GB"/>
              </w:rPr>
              <w:t>通讯地址：天津市滨海新区渤海石油路</w:t>
            </w:r>
            <w:r>
              <w:rPr>
                <w:rFonts w:hint="eastAsia" w:ascii="Times New Roman" w:hAnsi="Times New Roman" w:cs="Times New Roman" w:eastAsiaTheme="minorEastAsia"/>
                <w:sz w:val="24"/>
                <w:szCs w:val="24"/>
                <w:highlight w:val="none"/>
                <w:lang w:val="en-US"/>
              </w:rPr>
              <w:t>688</w:t>
            </w:r>
            <w:r>
              <w:rPr>
                <w:rFonts w:hint="eastAsia" w:ascii="Times New Roman" w:hAnsi="Times New Roman" w:cs="Times New Roman" w:eastAsiaTheme="minorEastAsia"/>
                <w:sz w:val="24"/>
                <w:szCs w:val="24"/>
                <w:highlight w:val="none"/>
                <w:lang w:val="en-GB"/>
              </w:rPr>
              <w:t>号</w:t>
            </w:r>
          </w:p>
          <w:p>
            <w:pPr>
              <w:adjustRightInd w:val="0"/>
              <w:snapToGrid w:val="0"/>
              <w:spacing w:line="360" w:lineRule="auto"/>
              <w:rPr>
                <w:rFonts w:ascii="Times New Roman" w:hAnsi="Times New Roman" w:cs="Times New Roman" w:eastAsiaTheme="minorEastAsia"/>
                <w:sz w:val="24"/>
                <w:szCs w:val="24"/>
                <w:highlight w:val="none"/>
                <w:lang w:val="en-GB"/>
              </w:rPr>
            </w:pPr>
            <w:r>
              <w:rPr>
                <w:rFonts w:ascii="Times New Roman" w:hAnsi="Times New Roman" w:cs="Times New Roman" w:eastAsiaTheme="minorEastAsia"/>
                <w:sz w:val="24"/>
                <w:szCs w:val="24"/>
                <w:highlight w:val="none"/>
                <w:lang w:val="en-GB"/>
              </w:rPr>
              <w:t>邮编：</w:t>
            </w:r>
            <w:r>
              <w:rPr>
                <w:rFonts w:ascii="Times New Roman" w:hAnsi="Times New Roman" w:cs="Times New Roman" w:eastAsiaTheme="minorEastAsia"/>
                <w:sz w:val="24"/>
                <w:szCs w:val="24"/>
                <w:highlight w:val="none"/>
                <w:lang w:val="en-US"/>
              </w:rPr>
              <w:t>300452</w:t>
            </w:r>
          </w:p>
          <w:p>
            <w:pPr>
              <w:adjustRightInd w:val="0"/>
              <w:snapToGrid w:val="0"/>
              <w:spacing w:line="360" w:lineRule="auto"/>
              <w:rPr>
                <w:rFonts w:hint="default" w:ascii="Times New Roman" w:hAnsi="Times New Roman" w:cs="Times New Roman" w:eastAsiaTheme="minorEastAsia"/>
                <w:sz w:val="24"/>
                <w:szCs w:val="24"/>
                <w:highlight w:val="none"/>
                <w:lang w:val="en-US" w:eastAsia="zh-CN"/>
              </w:rPr>
            </w:pPr>
            <w:r>
              <w:rPr>
                <w:rFonts w:ascii="Times New Roman" w:hAnsi="Times New Roman" w:cs="Times New Roman" w:eastAsiaTheme="minorEastAsia"/>
                <w:sz w:val="24"/>
                <w:szCs w:val="24"/>
                <w:highlight w:val="none"/>
                <w:lang w:val="en-GB"/>
              </w:rPr>
              <w:t>电话：</w:t>
            </w:r>
            <w:r>
              <w:rPr>
                <w:rFonts w:hint="eastAsia" w:ascii="Times New Roman" w:hAnsi="Times New Roman" w:cs="Times New Roman" w:eastAsiaTheme="minorEastAsia"/>
                <w:sz w:val="24"/>
                <w:szCs w:val="24"/>
                <w:highlight w:val="none"/>
                <w:lang w:val="en-US" w:eastAsia="zh-CN"/>
              </w:rPr>
              <w:t>022-59553691</w:t>
            </w:r>
          </w:p>
          <w:p>
            <w:pPr>
              <w:adjustRightInd w:val="0"/>
              <w:snapToGrid w:val="0"/>
              <w:spacing w:line="360" w:lineRule="auto"/>
              <w:rPr>
                <w:rFonts w:eastAsiaTheme="minorEastAsia"/>
                <w:sz w:val="24"/>
                <w:szCs w:val="24"/>
                <w:highlight w:val="none"/>
                <w:lang w:val="en-GB"/>
              </w:rPr>
            </w:pPr>
            <w:r>
              <w:rPr>
                <w:rFonts w:ascii="Times New Roman" w:hAnsi="Times New Roman" w:cs="Times New Roman" w:eastAsiaTheme="minorEastAsia"/>
                <w:sz w:val="24"/>
                <w:szCs w:val="24"/>
                <w:highlight w:val="none"/>
                <w:lang w:val="en-GB"/>
              </w:rPr>
              <w:t>电子邮件：</w:t>
            </w:r>
            <w:r>
              <w:rPr>
                <w:rFonts w:hint="eastAsia" w:ascii="Times New Roman" w:hAnsi="Times New Roman" w:cs="Times New Roman" w:eastAsiaTheme="minorEastAsia"/>
                <w:sz w:val="24"/>
                <w:szCs w:val="24"/>
                <w:highlight w:val="none"/>
                <w:lang w:val="en-GB"/>
              </w:rPr>
              <w:t>wangxt9@cosl.com.cn</w:t>
            </w:r>
          </w:p>
        </w:tc>
      </w:tr>
      <w:tr>
        <w:tblPrEx>
          <w:tblCellMar>
            <w:top w:w="0" w:type="dxa"/>
            <w:left w:w="108" w:type="dxa"/>
            <w:bottom w:w="0" w:type="dxa"/>
            <w:right w:w="108" w:type="dxa"/>
          </w:tblCellMar>
        </w:tblPrEx>
        <w:tc>
          <w:tcPr>
            <w:tcW w:w="7576" w:type="dxa"/>
          </w:tcPr>
          <w:p>
            <w:pPr>
              <w:adjustRightInd w:val="0"/>
              <w:snapToGrid w:val="0"/>
              <w:spacing w:line="360" w:lineRule="auto"/>
              <w:rPr>
                <w:rFonts w:eastAsiaTheme="minorEastAsia"/>
                <w:b/>
                <w:sz w:val="24"/>
                <w:szCs w:val="24"/>
                <w:highlight w:val="none"/>
                <w:lang w:val="en-GB"/>
              </w:rPr>
            </w:pPr>
            <w:r>
              <w:rPr>
                <w:rFonts w:eastAsiaTheme="minorEastAsia"/>
                <w:b/>
                <w:sz w:val="24"/>
                <w:szCs w:val="24"/>
                <w:highlight w:val="none"/>
                <w:lang w:val="en-GB"/>
              </w:rPr>
              <w:t>卖方：</w:t>
            </w:r>
          </w:p>
        </w:tc>
      </w:tr>
      <w:tr>
        <w:tblPrEx>
          <w:tblCellMar>
            <w:top w:w="0" w:type="dxa"/>
            <w:left w:w="108" w:type="dxa"/>
            <w:bottom w:w="0" w:type="dxa"/>
            <w:right w:w="108" w:type="dxa"/>
          </w:tblCellMar>
        </w:tblPrEx>
        <w:tc>
          <w:tcPr>
            <w:tcW w:w="7576" w:type="dxa"/>
          </w:tcPr>
          <w:p>
            <w:pPr>
              <w:adjustRightInd w:val="0"/>
              <w:snapToGrid w:val="0"/>
              <w:spacing w:line="360" w:lineRule="auto"/>
              <w:rPr>
                <w:rFonts w:hint="default" w:ascii="Times New Roman" w:hAnsi="Times New Roman" w:cs="Times New Roman" w:eastAsiaTheme="minorEastAsia"/>
                <w:color w:val="0000FF"/>
                <w:sz w:val="24"/>
                <w:szCs w:val="24"/>
                <w:highlight w:val="none"/>
                <w:lang w:val="en-US" w:eastAsia="zh-CN"/>
              </w:rPr>
            </w:pPr>
            <w:r>
              <w:rPr>
                <w:rFonts w:ascii="Times New Roman" w:hAnsi="Times New Roman" w:cs="Times New Roman" w:eastAsiaTheme="minorEastAsia"/>
                <w:color w:val="0000FF"/>
                <w:sz w:val="24"/>
                <w:szCs w:val="24"/>
                <w:highlight w:val="none"/>
                <w:lang w:val="en-GB"/>
              </w:rPr>
              <w:t>联系人：</w:t>
            </w:r>
            <w:r>
              <w:rPr>
                <w:rFonts w:hint="eastAsia" w:cs="Times New Roman" w:eastAsiaTheme="minorEastAsia"/>
                <w:color w:val="0000FF"/>
                <w:sz w:val="24"/>
                <w:szCs w:val="24"/>
                <w:highlight w:val="none"/>
                <w:lang w:val="en-US" w:eastAsia="zh-CN"/>
              </w:rPr>
              <w:t>XXXXXXXX</w:t>
            </w:r>
          </w:p>
          <w:p>
            <w:pPr>
              <w:adjustRightInd w:val="0"/>
              <w:snapToGrid w:val="0"/>
              <w:spacing w:line="360" w:lineRule="auto"/>
              <w:rPr>
                <w:rFonts w:hint="eastAsia" w:cs="Times New Roman" w:eastAsiaTheme="minorEastAsia"/>
                <w:color w:val="0000FF"/>
                <w:sz w:val="24"/>
                <w:szCs w:val="24"/>
                <w:highlight w:val="none"/>
                <w:lang w:val="en-US" w:eastAsia="zh-CN"/>
              </w:rPr>
            </w:pPr>
            <w:r>
              <w:rPr>
                <w:rFonts w:ascii="Times New Roman" w:hAnsi="Times New Roman" w:cs="Times New Roman" w:eastAsiaTheme="minorEastAsia"/>
                <w:color w:val="0000FF"/>
                <w:sz w:val="24"/>
                <w:szCs w:val="24"/>
                <w:highlight w:val="none"/>
                <w:lang w:val="en-GB"/>
              </w:rPr>
              <w:t>通讯地址：</w:t>
            </w:r>
            <w:r>
              <w:rPr>
                <w:rFonts w:hint="eastAsia" w:cs="Times New Roman" w:eastAsiaTheme="minorEastAsia"/>
                <w:color w:val="0000FF"/>
                <w:sz w:val="24"/>
                <w:szCs w:val="24"/>
                <w:highlight w:val="none"/>
                <w:lang w:val="en-US" w:eastAsia="zh-CN"/>
              </w:rPr>
              <w:t>XXXXXXXXXXXX</w:t>
            </w:r>
          </w:p>
          <w:p>
            <w:pPr>
              <w:adjustRightInd w:val="0"/>
              <w:snapToGrid w:val="0"/>
              <w:spacing w:line="360" w:lineRule="auto"/>
              <w:rPr>
                <w:rFonts w:hint="eastAsia" w:cs="Times New Roman" w:eastAsiaTheme="minorEastAsia"/>
                <w:color w:val="0000FF"/>
                <w:sz w:val="24"/>
                <w:szCs w:val="24"/>
                <w:highlight w:val="none"/>
                <w:lang w:val="en-US" w:eastAsia="zh-CN"/>
              </w:rPr>
            </w:pPr>
            <w:r>
              <w:rPr>
                <w:rFonts w:ascii="Times New Roman" w:hAnsi="Times New Roman" w:cs="Times New Roman" w:eastAsiaTheme="minorEastAsia"/>
                <w:color w:val="0000FF"/>
                <w:sz w:val="24"/>
                <w:szCs w:val="24"/>
                <w:highlight w:val="none"/>
                <w:lang w:val="en-GB"/>
              </w:rPr>
              <w:t>邮编：</w:t>
            </w:r>
            <w:r>
              <w:rPr>
                <w:rFonts w:hint="eastAsia" w:cs="Times New Roman" w:eastAsiaTheme="minorEastAsia"/>
                <w:color w:val="0000FF"/>
                <w:sz w:val="24"/>
                <w:szCs w:val="24"/>
                <w:highlight w:val="none"/>
                <w:lang w:val="en-US" w:eastAsia="zh-CN"/>
              </w:rPr>
              <w:t>XXXXX</w:t>
            </w:r>
          </w:p>
          <w:p>
            <w:pPr>
              <w:adjustRightInd w:val="0"/>
              <w:snapToGrid w:val="0"/>
              <w:spacing w:line="360" w:lineRule="auto"/>
              <w:rPr>
                <w:rFonts w:hint="default" w:ascii="Times New Roman" w:hAnsi="Times New Roman" w:cs="Times New Roman" w:eastAsiaTheme="minorEastAsia"/>
                <w:color w:val="0000FF"/>
                <w:sz w:val="24"/>
                <w:szCs w:val="24"/>
                <w:highlight w:val="none"/>
                <w:lang w:val="en-US" w:eastAsia="zh-CN"/>
              </w:rPr>
            </w:pPr>
            <w:r>
              <w:rPr>
                <w:rFonts w:ascii="Times New Roman" w:hAnsi="Times New Roman" w:cs="Times New Roman" w:eastAsiaTheme="minorEastAsia"/>
                <w:color w:val="0000FF"/>
                <w:sz w:val="24"/>
                <w:szCs w:val="24"/>
                <w:highlight w:val="none"/>
                <w:lang w:val="en-GB"/>
              </w:rPr>
              <w:t>电话：</w:t>
            </w:r>
            <w:r>
              <w:rPr>
                <w:rFonts w:hint="eastAsia" w:cs="Times New Roman" w:eastAsiaTheme="minorEastAsia"/>
                <w:color w:val="0000FF"/>
                <w:sz w:val="24"/>
                <w:szCs w:val="24"/>
                <w:highlight w:val="none"/>
                <w:lang w:val="en-US" w:eastAsia="zh-CN"/>
              </w:rPr>
              <w:t>XXXXXXX</w:t>
            </w:r>
          </w:p>
          <w:p>
            <w:pPr>
              <w:adjustRightInd w:val="0"/>
              <w:snapToGrid w:val="0"/>
              <w:spacing w:line="360" w:lineRule="auto"/>
              <w:rPr>
                <w:rFonts w:hint="default" w:eastAsiaTheme="minorEastAsia"/>
                <w:sz w:val="24"/>
                <w:szCs w:val="24"/>
                <w:highlight w:val="none"/>
                <w:lang w:val="en-US" w:eastAsia="zh-CN"/>
              </w:rPr>
            </w:pPr>
            <w:r>
              <w:rPr>
                <w:rFonts w:ascii="Times New Roman" w:hAnsi="Times New Roman" w:cs="Times New Roman" w:eastAsiaTheme="minorEastAsia"/>
                <w:color w:val="0000FF"/>
                <w:sz w:val="24"/>
                <w:szCs w:val="24"/>
                <w:highlight w:val="none"/>
                <w:lang w:val="en-GB"/>
              </w:rPr>
              <w:t>电子邮件：</w:t>
            </w:r>
            <w:r>
              <w:rPr>
                <w:rFonts w:hint="eastAsia" w:cs="Times New Roman" w:eastAsiaTheme="minorEastAsia"/>
                <w:color w:val="0000FF"/>
                <w:sz w:val="24"/>
                <w:szCs w:val="24"/>
                <w:highlight w:val="none"/>
                <w:lang w:val="en-US" w:eastAsia="zh-CN"/>
              </w:rPr>
              <w:t>XXXXXX</w:t>
            </w:r>
          </w:p>
        </w:tc>
      </w:tr>
    </w:tbl>
    <w:p>
      <w:pPr>
        <w:pStyle w:val="20"/>
        <w:numPr>
          <w:ilvl w:val="0"/>
          <w:numId w:val="30"/>
        </w:numPr>
        <w:spacing w:line="360" w:lineRule="auto"/>
        <w:ind w:left="567" w:hanging="567" w:firstLineChars="0"/>
        <w:rPr>
          <w:rFonts w:eastAsiaTheme="minorEastAsia"/>
          <w:sz w:val="24"/>
          <w:highlight w:val="none"/>
        </w:rPr>
      </w:pPr>
      <w:r>
        <w:rPr>
          <w:rFonts w:eastAsiaTheme="minorEastAsia"/>
          <w:sz w:val="24"/>
          <w:highlight w:val="none"/>
        </w:rPr>
        <w:t>上款中的“实际收到”系指通知或通讯内容到达被通知人的法定住所或其指定的通讯地址/通讯系统范围。</w:t>
      </w:r>
    </w:p>
    <w:p>
      <w:pPr>
        <w:pStyle w:val="20"/>
        <w:numPr>
          <w:ilvl w:val="0"/>
          <w:numId w:val="30"/>
        </w:numPr>
        <w:spacing w:line="360" w:lineRule="auto"/>
        <w:ind w:left="567" w:hanging="567" w:firstLineChars="0"/>
        <w:rPr>
          <w:rFonts w:eastAsiaTheme="minorEastAsia"/>
          <w:sz w:val="24"/>
          <w:highlight w:val="none"/>
        </w:rPr>
      </w:pPr>
      <w:r>
        <w:rPr>
          <w:rFonts w:eastAsiaTheme="minorEastAsia"/>
          <w:sz w:val="24"/>
          <w:highlight w:val="none"/>
        </w:rPr>
        <w:t>一方变更通讯地址或通讯方式，应在变更前五（5）个工作日，将变更后的地址及联系方式通知另一方，否则变更方应对此造成的一切后果承担责任。</w:t>
      </w:r>
    </w:p>
    <w:p>
      <w:pPr>
        <w:pStyle w:val="2"/>
        <w:numPr>
          <w:ilvl w:val="0"/>
          <w:numId w:val="1"/>
        </w:numPr>
        <w:spacing w:before="0" w:after="0" w:line="360" w:lineRule="auto"/>
        <w:ind w:left="419" w:hanging="130"/>
        <w:jc w:val="center"/>
        <w:rPr>
          <w:iCs/>
          <w:sz w:val="24"/>
          <w:szCs w:val="24"/>
          <w:highlight w:val="none"/>
        </w:rPr>
      </w:pPr>
      <w:bookmarkStart w:id="120" w:name="_Toc24751"/>
      <w:r>
        <w:rPr>
          <w:iCs/>
          <w:sz w:val="24"/>
          <w:szCs w:val="24"/>
          <w:highlight w:val="none"/>
        </w:rPr>
        <w:t>保障与赔偿</w:t>
      </w:r>
      <w:bookmarkEnd w:id="120"/>
    </w:p>
    <w:p>
      <w:pPr>
        <w:pStyle w:val="20"/>
        <w:numPr>
          <w:ilvl w:val="0"/>
          <w:numId w:val="31"/>
        </w:numPr>
        <w:spacing w:line="360" w:lineRule="auto"/>
        <w:ind w:left="567" w:hanging="567" w:firstLineChars="0"/>
        <w:rPr>
          <w:rFonts w:eastAsiaTheme="minorEastAsia"/>
          <w:sz w:val="24"/>
          <w:highlight w:val="none"/>
        </w:rPr>
      </w:pPr>
      <w:r>
        <w:rPr>
          <w:rFonts w:eastAsiaTheme="minorEastAsia"/>
          <w:sz w:val="24"/>
          <w:highlight w:val="none"/>
        </w:rPr>
        <w:t>无论时间、地点、方式和原因，卖方、卖方代理或分包商（如有）因履行本合同或因货物存在缺陷造成任何第三方财产损失、损坏、人身伤亡或疾病，卖方应承担全部责任，并应确保买方免于所有相关的索赔、损失、损害、费用和责任，包括但不限于在买方因此需向第三方支付任何赔偿时，卖方均应全额予以补偿。</w:t>
      </w:r>
    </w:p>
    <w:p>
      <w:pPr>
        <w:pStyle w:val="20"/>
        <w:numPr>
          <w:ilvl w:val="0"/>
          <w:numId w:val="31"/>
        </w:numPr>
        <w:spacing w:line="360" w:lineRule="auto"/>
        <w:ind w:left="567" w:hanging="567" w:firstLineChars="0"/>
        <w:rPr>
          <w:rFonts w:eastAsiaTheme="minorEastAsia"/>
          <w:sz w:val="24"/>
          <w:highlight w:val="none"/>
        </w:rPr>
      </w:pPr>
      <w:r>
        <w:rPr>
          <w:rFonts w:eastAsiaTheme="minorEastAsia"/>
          <w:sz w:val="24"/>
          <w:highlight w:val="none"/>
        </w:rPr>
        <w:t>无论时间、地点、方式和原因，如因履行本合同，卖方及其人员、卖方代理、分包商及其人员（如有）的任何财产（包括但不限于设备、装置、器材等，且无论该等财产属于自有、租用、租赁或以其它方式提供）发生毁损、灭失或其它损失，除非该等损失系因买方故意或重大过失所致，卖方应自行承担全部损失，并应确保买方免于所有相关的索赔、损失、损害、费用和责任，包括但不限于在买方因此需要支付任何赔偿时，卖方均应全额予以补偿。</w:t>
      </w:r>
    </w:p>
    <w:p>
      <w:pPr>
        <w:pStyle w:val="20"/>
        <w:numPr>
          <w:ilvl w:val="0"/>
          <w:numId w:val="31"/>
        </w:numPr>
        <w:spacing w:line="360" w:lineRule="auto"/>
        <w:ind w:left="567" w:hanging="567" w:firstLineChars="0"/>
        <w:rPr>
          <w:rFonts w:eastAsiaTheme="minorEastAsia"/>
          <w:sz w:val="24"/>
          <w:highlight w:val="none"/>
        </w:rPr>
      </w:pPr>
      <w:r>
        <w:rPr>
          <w:rFonts w:eastAsiaTheme="minorEastAsia"/>
          <w:sz w:val="24"/>
          <w:highlight w:val="none"/>
        </w:rPr>
        <w:t>无论时间、地点、方式和原因，如因履行本合同而发生的或与履行本合同有关的卖方、卖方代理及分包商（如有）的人员发生人身伤亡或疾病，除非该等人身伤亡或疾病系因买方故意或重大过失所致，卖方应对上述人员的人身伤亡或疾病负责，并应确保买方免于所有相关的索赔、损失、损害、费用和责任，包括但不限于在买方因此需要支付任何赔偿时，卖方均应全额予以补偿。</w:t>
      </w:r>
    </w:p>
    <w:p>
      <w:pPr>
        <w:pStyle w:val="20"/>
        <w:numPr>
          <w:ilvl w:val="0"/>
          <w:numId w:val="31"/>
        </w:numPr>
        <w:spacing w:line="360" w:lineRule="auto"/>
        <w:ind w:left="567" w:hanging="567" w:firstLineChars="0"/>
        <w:rPr>
          <w:rFonts w:eastAsiaTheme="minorEastAsia"/>
          <w:sz w:val="24"/>
          <w:highlight w:val="none"/>
        </w:rPr>
      </w:pPr>
      <w:r>
        <w:rPr>
          <w:rFonts w:eastAsiaTheme="minorEastAsia"/>
          <w:sz w:val="24"/>
          <w:highlight w:val="none"/>
        </w:rPr>
        <w:t>双方承诺，上述约定在合同终止但在处理合同标的事宜相关期间或卖方售后服务期间（如有）仍然有效。</w:t>
      </w:r>
    </w:p>
    <w:p>
      <w:pPr>
        <w:pStyle w:val="2"/>
        <w:numPr>
          <w:ilvl w:val="0"/>
          <w:numId w:val="1"/>
        </w:numPr>
        <w:spacing w:before="0" w:after="0" w:line="360" w:lineRule="auto"/>
        <w:ind w:left="419" w:hanging="130"/>
        <w:jc w:val="center"/>
        <w:rPr>
          <w:iCs/>
          <w:sz w:val="24"/>
          <w:szCs w:val="24"/>
          <w:highlight w:val="none"/>
        </w:rPr>
      </w:pPr>
      <w:bookmarkStart w:id="121" w:name="_Toc12836"/>
      <w:r>
        <w:rPr>
          <w:iCs/>
          <w:sz w:val="24"/>
          <w:szCs w:val="24"/>
          <w:highlight w:val="none"/>
        </w:rPr>
        <w:t>其他</w:t>
      </w:r>
      <w:bookmarkEnd w:id="121"/>
    </w:p>
    <w:p>
      <w:pPr>
        <w:pStyle w:val="20"/>
        <w:numPr>
          <w:ilvl w:val="0"/>
          <w:numId w:val="32"/>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pStyle w:val="20"/>
        <w:numPr>
          <w:ilvl w:val="0"/>
          <w:numId w:val="32"/>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卖方应根据买方要求，无条件接受和配合买方或买方委托的会计师事务所进行的与本合同相关的审计。卖方应保存与本合同相关的记录和账目，保存期限为本合同终止后</w:t>
      </w:r>
      <w:r>
        <w:rPr>
          <w:rFonts w:hint="eastAsia" w:eastAsiaTheme="minorEastAsia"/>
          <w:color w:val="000000"/>
          <w:sz w:val="24"/>
          <w:highlight w:val="none"/>
          <w:lang w:val="en-US" w:eastAsia="zh-CN"/>
        </w:rPr>
        <w:t>5</w:t>
      </w:r>
      <w:r>
        <w:rPr>
          <w:rFonts w:eastAsiaTheme="minorEastAsia"/>
          <w:color w:val="000000"/>
          <w:sz w:val="24"/>
          <w:highlight w:val="none"/>
        </w:rPr>
        <w:t>年。经提前通知，买方或买方委托的会计师事务所有权检查并复制该等记录和账目</w:t>
      </w:r>
    </w:p>
    <w:p>
      <w:pPr>
        <w:pStyle w:val="20"/>
        <w:numPr>
          <w:ilvl w:val="0"/>
          <w:numId w:val="32"/>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本合同系买卖双方反复协商、讨论的结果，合同内容非一方当事人事先拟定。本合同不属于格式合同，条款内容不属于格式条款。</w:t>
      </w:r>
    </w:p>
    <w:p>
      <w:pPr>
        <w:pStyle w:val="20"/>
        <w:numPr>
          <w:ilvl w:val="0"/>
          <w:numId w:val="32"/>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未经另一方事先书面同意，任何一方不得以任何方式在其机构外使用另一方的名称、商品商标、服务商标、企业标志、商号或品牌。</w:t>
      </w:r>
    </w:p>
    <w:p>
      <w:pPr>
        <w:pStyle w:val="20"/>
        <w:numPr>
          <w:ilvl w:val="0"/>
          <w:numId w:val="32"/>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如果本合同的任何条款或规定被裁定为无效、不合法或不可执行，该条款或规定应视为被删除，本合同其它条款不受影响，仍继续有效。</w:t>
      </w:r>
    </w:p>
    <w:p>
      <w:pPr>
        <w:pStyle w:val="20"/>
        <w:numPr>
          <w:ilvl w:val="0"/>
          <w:numId w:val="32"/>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本合同的任何补充、变更和修改应当以书面签订补充协议的方式进行，于双方授权代表共同签字之日起生效。补充协议与本合同具有同等法律效力，补充协议的内容与本合同不一致的，以补充协议为准。</w:t>
      </w:r>
    </w:p>
    <w:p>
      <w:pPr>
        <w:pStyle w:val="20"/>
        <w:numPr>
          <w:ilvl w:val="0"/>
          <w:numId w:val="32"/>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本合同正本贰（2）份，合同双方各持壹（1）份，具有同等法律效力。</w:t>
      </w:r>
    </w:p>
    <w:p>
      <w:pPr>
        <w:pStyle w:val="20"/>
        <w:numPr>
          <w:ilvl w:val="0"/>
          <w:numId w:val="32"/>
        </w:numPr>
        <w:spacing w:line="360" w:lineRule="auto"/>
        <w:ind w:left="567" w:hanging="567" w:firstLineChars="0"/>
        <w:rPr>
          <w:rFonts w:eastAsiaTheme="minorEastAsia"/>
          <w:color w:val="000000"/>
          <w:sz w:val="24"/>
          <w:highlight w:val="none"/>
        </w:rPr>
      </w:pPr>
      <w:r>
        <w:rPr>
          <w:rFonts w:eastAsiaTheme="minorEastAsia"/>
          <w:color w:val="000000"/>
          <w:sz w:val="24"/>
          <w:highlight w:val="none"/>
        </w:rPr>
        <w:t>本合同经双方授权代表签字并加盖双方合同专用章/公章后生效。</w:t>
      </w:r>
    </w:p>
    <w:p>
      <w:pPr>
        <w:pStyle w:val="20"/>
        <w:numPr>
          <w:ilvl w:val="0"/>
          <w:numId w:val="32"/>
        </w:numPr>
        <w:spacing w:line="360" w:lineRule="auto"/>
        <w:ind w:left="567" w:hanging="567" w:firstLineChars="0"/>
        <w:rPr>
          <w:rFonts w:eastAsiaTheme="minorEastAsia"/>
          <w:sz w:val="24"/>
          <w:highlight w:val="none"/>
        </w:rPr>
      </w:pPr>
      <w:r>
        <w:rPr>
          <w:rFonts w:eastAsiaTheme="minorEastAsia"/>
          <w:color w:val="000000"/>
          <w:sz w:val="24"/>
          <w:highlight w:val="none"/>
        </w:rPr>
        <w:t>本合同解除或终止后，本合同项下关于知识产权、保密、保证、责任、适用法律、争议解决和其它具有持续性效力的条款继续有效。</w:t>
      </w:r>
    </w:p>
    <w:p>
      <w:pPr>
        <w:pStyle w:val="2"/>
        <w:numPr>
          <w:ilvl w:val="0"/>
          <w:numId w:val="1"/>
        </w:numPr>
        <w:spacing w:before="0" w:after="0" w:line="360" w:lineRule="auto"/>
        <w:ind w:left="419" w:hanging="130"/>
        <w:jc w:val="center"/>
        <w:rPr>
          <w:iCs/>
          <w:sz w:val="24"/>
          <w:szCs w:val="24"/>
          <w:highlight w:val="none"/>
        </w:rPr>
      </w:pPr>
      <w:bookmarkStart w:id="122" w:name="_Toc14040"/>
      <w:r>
        <w:rPr>
          <w:iCs/>
          <w:sz w:val="24"/>
          <w:szCs w:val="24"/>
          <w:highlight w:val="none"/>
        </w:rPr>
        <w:t>附件</w:t>
      </w:r>
      <w:bookmarkEnd w:id="122"/>
    </w:p>
    <w:p>
      <w:pPr>
        <w:pStyle w:val="20"/>
        <w:numPr>
          <w:ilvl w:val="0"/>
          <w:numId w:val="33"/>
        </w:numPr>
        <w:spacing w:line="360" w:lineRule="auto"/>
        <w:ind w:left="567" w:hanging="567" w:firstLineChars="0"/>
        <w:rPr>
          <w:rFonts w:eastAsiaTheme="minorEastAsia"/>
          <w:b/>
          <w:sz w:val="24"/>
          <w:highlight w:val="none"/>
        </w:rPr>
      </w:pPr>
      <w:r>
        <w:rPr>
          <w:rFonts w:eastAsiaTheme="minorEastAsia"/>
          <w:color w:val="000000"/>
          <w:sz w:val="24"/>
          <w:highlight w:val="none"/>
        </w:rPr>
        <w:t>本合同所有正文条款、本合同附件和双方届时按照本合同约定签署的送货单、验收记录均为本合同不可分割的组成部分，各部分之间的内容相互补充、说明，以便对合同予以完整理解。如合同各组成部分之间存在冲突或不一致，以上述序列作为优先顺序进行解释。</w:t>
      </w:r>
    </w:p>
    <w:p>
      <w:pPr>
        <w:pStyle w:val="20"/>
        <w:numPr>
          <w:ilvl w:val="0"/>
          <w:numId w:val="33"/>
        </w:numPr>
        <w:spacing w:line="360" w:lineRule="auto"/>
        <w:ind w:left="567" w:hanging="567" w:firstLineChars="0"/>
        <w:rPr>
          <w:rFonts w:eastAsiaTheme="minorEastAsia"/>
          <w:b/>
          <w:sz w:val="24"/>
          <w:highlight w:val="none"/>
        </w:rPr>
      </w:pPr>
      <w:r>
        <w:rPr>
          <w:rFonts w:eastAsiaTheme="minorEastAsia"/>
          <w:color w:val="000000"/>
          <w:sz w:val="24"/>
          <w:highlight w:val="none"/>
        </w:rPr>
        <w:t>本合同附件包括：</w:t>
      </w:r>
    </w:p>
    <w:p>
      <w:pPr>
        <w:spacing w:line="360" w:lineRule="auto"/>
        <w:ind w:firstLine="566" w:firstLineChars="236"/>
        <w:rPr>
          <w:rFonts w:eastAsiaTheme="minorEastAsia"/>
          <w:bCs/>
          <w:sz w:val="24"/>
          <w:szCs w:val="24"/>
          <w:highlight w:val="none"/>
        </w:rPr>
      </w:pPr>
      <w:r>
        <w:rPr>
          <w:rFonts w:eastAsiaTheme="minorEastAsia"/>
          <w:bCs/>
          <w:sz w:val="24"/>
          <w:szCs w:val="24"/>
          <w:highlight w:val="none"/>
        </w:rPr>
        <w:t>附件一：廉洁备忘录</w:t>
      </w:r>
    </w:p>
    <w:p>
      <w:pPr>
        <w:spacing w:line="360" w:lineRule="auto"/>
        <w:ind w:firstLine="566" w:firstLineChars="236"/>
        <w:rPr>
          <w:rFonts w:hint="default" w:eastAsiaTheme="minorEastAsia"/>
          <w:bCs/>
          <w:sz w:val="24"/>
          <w:szCs w:val="24"/>
          <w:highlight w:val="none"/>
          <w:lang w:val="en-US" w:eastAsia="zh-CN"/>
        </w:rPr>
      </w:pPr>
      <w:r>
        <w:rPr>
          <w:rFonts w:eastAsiaTheme="minorEastAsia"/>
          <w:bCs/>
          <w:sz w:val="24"/>
          <w:szCs w:val="24"/>
          <w:highlight w:val="none"/>
        </w:rPr>
        <w:t>附件二：</w:t>
      </w:r>
      <w:r>
        <w:rPr>
          <w:rFonts w:hint="eastAsia" w:eastAsiaTheme="minorEastAsia"/>
          <w:bCs/>
          <w:sz w:val="24"/>
          <w:szCs w:val="24"/>
          <w:highlight w:val="none"/>
          <w:lang w:val="en-US" w:eastAsia="zh-CN"/>
        </w:rPr>
        <w:t>货物明细</w:t>
      </w:r>
    </w:p>
    <w:p>
      <w:pPr>
        <w:spacing w:line="360" w:lineRule="auto"/>
        <w:ind w:firstLine="569" w:firstLineChars="236"/>
        <w:rPr>
          <w:rFonts w:eastAsiaTheme="minorEastAsia"/>
          <w:b/>
          <w:sz w:val="24"/>
          <w:szCs w:val="24"/>
          <w:highlight w:val="none"/>
        </w:rPr>
      </w:pPr>
      <w:r>
        <w:rPr>
          <w:rFonts w:eastAsiaTheme="minorEastAsia"/>
          <w:b/>
          <w:sz w:val="24"/>
          <w:szCs w:val="24"/>
          <w:highlight w:val="none"/>
        </w:rPr>
        <w:br w:type="page"/>
      </w:r>
    </w:p>
    <w:p>
      <w:pPr>
        <w:spacing w:line="360" w:lineRule="auto"/>
        <w:rPr>
          <w:rFonts w:eastAsiaTheme="minorEastAsia"/>
          <w:sz w:val="24"/>
          <w:szCs w:val="24"/>
          <w:highlight w:val="none"/>
        </w:rPr>
      </w:pPr>
      <w:r>
        <w:rPr>
          <w:rFonts w:eastAsiaTheme="minorEastAsia"/>
          <w:b/>
          <w:sz w:val="24"/>
          <w:szCs w:val="24"/>
          <w:highlight w:val="none"/>
        </w:rPr>
        <w:t>有鉴于此</w:t>
      </w:r>
      <w:r>
        <w:rPr>
          <w:rFonts w:eastAsiaTheme="minorEastAsia"/>
          <w:sz w:val="24"/>
          <w:szCs w:val="24"/>
          <w:highlight w:val="none"/>
        </w:rPr>
        <w:t>，本合同由各方的授权代表签署。</w:t>
      </w:r>
    </w:p>
    <w:p>
      <w:pPr>
        <w:spacing w:line="360" w:lineRule="auto"/>
        <w:rPr>
          <w:rFonts w:eastAsiaTheme="minorEastAsia"/>
          <w:sz w:val="24"/>
          <w:szCs w:val="24"/>
          <w:highlight w:val="none"/>
        </w:rPr>
      </w:pPr>
    </w:p>
    <w:tbl>
      <w:tblPr>
        <w:tblStyle w:val="13"/>
        <w:tblW w:w="5000" w:type="pct"/>
        <w:tblInd w:w="-106" w:type="dxa"/>
        <w:tblLayout w:type="autofit"/>
        <w:tblCellMar>
          <w:top w:w="0" w:type="dxa"/>
          <w:left w:w="108" w:type="dxa"/>
          <w:bottom w:w="0" w:type="dxa"/>
          <w:right w:w="108" w:type="dxa"/>
        </w:tblCellMar>
      </w:tblPr>
      <w:tblGrid>
        <w:gridCol w:w="4983"/>
        <w:gridCol w:w="4588"/>
      </w:tblGrid>
      <w:tr>
        <w:tblPrEx>
          <w:tblCellMar>
            <w:top w:w="0" w:type="dxa"/>
            <w:left w:w="108" w:type="dxa"/>
            <w:bottom w:w="0" w:type="dxa"/>
            <w:right w:w="108" w:type="dxa"/>
          </w:tblCellMar>
        </w:tblPrEx>
        <w:trPr>
          <w:trHeight w:val="711" w:hRule="atLeast"/>
        </w:trPr>
        <w:tc>
          <w:tcPr>
            <w:tcW w:w="2603" w:type="pct"/>
          </w:tcPr>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r>
              <w:rPr>
                <w:rFonts w:eastAsiaTheme="minorEastAsia"/>
                <w:sz w:val="24"/>
                <w:szCs w:val="24"/>
                <w:highlight w:val="none"/>
              </w:rPr>
              <w:t>买方：</w:t>
            </w:r>
            <w:r>
              <w:rPr>
                <w:rFonts w:hint="eastAsia" w:eastAsiaTheme="minorEastAsia"/>
                <w:sz w:val="24"/>
                <w:szCs w:val="24"/>
                <w:highlight w:val="none"/>
              </w:rPr>
              <w:t>中海油田服务股份有限公司</w:t>
            </w:r>
            <w:r>
              <w:rPr>
                <w:rFonts w:hint="eastAsia" w:eastAsiaTheme="minorEastAsia"/>
                <w:sz w:val="24"/>
                <w:szCs w:val="24"/>
                <w:highlight w:val="none"/>
                <w:lang w:val="en-US" w:eastAsia="zh-CN"/>
              </w:rPr>
              <w:t>XX</w:t>
            </w:r>
            <w:r>
              <w:rPr>
                <w:rFonts w:hint="eastAsia" w:eastAsiaTheme="minorEastAsia"/>
                <w:sz w:val="24"/>
                <w:szCs w:val="24"/>
                <w:highlight w:val="none"/>
              </w:rPr>
              <w:t>分公司</w:t>
            </w:r>
            <w:r>
              <w:rPr>
                <w:rFonts w:eastAsiaTheme="minorEastAsia"/>
                <w:sz w:val="24"/>
                <w:szCs w:val="24"/>
                <w:highlight w:val="none"/>
              </w:rPr>
              <w:t>（盖章）</w:t>
            </w:r>
          </w:p>
        </w:tc>
        <w:tc>
          <w:tcPr>
            <w:tcW w:w="2397" w:type="pct"/>
          </w:tcPr>
          <w:p>
            <w:pPr>
              <w:tabs>
                <w:tab w:val="left" w:pos="850"/>
              </w:tabs>
              <w:autoSpaceDE w:val="0"/>
              <w:autoSpaceDN w:val="0"/>
              <w:spacing w:before="147" w:beforeLines="50" w:after="147" w:afterLines="50" w:line="360" w:lineRule="auto"/>
              <w:textAlignment w:val="bottom"/>
              <w:rPr>
                <w:rFonts w:hint="default" w:ascii="宋体" w:hAnsi="宋体" w:eastAsia="宋体" w:cs="宋体"/>
                <w:color w:val="0000FF"/>
                <w:sz w:val="22"/>
                <w:szCs w:val="22"/>
                <w:lang w:val="en-US" w:eastAsia="zh-CN"/>
              </w:rPr>
            </w:pPr>
            <w:r>
              <w:rPr>
                <w:rFonts w:eastAsiaTheme="minorEastAsia"/>
                <w:sz w:val="24"/>
                <w:szCs w:val="24"/>
                <w:highlight w:val="none"/>
              </w:rPr>
              <w:t>卖方：</w:t>
            </w:r>
            <w:r>
              <w:rPr>
                <w:rFonts w:hint="eastAsia" w:cs="Times New Roman" w:eastAsiaTheme="minorEastAsia"/>
                <w:sz w:val="24"/>
                <w:szCs w:val="24"/>
                <w:highlight w:val="none"/>
                <w:lang w:val="en-US" w:eastAsia="zh-CN"/>
              </w:rPr>
              <w:t>XXXXXXXXXXXXXX</w:t>
            </w:r>
          </w:p>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r>
              <w:rPr>
                <w:rFonts w:hint="eastAsia" w:eastAsiaTheme="minorEastAsia"/>
                <w:sz w:val="24"/>
                <w:szCs w:val="24"/>
                <w:highlight w:val="none"/>
                <w:lang w:val="en-US" w:eastAsia="zh-CN"/>
              </w:rPr>
              <w:t xml:space="preserve"> </w:t>
            </w:r>
            <w:r>
              <w:rPr>
                <w:rFonts w:eastAsiaTheme="minorEastAsia"/>
                <w:sz w:val="24"/>
                <w:szCs w:val="24"/>
                <w:highlight w:val="none"/>
              </w:rPr>
              <w:t>（盖章）</w:t>
            </w: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r>
              <w:rPr>
                <w:rFonts w:eastAsiaTheme="minorEastAsia"/>
                <w:sz w:val="24"/>
                <w:szCs w:val="24"/>
                <w:highlight w:val="none"/>
              </w:rPr>
              <w:t>法定代表人或授权代表签字：</w:t>
            </w:r>
          </w:p>
          <w:p>
            <w:pPr>
              <w:tabs>
                <w:tab w:val="left" w:pos="850"/>
              </w:tabs>
              <w:autoSpaceDE w:val="0"/>
              <w:autoSpaceDN w:val="0"/>
              <w:spacing w:before="147" w:beforeLines="50" w:after="147" w:afterLines="50" w:line="360" w:lineRule="auto"/>
              <w:textAlignment w:val="bottom"/>
              <w:rPr>
                <w:rFonts w:eastAsiaTheme="minorEastAsia"/>
                <w:sz w:val="24"/>
                <w:szCs w:val="24"/>
                <w:highlight w:val="none"/>
                <w:u w:val="single"/>
              </w:rPr>
            </w:pPr>
          </w:p>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r>
              <w:rPr>
                <w:rFonts w:eastAsiaTheme="minorEastAsia"/>
                <w:sz w:val="24"/>
                <w:szCs w:val="24"/>
                <w:highlight w:val="none"/>
                <w:u w:val="single"/>
              </w:rPr>
              <w:t xml:space="preserve">                                  </w:t>
            </w:r>
          </w:p>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r>
              <w:rPr>
                <w:rFonts w:eastAsiaTheme="minorEastAsia"/>
                <w:sz w:val="24"/>
                <w:szCs w:val="24"/>
                <w:highlight w:val="none"/>
              </w:rPr>
              <w:t>日期：</w:t>
            </w:r>
          </w:p>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p>
        </w:tc>
        <w:tc>
          <w:tcPr>
            <w:tcW w:w="2397" w:type="pct"/>
            <w:vAlign w:val="center"/>
          </w:tcPr>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r>
              <w:rPr>
                <w:rFonts w:eastAsiaTheme="minorEastAsia"/>
                <w:sz w:val="24"/>
                <w:szCs w:val="24"/>
                <w:highlight w:val="none"/>
              </w:rPr>
              <w:t>法定代表人或授权代表签字：</w:t>
            </w:r>
          </w:p>
          <w:p>
            <w:pPr>
              <w:tabs>
                <w:tab w:val="left" w:pos="850"/>
              </w:tabs>
              <w:autoSpaceDE w:val="0"/>
              <w:autoSpaceDN w:val="0"/>
              <w:spacing w:before="147" w:beforeLines="50" w:after="147" w:afterLines="50" w:line="360" w:lineRule="auto"/>
              <w:textAlignment w:val="bottom"/>
              <w:rPr>
                <w:rFonts w:eastAsiaTheme="minorEastAsia"/>
                <w:sz w:val="24"/>
                <w:szCs w:val="24"/>
                <w:highlight w:val="none"/>
                <w:u w:val="single"/>
              </w:rPr>
            </w:pPr>
          </w:p>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r>
              <w:rPr>
                <w:rFonts w:eastAsiaTheme="minorEastAsia"/>
                <w:sz w:val="24"/>
                <w:szCs w:val="24"/>
                <w:highlight w:val="none"/>
                <w:u w:val="single"/>
              </w:rPr>
              <w:t xml:space="preserve">                                </w:t>
            </w:r>
          </w:p>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r>
              <w:rPr>
                <w:rFonts w:eastAsiaTheme="minorEastAsia"/>
                <w:sz w:val="24"/>
                <w:szCs w:val="24"/>
                <w:highlight w:val="none"/>
              </w:rPr>
              <w:t>日期：</w:t>
            </w:r>
          </w:p>
          <w:p>
            <w:pPr>
              <w:tabs>
                <w:tab w:val="left" w:pos="850"/>
              </w:tabs>
              <w:autoSpaceDE w:val="0"/>
              <w:autoSpaceDN w:val="0"/>
              <w:spacing w:before="147" w:beforeLines="50" w:after="147" w:afterLines="50" w:line="360" w:lineRule="auto"/>
              <w:textAlignment w:val="bottom"/>
              <w:rPr>
                <w:rFonts w:eastAsiaTheme="minorEastAsia"/>
                <w:sz w:val="24"/>
                <w:szCs w:val="24"/>
                <w:highlight w:val="none"/>
              </w:rPr>
            </w:pPr>
          </w:p>
        </w:tc>
      </w:tr>
    </w:tbl>
    <w:p>
      <w:pPr>
        <w:spacing w:line="360" w:lineRule="auto"/>
        <w:rPr>
          <w:rFonts w:eastAsiaTheme="minorEastAsia"/>
          <w:sz w:val="24"/>
          <w:szCs w:val="24"/>
          <w:highlight w:val="none"/>
        </w:rPr>
      </w:pPr>
    </w:p>
    <w:p>
      <w:pPr>
        <w:spacing w:line="360" w:lineRule="auto"/>
        <w:rPr>
          <w:rFonts w:eastAsiaTheme="minorEastAsia"/>
          <w:sz w:val="24"/>
          <w:szCs w:val="24"/>
          <w:highlight w:val="none"/>
        </w:rPr>
      </w:pPr>
    </w:p>
    <w:p>
      <w:pPr>
        <w:spacing w:line="360" w:lineRule="auto"/>
        <w:rPr>
          <w:rFonts w:eastAsiaTheme="minorEastAsia"/>
          <w:sz w:val="24"/>
          <w:szCs w:val="24"/>
          <w:highlight w:val="none"/>
        </w:rPr>
      </w:pPr>
    </w:p>
    <w:p>
      <w:pPr>
        <w:spacing w:line="360" w:lineRule="auto"/>
        <w:rPr>
          <w:rFonts w:eastAsiaTheme="minorEastAsia"/>
          <w:sz w:val="24"/>
          <w:szCs w:val="24"/>
          <w:highlight w:val="none"/>
        </w:rPr>
      </w:pPr>
    </w:p>
    <w:p>
      <w:pPr>
        <w:pStyle w:val="2"/>
        <w:spacing w:before="0" w:after="0" w:line="360" w:lineRule="auto"/>
        <w:rPr>
          <w:sz w:val="24"/>
          <w:szCs w:val="24"/>
          <w:highlight w:val="none"/>
        </w:rPr>
      </w:pPr>
      <w:r>
        <w:rPr>
          <w:sz w:val="24"/>
          <w:szCs w:val="24"/>
          <w:highlight w:val="none"/>
        </w:rPr>
        <w:br w:type="page"/>
      </w:r>
      <w:bookmarkStart w:id="123" w:name="_Toc11418"/>
      <w:bookmarkStart w:id="124" w:name="_Toc15474"/>
      <w:bookmarkStart w:id="125" w:name="_Toc152088852"/>
      <w:r>
        <w:rPr>
          <w:sz w:val="24"/>
          <w:szCs w:val="24"/>
          <w:highlight w:val="none"/>
        </w:rPr>
        <w:t>附件一：</w:t>
      </w:r>
      <w:bookmarkEnd w:id="123"/>
      <w:r>
        <w:rPr>
          <w:sz w:val="24"/>
          <w:szCs w:val="24"/>
          <w:highlight w:val="none"/>
        </w:rPr>
        <w:t xml:space="preserve">                      廉 洁 备 忘 录</w:t>
      </w:r>
      <w:bookmarkEnd w:id="124"/>
      <w:bookmarkEnd w:id="125"/>
    </w:p>
    <w:p>
      <w:pPr>
        <w:pStyle w:val="6"/>
        <w:spacing w:line="360" w:lineRule="auto"/>
        <w:ind w:firstLine="0" w:firstLineChars="0"/>
        <w:rPr>
          <w:rFonts w:eastAsiaTheme="minorEastAsia"/>
          <w:color w:val="000000"/>
          <w:sz w:val="24"/>
          <w:szCs w:val="24"/>
          <w:highlight w:val="none"/>
        </w:rPr>
      </w:pPr>
      <w:r>
        <w:rPr>
          <w:rFonts w:eastAsiaTheme="minorEastAsia"/>
          <w:color w:val="000000"/>
          <w:sz w:val="24"/>
          <w:szCs w:val="24"/>
          <w:highlight w:val="none"/>
        </w:rPr>
        <w:t>鉴于，</w:t>
      </w:r>
      <w:r>
        <w:rPr>
          <w:rFonts w:hint="eastAsia" w:eastAsiaTheme="minorEastAsia"/>
          <w:color w:val="000000"/>
          <w:sz w:val="24"/>
          <w:szCs w:val="24"/>
          <w:highlight w:val="none"/>
        </w:rPr>
        <w:t>中海油田服务股份有限公司</w:t>
      </w:r>
      <w:r>
        <w:rPr>
          <w:rFonts w:hint="eastAsia" w:eastAsiaTheme="minorEastAsia"/>
          <w:color w:val="0000FF"/>
          <w:sz w:val="24"/>
          <w:szCs w:val="24"/>
          <w:highlight w:val="none"/>
          <w:lang w:val="en-US" w:eastAsia="zh-CN"/>
        </w:rPr>
        <w:t>XXX</w:t>
      </w:r>
      <w:r>
        <w:rPr>
          <w:rFonts w:hint="eastAsia" w:eastAsiaTheme="minorEastAsia"/>
          <w:color w:val="000000"/>
          <w:sz w:val="24"/>
          <w:szCs w:val="24"/>
          <w:highlight w:val="none"/>
        </w:rPr>
        <w:t>分公司</w:t>
      </w:r>
      <w:r>
        <w:rPr>
          <w:rFonts w:eastAsiaTheme="minorEastAsia"/>
          <w:color w:val="000000"/>
          <w:sz w:val="24"/>
          <w:szCs w:val="24"/>
          <w:highlight w:val="none"/>
        </w:rPr>
        <w:t>（买方）以严格遵守法律、法规为企业基本政策；</w:t>
      </w:r>
    </w:p>
    <w:p>
      <w:pPr>
        <w:pStyle w:val="6"/>
        <w:spacing w:line="360" w:lineRule="auto"/>
        <w:ind w:firstLine="0" w:firstLineChars="0"/>
        <w:rPr>
          <w:rFonts w:eastAsiaTheme="minorEastAsia"/>
          <w:color w:val="000000"/>
          <w:sz w:val="24"/>
          <w:szCs w:val="24"/>
          <w:highlight w:val="none"/>
        </w:rPr>
      </w:pPr>
      <w:r>
        <w:rPr>
          <w:rFonts w:eastAsiaTheme="minorEastAsia"/>
          <w:color w:val="000000"/>
          <w:sz w:val="24"/>
          <w:szCs w:val="24"/>
          <w:highlight w:val="none"/>
        </w:rPr>
        <w:t>鉴于，买方要求其工作人员严格遵守有关廉洁规定并信守职业道德；</w:t>
      </w:r>
    </w:p>
    <w:p>
      <w:pPr>
        <w:overflowPunct w:val="0"/>
        <w:autoSpaceDE w:val="0"/>
        <w:autoSpaceDN w:val="0"/>
        <w:adjustRightInd w:val="0"/>
        <w:spacing w:line="360" w:lineRule="auto"/>
        <w:rPr>
          <w:rFonts w:eastAsiaTheme="minorEastAsia"/>
          <w:color w:val="000000"/>
          <w:sz w:val="24"/>
          <w:szCs w:val="24"/>
          <w:highlight w:val="none"/>
        </w:rPr>
      </w:pPr>
      <w:r>
        <w:rPr>
          <w:rFonts w:eastAsiaTheme="minorEastAsia"/>
          <w:color w:val="000000"/>
          <w:sz w:val="24"/>
          <w:szCs w:val="24"/>
          <w:highlight w:val="none"/>
        </w:rPr>
        <w:t>鉴于，（卖方）将与买方或其关联公司进行业务往来；</w:t>
      </w:r>
    </w:p>
    <w:p>
      <w:pPr>
        <w:overflowPunct w:val="0"/>
        <w:autoSpaceDE w:val="0"/>
        <w:autoSpaceDN w:val="0"/>
        <w:adjustRightInd w:val="0"/>
        <w:spacing w:line="360" w:lineRule="auto"/>
        <w:rPr>
          <w:rFonts w:eastAsiaTheme="minorEastAsia"/>
          <w:color w:val="000000"/>
          <w:sz w:val="24"/>
          <w:szCs w:val="24"/>
          <w:highlight w:val="none"/>
        </w:rPr>
      </w:pPr>
      <w:r>
        <w:rPr>
          <w:rFonts w:eastAsiaTheme="minorEastAsia"/>
          <w:color w:val="000000"/>
          <w:sz w:val="24"/>
          <w:szCs w:val="24"/>
          <w:highlight w:val="none"/>
        </w:rPr>
        <w:t>鉴于，卖方完全赞同买方并同意共同遵守有关廉洁规定和信守职业道德。</w:t>
      </w:r>
    </w:p>
    <w:p>
      <w:pPr>
        <w:overflowPunct w:val="0"/>
        <w:autoSpaceDE w:val="0"/>
        <w:autoSpaceDN w:val="0"/>
        <w:adjustRightInd w:val="0"/>
        <w:spacing w:line="360" w:lineRule="auto"/>
        <w:rPr>
          <w:rFonts w:eastAsiaTheme="minorEastAsia"/>
          <w:color w:val="000000"/>
          <w:sz w:val="24"/>
          <w:szCs w:val="24"/>
          <w:highlight w:val="none"/>
        </w:rPr>
      </w:pPr>
      <w:r>
        <w:rPr>
          <w:rFonts w:eastAsiaTheme="minorEastAsia"/>
          <w:color w:val="000000"/>
          <w:sz w:val="24"/>
          <w:szCs w:val="24"/>
          <w:highlight w:val="none"/>
        </w:rPr>
        <w:t>据此，双方达成如下协议：</w:t>
      </w:r>
    </w:p>
    <w:p>
      <w:pPr>
        <w:pStyle w:val="20"/>
        <w:numPr>
          <w:ilvl w:val="0"/>
          <w:numId w:val="34"/>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买方工作人员不得要求或接受卖方或通过第三方提供的任何个人利益，包括各类礼金、礼品、有价证券和支付凭证。</w:t>
      </w:r>
    </w:p>
    <w:p>
      <w:pPr>
        <w:pStyle w:val="20"/>
        <w:numPr>
          <w:ilvl w:val="0"/>
          <w:numId w:val="34"/>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卖方不得向买方工作人员主动或被动提供上款述及的任何利益。</w:t>
      </w:r>
    </w:p>
    <w:p>
      <w:pPr>
        <w:pStyle w:val="20"/>
        <w:numPr>
          <w:ilvl w:val="0"/>
          <w:numId w:val="34"/>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不得向买方工作人员（包括其直系亲属）主动或被动提供：（1）可能对进行正常业务有影响的宴请和礼品馈赠（礼品、礼金、有价证券、支付凭证以及象征性低价物品）；（2）任何营业性歌舞厅、夜总会等娱乐活动；（3）免费旅游、度假等；</w:t>
      </w:r>
    </w:p>
    <w:p>
      <w:pPr>
        <w:pStyle w:val="20"/>
        <w:numPr>
          <w:ilvl w:val="0"/>
          <w:numId w:val="34"/>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卖方应加强对本单位员工在双方业务交往中相关行为的检查与监督，对发现违反本协议规定的行为及时予以制止和纠正。</w:t>
      </w:r>
    </w:p>
    <w:p>
      <w:pPr>
        <w:pStyle w:val="20"/>
        <w:numPr>
          <w:ilvl w:val="0"/>
          <w:numId w:val="34"/>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卖方应加强对买方工作人员在彼此业务交往活动中相关行为的监督，对买方工作人员违反本协议规定的行为应及时给予制止，并向买方相关部门反映。</w:t>
      </w:r>
    </w:p>
    <w:p>
      <w:pPr>
        <w:pStyle w:val="20"/>
        <w:numPr>
          <w:ilvl w:val="0"/>
          <w:numId w:val="34"/>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卖方如向买方告知买方工作人员违反本协议规定，买方将保证其正常的业务往来不因此受到负面影响。</w:t>
      </w:r>
    </w:p>
    <w:p>
      <w:pPr>
        <w:pStyle w:val="20"/>
        <w:numPr>
          <w:ilvl w:val="0"/>
          <w:numId w:val="34"/>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卖方如向买方告知竞争第三方的行为确实违反其与买方签订的类似廉洁协议，买方将把第三方支付的违约金全部款项支付给卖方。</w:t>
      </w:r>
    </w:p>
    <w:p>
      <w:pPr>
        <w:pStyle w:val="20"/>
        <w:numPr>
          <w:ilvl w:val="0"/>
          <w:numId w:val="34"/>
        </w:numPr>
        <w:overflowPunct w:val="0"/>
        <w:autoSpaceDE w:val="0"/>
        <w:autoSpaceDN w:val="0"/>
        <w:adjustRightInd w:val="0"/>
        <w:spacing w:line="360" w:lineRule="auto"/>
        <w:ind w:left="0" w:firstLine="426" w:firstLineChars="0"/>
        <w:rPr>
          <w:rFonts w:eastAsiaTheme="minorEastAsia"/>
          <w:color w:val="000000"/>
          <w:sz w:val="24"/>
          <w:highlight w:val="none"/>
        </w:rPr>
      </w:pPr>
      <w:r>
        <w:rPr>
          <w:rFonts w:eastAsiaTheme="minorEastAsia"/>
          <w:color w:val="000000"/>
          <w:sz w:val="24"/>
          <w:highlight w:val="none"/>
        </w:rPr>
        <w:t>卖方或其工作人员违反本协议规定，应向买方支付采办项目报价或合同总额5%的违约金，买方有权不予对其投标或报价评价，或者终止有关合同，断绝与其一切业务往来。</w:t>
      </w:r>
    </w:p>
    <w:p>
      <w:pPr>
        <w:pStyle w:val="20"/>
        <w:widowControl w:val="0"/>
        <w:numPr>
          <w:ilvl w:val="0"/>
          <w:numId w:val="0"/>
        </w:numPr>
        <w:overflowPunct w:val="0"/>
        <w:autoSpaceDE w:val="0"/>
        <w:autoSpaceDN w:val="0"/>
        <w:adjustRightInd w:val="0"/>
        <w:spacing w:line="360" w:lineRule="auto"/>
        <w:jc w:val="both"/>
        <w:rPr>
          <w:rFonts w:eastAsiaTheme="minorEastAsia"/>
          <w:color w:val="000000"/>
          <w:sz w:val="24"/>
          <w:highlight w:val="none"/>
        </w:rPr>
      </w:pPr>
    </w:p>
    <w:p>
      <w:pPr>
        <w:pStyle w:val="20"/>
        <w:widowControl w:val="0"/>
        <w:numPr>
          <w:ilvl w:val="0"/>
          <w:numId w:val="0"/>
        </w:numPr>
        <w:overflowPunct w:val="0"/>
        <w:autoSpaceDE w:val="0"/>
        <w:autoSpaceDN w:val="0"/>
        <w:adjustRightInd w:val="0"/>
        <w:spacing w:line="360" w:lineRule="auto"/>
        <w:jc w:val="both"/>
        <w:rPr>
          <w:rFonts w:eastAsiaTheme="minorEastAsia"/>
          <w:color w:val="000000"/>
          <w:sz w:val="24"/>
          <w:highlight w:val="none"/>
        </w:rPr>
      </w:pPr>
    </w:p>
    <w:p>
      <w:pPr>
        <w:pStyle w:val="2"/>
        <w:spacing w:before="0" w:after="0" w:line="360" w:lineRule="auto"/>
        <w:rPr>
          <w:rFonts w:hint="eastAsia"/>
          <w:sz w:val="24"/>
          <w:szCs w:val="24"/>
          <w:highlight w:val="none"/>
          <w:lang w:val="en-US" w:eastAsia="zh-CN"/>
        </w:rPr>
      </w:pPr>
      <w:r>
        <w:rPr>
          <w:sz w:val="24"/>
          <w:szCs w:val="24"/>
          <w:highlight w:val="none"/>
        </w:rPr>
        <w:t>附件</w:t>
      </w:r>
      <w:r>
        <w:rPr>
          <w:rFonts w:hint="eastAsia"/>
          <w:sz w:val="24"/>
          <w:szCs w:val="24"/>
          <w:highlight w:val="none"/>
          <w:lang w:val="en-US" w:eastAsia="zh-CN"/>
        </w:rPr>
        <w:t>二</w:t>
      </w:r>
      <w:r>
        <w:rPr>
          <w:sz w:val="24"/>
          <w:szCs w:val="24"/>
          <w:highlight w:val="none"/>
        </w:rPr>
        <w:t>：</w:t>
      </w:r>
      <w:r>
        <w:rPr>
          <w:rFonts w:hint="eastAsia"/>
          <w:sz w:val="24"/>
          <w:szCs w:val="24"/>
          <w:highlight w:val="none"/>
          <w:lang w:val="en-US" w:eastAsia="zh-CN"/>
        </w:rPr>
        <w:t>货物明细</w:t>
      </w:r>
    </w:p>
    <w:p>
      <w:pPr>
        <w:rPr>
          <w:rFonts w:hint="default"/>
          <w:lang w:val="en-US" w:eastAsia="zh-CN"/>
        </w:rPr>
      </w:pPr>
    </w:p>
    <w:p>
      <w:pPr>
        <w:pStyle w:val="20"/>
        <w:widowControl w:val="0"/>
        <w:numPr>
          <w:ilvl w:val="0"/>
          <w:numId w:val="0"/>
        </w:numPr>
        <w:overflowPunct w:val="0"/>
        <w:autoSpaceDE w:val="0"/>
        <w:autoSpaceDN w:val="0"/>
        <w:adjustRightInd w:val="0"/>
        <w:spacing w:line="360" w:lineRule="auto"/>
        <w:jc w:val="both"/>
        <w:rPr>
          <w:rFonts w:eastAsiaTheme="minorEastAsia"/>
          <w:color w:val="000000"/>
          <w:sz w:val="24"/>
          <w:highlight w:val="none"/>
        </w:rPr>
      </w:pPr>
    </w:p>
    <w:p>
      <w:pPr>
        <w:widowControl/>
        <w:spacing w:line="360" w:lineRule="auto"/>
        <w:jc w:val="left"/>
        <w:rPr>
          <w:rFonts w:eastAsiaTheme="minorEastAsia"/>
          <w:sz w:val="24"/>
          <w:szCs w:val="24"/>
          <w:highlight w:val="none"/>
        </w:rPr>
      </w:pPr>
    </w:p>
    <w:sectPr>
      <w:footerReference r:id="rId6" w:type="default"/>
      <w:pgSz w:w="11906" w:h="16838"/>
      <w:pgMar w:top="1134" w:right="1134" w:bottom="850" w:left="1417" w:header="567" w:footer="567" w:gutter="0"/>
      <w:pgNumType w:start="1"/>
      <w:cols w:space="425" w:num="1"/>
      <w:docGrid w:type="lines" w:linePitch="2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805732"/>
    </w:sdtPr>
    <w:sdtContent>
      <w:sdt>
        <w:sdtPr>
          <w:id w:val="1728636285"/>
        </w:sdtPr>
        <w:sdtContent>
          <w:p>
            <w:pPr>
              <w:pStyle w:val="9"/>
              <w:jc w:val="center"/>
            </w:pPr>
            <w:r>
              <w:rPr>
                <w:lang w:val="zh-CN"/>
              </w:rPr>
              <w:t xml:space="preserve"> </w:t>
            </w:r>
          </w:p>
        </w:sdtContent>
      </w:sdt>
    </w:sdtContent>
  </w:sdt>
  <w:p>
    <w:pPr>
      <w:rPr>
        <w:rFonts w:eastAsia="方正楷体简体"/>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Li, Yichen3" w:date="2023-11-23T13:49:00Z"/>
  <w:sdt>
    <w:sdtPr>
      <w:rPr>
        <w:color w:val="auto"/>
      </w:rPr>
      <w:id w:val="1709991812"/>
      <w:docPartObj>
        <w:docPartGallery w:val="autotext"/>
      </w:docPartObj>
    </w:sdtPr>
    <w:sdtEndPr>
      <w:rPr>
        <w:rFonts w:hint="default"/>
        <w:color w:val="auto"/>
        <w:sz w:val="21"/>
        <w:szCs w:val="21"/>
        <w:lang w:val="en-US"/>
      </w:rPr>
    </w:sdtEndPr>
    <w:sdtContent>
      <w:customXmlInsRangeEnd w:id="0"/>
      <w:customXmlInsRangeStart w:id="2" w:author="Li, Yichen3" w:date="2023-11-23T13:49:00Z"/>
      <w:sdt>
        <w:sdtPr>
          <w:rPr>
            <w:color w:val="auto"/>
          </w:rPr>
          <w:id w:val="-223528752"/>
          <w:docPartObj>
            <w:docPartGallery w:val="autotext"/>
          </w:docPartObj>
        </w:sdtPr>
        <w:sdtEndPr>
          <w:rPr>
            <w:rFonts w:hint="default"/>
            <w:color w:val="auto"/>
            <w:sz w:val="21"/>
            <w:szCs w:val="21"/>
            <w:lang w:val="en-US"/>
          </w:rPr>
        </w:sdtEndPr>
        <w:sdtContent>
          <w:customXmlInsRangeEnd w:id="2"/>
          <w:p>
            <w:pPr>
              <w:pStyle w:val="9"/>
              <w:jc w:val="center"/>
              <w:rPr>
                <w:ins w:id="4" w:author="Li, Yichen3" w:date="2023-11-23T13:49:00Z"/>
                <w:rFonts w:hint="default"/>
                <w:sz w:val="21"/>
                <w:szCs w:val="21"/>
                <w:lang w:val="en-US"/>
              </w:rPr>
            </w:pPr>
            <w:ins w:id="7" w:author="Li, Yichen3" w:date="2023-11-23T13:49:00Z">
              <w:r>
                <w:rPr>
                  <w:color w:val="auto"/>
                  <w:sz w:val="21"/>
                  <w:szCs w:val="21"/>
                  <w:lang w:val="zh-CN"/>
                </w:rPr>
                <w:t xml:space="preserve"> </w:t>
              </w:r>
            </w:ins>
            <w:ins w:id="8" w:author="Li, Yichen3" w:date="2023-11-23T13:49:00Z">
              <w:r>
                <w:rPr>
                  <w:bCs/>
                  <w:color w:val="auto"/>
                  <w:sz w:val="21"/>
                  <w:szCs w:val="21"/>
                </w:rPr>
                <w:fldChar w:fldCharType="begin"/>
              </w:r>
            </w:ins>
            <w:ins w:id="9" w:author="Li, Yichen3" w:date="2023-11-23T13:49:00Z">
              <w:r>
                <w:rPr>
                  <w:bCs/>
                  <w:color w:val="auto"/>
                  <w:sz w:val="21"/>
                  <w:szCs w:val="21"/>
                </w:rPr>
                <w:instrText xml:space="preserve">PAGE</w:instrText>
              </w:r>
            </w:ins>
            <w:ins w:id="10" w:author="Li, Yichen3" w:date="2023-11-23T13:49:00Z">
              <w:r>
                <w:rPr>
                  <w:bCs/>
                  <w:color w:val="auto"/>
                  <w:sz w:val="21"/>
                  <w:szCs w:val="21"/>
                </w:rPr>
                <w:fldChar w:fldCharType="separate"/>
              </w:r>
            </w:ins>
            <w:r>
              <w:rPr>
                <w:bCs/>
                <w:color w:val="auto"/>
                <w:sz w:val="21"/>
                <w:szCs w:val="21"/>
              </w:rPr>
              <w:t>6</w:t>
            </w:r>
            <w:ins w:id="11" w:author="Li, Yichen3" w:date="2023-11-23T13:49:00Z">
              <w:r>
                <w:rPr>
                  <w:bCs/>
                  <w:color w:val="auto"/>
                  <w:sz w:val="21"/>
                  <w:szCs w:val="21"/>
                </w:rPr>
                <w:fldChar w:fldCharType="end"/>
              </w:r>
            </w:ins>
            <w:ins w:id="12" w:author="Li, Yichen3" w:date="2023-11-23T13:49:00Z">
              <w:r>
                <w:rPr>
                  <w:color w:val="auto"/>
                  <w:sz w:val="21"/>
                  <w:szCs w:val="21"/>
                  <w:lang w:val="zh-CN"/>
                </w:rPr>
                <w:t xml:space="preserve"> /</w:t>
              </w:r>
            </w:ins>
            <w:r>
              <w:rPr>
                <w:rFonts w:hint="eastAsia"/>
                <w:color w:val="auto"/>
                <w:sz w:val="21"/>
                <w:szCs w:val="21"/>
                <w:u w:val="single"/>
                <w:lang w:val="en-US" w:eastAsia="zh-CN"/>
              </w:rPr>
              <w:t>22</w:t>
            </w:r>
          </w:p>
          <w:customXmlInsRangeStart w:id="15" w:author="Li, Yichen3" w:date="2023-11-23T13:49:00Z"/>
        </w:sdtContent>
      </w:sdt>
      <w:customXmlInsRangeEnd w:id="15"/>
      <w:customXmlInsRangeStart w:id="16" w:author="Li, Yichen3" w:date="2023-11-23T13:49:00Z"/>
    </w:sdtContent>
  </w:sdt>
  <w:customXmlInsRangeEnd w:id="16"/>
  <w:p>
    <w:pPr>
      <w:rPr>
        <w:rFonts w:eastAsia="方正楷体简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pPr>
  </w:p>
  <w:p>
    <w:pPr>
      <w:pStyle w:val="10"/>
      <w:wordWrap w:val="0"/>
      <w:jc w:val="right"/>
      <w:rPr>
        <w:rFonts w:ascii="楷体_GB2312" w:eastAsia="楷体_GB2312"/>
        <w:sz w:val="21"/>
        <w:szCs w:val="21"/>
      </w:rPr>
    </w:pPr>
    <w:r>
      <w:rPr>
        <w:rFonts w:hint="eastAsia"/>
      </w:rPr>
      <w:t xml:space="preserve">                                                   </w:t>
    </w:r>
    <w:r>
      <w:rPr>
        <w:sz w:val="21"/>
        <w:szCs w:val="21"/>
      </w:rPr>
      <w:t xml:space="preserve">    </w:t>
    </w:r>
    <w:r>
      <w:rPr>
        <w:rFonts w:hint="eastAsia" w:ascii="楷体_GB2312" w:eastAsia="楷体_GB2312"/>
        <w:sz w:val="21"/>
        <w:szCs w:val="21"/>
      </w:rPr>
      <w:t>合同号：</w:t>
    </w:r>
    <w:r>
      <w:rPr>
        <w:rFonts w:hint="eastAsia" w:ascii="楷体_GB2312" w:eastAsia="楷体_GB2312"/>
        <w:sz w:val="21"/>
        <w:szCs w:val="21"/>
        <w:lang w:val="en-US" w:eastAsia="zh-CN"/>
      </w:rPr>
      <w:t>XXXXXXXXXXXXXXX</w:t>
    </w:r>
    <w:r>
      <w:rPr>
        <w:rFonts w:ascii="楷体_GB2312" w:eastAsia="楷体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F7D3A"/>
    <w:multiLevelType w:val="singleLevel"/>
    <w:tmpl w:val="98CF7D3A"/>
    <w:lvl w:ilvl="0" w:tentative="0">
      <w:start w:val="1"/>
      <w:numFmt w:val="decimal"/>
      <w:suff w:val="space"/>
      <w:lvlText w:val="(%1)"/>
      <w:lvlJc w:val="left"/>
    </w:lvl>
  </w:abstractNum>
  <w:abstractNum w:abstractNumId="1">
    <w:nsid w:val="A89C0954"/>
    <w:multiLevelType w:val="multilevel"/>
    <w:tmpl w:val="A89C0954"/>
    <w:lvl w:ilvl="0" w:tentative="0">
      <w:start w:val="1"/>
      <w:numFmt w:val="decimal"/>
      <w:lvlText w:val="3.%1"/>
      <w:lvlJc w:val="left"/>
      <w:pPr>
        <w:ind w:left="425" w:hanging="425"/>
      </w:pPr>
      <w:rPr>
        <w:rFonts w:hint="default" w:ascii="宋体" w:hAnsi="宋体" w:eastAsia="宋体" w:cs="宋体"/>
        <w:sz w:val="24"/>
      </w:rPr>
    </w:lvl>
    <w:lvl w:ilvl="1" w:tentative="0">
      <w:start w:val="1"/>
      <w:numFmt w:val="decimal"/>
      <w:lvlText w:val="%1.%2"/>
      <w:lvlJc w:val="left"/>
      <w:pPr>
        <w:ind w:left="992" w:hanging="567"/>
      </w:pPr>
      <w:rPr>
        <w:rFonts w:hint="default" w:ascii="宋体" w:hAnsi="宋体" w:eastAsia="宋体" w:cs="宋体"/>
      </w:rPr>
    </w:lvl>
    <w:lvl w:ilvl="2" w:tentative="0">
      <w:start w:val="1"/>
      <w:numFmt w:val="decimal"/>
      <w:lvlText w:val="%1.%2.%3"/>
      <w:lvlJc w:val="left"/>
      <w:pPr>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E53C320C"/>
    <w:multiLevelType w:val="multilevel"/>
    <w:tmpl w:val="E53C320C"/>
    <w:lvl w:ilvl="0" w:tentative="0">
      <w:start w:val="1"/>
      <w:numFmt w:val="decimal"/>
      <w:lvlText w:val="20.%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44D2367"/>
    <w:multiLevelType w:val="multilevel"/>
    <w:tmpl w:val="044D23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6379E79"/>
    <w:multiLevelType w:val="multilevel"/>
    <w:tmpl w:val="06379E79"/>
    <w:lvl w:ilvl="0" w:tentative="0">
      <w:start w:val="1"/>
      <w:numFmt w:val="decimal"/>
      <w:lvlText w:val="2.%1"/>
      <w:lvlJc w:val="left"/>
      <w:pPr>
        <w:ind w:left="425" w:hanging="425"/>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7FE3D1D"/>
    <w:multiLevelType w:val="multilevel"/>
    <w:tmpl w:val="07FE3D1D"/>
    <w:lvl w:ilvl="0" w:tentative="0">
      <w:start w:val="1"/>
      <w:numFmt w:val="decimal"/>
      <w:lvlText w:val="24.%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A15007F"/>
    <w:multiLevelType w:val="multilevel"/>
    <w:tmpl w:val="0A15007F"/>
    <w:lvl w:ilvl="0" w:tentative="0">
      <w:start w:val="1"/>
      <w:numFmt w:val="decimal"/>
      <w:lvlText w:val="23.%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C170FD6"/>
    <w:multiLevelType w:val="multilevel"/>
    <w:tmpl w:val="0C170FD6"/>
    <w:lvl w:ilvl="0" w:tentative="0">
      <w:start w:val="1"/>
      <w:numFmt w:val="decimal"/>
      <w:lvlText w:val="13.%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D7E4736"/>
    <w:multiLevelType w:val="multilevel"/>
    <w:tmpl w:val="0D7E4736"/>
    <w:lvl w:ilvl="0" w:tentative="0">
      <w:start w:val="1"/>
      <w:numFmt w:val="decimal"/>
      <w:lvlText w:val="7.%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2352274"/>
    <w:multiLevelType w:val="multilevel"/>
    <w:tmpl w:val="12352274"/>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9B033E8"/>
    <w:multiLevelType w:val="multilevel"/>
    <w:tmpl w:val="19B033E8"/>
    <w:lvl w:ilvl="0" w:tentative="0">
      <w:start w:val="1"/>
      <w:numFmt w:val="decimal"/>
      <w:lvlText w:val="4.%1"/>
      <w:lvlJc w:val="left"/>
      <w:pPr>
        <w:ind w:left="425" w:hanging="425"/>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28087B8B"/>
    <w:multiLevelType w:val="multilevel"/>
    <w:tmpl w:val="28087B8B"/>
    <w:lvl w:ilvl="0" w:tentative="0">
      <w:start w:val="1"/>
      <w:numFmt w:val="lowerLetter"/>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2">
    <w:nsid w:val="28C82F16"/>
    <w:multiLevelType w:val="multilevel"/>
    <w:tmpl w:val="28C82F16"/>
    <w:lvl w:ilvl="0" w:tentative="0">
      <w:start w:val="1"/>
      <w:numFmt w:val="decimal"/>
      <w:lvlText w:val="1.%1"/>
      <w:lvlJc w:val="left"/>
      <w:pPr>
        <w:ind w:left="425" w:hanging="425"/>
      </w:pPr>
      <w:rPr>
        <w:rFonts w:hint="default" w:ascii="Times New Roman" w:hAnsi="Times New Roman"/>
        <w:color w:val="auto"/>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290F53F1"/>
    <w:multiLevelType w:val="multilevel"/>
    <w:tmpl w:val="290F53F1"/>
    <w:lvl w:ilvl="0" w:tentative="0">
      <w:start w:val="1"/>
      <w:numFmt w:val="decimal"/>
      <w:lvlText w:val="5.%1"/>
      <w:lvlJc w:val="left"/>
      <w:pPr>
        <w:ind w:left="425" w:hanging="425"/>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2E912890"/>
    <w:multiLevelType w:val="multilevel"/>
    <w:tmpl w:val="2E912890"/>
    <w:lvl w:ilvl="0" w:tentative="0">
      <w:start w:val="1"/>
      <w:numFmt w:val="decimal"/>
      <w:lvlText w:val="19.%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31182819"/>
    <w:multiLevelType w:val="multilevel"/>
    <w:tmpl w:val="31182819"/>
    <w:lvl w:ilvl="0" w:tentative="0">
      <w:start w:val="1"/>
      <w:numFmt w:val="decimal"/>
      <w:lvlText w:val="16.%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387768FB"/>
    <w:multiLevelType w:val="multilevel"/>
    <w:tmpl w:val="387768FB"/>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17">
    <w:nsid w:val="3F46185D"/>
    <w:multiLevelType w:val="multilevel"/>
    <w:tmpl w:val="3F46185D"/>
    <w:lvl w:ilvl="0" w:tentative="0">
      <w:start w:val="1"/>
      <w:numFmt w:val="decimal"/>
      <w:lvlText w:val="8.%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2697F45"/>
    <w:multiLevelType w:val="multilevel"/>
    <w:tmpl w:val="42697F45"/>
    <w:lvl w:ilvl="0" w:tentative="0">
      <w:start w:val="1"/>
      <w:numFmt w:val="decimal"/>
      <w:lvlText w:val="15.%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85C2E96"/>
    <w:multiLevelType w:val="multilevel"/>
    <w:tmpl w:val="485C2E96"/>
    <w:lvl w:ilvl="0" w:tentative="0">
      <w:start w:val="1"/>
      <w:numFmt w:val="chineseCountingThousand"/>
      <w:lvlText w:val="第%1条"/>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E6132F4"/>
    <w:multiLevelType w:val="multilevel"/>
    <w:tmpl w:val="4E6132F4"/>
    <w:lvl w:ilvl="0" w:tentative="0">
      <w:start w:val="1"/>
      <w:numFmt w:val="decimal"/>
      <w:lvlText w:val="21.%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519463F5"/>
    <w:multiLevelType w:val="multilevel"/>
    <w:tmpl w:val="519463F5"/>
    <w:lvl w:ilvl="0" w:tentative="0">
      <w:start w:val="1"/>
      <w:numFmt w:val="decimal"/>
      <w:lvlText w:val="6.%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5711659"/>
    <w:multiLevelType w:val="multilevel"/>
    <w:tmpl w:val="55711659"/>
    <w:lvl w:ilvl="0" w:tentative="0">
      <w:start w:val="1"/>
      <w:numFmt w:val="decimal"/>
      <w:lvlText w:val="14.%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C23D0EC"/>
    <w:multiLevelType w:val="singleLevel"/>
    <w:tmpl w:val="5C23D0EC"/>
    <w:lvl w:ilvl="0" w:tentative="0">
      <w:start w:val="1"/>
      <w:numFmt w:val="decimal"/>
      <w:suff w:val="space"/>
      <w:lvlText w:val="(%1)"/>
      <w:lvlJc w:val="left"/>
    </w:lvl>
  </w:abstractNum>
  <w:abstractNum w:abstractNumId="24">
    <w:nsid w:val="62257693"/>
    <w:multiLevelType w:val="multilevel"/>
    <w:tmpl w:val="62257693"/>
    <w:lvl w:ilvl="0" w:tentative="0">
      <w:start w:val="1"/>
      <w:numFmt w:val="decimal"/>
      <w:lvlText w:val="17.%1"/>
      <w:lvlJc w:val="left"/>
      <w:pPr>
        <w:ind w:left="420" w:hanging="420"/>
      </w:pPr>
      <w:rPr>
        <w:rFonts w:hint="default" w:ascii="Times New Roman" w:hAnsi="Times New Roman" w:cs="Times New Roman"/>
        <w:b w:val="0"/>
        <w:bCs w:val="0"/>
        <w:i w:val="0"/>
        <w:iCs w:val="0"/>
        <w:strike w:val="0"/>
        <w:dstrike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9AB0083"/>
    <w:multiLevelType w:val="multilevel"/>
    <w:tmpl w:val="69AB0083"/>
    <w:lvl w:ilvl="0" w:tentative="0">
      <w:start w:val="1"/>
      <w:numFmt w:val="decimal"/>
      <w:lvlText w:val="18.%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725B5612"/>
    <w:multiLevelType w:val="multilevel"/>
    <w:tmpl w:val="725B5612"/>
    <w:lvl w:ilvl="0" w:tentative="0">
      <w:start w:val="1"/>
      <w:numFmt w:val="decimal"/>
      <w:lvlText w:val="12.%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72A62AB9"/>
    <w:multiLevelType w:val="multilevel"/>
    <w:tmpl w:val="72A62AB9"/>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28">
    <w:nsid w:val="73927A22"/>
    <w:multiLevelType w:val="multilevel"/>
    <w:tmpl w:val="73927A22"/>
    <w:lvl w:ilvl="0" w:tentative="0">
      <w:start w:val="1"/>
      <w:numFmt w:val="decimal"/>
      <w:lvlText w:val="9.%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74786FD9"/>
    <w:multiLevelType w:val="multilevel"/>
    <w:tmpl w:val="74786FD9"/>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30">
    <w:nsid w:val="761731AB"/>
    <w:multiLevelType w:val="multilevel"/>
    <w:tmpl w:val="761731AB"/>
    <w:lvl w:ilvl="0" w:tentative="0">
      <w:start w:val="1"/>
      <w:numFmt w:val="decimal"/>
      <w:lvlText w:val="8.2.%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790A3410"/>
    <w:multiLevelType w:val="multilevel"/>
    <w:tmpl w:val="790A3410"/>
    <w:lvl w:ilvl="0" w:tentative="0">
      <w:start w:val="1"/>
      <w:numFmt w:val="decimal"/>
      <w:lvlText w:val="10.%1"/>
      <w:lvlJc w:val="left"/>
      <w:pPr>
        <w:ind w:left="567" w:hanging="567"/>
      </w:pPr>
      <w:rPr>
        <w:rFonts w:hint="default" w:ascii="Times New Roman" w:hAnsi="Times New Roman"/>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7A57321B"/>
    <w:multiLevelType w:val="multilevel"/>
    <w:tmpl w:val="7A57321B"/>
    <w:lvl w:ilvl="0" w:tentative="0">
      <w:start w:val="10"/>
      <w:numFmt w:val="decimal"/>
      <w:lvlText w:val="%1"/>
      <w:lvlJc w:val="left"/>
      <w:pPr>
        <w:tabs>
          <w:tab w:val="left" w:pos="420"/>
        </w:tabs>
        <w:ind w:left="420" w:hanging="420"/>
      </w:pPr>
    </w:lvl>
    <w:lvl w:ilvl="1" w:tentative="0">
      <w:start w:val="1"/>
      <w:numFmt w:val="decimal"/>
      <w:lvlText w:val="11.%2"/>
      <w:lvlJc w:val="left"/>
      <w:pPr>
        <w:tabs>
          <w:tab w:val="left" w:pos="420"/>
        </w:tabs>
        <w:ind w:left="420" w:hanging="420"/>
      </w:pPr>
      <w:rPr>
        <w:rFonts w:hint="default" w:ascii="Times New Roman" w:hAnsi="Times New Roman" w:eastAsia="宋体" w:cs="Times New Roman"/>
        <w:b w:val="0"/>
        <w:i w:val="0"/>
        <w:color w:val="auto"/>
        <w:sz w:val="24"/>
        <w:szCs w:val="24"/>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33">
    <w:nsid w:val="7C632751"/>
    <w:multiLevelType w:val="multilevel"/>
    <w:tmpl w:val="7C632751"/>
    <w:lvl w:ilvl="0" w:tentative="0">
      <w:start w:val="1"/>
      <w:numFmt w:val="decimal"/>
      <w:lvlText w:val="22.%1"/>
      <w:lvlJc w:val="left"/>
      <w:pPr>
        <w:tabs>
          <w:tab w:val="left" w:pos="0"/>
        </w:tabs>
        <w:ind w:left="0" w:firstLine="0"/>
      </w:pPr>
      <w:rPr>
        <w:rFonts w:hint="default" w:ascii="Times New Roman" w:hAnsi="Times New Roman" w:cs="宋体"/>
        <w:b w:val="0"/>
        <w:i w:val="0"/>
        <w:color w:val="auto"/>
        <w:sz w:val="24"/>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9"/>
  </w:num>
  <w:num w:numId="2">
    <w:abstractNumId w:val="12"/>
  </w:num>
  <w:num w:numId="3">
    <w:abstractNumId w:val="4"/>
  </w:num>
  <w:num w:numId="4">
    <w:abstractNumId w:val="1"/>
  </w:num>
  <w:num w:numId="5">
    <w:abstractNumId w:val="10"/>
  </w:num>
  <w:num w:numId="6">
    <w:abstractNumId w:val="13"/>
  </w:num>
  <w:num w:numId="7">
    <w:abstractNumId w:val="21"/>
  </w:num>
  <w:num w:numId="8">
    <w:abstractNumId w:val="23"/>
  </w:num>
  <w:num w:numId="9">
    <w:abstractNumId w:val="8"/>
  </w:num>
  <w:num w:numId="10">
    <w:abstractNumId w:val="17"/>
  </w:num>
  <w:num w:numId="11">
    <w:abstractNumId w:val="30"/>
  </w:num>
  <w:num w:numId="12">
    <w:abstractNumId w:val="28"/>
  </w:num>
  <w:num w:numId="13">
    <w:abstractNumId w:val="31"/>
  </w:num>
  <w:num w:numId="14">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7"/>
  </w:num>
  <w:num w:numId="17">
    <w:abstractNumId w:val="9"/>
  </w:num>
  <w:num w:numId="18">
    <w:abstractNumId w:val="11"/>
  </w:num>
  <w:num w:numId="19">
    <w:abstractNumId w:val="22"/>
  </w:num>
  <w:num w:numId="20">
    <w:abstractNumId w:val="18"/>
  </w:num>
  <w:num w:numId="21">
    <w:abstractNumId w:val="15"/>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0"/>
  </w:num>
  <w:num w:numId="25">
    <w:abstractNumId w:val="14"/>
  </w:num>
  <w:num w:numId="26">
    <w:abstractNumId w:val="29"/>
  </w:num>
  <w:num w:numId="27">
    <w:abstractNumId w:val="16"/>
  </w:num>
  <w:num w:numId="28">
    <w:abstractNumId w:val="27"/>
  </w:num>
  <w:num w:numId="29">
    <w:abstractNumId w:val="2"/>
  </w:num>
  <w:num w:numId="30">
    <w:abstractNumId w:val="20"/>
  </w:num>
  <w:num w:numId="31">
    <w:abstractNumId w:val="33"/>
  </w:num>
  <w:num w:numId="32">
    <w:abstractNumId w:val="6"/>
  </w:num>
  <w:num w:numId="33">
    <w:abstractNumId w:val="5"/>
  </w:num>
  <w:num w:numId="3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Yichen3">
    <w15:presenceInfo w15:providerId="AD" w15:userId="S-1-5-21-1294404594-4172486601-282865058-118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C5"/>
    <w:rsid w:val="000004CA"/>
    <w:rsid w:val="0000746E"/>
    <w:rsid w:val="00011A37"/>
    <w:rsid w:val="0001231F"/>
    <w:rsid w:val="000126B1"/>
    <w:rsid w:val="00021724"/>
    <w:rsid w:val="00024F31"/>
    <w:rsid w:val="00025522"/>
    <w:rsid w:val="000311D0"/>
    <w:rsid w:val="000344D4"/>
    <w:rsid w:val="00034D15"/>
    <w:rsid w:val="00036136"/>
    <w:rsid w:val="000374EF"/>
    <w:rsid w:val="00041EC5"/>
    <w:rsid w:val="0004298B"/>
    <w:rsid w:val="000438D2"/>
    <w:rsid w:val="00045342"/>
    <w:rsid w:val="00050A97"/>
    <w:rsid w:val="00051436"/>
    <w:rsid w:val="0005563E"/>
    <w:rsid w:val="000561C3"/>
    <w:rsid w:val="00056767"/>
    <w:rsid w:val="00063F1E"/>
    <w:rsid w:val="00064D4E"/>
    <w:rsid w:val="00065D95"/>
    <w:rsid w:val="00071421"/>
    <w:rsid w:val="00071C4C"/>
    <w:rsid w:val="0007219B"/>
    <w:rsid w:val="00072A7C"/>
    <w:rsid w:val="0007477B"/>
    <w:rsid w:val="0007489B"/>
    <w:rsid w:val="00074ACC"/>
    <w:rsid w:val="00074E04"/>
    <w:rsid w:val="00074E88"/>
    <w:rsid w:val="00074EF8"/>
    <w:rsid w:val="00075F2E"/>
    <w:rsid w:val="00080625"/>
    <w:rsid w:val="00081EDF"/>
    <w:rsid w:val="00084516"/>
    <w:rsid w:val="00085D23"/>
    <w:rsid w:val="00087715"/>
    <w:rsid w:val="00090B99"/>
    <w:rsid w:val="00091849"/>
    <w:rsid w:val="00091ECA"/>
    <w:rsid w:val="00094894"/>
    <w:rsid w:val="000964EB"/>
    <w:rsid w:val="00097065"/>
    <w:rsid w:val="000A0F3D"/>
    <w:rsid w:val="000B097F"/>
    <w:rsid w:val="000B415D"/>
    <w:rsid w:val="000C566B"/>
    <w:rsid w:val="000C6008"/>
    <w:rsid w:val="000D4993"/>
    <w:rsid w:val="000D684F"/>
    <w:rsid w:val="000D6C37"/>
    <w:rsid w:val="000E2CEE"/>
    <w:rsid w:val="000E3D15"/>
    <w:rsid w:val="000E41D9"/>
    <w:rsid w:val="000E4DD0"/>
    <w:rsid w:val="000F0382"/>
    <w:rsid w:val="000F06B4"/>
    <w:rsid w:val="000F6398"/>
    <w:rsid w:val="001009E9"/>
    <w:rsid w:val="00101B25"/>
    <w:rsid w:val="00104574"/>
    <w:rsid w:val="00107133"/>
    <w:rsid w:val="00107A94"/>
    <w:rsid w:val="001114E4"/>
    <w:rsid w:val="00113BD5"/>
    <w:rsid w:val="001151FA"/>
    <w:rsid w:val="00115A76"/>
    <w:rsid w:val="00120F4A"/>
    <w:rsid w:val="00122CDF"/>
    <w:rsid w:val="00124C91"/>
    <w:rsid w:val="001260BF"/>
    <w:rsid w:val="00133F36"/>
    <w:rsid w:val="0013597E"/>
    <w:rsid w:val="00136593"/>
    <w:rsid w:val="001404E3"/>
    <w:rsid w:val="001413D9"/>
    <w:rsid w:val="001440FD"/>
    <w:rsid w:val="00147D03"/>
    <w:rsid w:val="001552C0"/>
    <w:rsid w:val="00155B2C"/>
    <w:rsid w:val="00170195"/>
    <w:rsid w:val="00172E29"/>
    <w:rsid w:val="00173A68"/>
    <w:rsid w:val="00174A69"/>
    <w:rsid w:val="00191235"/>
    <w:rsid w:val="00192633"/>
    <w:rsid w:val="0019388A"/>
    <w:rsid w:val="001967AC"/>
    <w:rsid w:val="001A004F"/>
    <w:rsid w:val="001A099A"/>
    <w:rsid w:val="001A1D20"/>
    <w:rsid w:val="001A1EB5"/>
    <w:rsid w:val="001A2063"/>
    <w:rsid w:val="001A4ED7"/>
    <w:rsid w:val="001A6808"/>
    <w:rsid w:val="001A7F93"/>
    <w:rsid w:val="001B0F0E"/>
    <w:rsid w:val="001B118F"/>
    <w:rsid w:val="001B44C4"/>
    <w:rsid w:val="001B4869"/>
    <w:rsid w:val="001B582E"/>
    <w:rsid w:val="001B5FFC"/>
    <w:rsid w:val="001B6B7F"/>
    <w:rsid w:val="001B736E"/>
    <w:rsid w:val="001C03EE"/>
    <w:rsid w:val="001C2ADA"/>
    <w:rsid w:val="001C3E1F"/>
    <w:rsid w:val="001C44D7"/>
    <w:rsid w:val="001C50BC"/>
    <w:rsid w:val="001C6841"/>
    <w:rsid w:val="001C7B92"/>
    <w:rsid w:val="001D0D74"/>
    <w:rsid w:val="001D218F"/>
    <w:rsid w:val="001D338E"/>
    <w:rsid w:val="001D5AD3"/>
    <w:rsid w:val="001E0066"/>
    <w:rsid w:val="001E1617"/>
    <w:rsid w:val="001E1D00"/>
    <w:rsid w:val="001E543D"/>
    <w:rsid w:val="001E62A7"/>
    <w:rsid w:val="001E7E55"/>
    <w:rsid w:val="001E7FE8"/>
    <w:rsid w:val="001F0836"/>
    <w:rsid w:val="001F203E"/>
    <w:rsid w:val="001F60D9"/>
    <w:rsid w:val="002065C2"/>
    <w:rsid w:val="0020742B"/>
    <w:rsid w:val="002166BA"/>
    <w:rsid w:val="00217AC9"/>
    <w:rsid w:val="00217B46"/>
    <w:rsid w:val="0022043D"/>
    <w:rsid w:val="002230FD"/>
    <w:rsid w:val="00230BA4"/>
    <w:rsid w:val="00235C25"/>
    <w:rsid w:val="00240046"/>
    <w:rsid w:val="002507AF"/>
    <w:rsid w:val="002510F4"/>
    <w:rsid w:val="0025128F"/>
    <w:rsid w:val="002533F9"/>
    <w:rsid w:val="00257892"/>
    <w:rsid w:val="00260F01"/>
    <w:rsid w:val="0026239D"/>
    <w:rsid w:val="00265C17"/>
    <w:rsid w:val="00266BC6"/>
    <w:rsid w:val="002727E2"/>
    <w:rsid w:val="00297335"/>
    <w:rsid w:val="002975FC"/>
    <w:rsid w:val="002A06F5"/>
    <w:rsid w:val="002A11AF"/>
    <w:rsid w:val="002A1902"/>
    <w:rsid w:val="002A4136"/>
    <w:rsid w:val="002B25C7"/>
    <w:rsid w:val="002B619B"/>
    <w:rsid w:val="002B66D6"/>
    <w:rsid w:val="002B77F1"/>
    <w:rsid w:val="002C1612"/>
    <w:rsid w:val="002C53D4"/>
    <w:rsid w:val="002C6F47"/>
    <w:rsid w:val="002C7138"/>
    <w:rsid w:val="002D1243"/>
    <w:rsid w:val="002D44E3"/>
    <w:rsid w:val="002D55E5"/>
    <w:rsid w:val="002D6968"/>
    <w:rsid w:val="002E2721"/>
    <w:rsid w:val="002E6F77"/>
    <w:rsid w:val="002F01E5"/>
    <w:rsid w:val="002F0C2F"/>
    <w:rsid w:val="002F2A10"/>
    <w:rsid w:val="002F2DAC"/>
    <w:rsid w:val="002F5AA7"/>
    <w:rsid w:val="00301918"/>
    <w:rsid w:val="00303F0E"/>
    <w:rsid w:val="00313C71"/>
    <w:rsid w:val="00316BC9"/>
    <w:rsid w:val="00317C42"/>
    <w:rsid w:val="0032300C"/>
    <w:rsid w:val="0032384C"/>
    <w:rsid w:val="00325DE4"/>
    <w:rsid w:val="00333F7D"/>
    <w:rsid w:val="0033528A"/>
    <w:rsid w:val="003403C6"/>
    <w:rsid w:val="00343227"/>
    <w:rsid w:val="00343595"/>
    <w:rsid w:val="0034391B"/>
    <w:rsid w:val="00344E0E"/>
    <w:rsid w:val="003529F8"/>
    <w:rsid w:val="00353D85"/>
    <w:rsid w:val="003542ED"/>
    <w:rsid w:val="003550EC"/>
    <w:rsid w:val="003747D7"/>
    <w:rsid w:val="00374FC2"/>
    <w:rsid w:val="003762D1"/>
    <w:rsid w:val="00377A83"/>
    <w:rsid w:val="0038136A"/>
    <w:rsid w:val="0038197E"/>
    <w:rsid w:val="00382AF1"/>
    <w:rsid w:val="003848EF"/>
    <w:rsid w:val="00385DA5"/>
    <w:rsid w:val="00386520"/>
    <w:rsid w:val="003875C3"/>
    <w:rsid w:val="0039491F"/>
    <w:rsid w:val="003A1A44"/>
    <w:rsid w:val="003A245D"/>
    <w:rsid w:val="003A5A0E"/>
    <w:rsid w:val="003A6CBB"/>
    <w:rsid w:val="003A73C7"/>
    <w:rsid w:val="003B7989"/>
    <w:rsid w:val="003C2E41"/>
    <w:rsid w:val="003C65CD"/>
    <w:rsid w:val="003C6B20"/>
    <w:rsid w:val="003C7DE5"/>
    <w:rsid w:val="003D0607"/>
    <w:rsid w:val="003D11D7"/>
    <w:rsid w:val="003D1B57"/>
    <w:rsid w:val="003D2C73"/>
    <w:rsid w:val="003D2F35"/>
    <w:rsid w:val="003D5BE0"/>
    <w:rsid w:val="003D606A"/>
    <w:rsid w:val="003D7960"/>
    <w:rsid w:val="003E3124"/>
    <w:rsid w:val="003E38D7"/>
    <w:rsid w:val="003E4418"/>
    <w:rsid w:val="003E5E6E"/>
    <w:rsid w:val="003E5ED4"/>
    <w:rsid w:val="003E6BB1"/>
    <w:rsid w:val="003F0397"/>
    <w:rsid w:val="003F1A4C"/>
    <w:rsid w:val="003F1DFF"/>
    <w:rsid w:val="003F4B83"/>
    <w:rsid w:val="003F52E7"/>
    <w:rsid w:val="003F5E10"/>
    <w:rsid w:val="00400D54"/>
    <w:rsid w:val="00401370"/>
    <w:rsid w:val="00403D6F"/>
    <w:rsid w:val="004108EB"/>
    <w:rsid w:val="00413BDE"/>
    <w:rsid w:val="004169E1"/>
    <w:rsid w:val="0042169C"/>
    <w:rsid w:val="0042193E"/>
    <w:rsid w:val="00423C4B"/>
    <w:rsid w:val="00423C8F"/>
    <w:rsid w:val="00424DF7"/>
    <w:rsid w:val="00426508"/>
    <w:rsid w:val="00426C6A"/>
    <w:rsid w:val="004314FE"/>
    <w:rsid w:val="00432F2D"/>
    <w:rsid w:val="00433AFB"/>
    <w:rsid w:val="00434EB7"/>
    <w:rsid w:val="004432D9"/>
    <w:rsid w:val="00443872"/>
    <w:rsid w:val="004454D6"/>
    <w:rsid w:val="00445E3A"/>
    <w:rsid w:val="00452D93"/>
    <w:rsid w:val="00453DA7"/>
    <w:rsid w:val="004720B1"/>
    <w:rsid w:val="00472F2D"/>
    <w:rsid w:val="00476F3D"/>
    <w:rsid w:val="00480D8E"/>
    <w:rsid w:val="0048734F"/>
    <w:rsid w:val="00490EED"/>
    <w:rsid w:val="00493B8A"/>
    <w:rsid w:val="004A01EA"/>
    <w:rsid w:val="004A038C"/>
    <w:rsid w:val="004A297B"/>
    <w:rsid w:val="004A560F"/>
    <w:rsid w:val="004A7547"/>
    <w:rsid w:val="004B04E4"/>
    <w:rsid w:val="004B332F"/>
    <w:rsid w:val="004B538A"/>
    <w:rsid w:val="004B540B"/>
    <w:rsid w:val="004C12D7"/>
    <w:rsid w:val="004C3664"/>
    <w:rsid w:val="004C3E62"/>
    <w:rsid w:val="004C411D"/>
    <w:rsid w:val="004C4FAA"/>
    <w:rsid w:val="004C5FE5"/>
    <w:rsid w:val="004C68E6"/>
    <w:rsid w:val="004D41DB"/>
    <w:rsid w:val="004D69C6"/>
    <w:rsid w:val="004D7AA4"/>
    <w:rsid w:val="004E1FB4"/>
    <w:rsid w:val="004E2882"/>
    <w:rsid w:val="004E6815"/>
    <w:rsid w:val="004F1644"/>
    <w:rsid w:val="004F6248"/>
    <w:rsid w:val="004F75FC"/>
    <w:rsid w:val="005009AF"/>
    <w:rsid w:val="005016AB"/>
    <w:rsid w:val="00505CBB"/>
    <w:rsid w:val="005102E0"/>
    <w:rsid w:val="00515858"/>
    <w:rsid w:val="005203D9"/>
    <w:rsid w:val="00521CF7"/>
    <w:rsid w:val="00523B78"/>
    <w:rsid w:val="0052674D"/>
    <w:rsid w:val="00527319"/>
    <w:rsid w:val="00530A11"/>
    <w:rsid w:val="00537B06"/>
    <w:rsid w:val="0054121C"/>
    <w:rsid w:val="0054171C"/>
    <w:rsid w:val="005450D6"/>
    <w:rsid w:val="005528AF"/>
    <w:rsid w:val="005529AD"/>
    <w:rsid w:val="00553FD1"/>
    <w:rsid w:val="005546D4"/>
    <w:rsid w:val="00557B92"/>
    <w:rsid w:val="0056067C"/>
    <w:rsid w:val="00561558"/>
    <w:rsid w:val="00561D22"/>
    <w:rsid w:val="00561FEE"/>
    <w:rsid w:val="00563AD5"/>
    <w:rsid w:val="00571277"/>
    <w:rsid w:val="00571302"/>
    <w:rsid w:val="00572285"/>
    <w:rsid w:val="005731DB"/>
    <w:rsid w:val="00576379"/>
    <w:rsid w:val="00576BB2"/>
    <w:rsid w:val="00581E23"/>
    <w:rsid w:val="00585159"/>
    <w:rsid w:val="005872A2"/>
    <w:rsid w:val="00587A66"/>
    <w:rsid w:val="005A132E"/>
    <w:rsid w:val="005A2EEE"/>
    <w:rsid w:val="005A7316"/>
    <w:rsid w:val="005B1665"/>
    <w:rsid w:val="005B227B"/>
    <w:rsid w:val="005B2999"/>
    <w:rsid w:val="005B319D"/>
    <w:rsid w:val="005B39C1"/>
    <w:rsid w:val="005B3ABA"/>
    <w:rsid w:val="005B43A0"/>
    <w:rsid w:val="005B4949"/>
    <w:rsid w:val="005B54EE"/>
    <w:rsid w:val="005B562B"/>
    <w:rsid w:val="005B5EDF"/>
    <w:rsid w:val="005B63A2"/>
    <w:rsid w:val="005C46E7"/>
    <w:rsid w:val="005C4E77"/>
    <w:rsid w:val="005C6389"/>
    <w:rsid w:val="005C6E17"/>
    <w:rsid w:val="005C7B6B"/>
    <w:rsid w:val="005D1D4D"/>
    <w:rsid w:val="005D3D8D"/>
    <w:rsid w:val="005D4149"/>
    <w:rsid w:val="005D4882"/>
    <w:rsid w:val="005D66C2"/>
    <w:rsid w:val="005E24AC"/>
    <w:rsid w:val="005E269F"/>
    <w:rsid w:val="005E48C4"/>
    <w:rsid w:val="005E6CB7"/>
    <w:rsid w:val="005F7EB2"/>
    <w:rsid w:val="00604AD9"/>
    <w:rsid w:val="0060688C"/>
    <w:rsid w:val="00617273"/>
    <w:rsid w:val="00620890"/>
    <w:rsid w:val="00620DA2"/>
    <w:rsid w:val="00623912"/>
    <w:rsid w:val="006247D3"/>
    <w:rsid w:val="00626DF9"/>
    <w:rsid w:val="00627CE9"/>
    <w:rsid w:val="00627EE7"/>
    <w:rsid w:val="006319EC"/>
    <w:rsid w:val="006434B6"/>
    <w:rsid w:val="00643E01"/>
    <w:rsid w:val="00646227"/>
    <w:rsid w:val="00651EAE"/>
    <w:rsid w:val="006535D7"/>
    <w:rsid w:val="006567F2"/>
    <w:rsid w:val="00664F8B"/>
    <w:rsid w:val="006664D2"/>
    <w:rsid w:val="00670300"/>
    <w:rsid w:val="0068030E"/>
    <w:rsid w:val="00684F4D"/>
    <w:rsid w:val="00684F72"/>
    <w:rsid w:val="00685BE0"/>
    <w:rsid w:val="00686CF8"/>
    <w:rsid w:val="0069295E"/>
    <w:rsid w:val="00695835"/>
    <w:rsid w:val="00695ADD"/>
    <w:rsid w:val="006966BD"/>
    <w:rsid w:val="006967B2"/>
    <w:rsid w:val="006A151B"/>
    <w:rsid w:val="006A2FCE"/>
    <w:rsid w:val="006A6617"/>
    <w:rsid w:val="006B2131"/>
    <w:rsid w:val="006B3F00"/>
    <w:rsid w:val="006B568D"/>
    <w:rsid w:val="006B58C3"/>
    <w:rsid w:val="006B7405"/>
    <w:rsid w:val="006C24DC"/>
    <w:rsid w:val="006C33ED"/>
    <w:rsid w:val="006C5349"/>
    <w:rsid w:val="006C7745"/>
    <w:rsid w:val="006D26EF"/>
    <w:rsid w:val="006D6A4F"/>
    <w:rsid w:val="006D7486"/>
    <w:rsid w:val="006E0C27"/>
    <w:rsid w:val="006F4DCA"/>
    <w:rsid w:val="00703506"/>
    <w:rsid w:val="00703997"/>
    <w:rsid w:val="0070430D"/>
    <w:rsid w:val="007061DE"/>
    <w:rsid w:val="0070635D"/>
    <w:rsid w:val="007078AC"/>
    <w:rsid w:val="007106CA"/>
    <w:rsid w:val="007117AB"/>
    <w:rsid w:val="00713EC5"/>
    <w:rsid w:val="007146C6"/>
    <w:rsid w:val="00715C3C"/>
    <w:rsid w:val="00720FEA"/>
    <w:rsid w:val="00721E7D"/>
    <w:rsid w:val="0072309C"/>
    <w:rsid w:val="0072424F"/>
    <w:rsid w:val="00725F25"/>
    <w:rsid w:val="00727480"/>
    <w:rsid w:val="00727D77"/>
    <w:rsid w:val="00730A0B"/>
    <w:rsid w:val="00732963"/>
    <w:rsid w:val="00733315"/>
    <w:rsid w:val="00733829"/>
    <w:rsid w:val="00742905"/>
    <w:rsid w:val="00745A22"/>
    <w:rsid w:val="0074640D"/>
    <w:rsid w:val="00747929"/>
    <w:rsid w:val="007523FA"/>
    <w:rsid w:val="007535E5"/>
    <w:rsid w:val="00754AC5"/>
    <w:rsid w:val="0077238F"/>
    <w:rsid w:val="00772E43"/>
    <w:rsid w:val="0077326B"/>
    <w:rsid w:val="00773CBD"/>
    <w:rsid w:val="00781156"/>
    <w:rsid w:val="00783317"/>
    <w:rsid w:val="00784712"/>
    <w:rsid w:val="007849BB"/>
    <w:rsid w:val="007865C0"/>
    <w:rsid w:val="00787299"/>
    <w:rsid w:val="007901A5"/>
    <w:rsid w:val="0079071C"/>
    <w:rsid w:val="00792F96"/>
    <w:rsid w:val="00793C33"/>
    <w:rsid w:val="007946DF"/>
    <w:rsid w:val="00796DC6"/>
    <w:rsid w:val="00796EBE"/>
    <w:rsid w:val="007A1B1C"/>
    <w:rsid w:val="007A3665"/>
    <w:rsid w:val="007A3F05"/>
    <w:rsid w:val="007A48B1"/>
    <w:rsid w:val="007B03C6"/>
    <w:rsid w:val="007B7B68"/>
    <w:rsid w:val="007C177B"/>
    <w:rsid w:val="007C2EF1"/>
    <w:rsid w:val="007C3523"/>
    <w:rsid w:val="007C3CC4"/>
    <w:rsid w:val="007C5CAF"/>
    <w:rsid w:val="007D06BA"/>
    <w:rsid w:val="007E0DC8"/>
    <w:rsid w:val="007E724A"/>
    <w:rsid w:val="007F29AD"/>
    <w:rsid w:val="007F49E6"/>
    <w:rsid w:val="007F60CD"/>
    <w:rsid w:val="007F63C0"/>
    <w:rsid w:val="007F7336"/>
    <w:rsid w:val="00800477"/>
    <w:rsid w:val="0080059A"/>
    <w:rsid w:val="008015D9"/>
    <w:rsid w:val="00804D30"/>
    <w:rsid w:val="008054B7"/>
    <w:rsid w:val="0081610B"/>
    <w:rsid w:val="00822524"/>
    <w:rsid w:val="00823864"/>
    <w:rsid w:val="00823F9C"/>
    <w:rsid w:val="008240EF"/>
    <w:rsid w:val="0082435E"/>
    <w:rsid w:val="00824F0E"/>
    <w:rsid w:val="008343C6"/>
    <w:rsid w:val="00834C98"/>
    <w:rsid w:val="00845B1B"/>
    <w:rsid w:val="008532D4"/>
    <w:rsid w:val="00854175"/>
    <w:rsid w:val="00854B36"/>
    <w:rsid w:val="00856A10"/>
    <w:rsid w:val="008573B7"/>
    <w:rsid w:val="008606B8"/>
    <w:rsid w:val="008624AF"/>
    <w:rsid w:val="0086514E"/>
    <w:rsid w:val="008716AB"/>
    <w:rsid w:val="00871820"/>
    <w:rsid w:val="00871B4C"/>
    <w:rsid w:val="0087210D"/>
    <w:rsid w:val="008722DF"/>
    <w:rsid w:val="008727DD"/>
    <w:rsid w:val="00872974"/>
    <w:rsid w:val="008729E8"/>
    <w:rsid w:val="00874FAD"/>
    <w:rsid w:val="00876DF9"/>
    <w:rsid w:val="008802FC"/>
    <w:rsid w:val="00880E4B"/>
    <w:rsid w:val="00881B16"/>
    <w:rsid w:val="00883590"/>
    <w:rsid w:val="0088417B"/>
    <w:rsid w:val="0088675C"/>
    <w:rsid w:val="008870F2"/>
    <w:rsid w:val="00887C9D"/>
    <w:rsid w:val="008A0FEE"/>
    <w:rsid w:val="008A31A3"/>
    <w:rsid w:val="008A6CCA"/>
    <w:rsid w:val="008B130C"/>
    <w:rsid w:val="008B29DA"/>
    <w:rsid w:val="008B34DE"/>
    <w:rsid w:val="008B6134"/>
    <w:rsid w:val="008B62DB"/>
    <w:rsid w:val="008B7B81"/>
    <w:rsid w:val="008C04A8"/>
    <w:rsid w:val="008C30E1"/>
    <w:rsid w:val="008C4B85"/>
    <w:rsid w:val="008C7168"/>
    <w:rsid w:val="008D1456"/>
    <w:rsid w:val="008D2F87"/>
    <w:rsid w:val="008D36A1"/>
    <w:rsid w:val="008D37F9"/>
    <w:rsid w:val="008D4644"/>
    <w:rsid w:val="008D46B8"/>
    <w:rsid w:val="008D77E4"/>
    <w:rsid w:val="008D7D61"/>
    <w:rsid w:val="008E128A"/>
    <w:rsid w:val="008E232D"/>
    <w:rsid w:val="008E4972"/>
    <w:rsid w:val="008E4AC1"/>
    <w:rsid w:val="008F040C"/>
    <w:rsid w:val="008F0960"/>
    <w:rsid w:val="008F1722"/>
    <w:rsid w:val="008F1FFD"/>
    <w:rsid w:val="008F32C5"/>
    <w:rsid w:val="008F3D21"/>
    <w:rsid w:val="008F6FE0"/>
    <w:rsid w:val="009040AE"/>
    <w:rsid w:val="0091050B"/>
    <w:rsid w:val="00915977"/>
    <w:rsid w:val="009167B0"/>
    <w:rsid w:val="00916D78"/>
    <w:rsid w:val="00917827"/>
    <w:rsid w:val="0092360A"/>
    <w:rsid w:val="00925B54"/>
    <w:rsid w:val="00933D50"/>
    <w:rsid w:val="0093635B"/>
    <w:rsid w:val="00940197"/>
    <w:rsid w:val="00945BF9"/>
    <w:rsid w:val="00946367"/>
    <w:rsid w:val="00947134"/>
    <w:rsid w:val="00955B8B"/>
    <w:rsid w:val="00955C4C"/>
    <w:rsid w:val="009670DC"/>
    <w:rsid w:val="0096769C"/>
    <w:rsid w:val="0097214A"/>
    <w:rsid w:val="009832A3"/>
    <w:rsid w:val="00986FDA"/>
    <w:rsid w:val="009962ED"/>
    <w:rsid w:val="009A237A"/>
    <w:rsid w:val="009A3547"/>
    <w:rsid w:val="009A67FD"/>
    <w:rsid w:val="009A722A"/>
    <w:rsid w:val="009B1350"/>
    <w:rsid w:val="009B147B"/>
    <w:rsid w:val="009B33FF"/>
    <w:rsid w:val="009B42B9"/>
    <w:rsid w:val="009B6F9E"/>
    <w:rsid w:val="009B7E3D"/>
    <w:rsid w:val="009C1EEF"/>
    <w:rsid w:val="009C2159"/>
    <w:rsid w:val="009C5741"/>
    <w:rsid w:val="009D1E76"/>
    <w:rsid w:val="009D3552"/>
    <w:rsid w:val="009D4D10"/>
    <w:rsid w:val="009E052F"/>
    <w:rsid w:val="009E06D8"/>
    <w:rsid w:val="009E0819"/>
    <w:rsid w:val="009E277E"/>
    <w:rsid w:val="009E5884"/>
    <w:rsid w:val="009F0B82"/>
    <w:rsid w:val="009F1E14"/>
    <w:rsid w:val="009F243E"/>
    <w:rsid w:val="009F5674"/>
    <w:rsid w:val="009F612C"/>
    <w:rsid w:val="009F72FB"/>
    <w:rsid w:val="00A03118"/>
    <w:rsid w:val="00A05702"/>
    <w:rsid w:val="00A057B1"/>
    <w:rsid w:val="00A062A0"/>
    <w:rsid w:val="00A06759"/>
    <w:rsid w:val="00A07423"/>
    <w:rsid w:val="00A114CE"/>
    <w:rsid w:val="00A11E3A"/>
    <w:rsid w:val="00A12821"/>
    <w:rsid w:val="00A1350C"/>
    <w:rsid w:val="00A15DA2"/>
    <w:rsid w:val="00A2080F"/>
    <w:rsid w:val="00A238D6"/>
    <w:rsid w:val="00A247C8"/>
    <w:rsid w:val="00A25EB3"/>
    <w:rsid w:val="00A27EEA"/>
    <w:rsid w:val="00A31B0B"/>
    <w:rsid w:val="00A34D62"/>
    <w:rsid w:val="00A4166F"/>
    <w:rsid w:val="00A43790"/>
    <w:rsid w:val="00A45F5B"/>
    <w:rsid w:val="00A45FBC"/>
    <w:rsid w:val="00A46B9B"/>
    <w:rsid w:val="00A4798B"/>
    <w:rsid w:val="00A479F2"/>
    <w:rsid w:val="00A47D1B"/>
    <w:rsid w:val="00A50CFB"/>
    <w:rsid w:val="00A530A7"/>
    <w:rsid w:val="00A54355"/>
    <w:rsid w:val="00A57E87"/>
    <w:rsid w:val="00A63558"/>
    <w:rsid w:val="00A643C6"/>
    <w:rsid w:val="00A67D74"/>
    <w:rsid w:val="00A77C99"/>
    <w:rsid w:val="00A8384C"/>
    <w:rsid w:val="00A83F08"/>
    <w:rsid w:val="00A84F79"/>
    <w:rsid w:val="00A84F90"/>
    <w:rsid w:val="00A851A7"/>
    <w:rsid w:val="00A9108B"/>
    <w:rsid w:val="00A949E2"/>
    <w:rsid w:val="00AA04EC"/>
    <w:rsid w:val="00AA17DA"/>
    <w:rsid w:val="00AA27BC"/>
    <w:rsid w:val="00AA4897"/>
    <w:rsid w:val="00AA6AB4"/>
    <w:rsid w:val="00AB0943"/>
    <w:rsid w:val="00AB0C92"/>
    <w:rsid w:val="00AB0EE6"/>
    <w:rsid w:val="00AB3BD5"/>
    <w:rsid w:val="00AB3DAA"/>
    <w:rsid w:val="00AB4423"/>
    <w:rsid w:val="00AB7A8C"/>
    <w:rsid w:val="00AC09F8"/>
    <w:rsid w:val="00AC343F"/>
    <w:rsid w:val="00AC49B6"/>
    <w:rsid w:val="00AC4F2B"/>
    <w:rsid w:val="00AC5FF2"/>
    <w:rsid w:val="00AD0320"/>
    <w:rsid w:val="00AD5E5E"/>
    <w:rsid w:val="00AD6377"/>
    <w:rsid w:val="00AE1915"/>
    <w:rsid w:val="00AE4133"/>
    <w:rsid w:val="00AE54D5"/>
    <w:rsid w:val="00AE610A"/>
    <w:rsid w:val="00AE6ACE"/>
    <w:rsid w:val="00AE6C86"/>
    <w:rsid w:val="00AE7400"/>
    <w:rsid w:val="00AF0090"/>
    <w:rsid w:val="00AF29F6"/>
    <w:rsid w:val="00AF2DCF"/>
    <w:rsid w:val="00AF2EDB"/>
    <w:rsid w:val="00AF77EE"/>
    <w:rsid w:val="00B025B9"/>
    <w:rsid w:val="00B02F6D"/>
    <w:rsid w:val="00B03F83"/>
    <w:rsid w:val="00B04879"/>
    <w:rsid w:val="00B11550"/>
    <w:rsid w:val="00B13746"/>
    <w:rsid w:val="00B14591"/>
    <w:rsid w:val="00B26E02"/>
    <w:rsid w:val="00B2759D"/>
    <w:rsid w:val="00B27978"/>
    <w:rsid w:val="00B309BE"/>
    <w:rsid w:val="00B30F04"/>
    <w:rsid w:val="00B33839"/>
    <w:rsid w:val="00B37D22"/>
    <w:rsid w:val="00B40D93"/>
    <w:rsid w:val="00B41D5C"/>
    <w:rsid w:val="00B44F5E"/>
    <w:rsid w:val="00B45DD6"/>
    <w:rsid w:val="00B516E0"/>
    <w:rsid w:val="00B52713"/>
    <w:rsid w:val="00B5366A"/>
    <w:rsid w:val="00B61B42"/>
    <w:rsid w:val="00B641BB"/>
    <w:rsid w:val="00B65FEE"/>
    <w:rsid w:val="00B67C0F"/>
    <w:rsid w:val="00B719FB"/>
    <w:rsid w:val="00B71A48"/>
    <w:rsid w:val="00B72E1E"/>
    <w:rsid w:val="00B82EFE"/>
    <w:rsid w:val="00B862CB"/>
    <w:rsid w:val="00B941D4"/>
    <w:rsid w:val="00B94EBA"/>
    <w:rsid w:val="00B955C8"/>
    <w:rsid w:val="00BA2065"/>
    <w:rsid w:val="00BA4D36"/>
    <w:rsid w:val="00BA5F27"/>
    <w:rsid w:val="00BB0D22"/>
    <w:rsid w:val="00BB14DE"/>
    <w:rsid w:val="00BB254E"/>
    <w:rsid w:val="00BB5883"/>
    <w:rsid w:val="00BB5F75"/>
    <w:rsid w:val="00BC1EEB"/>
    <w:rsid w:val="00BC6577"/>
    <w:rsid w:val="00BC6B82"/>
    <w:rsid w:val="00BD40A3"/>
    <w:rsid w:val="00BE38D8"/>
    <w:rsid w:val="00BE6A76"/>
    <w:rsid w:val="00BF25D2"/>
    <w:rsid w:val="00BF30A3"/>
    <w:rsid w:val="00BF3E07"/>
    <w:rsid w:val="00BF3F96"/>
    <w:rsid w:val="00BF6F2D"/>
    <w:rsid w:val="00C00A68"/>
    <w:rsid w:val="00C0368B"/>
    <w:rsid w:val="00C114B6"/>
    <w:rsid w:val="00C1610A"/>
    <w:rsid w:val="00C21248"/>
    <w:rsid w:val="00C216E9"/>
    <w:rsid w:val="00C2176E"/>
    <w:rsid w:val="00C246BA"/>
    <w:rsid w:val="00C31E8B"/>
    <w:rsid w:val="00C37576"/>
    <w:rsid w:val="00C3782E"/>
    <w:rsid w:val="00C37E24"/>
    <w:rsid w:val="00C41399"/>
    <w:rsid w:val="00C41B20"/>
    <w:rsid w:val="00C41FA9"/>
    <w:rsid w:val="00C434D5"/>
    <w:rsid w:val="00C436F0"/>
    <w:rsid w:val="00C439A0"/>
    <w:rsid w:val="00C44E3D"/>
    <w:rsid w:val="00C452CB"/>
    <w:rsid w:val="00C51E3F"/>
    <w:rsid w:val="00C537E2"/>
    <w:rsid w:val="00C57062"/>
    <w:rsid w:val="00C6292B"/>
    <w:rsid w:val="00C6649F"/>
    <w:rsid w:val="00C674BE"/>
    <w:rsid w:val="00C72590"/>
    <w:rsid w:val="00C77B2E"/>
    <w:rsid w:val="00C838AA"/>
    <w:rsid w:val="00C9107D"/>
    <w:rsid w:val="00C9227E"/>
    <w:rsid w:val="00C9495D"/>
    <w:rsid w:val="00C958EF"/>
    <w:rsid w:val="00C9734D"/>
    <w:rsid w:val="00CA379E"/>
    <w:rsid w:val="00CA4808"/>
    <w:rsid w:val="00CA4BB6"/>
    <w:rsid w:val="00CB7DEB"/>
    <w:rsid w:val="00CC1035"/>
    <w:rsid w:val="00CC19C0"/>
    <w:rsid w:val="00CC21EF"/>
    <w:rsid w:val="00CC2A75"/>
    <w:rsid w:val="00CC6D2F"/>
    <w:rsid w:val="00CD0E9F"/>
    <w:rsid w:val="00CE012F"/>
    <w:rsid w:val="00CE47B9"/>
    <w:rsid w:val="00CE6AF9"/>
    <w:rsid w:val="00CE7BF6"/>
    <w:rsid w:val="00CF43C2"/>
    <w:rsid w:val="00CF4AD0"/>
    <w:rsid w:val="00CF53EA"/>
    <w:rsid w:val="00D01A4D"/>
    <w:rsid w:val="00D070DD"/>
    <w:rsid w:val="00D25A9F"/>
    <w:rsid w:val="00D26C64"/>
    <w:rsid w:val="00D27E3C"/>
    <w:rsid w:val="00D30893"/>
    <w:rsid w:val="00D34719"/>
    <w:rsid w:val="00D408BA"/>
    <w:rsid w:val="00D41CEB"/>
    <w:rsid w:val="00D42E83"/>
    <w:rsid w:val="00D456B6"/>
    <w:rsid w:val="00D45888"/>
    <w:rsid w:val="00D51B3C"/>
    <w:rsid w:val="00D55852"/>
    <w:rsid w:val="00D60021"/>
    <w:rsid w:val="00D61C72"/>
    <w:rsid w:val="00D62785"/>
    <w:rsid w:val="00D62FDA"/>
    <w:rsid w:val="00D63290"/>
    <w:rsid w:val="00D7039D"/>
    <w:rsid w:val="00D71139"/>
    <w:rsid w:val="00D71736"/>
    <w:rsid w:val="00D77F09"/>
    <w:rsid w:val="00D80ABE"/>
    <w:rsid w:val="00D81E70"/>
    <w:rsid w:val="00D853F0"/>
    <w:rsid w:val="00D86077"/>
    <w:rsid w:val="00D86A21"/>
    <w:rsid w:val="00D90228"/>
    <w:rsid w:val="00D9347C"/>
    <w:rsid w:val="00DA4C0A"/>
    <w:rsid w:val="00DA5663"/>
    <w:rsid w:val="00DA75C3"/>
    <w:rsid w:val="00DA7763"/>
    <w:rsid w:val="00DA7F73"/>
    <w:rsid w:val="00DB0686"/>
    <w:rsid w:val="00DB0B87"/>
    <w:rsid w:val="00DB4253"/>
    <w:rsid w:val="00DB6AE3"/>
    <w:rsid w:val="00DC0202"/>
    <w:rsid w:val="00DC4D9A"/>
    <w:rsid w:val="00DC7E69"/>
    <w:rsid w:val="00DD099C"/>
    <w:rsid w:val="00DD1A0B"/>
    <w:rsid w:val="00DD20D2"/>
    <w:rsid w:val="00DD3683"/>
    <w:rsid w:val="00DD46D7"/>
    <w:rsid w:val="00DE00B4"/>
    <w:rsid w:val="00DE201B"/>
    <w:rsid w:val="00DE34FC"/>
    <w:rsid w:val="00DE4C08"/>
    <w:rsid w:val="00DF00F9"/>
    <w:rsid w:val="00DF4FDE"/>
    <w:rsid w:val="00DF6D65"/>
    <w:rsid w:val="00E030FC"/>
    <w:rsid w:val="00E060E6"/>
    <w:rsid w:val="00E117F5"/>
    <w:rsid w:val="00E1302D"/>
    <w:rsid w:val="00E15AB4"/>
    <w:rsid w:val="00E1684B"/>
    <w:rsid w:val="00E16D3C"/>
    <w:rsid w:val="00E21FF8"/>
    <w:rsid w:val="00E22E85"/>
    <w:rsid w:val="00E23D30"/>
    <w:rsid w:val="00E27921"/>
    <w:rsid w:val="00E307CE"/>
    <w:rsid w:val="00E30A1D"/>
    <w:rsid w:val="00E33BFB"/>
    <w:rsid w:val="00E35DE9"/>
    <w:rsid w:val="00E43C9E"/>
    <w:rsid w:val="00E458DE"/>
    <w:rsid w:val="00E4668A"/>
    <w:rsid w:val="00E50424"/>
    <w:rsid w:val="00E52076"/>
    <w:rsid w:val="00E538D1"/>
    <w:rsid w:val="00E53B2D"/>
    <w:rsid w:val="00E53D49"/>
    <w:rsid w:val="00E552B0"/>
    <w:rsid w:val="00E55AD5"/>
    <w:rsid w:val="00E631B3"/>
    <w:rsid w:val="00E63A78"/>
    <w:rsid w:val="00E65A2B"/>
    <w:rsid w:val="00E675DE"/>
    <w:rsid w:val="00E72D18"/>
    <w:rsid w:val="00E72E60"/>
    <w:rsid w:val="00E73CDD"/>
    <w:rsid w:val="00E75ADA"/>
    <w:rsid w:val="00E75D07"/>
    <w:rsid w:val="00E77DC1"/>
    <w:rsid w:val="00E81181"/>
    <w:rsid w:val="00E82ABA"/>
    <w:rsid w:val="00E8498B"/>
    <w:rsid w:val="00E85166"/>
    <w:rsid w:val="00E8597C"/>
    <w:rsid w:val="00E921E3"/>
    <w:rsid w:val="00E94B3E"/>
    <w:rsid w:val="00E958F9"/>
    <w:rsid w:val="00EA1A8B"/>
    <w:rsid w:val="00EA5D23"/>
    <w:rsid w:val="00EA70B2"/>
    <w:rsid w:val="00EB347A"/>
    <w:rsid w:val="00EB3C65"/>
    <w:rsid w:val="00EB50A2"/>
    <w:rsid w:val="00EB5C37"/>
    <w:rsid w:val="00EB701F"/>
    <w:rsid w:val="00EC217F"/>
    <w:rsid w:val="00EC6D01"/>
    <w:rsid w:val="00ED03AE"/>
    <w:rsid w:val="00ED068C"/>
    <w:rsid w:val="00ED06EA"/>
    <w:rsid w:val="00ED3CA8"/>
    <w:rsid w:val="00ED6F82"/>
    <w:rsid w:val="00EE177B"/>
    <w:rsid w:val="00EE3838"/>
    <w:rsid w:val="00EE445E"/>
    <w:rsid w:val="00EE4FC9"/>
    <w:rsid w:val="00EE518D"/>
    <w:rsid w:val="00EE7357"/>
    <w:rsid w:val="00EF27E6"/>
    <w:rsid w:val="00EF5927"/>
    <w:rsid w:val="00EF7457"/>
    <w:rsid w:val="00F06751"/>
    <w:rsid w:val="00F071B2"/>
    <w:rsid w:val="00F1103D"/>
    <w:rsid w:val="00F1163B"/>
    <w:rsid w:val="00F15E35"/>
    <w:rsid w:val="00F175FA"/>
    <w:rsid w:val="00F17BD8"/>
    <w:rsid w:val="00F17F44"/>
    <w:rsid w:val="00F23071"/>
    <w:rsid w:val="00F30E0B"/>
    <w:rsid w:val="00F32183"/>
    <w:rsid w:val="00F33E7B"/>
    <w:rsid w:val="00F36912"/>
    <w:rsid w:val="00F375E3"/>
    <w:rsid w:val="00F407F1"/>
    <w:rsid w:val="00F42753"/>
    <w:rsid w:val="00F43DA2"/>
    <w:rsid w:val="00F44F8A"/>
    <w:rsid w:val="00F4598D"/>
    <w:rsid w:val="00F465E5"/>
    <w:rsid w:val="00F73DCF"/>
    <w:rsid w:val="00F764B1"/>
    <w:rsid w:val="00F76F21"/>
    <w:rsid w:val="00F90B73"/>
    <w:rsid w:val="00F90CE4"/>
    <w:rsid w:val="00F93CF2"/>
    <w:rsid w:val="00F977C2"/>
    <w:rsid w:val="00FA1B2F"/>
    <w:rsid w:val="00FA46A7"/>
    <w:rsid w:val="00FA4FB9"/>
    <w:rsid w:val="00FA7FB3"/>
    <w:rsid w:val="00FB5998"/>
    <w:rsid w:val="00FB5EBB"/>
    <w:rsid w:val="00FC04E3"/>
    <w:rsid w:val="00FC2490"/>
    <w:rsid w:val="00FC5A48"/>
    <w:rsid w:val="00FD5303"/>
    <w:rsid w:val="00FE11BB"/>
    <w:rsid w:val="00FE5173"/>
    <w:rsid w:val="00FE65AC"/>
    <w:rsid w:val="00FE742C"/>
    <w:rsid w:val="00FF0C0B"/>
    <w:rsid w:val="00FF1704"/>
    <w:rsid w:val="00FF1B57"/>
    <w:rsid w:val="02496933"/>
    <w:rsid w:val="03DC392C"/>
    <w:rsid w:val="073856DA"/>
    <w:rsid w:val="07DB536F"/>
    <w:rsid w:val="0B3D2FB5"/>
    <w:rsid w:val="0B82196E"/>
    <w:rsid w:val="0D041E6A"/>
    <w:rsid w:val="0E8F7966"/>
    <w:rsid w:val="0F4E1FAF"/>
    <w:rsid w:val="0F8F66EE"/>
    <w:rsid w:val="0FC55687"/>
    <w:rsid w:val="0FEC44A8"/>
    <w:rsid w:val="163D131D"/>
    <w:rsid w:val="189653BE"/>
    <w:rsid w:val="19633998"/>
    <w:rsid w:val="197255CC"/>
    <w:rsid w:val="19923551"/>
    <w:rsid w:val="1A386B4B"/>
    <w:rsid w:val="1A501008"/>
    <w:rsid w:val="1A7E404E"/>
    <w:rsid w:val="1B494E68"/>
    <w:rsid w:val="1DDA2145"/>
    <w:rsid w:val="1E140EE8"/>
    <w:rsid w:val="21712744"/>
    <w:rsid w:val="21C55046"/>
    <w:rsid w:val="21D21888"/>
    <w:rsid w:val="28892384"/>
    <w:rsid w:val="29F66FE5"/>
    <w:rsid w:val="2DE262D6"/>
    <w:rsid w:val="2E3F2682"/>
    <w:rsid w:val="2E9637FB"/>
    <w:rsid w:val="2F060571"/>
    <w:rsid w:val="30A6271F"/>
    <w:rsid w:val="314761F1"/>
    <w:rsid w:val="33D53FDA"/>
    <w:rsid w:val="3550376C"/>
    <w:rsid w:val="37C0084C"/>
    <w:rsid w:val="38662298"/>
    <w:rsid w:val="39155B04"/>
    <w:rsid w:val="399F5521"/>
    <w:rsid w:val="3A61402A"/>
    <w:rsid w:val="3C0F1725"/>
    <w:rsid w:val="3D5D5FB0"/>
    <w:rsid w:val="3E745EF9"/>
    <w:rsid w:val="409C0254"/>
    <w:rsid w:val="40B72191"/>
    <w:rsid w:val="410F6C78"/>
    <w:rsid w:val="420256AC"/>
    <w:rsid w:val="42317CF8"/>
    <w:rsid w:val="45185C19"/>
    <w:rsid w:val="473D0789"/>
    <w:rsid w:val="47D87844"/>
    <w:rsid w:val="48BB7650"/>
    <w:rsid w:val="49B83F7E"/>
    <w:rsid w:val="4C9246AB"/>
    <w:rsid w:val="4DCD4142"/>
    <w:rsid w:val="4DDD17B7"/>
    <w:rsid w:val="4F7A31F5"/>
    <w:rsid w:val="507E179E"/>
    <w:rsid w:val="509C1D1B"/>
    <w:rsid w:val="527A61C8"/>
    <w:rsid w:val="52C51F70"/>
    <w:rsid w:val="543D36FA"/>
    <w:rsid w:val="5A0C02F2"/>
    <w:rsid w:val="5AD527D1"/>
    <w:rsid w:val="5C76418B"/>
    <w:rsid w:val="5F661F76"/>
    <w:rsid w:val="5F696B2E"/>
    <w:rsid w:val="60375C87"/>
    <w:rsid w:val="60E26784"/>
    <w:rsid w:val="62EE6BD0"/>
    <w:rsid w:val="652C7EEA"/>
    <w:rsid w:val="664F3598"/>
    <w:rsid w:val="67986EED"/>
    <w:rsid w:val="68644FD2"/>
    <w:rsid w:val="6AB46BAD"/>
    <w:rsid w:val="6BAF67DE"/>
    <w:rsid w:val="6CEC53C5"/>
    <w:rsid w:val="6D581489"/>
    <w:rsid w:val="6F7B1013"/>
    <w:rsid w:val="7259275A"/>
    <w:rsid w:val="740E2F75"/>
    <w:rsid w:val="74EA2F33"/>
    <w:rsid w:val="74FE759E"/>
    <w:rsid w:val="76902B9A"/>
    <w:rsid w:val="78540376"/>
    <w:rsid w:val="7895702B"/>
    <w:rsid w:val="79880DA3"/>
    <w:rsid w:val="79925E79"/>
    <w:rsid w:val="79932A97"/>
    <w:rsid w:val="7B765D3C"/>
    <w:rsid w:val="7C5B5AF0"/>
    <w:rsid w:val="7CAB2ECA"/>
    <w:rsid w:val="7DFF08C2"/>
    <w:rsid w:val="7E4D1CC6"/>
    <w:rsid w:val="7E50331C"/>
    <w:rsid w:val="7E9A5754"/>
    <w:rsid w:val="7F32650C"/>
    <w:rsid w:val="7F4B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qFormat="1"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link w:val="24"/>
    <w:qFormat/>
    <w:uiPriority w:val="0"/>
    <w:pPr>
      <w:spacing w:after="120"/>
    </w:pPr>
  </w:style>
  <w:style w:type="paragraph" w:styleId="6">
    <w:name w:val="Body Text Indent"/>
    <w:basedOn w:val="1"/>
    <w:qFormat/>
    <w:uiPriority w:val="0"/>
    <w:pPr>
      <w:ind w:firstLine="560" w:firstLineChars="200"/>
    </w:pPr>
    <w:rPr>
      <w:sz w:val="28"/>
    </w:rPr>
  </w:style>
  <w:style w:type="paragraph" w:styleId="7">
    <w:name w:val="Date"/>
    <w:basedOn w:val="1"/>
    <w:next w:val="1"/>
    <w:link w:val="27"/>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annotation subject"/>
    <w:basedOn w:val="4"/>
    <w:next w:val="4"/>
    <w:semiHidden/>
    <w:qFormat/>
    <w:uiPriority w:val="0"/>
    <w:rPr>
      <w:b/>
      <w:bCs/>
    </w:rPr>
  </w:style>
  <w:style w:type="character" w:styleId="15">
    <w:name w:val="page number"/>
    <w:basedOn w:val="14"/>
    <w:qFormat/>
    <w:uiPriority w:val="0"/>
  </w:style>
  <w:style w:type="character" w:styleId="16">
    <w:name w:val="line number"/>
    <w:basedOn w:val="14"/>
    <w:semiHidden/>
    <w:unhideWhenUsed/>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qFormat/>
    <w:uiPriority w:val="0"/>
    <w:rPr>
      <w:sz w:val="21"/>
      <w:szCs w:val="21"/>
    </w:rPr>
  </w:style>
  <w:style w:type="paragraph" w:customStyle="1" w:styleId="19">
    <w:name w:val="xl106"/>
    <w:basedOn w:val="1"/>
    <w:qFormat/>
    <w:uiPriority w:val="0"/>
    <w:pPr>
      <w:widowControl/>
      <w:spacing w:before="100" w:beforeAutospacing="1" w:after="100" w:afterAutospacing="1"/>
      <w:jc w:val="center"/>
      <w:textAlignment w:val="top"/>
    </w:pPr>
    <w:rPr>
      <w:rFonts w:ascii="Arial" w:hAnsi="Arial" w:cs="Arial"/>
      <w:kern w:val="0"/>
      <w:sz w:val="18"/>
      <w:szCs w:val="18"/>
    </w:rPr>
  </w:style>
  <w:style w:type="paragraph" w:styleId="20">
    <w:name w:val="List Paragraph"/>
    <w:basedOn w:val="1"/>
    <w:qFormat/>
    <w:uiPriority w:val="34"/>
    <w:pPr>
      <w:ind w:firstLine="420" w:firstLineChars="200"/>
    </w:pPr>
    <w:rPr>
      <w:szCs w:val="24"/>
    </w:rPr>
  </w:style>
  <w:style w:type="character" w:customStyle="1" w:styleId="21">
    <w:name w:val="页脚 字符"/>
    <w:basedOn w:val="14"/>
    <w:link w:val="9"/>
    <w:qFormat/>
    <w:uiPriority w:val="99"/>
    <w:rPr>
      <w:kern w:val="2"/>
      <w:sz w:val="18"/>
      <w:szCs w:val="18"/>
    </w:rPr>
  </w:style>
  <w:style w:type="paragraph" w:customStyle="1" w:styleId="22">
    <w:name w:val="VE Body Text No Space"/>
    <w:basedOn w:val="1"/>
    <w:qFormat/>
    <w:uiPriority w:val="0"/>
    <w:pPr>
      <w:widowControl/>
    </w:pPr>
    <w:rPr>
      <w:kern w:val="0"/>
      <w:sz w:val="24"/>
      <w:szCs w:val="24"/>
      <w:lang w:eastAsia="en-US"/>
    </w:rPr>
  </w:style>
  <w:style w:type="character" w:customStyle="1" w:styleId="23">
    <w:name w:val="正文文本 字符"/>
    <w:basedOn w:val="14"/>
    <w:semiHidden/>
    <w:qFormat/>
    <w:uiPriority w:val="0"/>
    <w:rPr>
      <w:kern w:val="2"/>
      <w:sz w:val="21"/>
    </w:rPr>
  </w:style>
  <w:style w:type="character" w:customStyle="1" w:styleId="24">
    <w:name w:val="正文文本 字符1"/>
    <w:link w:val="5"/>
    <w:qFormat/>
    <w:uiPriority w:val="0"/>
    <w:rPr>
      <w:kern w:val="2"/>
      <w:sz w:val="21"/>
    </w:rPr>
  </w:style>
  <w:style w:type="character" w:customStyle="1" w:styleId="25">
    <w:name w:val="页脚 Char"/>
    <w:qFormat/>
    <w:uiPriority w:val="99"/>
    <w:rPr>
      <w:kern w:val="2"/>
      <w:sz w:val="18"/>
      <w:szCs w:val="18"/>
    </w:rPr>
  </w:style>
  <w:style w:type="character" w:customStyle="1" w:styleId="26">
    <w:name w:val="页眉 字符"/>
    <w:basedOn w:val="14"/>
    <w:link w:val="10"/>
    <w:qFormat/>
    <w:uiPriority w:val="99"/>
    <w:rPr>
      <w:kern w:val="2"/>
      <w:sz w:val="18"/>
      <w:szCs w:val="18"/>
    </w:rPr>
  </w:style>
  <w:style w:type="character" w:customStyle="1" w:styleId="27">
    <w:name w:val="日期 字符"/>
    <w:basedOn w:val="14"/>
    <w:link w:val="7"/>
    <w:qFormat/>
    <w:uiPriority w:val="0"/>
    <w:rPr>
      <w:kern w:val="2"/>
      <w:sz w:val="21"/>
    </w:rPr>
  </w:style>
  <w:style w:type="character" w:styleId="28">
    <w:name w:val="Placeholder Text"/>
    <w:basedOn w:val="14"/>
    <w:semiHidden/>
    <w:qFormat/>
    <w:uiPriority w:val="99"/>
    <w:rPr>
      <w:color w:val="808080"/>
    </w:rPr>
  </w:style>
  <w:style w:type="character" w:customStyle="1" w:styleId="29">
    <w:name w:val="标题 1 字符"/>
    <w:basedOn w:val="14"/>
    <w:link w:val="2"/>
    <w:qFormat/>
    <w:uiPriority w:val="0"/>
    <w:rPr>
      <w:b/>
      <w:bCs/>
      <w:kern w:val="44"/>
      <w:sz w:val="44"/>
      <w:szCs w:val="44"/>
    </w:rPr>
  </w:style>
  <w:style w:type="character" w:customStyle="1" w:styleId="30">
    <w:name w:val="标题 2 字符"/>
    <w:basedOn w:val="14"/>
    <w:link w:val="3"/>
    <w:qFormat/>
    <w:uiPriority w:val="0"/>
    <w:rPr>
      <w:rFonts w:asciiTheme="majorHAnsi" w:hAnsiTheme="majorHAnsi" w:eastAsiaTheme="majorEastAsia" w:cstheme="majorBidi"/>
      <w:b/>
      <w:bCs/>
      <w:kern w:val="2"/>
      <w:sz w:val="32"/>
      <w:szCs w:val="32"/>
    </w:rPr>
  </w:style>
  <w:style w:type="paragraph" w:customStyle="1" w:styleId="3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ABFE-F2F1-47B1-9547-DC85C12137AE}">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24</Pages>
  <Words>3230</Words>
  <Characters>18417</Characters>
  <Lines>153</Lines>
  <Paragraphs>43</Paragraphs>
  <TotalTime>0</TotalTime>
  <ScaleCrop>false</ScaleCrop>
  <LinksUpToDate>false</LinksUpToDate>
  <CharactersWithSpaces>21604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2015-04-23T08:39:00Z</dcterms:created>
  <dc:creator>dell</dc:creator>
  <cp:lastModifiedBy>王岩</cp:lastModifiedBy>
  <cp:lastPrinted>2024-01-10T09:24:00Z</cp:lastPrinted>
  <dcterms:modified xsi:type="dcterms:W3CDTF">2025-02-11T08:38:36Z</dcterms:modified>
  <dc:title>国 内 订 货 合 同 </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51483B3FB7844C57A6E1F0C509101A36</vt:lpwstr>
  </property>
</Properties>
</file>