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6"/>
          <w:szCs w:val="36"/>
        </w:rPr>
      </w:pPr>
      <w:r>
        <w:rPr>
          <w:b/>
          <w:sz w:val="36"/>
          <w:szCs w:val="36"/>
        </w:rPr>
        <w:drawing>
          <wp:anchor distT="0" distB="0" distL="114300" distR="114300" simplePos="0" relativeHeight="251659264" behindDoc="0" locked="1" layoutInCell="1" allowOverlap="1">
            <wp:simplePos x="0" y="0"/>
            <wp:positionH relativeFrom="character">
              <wp:posOffset>-285750</wp:posOffset>
            </wp:positionH>
            <wp:positionV relativeFrom="line">
              <wp:posOffset>264160</wp:posOffset>
            </wp:positionV>
            <wp:extent cx="1152525" cy="104521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noChangeArrowheads="1"/>
                    </pic:cNvPicPr>
                  </pic:nvPicPr>
                  <pic:blipFill>
                    <a:blip r:embed="rId6" cstate="print"/>
                    <a:srcRect/>
                    <a:stretch>
                      <a:fillRect/>
                    </a:stretch>
                  </pic:blipFill>
                  <pic:spPr>
                    <a:xfrm>
                      <a:off x="0" y="0"/>
                      <a:ext cx="1152525" cy="1045210"/>
                    </a:xfrm>
                    <a:prstGeom prst="rect">
                      <a:avLst/>
                    </a:prstGeom>
                    <a:noFill/>
                  </pic:spPr>
                </pic:pic>
              </a:graphicData>
            </a:graphic>
          </wp:anchor>
        </w:drawing>
      </w:r>
    </w:p>
    <w:p>
      <w:pPr>
        <w:adjustRightInd w:val="0"/>
        <w:snapToGrid w:val="0"/>
        <w:spacing w:line="360" w:lineRule="auto"/>
        <w:jc w:val="center"/>
        <w:rPr>
          <w:b/>
          <w:bCs/>
          <w:sz w:val="48"/>
          <w:szCs w:val="48"/>
        </w:rPr>
      </w:pPr>
      <w:r>
        <w:rPr>
          <w:rFonts w:hAnsi="宋体"/>
          <w:b/>
          <w:bCs/>
          <w:sz w:val="48"/>
          <w:szCs w:val="48"/>
        </w:rPr>
        <w:t>中国海洋石油</w:t>
      </w:r>
      <w:r>
        <w:rPr>
          <w:rFonts w:hint="eastAsia" w:hAnsi="宋体"/>
          <w:b/>
          <w:bCs/>
          <w:sz w:val="48"/>
          <w:szCs w:val="48"/>
        </w:rPr>
        <w:t>集团有限</w:t>
      </w:r>
      <w:r>
        <w:rPr>
          <w:rFonts w:hAnsi="宋体"/>
          <w:b/>
          <w:bCs/>
          <w:sz w:val="48"/>
          <w:szCs w:val="48"/>
        </w:rPr>
        <w:t>公司</w:t>
      </w:r>
    </w:p>
    <w:p>
      <w:pPr>
        <w:adjustRightInd w:val="0"/>
        <w:snapToGrid w:val="0"/>
        <w:spacing w:line="360" w:lineRule="auto"/>
        <w:jc w:val="center"/>
        <w:rPr>
          <w:b/>
          <w:bCs/>
          <w:sz w:val="48"/>
          <w:szCs w:val="48"/>
        </w:rPr>
      </w:pPr>
      <w:r>
        <w:rPr>
          <w:rFonts w:hint="eastAsia"/>
          <w:b/>
          <w:bCs/>
          <w:sz w:val="48"/>
          <w:szCs w:val="48"/>
        </w:rPr>
        <w:t>标准合同</w:t>
      </w:r>
    </w:p>
    <w:p>
      <w:pPr>
        <w:autoSpaceDE w:val="0"/>
        <w:autoSpaceDN w:val="0"/>
        <w:adjustRightInd w:val="0"/>
        <w:spacing w:line="360" w:lineRule="auto"/>
        <w:jc w:val="center"/>
        <w:rPr>
          <w:kern w:val="0"/>
          <w:sz w:val="28"/>
          <w:szCs w:val="28"/>
        </w:rPr>
      </w:pPr>
    </w:p>
    <w:p>
      <w:pPr>
        <w:autoSpaceDE w:val="0"/>
        <w:autoSpaceDN w:val="0"/>
        <w:adjustRightInd w:val="0"/>
        <w:spacing w:line="360" w:lineRule="auto"/>
        <w:jc w:val="center"/>
        <w:rPr>
          <w:kern w:val="0"/>
          <w:sz w:val="28"/>
          <w:szCs w:val="28"/>
        </w:rPr>
      </w:pPr>
    </w:p>
    <w:p>
      <w:pPr>
        <w:autoSpaceDE w:val="0"/>
        <w:autoSpaceDN w:val="0"/>
        <w:adjustRightInd w:val="0"/>
        <w:spacing w:line="360" w:lineRule="auto"/>
        <w:jc w:val="center"/>
        <w:rPr>
          <w:kern w:val="0"/>
          <w:sz w:val="28"/>
          <w:szCs w:val="28"/>
        </w:rPr>
      </w:pPr>
    </w:p>
    <w:p>
      <w:pPr>
        <w:autoSpaceDE w:val="0"/>
        <w:autoSpaceDN w:val="0"/>
        <w:adjustRightInd w:val="0"/>
        <w:spacing w:line="360" w:lineRule="auto"/>
        <w:jc w:val="center"/>
        <w:rPr>
          <w:kern w:val="0"/>
          <w:sz w:val="28"/>
          <w:szCs w:val="28"/>
        </w:rPr>
      </w:pPr>
    </w:p>
    <w:p>
      <w:pPr>
        <w:autoSpaceDE w:val="0"/>
        <w:autoSpaceDN w:val="0"/>
        <w:adjustRightInd w:val="0"/>
        <w:spacing w:line="360" w:lineRule="auto"/>
        <w:jc w:val="center"/>
        <w:rPr>
          <w:kern w:val="0"/>
          <w:sz w:val="28"/>
          <w:szCs w:val="28"/>
        </w:rPr>
      </w:pPr>
    </w:p>
    <w:p>
      <w:pPr>
        <w:autoSpaceDE w:val="0"/>
        <w:autoSpaceDN w:val="0"/>
        <w:adjustRightInd w:val="0"/>
        <w:spacing w:line="360" w:lineRule="auto"/>
        <w:jc w:val="center"/>
        <w:rPr>
          <w:kern w:val="0"/>
          <w:sz w:val="28"/>
          <w:szCs w:val="28"/>
        </w:rPr>
      </w:pPr>
    </w:p>
    <w:p>
      <w:pPr>
        <w:jc w:val="center"/>
        <w:rPr>
          <w:b/>
          <w:bCs/>
          <w:sz w:val="36"/>
          <w:szCs w:val="36"/>
        </w:rPr>
      </w:pPr>
    </w:p>
    <w:p>
      <w:pPr>
        <w:spacing w:line="360" w:lineRule="auto"/>
        <w:jc w:val="center"/>
        <w:rPr>
          <w:rFonts w:hint="eastAsia"/>
          <w:b/>
          <w:bCs/>
          <w:sz w:val="52"/>
          <w:szCs w:val="52"/>
        </w:rPr>
      </w:pPr>
      <w:r>
        <w:rPr>
          <w:b/>
          <w:bCs/>
          <w:sz w:val="52"/>
          <w:szCs w:val="52"/>
        </w:rPr>
        <w:t>技术服务合同</w:t>
      </w:r>
    </w:p>
    <w:p>
      <w:pPr>
        <w:autoSpaceDE w:val="0"/>
        <w:autoSpaceDN w:val="0"/>
        <w:adjustRightInd w:val="0"/>
        <w:spacing w:line="360" w:lineRule="auto"/>
        <w:jc w:val="center"/>
        <w:rPr>
          <w:kern w:val="0"/>
          <w:sz w:val="28"/>
          <w:szCs w:val="28"/>
        </w:rPr>
      </w:pPr>
      <w:r>
        <w:rPr>
          <w:kern w:val="0"/>
          <w:sz w:val="28"/>
          <w:szCs w:val="28"/>
        </w:rPr>
        <w:t>（</w:t>
      </w:r>
      <w:r>
        <w:rPr>
          <w:rFonts w:hint="eastAsia"/>
          <w:kern w:val="0"/>
          <w:sz w:val="28"/>
          <w:szCs w:val="28"/>
        </w:rPr>
        <w:t>合同编号：</w:t>
      </w:r>
      <w:r>
        <w:rPr>
          <w:rFonts w:hint="eastAsia"/>
          <w:kern w:val="0"/>
          <w:sz w:val="28"/>
          <w:szCs w:val="28"/>
          <w:lang w:val="en-US" w:eastAsia="zh-CN"/>
        </w:rPr>
        <w:t xml:space="preserve">      </w:t>
      </w:r>
      <w:r>
        <w:rPr>
          <w:kern w:val="0"/>
          <w:sz w:val="28"/>
          <w:szCs w:val="28"/>
        </w:rPr>
        <w:t>）</w:t>
      </w:r>
    </w:p>
    <w:p>
      <w:pPr>
        <w:jc w:val="center"/>
        <w:rPr>
          <w:b/>
          <w:sz w:val="36"/>
          <w:szCs w:val="36"/>
        </w:rPr>
      </w:pPr>
      <w:r>
        <w:rPr>
          <w:b/>
          <w:sz w:val="32"/>
          <w:szCs w:val="32"/>
        </w:rPr>
        <w:br w:type="page"/>
      </w:r>
      <w:r>
        <w:rPr>
          <w:rFonts w:hint="eastAsia" w:ascii="Times New Roman" w:hAnsi="Times New Roman" w:eastAsia="宋体" w:cs="Times New Roman"/>
          <w:b/>
          <w:sz w:val="36"/>
          <w:szCs w:val="36"/>
          <w:lang w:val="en-US" w:eastAsia="zh-CN"/>
        </w:rPr>
        <w:t>XXXX</w:t>
      </w:r>
      <w:r>
        <w:rPr>
          <w:rFonts w:hint="eastAsia"/>
          <w:b/>
          <w:sz w:val="36"/>
          <w:szCs w:val="36"/>
        </w:rPr>
        <w:t>技术服务</w:t>
      </w:r>
      <w:r>
        <w:rPr>
          <w:b/>
          <w:sz w:val="36"/>
          <w:szCs w:val="36"/>
        </w:rPr>
        <w:t>合同</w:t>
      </w:r>
    </w:p>
    <w:p>
      <w:pPr>
        <w:ind w:firstLine="5659" w:firstLineChars="2695"/>
        <w:rPr>
          <w:szCs w:val="21"/>
        </w:rPr>
      </w:pPr>
    </w:p>
    <w:p>
      <w:pPr>
        <w:ind w:firstLine="5659" w:firstLineChars="2695"/>
        <w:rPr>
          <w:szCs w:val="21"/>
        </w:rPr>
      </w:pPr>
      <w:r>
        <w:rPr>
          <w:rFonts w:hint="eastAsia"/>
          <w:szCs w:val="21"/>
        </w:rPr>
        <w:t>合同编号：</w:t>
      </w:r>
      <w:r>
        <w:rPr>
          <w:rFonts w:hint="eastAsia"/>
          <w:szCs w:val="21"/>
          <w:u w:val="single"/>
        </w:rPr>
        <w:t xml:space="preserve">              </w:t>
      </w:r>
    </w:p>
    <w:p>
      <w:pPr>
        <w:rPr>
          <w:szCs w:val="21"/>
        </w:rPr>
      </w:pPr>
    </w:p>
    <w:p>
      <w:pPr>
        <w:tabs>
          <w:tab w:val="left" w:pos="540"/>
          <w:tab w:val="left" w:pos="900"/>
        </w:tabs>
        <w:spacing w:before="93" w:beforeLines="30" w:line="360" w:lineRule="exact"/>
        <w:ind w:right="-57" w:rightChars="-27" w:firstLine="480" w:firstLineChars="200"/>
        <w:rPr>
          <w:rFonts w:hAnsi="Garamond" w:cs="新宋体-18030"/>
          <w:sz w:val="24"/>
        </w:rPr>
      </w:pPr>
      <w:r>
        <w:rPr>
          <w:rFonts w:hint="eastAsia" w:hAnsi="Garamond" w:cs="新宋体-18030"/>
          <w:sz w:val="24"/>
        </w:rPr>
        <w:t>本技术服务合同（以下称“合同”或“本合同”）由以下双方于</w:t>
      </w:r>
      <w:r>
        <w:rPr>
          <w:rFonts w:hint="eastAsia" w:ascii="Times New Roman" w:hAnsi="Garamond" w:eastAsia="宋体" w:cs="新宋体-18030"/>
          <w:sz w:val="24"/>
          <w:lang w:val="en-US" w:eastAsia="zh-CN"/>
        </w:rPr>
        <w:t>202</w:t>
      </w:r>
      <w:r>
        <w:rPr>
          <w:rFonts w:hint="eastAsia" w:hAnsi="Garamond" w:cs="新宋体-18030"/>
          <w:sz w:val="24"/>
          <w:lang w:val="en-US" w:eastAsia="zh-CN"/>
        </w:rPr>
        <w:t>X</w:t>
      </w:r>
      <w:r>
        <w:rPr>
          <w:rFonts w:hint="eastAsia" w:ascii="Times New Roman" w:hAnsi="Garamond" w:eastAsia="宋体" w:cs="新宋体-18030"/>
          <w:sz w:val="24"/>
          <w:lang w:val="en-US" w:eastAsia="zh-CN"/>
        </w:rPr>
        <w:t>年XX月XXX日</w:t>
      </w:r>
      <w:r>
        <w:rPr>
          <w:rFonts w:hint="eastAsia" w:ascii="Times New Roman" w:hAnsi="Garamond" w:eastAsia="宋体" w:cs="新宋体-18030"/>
          <w:sz w:val="24"/>
        </w:rPr>
        <w:t>在</w:t>
      </w:r>
      <w:r>
        <w:rPr>
          <w:rFonts w:hint="eastAsia" w:ascii="Times New Roman" w:hAnsi="Garamond" w:eastAsia="宋体" w:cs="新宋体-18030"/>
          <w:sz w:val="24"/>
          <w:lang w:val="en-US" w:eastAsia="zh-CN"/>
        </w:rPr>
        <w:t>海南市东方市</w:t>
      </w:r>
      <w:r>
        <w:rPr>
          <w:rFonts w:hint="eastAsia" w:hAnsi="Garamond" w:cs="新宋体-18030"/>
          <w:sz w:val="24"/>
        </w:rPr>
        <w:t>签订：</w:t>
      </w:r>
    </w:p>
    <w:p>
      <w:pPr>
        <w:tabs>
          <w:tab w:val="left" w:pos="540"/>
          <w:tab w:val="left" w:pos="900"/>
        </w:tabs>
        <w:spacing w:before="93" w:beforeLines="30" w:line="360" w:lineRule="exact"/>
        <w:ind w:right="-512" w:rightChars="-244" w:firstLine="240" w:firstLineChars="100"/>
        <w:rPr>
          <w:sz w:val="24"/>
          <w:highlight w:val="magenta"/>
          <w:u w:val="none"/>
        </w:rPr>
      </w:pPr>
      <w:r>
        <w:rPr>
          <w:rFonts w:hint="eastAsia"/>
          <w:sz w:val="24"/>
        </w:rPr>
        <w:t>甲    方：</w:t>
      </w:r>
      <w:r>
        <w:rPr>
          <w:rFonts w:hint="eastAsia"/>
          <w:sz w:val="24"/>
          <w:szCs w:val="24"/>
          <w:highlight w:val="none"/>
          <w:u w:val="none"/>
          <w:lang w:val="en-US" w:eastAsia="zh-CN"/>
        </w:rPr>
        <w:t>XXX有限公司</w:t>
      </w:r>
      <w:r>
        <w:rPr>
          <w:rFonts w:hint="eastAsia"/>
          <w:sz w:val="24"/>
          <w:u w:val="none"/>
        </w:rPr>
        <w:t xml:space="preserve"> </w:t>
      </w:r>
    </w:p>
    <w:p>
      <w:pPr>
        <w:tabs>
          <w:tab w:val="left" w:pos="540"/>
          <w:tab w:val="left" w:pos="900"/>
        </w:tabs>
        <w:spacing w:before="93" w:beforeLines="30" w:line="360" w:lineRule="exact"/>
        <w:ind w:right="-57" w:rightChars="-27" w:firstLine="240" w:firstLineChars="100"/>
        <w:rPr>
          <w:rFonts w:hint="eastAsia"/>
          <w:sz w:val="24"/>
          <w:u w:val="none"/>
        </w:rPr>
      </w:pPr>
      <w:r>
        <w:rPr>
          <w:rFonts w:hint="eastAsia"/>
          <w:sz w:val="24"/>
          <w:u w:val="none"/>
        </w:rPr>
        <w:t>注册地址：</w:t>
      </w:r>
      <w:r>
        <w:rPr>
          <w:rFonts w:hint="eastAsia" w:ascii="Times New Roman" w:hAnsi="Times New Roman" w:eastAsia="宋体" w:cs="Times New Roman"/>
          <w:sz w:val="24"/>
          <w:szCs w:val="24"/>
          <w:highlight w:val="none"/>
          <w:u w:val="none"/>
          <w:lang w:val="en-US" w:eastAsia="zh-CN"/>
        </w:rPr>
        <w:t>海南</w:t>
      </w:r>
      <w:r>
        <w:rPr>
          <w:rFonts w:hint="eastAsia"/>
          <w:sz w:val="24"/>
          <w:szCs w:val="24"/>
          <w:highlight w:val="none"/>
          <w:u w:val="none"/>
        </w:rPr>
        <w:t>省东方市</w:t>
      </w:r>
      <w:r>
        <w:rPr>
          <w:rFonts w:hint="eastAsia"/>
          <w:sz w:val="24"/>
          <w:szCs w:val="24"/>
          <w:highlight w:val="none"/>
          <w:u w:val="none"/>
          <w:lang w:val="en-US" w:eastAsia="zh-CN"/>
        </w:rPr>
        <w:t>八所镇</w:t>
      </w:r>
      <w:r>
        <w:rPr>
          <w:rFonts w:hint="eastAsia"/>
          <w:sz w:val="24"/>
          <w:szCs w:val="24"/>
          <w:highlight w:val="none"/>
          <w:u w:val="none"/>
        </w:rPr>
        <w:t>园区三路</w:t>
      </w:r>
      <w:r>
        <w:rPr>
          <w:rFonts w:hint="eastAsia"/>
          <w:sz w:val="24"/>
          <w:szCs w:val="24"/>
          <w:highlight w:val="none"/>
          <w:u w:val="none"/>
          <w:lang w:val="en-US" w:eastAsia="zh-CN"/>
        </w:rPr>
        <w:t>X</w:t>
      </w:r>
      <w:r>
        <w:rPr>
          <w:rFonts w:hint="eastAsia"/>
          <w:sz w:val="24"/>
          <w:szCs w:val="24"/>
          <w:highlight w:val="none"/>
          <w:u w:val="none"/>
        </w:rPr>
        <w:t>号</w:t>
      </w:r>
      <w:r>
        <w:rPr>
          <w:rFonts w:hint="eastAsia"/>
          <w:sz w:val="24"/>
          <w:u w:val="none"/>
        </w:rPr>
        <w:t xml:space="preserve">  </w:t>
      </w:r>
    </w:p>
    <w:p>
      <w:pPr>
        <w:tabs>
          <w:tab w:val="left" w:pos="540"/>
          <w:tab w:val="left" w:pos="900"/>
        </w:tabs>
        <w:spacing w:before="93" w:beforeLines="30" w:line="360" w:lineRule="exact"/>
        <w:ind w:right="-57" w:rightChars="-27" w:firstLine="240" w:firstLineChars="100"/>
        <w:rPr>
          <w:rFonts w:hint="eastAsia"/>
          <w:sz w:val="24"/>
        </w:rPr>
      </w:pPr>
      <w:r>
        <w:rPr>
          <w:rFonts w:hint="eastAsia"/>
          <w:sz w:val="24"/>
        </w:rPr>
        <w:t>乙</w:t>
      </w:r>
      <w:r>
        <w:rPr>
          <w:rFonts w:hint="eastAsia"/>
          <w:sz w:val="24"/>
          <w:lang w:val="en-US" w:eastAsia="zh-CN"/>
        </w:rPr>
        <w:t xml:space="preserve">    </w:t>
      </w:r>
      <w:r>
        <w:rPr>
          <w:rFonts w:hint="eastAsia"/>
          <w:sz w:val="24"/>
        </w:rPr>
        <w:t>方：</w:t>
      </w:r>
    </w:p>
    <w:p>
      <w:pPr>
        <w:tabs>
          <w:tab w:val="left" w:pos="540"/>
          <w:tab w:val="left" w:pos="900"/>
        </w:tabs>
        <w:spacing w:before="93" w:beforeLines="30" w:line="360" w:lineRule="exact"/>
        <w:ind w:right="-57" w:rightChars="-27" w:firstLine="240" w:firstLineChars="100"/>
        <w:rPr>
          <w:rFonts w:hint="eastAsia" w:ascii="Times New Roman" w:hAnsi="Times New Roman" w:eastAsia="宋体" w:cs="Times New Roman"/>
          <w:sz w:val="24"/>
          <w:szCs w:val="24"/>
          <w:highlight w:val="none"/>
          <w:u w:val="none"/>
        </w:rPr>
      </w:pPr>
      <w:r>
        <w:rPr>
          <w:rFonts w:hint="eastAsia" w:ascii="Times New Roman" w:hAnsi="Times New Roman" w:eastAsia="宋体" w:cs="Times New Roman"/>
          <w:sz w:val="24"/>
          <w:szCs w:val="24"/>
          <w:highlight w:val="none"/>
          <w:u w:val="none"/>
        </w:rPr>
        <w:t xml:space="preserve">注册地址： </w:t>
      </w:r>
    </w:p>
    <w:p>
      <w:pPr>
        <w:tabs>
          <w:tab w:val="left" w:pos="540"/>
          <w:tab w:val="left" w:pos="900"/>
        </w:tabs>
        <w:spacing w:before="93" w:beforeLines="30" w:line="360" w:lineRule="exact"/>
        <w:ind w:right="-57" w:rightChars="-27" w:firstLine="480" w:firstLineChars="200"/>
        <w:rPr>
          <w:rFonts w:cs="新宋体-18030"/>
          <w:sz w:val="24"/>
        </w:rPr>
      </w:pPr>
      <w:r>
        <w:rPr>
          <w:rFonts w:hint="eastAsia" w:ascii="宋体" w:hAnsi="宋体"/>
          <w:sz w:val="24"/>
        </w:rPr>
        <w:t>根据《中华人民共和国民法典》及中华人民共和国各级立法、行政机关颁布并生效的法律、法规、规章及其它规范性文件（“法律法规”），在遵循平等、自愿、公平和诚实信用原则的基础上，经协商一致，双方订立本合同如下：</w:t>
      </w:r>
    </w:p>
    <w:p>
      <w:pPr>
        <w:numPr>
          <w:ilvl w:val="0"/>
          <w:numId w:val="3"/>
        </w:numPr>
        <w:tabs>
          <w:tab w:val="left" w:pos="710"/>
          <w:tab w:val="clear" w:pos="960"/>
        </w:tabs>
        <w:spacing w:before="93" w:beforeLines="30" w:after="93" w:afterLines="30" w:line="360" w:lineRule="exact"/>
        <w:ind w:left="709" w:right="-57" w:rightChars="-27" w:hanging="709"/>
        <w:outlineLvl w:val="0"/>
        <w:rPr>
          <w:rFonts w:cs="新宋体-18030"/>
          <w:b/>
          <w:sz w:val="24"/>
        </w:rPr>
      </w:pPr>
      <w:r>
        <w:rPr>
          <w:rFonts w:hint="eastAsia" w:hAnsi="Garamond" w:cs="新宋体-18030"/>
          <w:b/>
          <w:sz w:val="24"/>
        </w:rPr>
        <w:t>服务</w:t>
      </w:r>
    </w:p>
    <w:p>
      <w:pPr>
        <w:numPr>
          <w:ilvl w:val="1"/>
          <w:numId w:val="4"/>
        </w:numPr>
        <w:tabs>
          <w:tab w:val="left" w:pos="710"/>
          <w:tab w:val="clear" w:pos="0"/>
        </w:tabs>
        <w:spacing w:before="93" w:beforeLines="30" w:after="93" w:afterLines="30" w:line="360" w:lineRule="exact"/>
        <w:ind w:left="709" w:right="-57" w:rightChars="-27" w:hanging="709"/>
        <w:rPr>
          <w:rFonts w:hAnsi="Garamond" w:cs="新宋体-18030"/>
          <w:sz w:val="24"/>
        </w:rPr>
      </w:pPr>
      <w:r>
        <w:rPr>
          <w:rFonts w:hint="eastAsia" w:ascii="宋体" w:hAnsi="宋体"/>
          <w:color w:val="000000"/>
          <w:sz w:val="24"/>
        </w:rPr>
        <w:t>乙方应根据本合同约定，向甲方提供</w:t>
      </w:r>
      <w:r>
        <w:rPr>
          <w:rFonts w:hint="eastAsia" w:ascii="Times New Roman" w:hAnsi="Times New Roman" w:eastAsia="宋体" w:cs="Times New Roman"/>
          <w:sz w:val="24"/>
          <w:lang w:val="en-US" w:eastAsia="zh-CN"/>
        </w:rPr>
        <w:t>XXX</w:t>
      </w:r>
      <w:r>
        <w:rPr>
          <w:rFonts w:hint="eastAsia" w:ascii="宋体" w:hAnsi="宋体"/>
          <w:sz w:val="24"/>
        </w:rPr>
        <w:t>技术</w:t>
      </w:r>
      <w:r>
        <w:rPr>
          <w:rFonts w:hint="eastAsia" w:ascii="宋体" w:hAnsi="宋体"/>
          <w:color w:val="000000"/>
          <w:sz w:val="24"/>
        </w:rPr>
        <w:t>服务。技术</w:t>
      </w:r>
      <w:r>
        <w:rPr>
          <w:rFonts w:ascii="宋体" w:hAnsi="宋体"/>
          <w:sz w:val="24"/>
        </w:rPr>
        <w:t>服务</w:t>
      </w:r>
      <w:r>
        <w:rPr>
          <w:rFonts w:hint="eastAsia" w:ascii="宋体" w:hAnsi="宋体"/>
          <w:sz w:val="24"/>
        </w:rPr>
        <w:t>的</w:t>
      </w:r>
      <w:r>
        <w:rPr>
          <w:rFonts w:ascii="宋体" w:hAnsi="宋体"/>
          <w:sz w:val="24"/>
        </w:rPr>
        <w:t>内容</w:t>
      </w:r>
      <w:r>
        <w:rPr>
          <w:rFonts w:hint="eastAsia" w:ascii="宋体" w:hAnsi="宋体"/>
          <w:sz w:val="24"/>
        </w:rPr>
        <w:t>及</w:t>
      </w:r>
      <w:r>
        <w:rPr>
          <w:rFonts w:ascii="宋体" w:hAnsi="宋体"/>
          <w:sz w:val="24"/>
        </w:rPr>
        <w:t>要求</w:t>
      </w:r>
      <w:r>
        <w:rPr>
          <w:rFonts w:hint="eastAsia" w:ascii="宋体" w:hAnsi="宋体"/>
          <w:sz w:val="24"/>
          <w:lang w:val="en-US" w:eastAsia="zh-CN"/>
        </w:rPr>
        <w:t>详见本合同附件</w:t>
      </w:r>
      <w:r>
        <w:rPr>
          <w:rFonts w:hint="eastAsia" w:ascii="宋体" w:hAnsi="宋体" w:eastAsia="宋体" w:cs="Times New Roman"/>
          <w:sz w:val="24"/>
          <w:lang w:val="en-US" w:eastAsia="zh-CN"/>
        </w:rPr>
        <w:t>一合同技术附件</w:t>
      </w:r>
      <w:r>
        <w:rPr>
          <w:rFonts w:hint="eastAsia" w:ascii="宋体" w:hAnsi="宋体"/>
          <w:sz w:val="24"/>
        </w:rPr>
        <w:t>。</w:t>
      </w:r>
    </w:p>
    <w:p>
      <w:pPr>
        <w:numPr>
          <w:ilvl w:val="1"/>
          <w:numId w:val="4"/>
        </w:numPr>
        <w:tabs>
          <w:tab w:val="left" w:pos="710"/>
          <w:tab w:val="clear" w:pos="0"/>
        </w:tabs>
        <w:spacing w:before="93" w:beforeLines="30" w:after="93" w:afterLines="30" w:line="360" w:lineRule="exact"/>
        <w:ind w:left="709" w:right="-57" w:rightChars="-27" w:hanging="709"/>
        <w:rPr>
          <w:rFonts w:hAnsi="Garamond" w:cs="新宋体-18030"/>
          <w:sz w:val="24"/>
        </w:rPr>
      </w:pPr>
      <w:r>
        <w:rPr>
          <w:rFonts w:hint="eastAsia" w:ascii="宋体" w:hAnsi="宋体"/>
          <w:color w:val="000000"/>
          <w:sz w:val="24"/>
        </w:rPr>
        <w:t>乙方应执行良好的行业惯例提供优质、高效的服务。在提供服务过程中，乙方应维护甲方利益，不得实施任何违背甲方利益的行为。</w:t>
      </w:r>
    </w:p>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rPr>
        <w:t>服务期限</w:t>
      </w:r>
    </w:p>
    <w:p>
      <w:pPr>
        <w:numPr>
          <w:ilvl w:val="1"/>
          <w:numId w:val="5"/>
        </w:numPr>
        <w:tabs>
          <w:tab w:val="left" w:pos="709"/>
        </w:tabs>
        <w:spacing w:before="93" w:beforeLines="30" w:after="93" w:afterLines="30" w:line="360" w:lineRule="exact"/>
        <w:ind w:left="709" w:right="-57" w:rightChars="-27" w:hanging="709"/>
        <w:rPr>
          <w:rFonts w:hint="eastAsia" w:ascii="Times New Roman" w:hAnsi="Times New Roman" w:eastAsia="宋体" w:cs="宋体"/>
          <w:color w:val="000000"/>
          <w:sz w:val="24"/>
        </w:rPr>
      </w:pPr>
      <w:r>
        <w:rPr>
          <w:rFonts w:hint="eastAsia"/>
          <w:sz w:val="24"/>
        </w:rPr>
        <w:t>本合同项下，乙方为甲方提供技术服务的期限为</w:t>
      </w:r>
      <w:r>
        <w:rPr>
          <w:rFonts w:hint="eastAsia" w:ascii="Times New Roman" w:hAnsi="Times New Roman" w:eastAsia="宋体" w:cs="Times New Roman"/>
          <w:sz w:val="24"/>
          <w:lang w:val="en-US" w:eastAsia="zh-CN"/>
        </w:rPr>
        <w:t>X</w:t>
      </w:r>
      <w:r>
        <w:rPr>
          <w:rFonts w:hint="eastAsia"/>
          <w:sz w:val="24"/>
        </w:rPr>
        <w:t>月，</w:t>
      </w:r>
      <w:r>
        <w:rPr>
          <w:rFonts w:hint="eastAsia" w:cs="宋体"/>
          <w:color w:val="000000"/>
          <w:sz w:val="24"/>
        </w:rPr>
        <w:t>自</w:t>
      </w:r>
      <w:r>
        <w:rPr>
          <w:rFonts w:hint="eastAsia" w:ascii="Times New Roman" w:hAnsi="Times New Roman" w:eastAsia="宋体" w:cs="宋体"/>
          <w:color w:val="000000"/>
          <w:sz w:val="24"/>
          <w:lang w:val="en-US" w:eastAsia="zh-CN"/>
        </w:rPr>
        <w:t>X</w:t>
      </w:r>
      <w:r>
        <w:rPr>
          <w:rFonts w:hint="eastAsia" w:ascii="Times New Roman" w:hAnsi="Times New Roman" w:eastAsia="宋体" w:cs="宋体"/>
          <w:color w:val="000000"/>
          <w:sz w:val="24"/>
        </w:rPr>
        <w:t>年</w:t>
      </w:r>
      <w:r>
        <w:rPr>
          <w:rFonts w:hint="eastAsia" w:ascii="Times New Roman" w:hAnsi="Times New Roman" w:eastAsia="宋体" w:cs="宋体"/>
          <w:color w:val="000000"/>
          <w:sz w:val="24"/>
          <w:lang w:val="en-US" w:eastAsia="zh-CN"/>
        </w:rPr>
        <w:t>X</w:t>
      </w:r>
      <w:r>
        <w:rPr>
          <w:rFonts w:hint="eastAsia" w:ascii="Times New Roman" w:hAnsi="Times New Roman" w:eastAsia="宋体" w:cs="宋体"/>
          <w:color w:val="000000"/>
          <w:sz w:val="24"/>
        </w:rPr>
        <w:t>月</w:t>
      </w:r>
      <w:r>
        <w:rPr>
          <w:rFonts w:hint="eastAsia" w:ascii="Times New Roman" w:hAnsi="Times New Roman" w:eastAsia="宋体" w:cs="宋体"/>
          <w:color w:val="000000"/>
          <w:sz w:val="24"/>
          <w:lang w:val="en-US" w:eastAsia="zh-CN"/>
        </w:rPr>
        <w:t>X</w:t>
      </w:r>
      <w:r>
        <w:rPr>
          <w:rFonts w:hint="eastAsia" w:ascii="Times New Roman" w:hAnsi="Times New Roman" w:eastAsia="宋体" w:cs="宋体"/>
          <w:color w:val="000000"/>
          <w:sz w:val="24"/>
        </w:rPr>
        <w:t>日起至</w:t>
      </w:r>
      <w:r>
        <w:rPr>
          <w:rFonts w:hint="eastAsia" w:ascii="Times New Roman" w:hAnsi="Times New Roman" w:eastAsia="宋体" w:cs="宋体"/>
          <w:color w:val="000000"/>
          <w:sz w:val="24"/>
          <w:lang w:val="en-US" w:eastAsia="zh-CN"/>
        </w:rPr>
        <w:t>X</w:t>
      </w:r>
      <w:r>
        <w:rPr>
          <w:rFonts w:hint="eastAsia" w:ascii="Times New Roman" w:hAnsi="Times New Roman" w:eastAsia="宋体" w:cs="宋体"/>
          <w:color w:val="000000"/>
          <w:sz w:val="24"/>
        </w:rPr>
        <w:t>年</w:t>
      </w:r>
      <w:r>
        <w:rPr>
          <w:rFonts w:hint="eastAsia" w:ascii="Times New Roman" w:hAnsi="Times New Roman" w:eastAsia="宋体" w:cs="宋体"/>
          <w:color w:val="000000"/>
          <w:sz w:val="24"/>
          <w:lang w:val="en-US" w:eastAsia="zh-CN"/>
        </w:rPr>
        <w:t>X</w:t>
      </w:r>
      <w:r>
        <w:rPr>
          <w:rFonts w:hint="eastAsia" w:ascii="Times New Roman" w:hAnsi="Times New Roman" w:eastAsia="宋体" w:cs="宋体"/>
          <w:color w:val="000000"/>
          <w:sz w:val="24"/>
        </w:rPr>
        <w:t>月</w:t>
      </w:r>
      <w:r>
        <w:rPr>
          <w:rFonts w:hint="eastAsia" w:ascii="Times New Roman" w:hAnsi="Times New Roman" w:eastAsia="宋体" w:cs="宋体"/>
          <w:color w:val="000000"/>
          <w:sz w:val="24"/>
          <w:lang w:val="en-US" w:eastAsia="zh-CN"/>
        </w:rPr>
        <w:t>X</w:t>
      </w:r>
      <w:r>
        <w:rPr>
          <w:rFonts w:hint="eastAsia" w:ascii="Times New Roman" w:hAnsi="Times New Roman" w:eastAsia="宋体" w:cs="宋体"/>
          <w:color w:val="000000"/>
          <w:sz w:val="24"/>
        </w:rPr>
        <w:t>日止。</w:t>
      </w:r>
    </w:p>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rPr>
        <w:t>工作成果及验收</w:t>
      </w:r>
    </w:p>
    <w:p>
      <w:pPr>
        <w:numPr>
          <w:ilvl w:val="1"/>
          <w:numId w:val="6"/>
        </w:numPr>
        <w:tabs>
          <w:tab w:val="left" w:pos="710"/>
        </w:tabs>
        <w:spacing w:before="93" w:beforeLines="30" w:after="93" w:afterLines="30" w:line="360" w:lineRule="exact"/>
        <w:ind w:left="425" w:leftChars="0" w:right="-57" w:rightChars="-27" w:hanging="425" w:firstLineChars="0"/>
        <w:rPr>
          <w:rFonts w:cs="新宋体-18030"/>
          <w:sz w:val="24"/>
        </w:rPr>
      </w:pPr>
      <w:r>
        <w:rPr>
          <w:rFonts w:hint="eastAsia" w:cs="新宋体-18030"/>
          <w:sz w:val="24"/>
        </w:rPr>
        <w:t>乙方应按本合同的要求向甲方提交工作成果，包括：</w:t>
      </w:r>
      <w:r>
        <w:rPr>
          <w:rFonts w:hint="eastAsia" w:ascii="Times New Roman" w:hAnsi="Times New Roman" w:eastAsia="宋体" w:cs="Times New Roman"/>
          <w:sz w:val="24"/>
          <w:lang w:val="en-US" w:eastAsia="zh-CN"/>
        </w:rPr>
        <w:t>XXX</w:t>
      </w:r>
      <w:r>
        <w:rPr>
          <w:rFonts w:hint="eastAsia" w:cs="新宋体-18030"/>
          <w:sz w:val="24"/>
        </w:rPr>
        <w:t>。</w:t>
      </w:r>
    </w:p>
    <w:p>
      <w:pPr>
        <w:numPr>
          <w:ilvl w:val="1"/>
          <w:numId w:val="6"/>
        </w:numPr>
        <w:tabs>
          <w:tab w:val="left" w:pos="709"/>
        </w:tabs>
        <w:spacing w:before="93" w:beforeLines="30" w:after="93" w:afterLines="30" w:line="360" w:lineRule="exact"/>
        <w:ind w:left="425" w:leftChars="0" w:right="-57" w:rightChars="-27" w:hanging="425" w:firstLineChars="0"/>
        <w:rPr>
          <w:rFonts w:cs="新宋体-18030"/>
          <w:sz w:val="24"/>
        </w:rPr>
      </w:pPr>
      <w:r>
        <w:rPr>
          <w:rFonts w:hint="eastAsia" w:cs="新宋体-18030"/>
          <w:sz w:val="24"/>
        </w:rPr>
        <w:t>甲方收到乙方提交的工作成果后，应当通知乙方共同对工作成果进行验收。验收结束后，双方验收代表应当签署验收记录。验收记录格式</w:t>
      </w:r>
      <w:r>
        <w:rPr>
          <w:rFonts w:hint="eastAsia" w:cs="新宋体-18030"/>
          <w:sz w:val="24"/>
          <w:lang w:val="en-US" w:eastAsia="zh-CN"/>
        </w:rPr>
        <w:t>以验收单位</w:t>
      </w:r>
      <w:r>
        <w:rPr>
          <w:rFonts w:hint="eastAsia" w:cs="新宋体-18030"/>
          <w:sz w:val="24"/>
        </w:rPr>
        <w:t>格式</w:t>
      </w:r>
      <w:r>
        <w:rPr>
          <w:rFonts w:hint="eastAsia" w:cs="新宋体-18030"/>
          <w:sz w:val="24"/>
          <w:lang w:val="en-US" w:eastAsia="zh-CN"/>
        </w:rPr>
        <w:t>为准</w:t>
      </w:r>
      <w:r>
        <w:rPr>
          <w:rFonts w:hint="eastAsia" w:cs="新宋体-18030"/>
          <w:sz w:val="24"/>
        </w:rPr>
        <w:t>。</w:t>
      </w:r>
    </w:p>
    <w:p>
      <w:pPr>
        <w:numPr>
          <w:ilvl w:val="1"/>
          <w:numId w:val="6"/>
        </w:numPr>
        <w:tabs>
          <w:tab w:val="left" w:pos="710"/>
        </w:tabs>
        <w:spacing w:before="93" w:beforeLines="30" w:after="93" w:afterLines="30" w:line="360" w:lineRule="exact"/>
        <w:ind w:left="425" w:leftChars="0" w:right="-57" w:rightChars="-27" w:hanging="425" w:firstLineChars="0"/>
        <w:rPr>
          <w:rFonts w:cs="新宋体-18030"/>
          <w:sz w:val="24"/>
        </w:rPr>
      </w:pPr>
      <w:r>
        <w:rPr>
          <w:rFonts w:ascii="宋体" w:hAnsi="宋体"/>
          <w:bCs/>
          <w:sz w:val="24"/>
        </w:rPr>
        <w:t>如验收过程发现</w:t>
      </w:r>
      <w:r>
        <w:rPr>
          <w:rFonts w:hint="eastAsia" w:ascii="宋体" w:hAnsi="宋体"/>
          <w:bCs/>
          <w:sz w:val="24"/>
        </w:rPr>
        <w:t>乙方提供的技术服务</w:t>
      </w:r>
      <w:r>
        <w:rPr>
          <w:rFonts w:ascii="宋体" w:hAnsi="宋体"/>
          <w:bCs/>
          <w:sz w:val="24"/>
        </w:rPr>
        <w:t>工作存在</w:t>
      </w:r>
      <w:r>
        <w:rPr>
          <w:rFonts w:ascii="宋体" w:hAnsi="宋体"/>
          <w:sz w:val="24"/>
        </w:rPr>
        <w:t>缺陷、瑕疵、疏漏或不符合本合同的</w:t>
      </w:r>
      <w:r>
        <w:rPr>
          <w:rFonts w:hint="eastAsia" w:ascii="宋体" w:hAnsi="宋体"/>
          <w:sz w:val="24"/>
        </w:rPr>
        <w:t>约</w:t>
      </w:r>
      <w:r>
        <w:rPr>
          <w:rFonts w:ascii="宋体" w:hAnsi="宋体"/>
          <w:sz w:val="24"/>
        </w:rPr>
        <w:t>定，乙方应根据甲方的要求，立即采取一切必要、合理的</w:t>
      </w:r>
      <w:r>
        <w:rPr>
          <w:rFonts w:ascii="宋体" w:hAnsi="宋体"/>
          <w:color w:val="000000"/>
          <w:sz w:val="24"/>
        </w:rPr>
        <w:t>补救</w:t>
      </w:r>
      <w:r>
        <w:rPr>
          <w:rFonts w:ascii="宋体" w:hAnsi="宋体"/>
          <w:sz w:val="24"/>
        </w:rPr>
        <w:t>措施排除该等缺陷、瑕疵和疏漏。乙方应承担因此发生的一切费用。</w:t>
      </w:r>
    </w:p>
    <w:p>
      <w:pPr>
        <w:numPr>
          <w:ilvl w:val="1"/>
          <w:numId w:val="6"/>
        </w:numPr>
        <w:tabs>
          <w:tab w:val="left" w:pos="710"/>
        </w:tabs>
        <w:spacing w:before="93" w:beforeLines="30" w:after="93" w:afterLines="30" w:line="360" w:lineRule="exact"/>
        <w:ind w:left="425" w:leftChars="0" w:right="-57" w:rightChars="-27" w:hanging="425" w:firstLineChars="0"/>
        <w:rPr>
          <w:rFonts w:cs="新宋体-18030"/>
          <w:sz w:val="24"/>
        </w:rPr>
      </w:pPr>
      <w:r>
        <w:rPr>
          <w:rFonts w:hint="eastAsia" w:cs="新宋体-18030"/>
          <w:sz w:val="24"/>
        </w:rPr>
        <w:t>验收记录是乙方要求甲方支付服务费的必备付款凭证。</w:t>
      </w:r>
    </w:p>
    <w:p>
      <w:pPr>
        <w:numPr>
          <w:ilvl w:val="1"/>
          <w:numId w:val="6"/>
        </w:numPr>
        <w:tabs>
          <w:tab w:val="left" w:pos="710"/>
        </w:tabs>
        <w:spacing w:before="93" w:beforeLines="30" w:after="93" w:afterLines="30" w:line="360" w:lineRule="exact"/>
        <w:ind w:left="425" w:leftChars="0" w:right="-57" w:rightChars="-27" w:hanging="425" w:firstLineChars="0"/>
        <w:rPr>
          <w:rFonts w:cs="新宋体-18030"/>
          <w:sz w:val="24"/>
        </w:rPr>
      </w:pPr>
      <w:r>
        <w:rPr>
          <w:rFonts w:hint="eastAsia" w:ascii="宋体" w:hAnsi="宋体"/>
          <w:bCs/>
          <w:sz w:val="24"/>
        </w:rPr>
        <w:t>甲方验收乙方工作并不减少、免除乙方本合同项下的任何义务</w:t>
      </w:r>
      <w:r>
        <w:rPr>
          <w:rFonts w:hint="eastAsia" w:ascii="宋体" w:hAnsi="宋体"/>
          <w:sz w:val="24"/>
        </w:rPr>
        <w:t>（包括乙方对工作达到合同要求应承担的责任）。</w:t>
      </w:r>
    </w:p>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rPr>
        <w:t>服务费</w:t>
      </w:r>
    </w:p>
    <w:p>
      <w:pPr>
        <w:numPr>
          <w:ilvl w:val="0"/>
          <w:numId w:val="7"/>
        </w:numPr>
        <w:spacing w:before="93" w:beforeLines="30" w:after="93" w:afterLines="30" w:line="360" w:lineRule="exact"/>
        <w:ind w:right="-57" w:rightChars="-27"/>
        <w:rPr>
          <w:rFonts w:cs="Arial"/>
          <w:sz w:val="24"/>
        </w:rPr>
      </w:pPr>
      <w:r>
        <w:rPr>
          <w:rFonts w:hint="eastAsia" w:hAnsi="Garamond" w:cs="新宋体-18030"/>
          <w:sz w:val="24"/>
        </w:rPr>
        <w:t>本合同项下的服务费为</w:t>
      </w:r>
      <w:r>
        <w:rPr>
          <w:rFonts w:hAnsi="宋体"/>
          <w:i w:val="0"/>
          <w:iCs w:val="0"/>
          <w:sz w:val="24"/>
          <w:highlight w:val="none"/>
          <w:u w:val="single"/>
        </w:rPr>
        <w:t>RMB</w:t>
      </w:r>
      <w:r>
        <w:rPr>
          <w:rFonts w:hint="eastAsia" w:hAnsi="宋体"/>
          <w:i w:val="0"/>
          <w:iCs w:val="0"/>
          <w:sz w:val="24"/>
          <w:highlight w:val="none"/>
          <w:u w:val="single"/>
          <w:lang w:val="en-US" w:eastAsia="zh-CN"/>
        </w:rPr>
        <w:t>XXX</w:t>
      </w:r>
      <w:r>
        <w:rPr>
          <w:rFonts w:hint="eastAsia" w:hAnsi="宋体"/>
          <w:i w:val="0"/>
          <w:iCs w:val="0"/>
          <w:sz w:val="24"/>
          <w:highlight w:val="none"/>
          <w:lang w:val="en-US" w:eastAsia="zh-CN"/>
        </w:rPr>
        <w:t>元</w:t>
      </w:r>
      <w:r>
        <w:rPr>
          <w:rFonts w:hint="eastAsia" w:hAnsi="宋体"/>
          <w:sz w:val="24"/>
        </w:rPr>
        <w:t>（大写：</w:t>
      </w:r>
      <w:r>
        <w:rPr>
          <w:rFonts w:hint="eastAsia" w:hAnsi="宋体"/>
          <w:i w:val="0"/>
          <w:iCs w:val="0"/>
          <w:sz w:val="24"/>
          <w:highlight w:val="none"/>
          <w:u w:val="single"/>
          <w:lang w:val="en-US" w:eastAsia="zh-CN"/>
        </w:rPr>
        <w:t>人民币XXX元整</w:t>
      </w:r>
      <w:r>
        <w:rPr>
          <w:rFonts w:hint="eastAsia" w:hAnsi="宋体"/>
          <w:sz w:val="24"/>
        </w:rPr>
        <w:t>），服务费为</w:t>
      </w:r>
      <w:r>
        <w:rPr>
          <w:rFonts w:hint="eastAsia" w:hAnsi="Garamond" w:cs="新宋体-18030"/>
          <w:sz w:val="24"/>
        </w:rPr>
        <w:t>含税价格（包括增值税）。</w:t>
      </w:r>
      <w:r>
        <w:rPr>
          <w:rFonts w:hint="eastAsia" w:ascii="宋体" w:hAnsi="宋体"/>
          <w:sz w:val="24"/>
        </w:rPr>
        <w:t>其中，</w:t>
      </w:r>
      <w:r>
        <w:rPr>
          <w:rFonts w:ascii="宋体" w:hAnsi="宋体"/>
          <w:sz w:val="24"/>
        </w:rPr>
        <w:t>不含增值税</w:t>
      </w:r>
      <w:r>
        <w:rPr>
          <w:rFonts w:hint="eastAsia" w:ascii="宋体" w:hAnsi="宋体"/>
          <w:sz w:val="24"/>
        </w:rPr>
        <w:t>服务费</w:t>
      </w:r>
      <w:r>
        <w:rPr>
          <w:rFonts w:ascii="宋体" w:hAnsi="宋体"/>
          <w:sz w:val="24"/>
        </w:rPr>
        <w:t>为人民币</w:t>
      </w:r>
      <w:r>
        <w:rPr>
          <w:rFonts w:hAnsi="宋体"/>
          <w:i w:val="0"/>
          <w:iCs w:val="0"/>
          <w:sz w:val="24"/>
          <w:highlight w:val="none"/>
          <w:u w:val="single"/>
        </w:rPr>
        <w:t>RMB</w:t>
      </w:r>
      <w:r>
        <w:rPr>
          <w:rFonts w:hint="eastAsia" w:hAnsi="宋体"/>
          <w:i w:val="0"/>
          <w:iCs w:val="0"/>
          <w:sz w:val="24"/>
          <w:highlight w:val="none"/>
          <w:u w:val="single"/>
          <w:lang w:val="en-US" w:eastAsia="zh-CN"/>
        </w:rPr>
        <w:t>XXX</w:t>
      </w:r>
      <w:r>
        <w:rPr>
          <w:rFonts w:hint="eastAsia" w:hAnsi="宋体"/>
          <w:i w:val="0"/>
          <w:iCs w:val="0"/>
          <w:sz w:val="24"/>
          <w:highlight w:val="none"/>
          <w:lang w:val="en-US" w:eastAsia="zh-CN"/>
        </w:rPr>
        <w:t>元</w:t>
      </w:r>
      <w:r>
        <w:rPr>
          <w:rFonts w:hint="eastAsia" w:hAnsi="宋体"/>
          <w:sz w:val="24"/>
        </w:rPr>
        <w:t>（大写：</w:t>
      </w:r>
      <w:r>
        <w:rPr>
          <w:rFonts w:hint="eastAsia" w:hAnsi="宋体"/>
          <w:i w:val="0"/>
          <w:iCs w:val="0"/>
          <w:sz w:val="24"/>
          <w:highlight w:val="none"/>
          <w:u w:val="single"/>
          <w:lang w:val="en-US" w:eastAsia="zh-CN"/>
        </w:rPr>
        <w:t>人民币XXX元整</w:t>
      </w:r>
      <w:r>
        <w:rPr>
          <w:rFonts w:hint="eastAsia" w:hAnsi="宋体"/>
          <w:sz w:val="24"/>
        </w:rPr>
        <w:t>）</w:t>
      </w:r>
      <w:r>
        <w:rPr>
          <w:rFonts w:ascii="宋体" w:hAnsi="宋体"/>
          <w:sz w:val="24"/>
        </w:rPr>
        <w:t>，增值税税率为</w:t>
      </w:r>
      <w:r>
        <w:rPr>
          <w:rFonts w:hint="eastAsia" w:ascii="Times New Roman" w:hAnsi="Times New Roman" w:eastAsia="宋体" w:cs="Times New Roman"/>
          <w:sz w:val="24"/>
          <w:lang w:val="en-US" w:eastAsia="zh-CN"/>
        </w:rPr>
        <w:t>XX</w:t>
      </w:r>
      <w:r>
        <w:rPr>
          <w:rFonts w:ascii="宋体" w:hAnsi="宋体"/>
          <w:sz w:val="24"/>
        </w:rPr>
        <w:t>%</w:t>
      </w:r>
      <w:r>
        <w:rPr>
          <w:rFonts w:hAnsi="Garamond" w:cs="新宋体-18030"/>
          <w:sz w:val="24"/>
        </w:rPr>
        <w:t>。</w:t>
      </w:r>
      <w:r>
        <w:rPr>
          <w:rFonts w:hint="eastAsia" w:hAnsi="Garamond" w:cs="新宋体-18030"/>
          <w:sz w:val="24"/>
        </w:rPr>
        <w:t>具体</w:t>
      </w:r>
      <w:r>
        <w:rPr>
          <w:rFonts w:hAnsi="Garamond" w:cs="新宋体-18030"/>
          <w:sz w:val="24"/>
        </w:rPr>
        <w:t>费用及费率</w:t>
      </w:r>
      <w:r>
        <w:rPr>
          <w:rFonts w:hint="eastAsia" w:hAnsi="Garamond" w:cs="新宋体-18030"/>
          <w:sz w:val="24"/>
          <w:lang w:val="en-US" w:eastAsia="zh-CN"/>
        </w:rPr>
        <w:t>明细</w:t>
      </w:r>
      <w:r>
        <w:rPr>
          <w:rFonts w:hint="eastAsia" w:ascii="宋体" w:hAnsi="宋体"/>
          <w:sz w:val="24"/>
          <w:lang w:val="en-US" w:eastAsia="zh-CN"/>
        </w:rPr>
        <w:t>详见本合同附件二</w:t>
      </w:r>
      <w:r>
        <w:rPr>
          <w:rFonts w:hint="eastAsia" w:hAnsi="Garamond" w:cs="新宋体-18030"/>
          <w:sz w:val="24"/>
        </w:rPr>
        <w:t>。服务费为乙方提供本合同项下技术服务及完整履行本合同后甲方应支付的全部金额。</w:t>
      </w:r>
    </w:p>
    <w:p>
      <w:pPr>
        <w:numPr>
          <w:ilvl w:val="0"/>
          <w:numId w:val="7"/>
        </w:numPr>
        <w:spacing w:before="93" w:beforeLines="30" w:after="93" w:afterLines="30" w:line="360" w:lineRule="exact"/>
        <w:ind w:right="-57" w:rightChars="-27"/>
        <w:rPr>
          <w:rFonts w:hAnsi="Garamond" w:cs="新宋体-18030"/>
          <w:sz w:val="24"/>
        </w:rPr>
      </w:pPr>
      <w:r>
        <w:rPr>
          <w:rFonts w:hAnsi="Garamond" w:cs="新宋体-18030"/>
          <w:sz w:val="24"/>
        </w:rPr>
        <w:t>前款约定的</w:t>
      </w:r>
      <w:r>
        <w:rPr>
          <w:rFonts w:hint="eastAsia" w:hAnsi="Garamond" w:cs="新宋体-18030"/>
          <w:sz w:val="24"/>
        </w:rPr>
        <w:t>服务费</w:t>
      </w:r>
      <w:r>
        <w:rPr>
          <w:rFonts w:hAnsi="Garamond" w:cs="新宋体-18030"/>
          <w:sz w:val="24"/>
        </w:rPr>
        <w:t>已经包括</w:t>
      </w:r>
      <w:r>
        <w:rPr>
          <w:rFonts w:hint="eastAsia" w:hAnsi="Garamond" w:cs="新宋体-18030"/>
          <w:sz w:val="24"/>
        </w:rPr>
        <w:t>税费（包括但不限于增值税）、保险费用、设备工具使用成本、人员劳务费用支出等乙方履行本合同所支出的所有成本、应获得的利润和承担的风险及技术服务过程中可能产生的其它费用等。</w:t>
      </w:r>
      <w:r>
        <w:rPr>
          <w:rFonts w:hint="eastAsia" w:hAnsi="宋体"/>
          <w:sz w:val="24"/>
        </w:rPr>
        <w:t>除非根据本合同规定或国家增值税税率调整引起服务费调整外</w:t>
      </w:r>
      <w:r>
        <w:rPr>
          <w:rFonts w:hint="eastAsia"/>
          <w:sz w:val="24"/>
        </w:rPr>
        <w:t>，</w:t>
      </w:r>
      <w:r>
        <w:rPr>
          <w:rFonts w:hint="eastAsia" w:hAnsi="Garamond" w:cs="新宋体-18030"/>
          <w:sz w:val="24"/>
        </w:rPr>
        <w:t>服务费的数额</w:t>
      </w:r>
      <w:r>
        <w:rPr>
          <w:rFonts w:hAnsi="Garamond" w:cs="新宋体-18030"/>
          <w:sz w:val="24"/>
        </w:rPr>
        <w:t>不受通货膨胀、</w:t>
      </w:r>
      <w:r>
        <w:rPr>
          <w:rFonts w:hint="eastAsia" w:hAnsi="Garamond" w:cs="新宋体-18030"/>
          <w:sz w:val="24"/>
        </w:rPr>
        <w:t>汇率波动及其它</w:t>
      </w:r>
      <w:r>
        <w:rPr>
          <w:rFonts w:hAnsi="Garamond" w:cs="新宋体-18030"/>
          <w:sz w:val="24"/>
        </w:rPr>
        <w:t>因素变化的影响。</w:t>
      </w:r>
      <w:r>
        <w:rPr>
          <w:sz w:val="24"/>
        </w:rPr>
        <w:t>为免疑义，如果增值税税率因国家增值税税率调整而发生变化，</w:t>
      </w:r>
      <w:r>
        <w:rPr>
          <w:rFonts w:hint="eastAsia"/>
          <w:sz w:val="24"/>
        </w:rPr>
        <w:t>服务费</w:t>
      </w:r>
      <w:r>
        <w:rPr>
          <w:sz w:val="24"/>
        </w:rPr>
        <w:t>自动调整，但不含增值税的</w:t>
      </w:r>
      <w:r>
        <w:rPr>
          <w:rFonts w:hint="eastAsia"/>
          <w:sz w:val="24"/>
        </w:rPr>
        <w:t>服务费</w:t>
      </w:r>
      <w:r>
        <w:rPr>
          <w:sz w:val="24"/>
        </w:rPr>
        <w:t>保持不变。</w:t>
      </w:r>
    </w:p>
    <w:p>
      <w:pPr>
        <w:numPr>
          <w:ilvl w:val="0"/>
          <w:numId w:val="7"/>
        </w:numPr>
        <w:tabs>
          <w:tab w:val="left" w:pos="709"/>
          <w:tab w:val="clear" w:pos="0"/>
        </w:tabs>
        <w:spacing w:before="93" w:beforeLines="30" w:after="93" w:afterLines="30" w:line="360" w:lineRule="exact"/>
        <w:ind w:left="709" w:right="-57" w:rightChars="-27" w:hanging="709"/>
        <w:rPr>
          <w:sz w:val="24"/>
        </w:rPr>
      </w:pPr>
      <w:r>
        <w:rPr>
          <w:rFonts w:hAnsi="宋体"/>
          <w:spacing w:val="-2"/>
          <w:sz w:val="24"/>
        </w:rPr>
        <w:t>乙方</w:t>
      </w:r>
      <w:r>
        <w:rPr>
          <w:rFonts w:hint="eastAsia" w:hAnsi="宋体"/>
          <w:spacing w:val="-2"/>
          <w:sz w:val="24"/>
        </w:rPr>
        <w:t>应自行承担因履行本合同应当缴纳</w:t>
      </w:r>
      <w:r>
        <w:rPr>
          <w:rFonts w:hAnsi="宋体"/>
          <w:spacing w:val="-2"/>
          <w:sz w:val="24"/>
        </w:rPr>
        <w:t>的</w:t>
      </w:r>
      <w:r>
        <w:rPr>
          <w:rFonts w:hint="eastAsia" w:hAnsi="宋体"/>
          <w:spacing w:val="-2"/>
          <w:sz w:val="24"/>
        </w:rPr>
        <w:t>各项</w:t>
      </w:r>
      <w:r>
        <w:rPr>
          <w:rFonts w:hAnsi="宋体"/>
          <w:spacing w:val="-2"/>
          <w:sz w:val="24"/>
        </w:rPr>
        <w:t>税费，并保障甲方不因乙方未</w:t>
      </w:r>
      <w:r>
        <w:rPr>
          <w:rFonts w:hint="eastAsia" w:hAnsi="宋体"/>
          <w:spacing w:val="-2"/>
          <w:sz w:val="24"/>
        </w:rPr>
        <w:t>缴</w:t>
      </w:r>
      <w:r>
        <w:rPr>
          <w:rFonts w:hAnsi="宋体"/>
          <w:spacing w:val="-2"/>
          <w:sz w:val="24"/>
        </w:rPr>
        <w:t>纳或未足额缴纳税费而受到</w:t>
      </w:r>
      <w:r>
        <w:rPr>
          <w:rFonts w:hAnsi="宋体"/>
          <w:sz w:val="24"/>
        </w:rPr>
        <w:t>任何影响。</w:t>
      </w:r>
    </w:p>
    <w:p>
      <w:pPr>
        <w:numPr>
          <w:ilvl w:val="0"/>
          <w:numId w:val="3"/>
        </w:numPr>
        <w:tabs>
          <w:tab w:val="left" w:pos="710"/>
          <w:tab w:val="clear" w:pos="960"/>
        </w:tabs>
        <w:spacing w:before="93" w:beforeLines="30" w:after="93" w:afterLines="30"/>
        <w:ind w:left="709" w:right="-57" w:rightChars="-27" w:hanging="709"/>
        <w:outlineLvl w:val="0"/>
        <w:rPr>
          <w:rFonts w:hAnsi="Garamond" w:cs="新宋体-18030"/>
          <w:sz w:val="24"/>
        </w:rPr>
      </w:pPr>
      <w:r>
        <w:rPr>
          <w:rFonts w:hint="eastAsia" w:hAnsi="Garamond" w:cs="新宋体-18030"/>
          <w:b/>
          <w:sz w:val="24"/>
        </w:rPr>
        <w:t>付款</w:t>
      </w:r>
    </w:p>
    <w:p>
      <w:pPr>
        <w:numPr>
          <w:ilvl w:val="0"/>
          <w:numId w:val="8"/>
        </w:numPr>
        <w:tabs>
          <w:tab w:val="left" w:pos="709"/>
        </w:tabs>
        <w:spacing w:before="93" w:beforeLines="30" w:after="93" w:afterLines="30"/>
        <w:ind w:left="709" w:right="-57" w:rightChars="-27" w:hanging="709"/>
        <w:rPr>
          <w:rFonts w:cs="新宋体-18030" w:asciiTheme="minorEastAsia" w:hAnsiTheme="minorEastAsia" w:eastAsiaTheme="minorEastAsia"/>
          <w:sz w:val="24"/>
        </w:rPr>
      </w:pPr>
      <w:r>
        <w:rPr>
          <w:rFonts w:hint="eastAsia" w:cs="新宋体-18030" w:asciiTheme="minorEastAsia" w:hAnsiTheme="minorEastAsia" w:eastAsiaTheme="minorEastAsia"/>
          <w:sz w:val="24"/>
        </w:rPr>
        <w:t>支付货币</w:t>
      </w:r>
      <w:r>
        <w:rPr>
          <w:rFonts w:hint="eastAsia" w:cs="新宋体-18030" w:asciiTheme="minorEastAsia" w:hAnsiTheme="minorEastAsia" w:eastAsiaTheme="minorEastAsia"/>
          <w:sz w:val="24"/>
          <w:lang w:eastAsia="zh-CN"/>
        </w:rPr>
        <w:t>：</w:t>
      </w:r>
      <w:r>
        <w:rPr>
          <w:rFonts w:hint="eastAsia" w:cs="新宋体-18030" w:asciiTheme="minorEastAsia" w:hAnsiTheme="minorEastAsia" w:eastAsiaTheme="minorEastAsia"/>
          <w:sz w:val="24"/>
        </w:rPr>
        <w:t>本合同项下的所有应付款项均应以人民币支付</w:t>
      </w:r>
      <w:r>
        <w:rPr>
          <w:rFonts w:hint="eastAsia" w:cs="新宋体-18030" w:asciiTheme="minorEastAsia" w:hAnsiTheme="minorEastAsia" w:eastAsiaTheme="minorEastAsia"/>
          <w:sz w:val="24"/>
          <w:lang w:eastAsia="zh-CN"/>
        </w:rPr>
        <w:t>。</w:t>
      </w:r>
    </w:p>
    <w:p>
      <w:pPr>
        <w:numPr>
          <w:ilvl w:val="0"/>
          <w:numId w:val="8"/>
        </w:numPr>
        <w:tabs>
          <w:tab w:val="left" w:pos="709"/>
        </w:tabs>
        <w:spacing w:before="93" w:beforeLines="30" w:after="93" w:afterLines="30"/>
        <w:ind w:left="709" w:right="-57" w:rightChars="-27" w:hanging="709"/>
        <w:rPr>
          <w:rFonts w:cs="新宋体-18030"/>
          <w:sz w:val="24"/>
        </w:rPr>
      </w:pPr>
      <w:r>
        <w:rPr>
          <w:rFonts w:hint="eastAsia" w:cs="新宋体-18030"/>
          <w:sz w:val="24"/>
        </w:rPr>
        <w:t>付款方式：</w:t>
      </w:r>
      <w:r>
        <w:rPr>
          <w:rFonts w:hint="eastAsia" w:cs="新宋体-18030"/>
          <w:sz w:val="24"/>
          <w:highlight w:val="none"/>
        </w:rPr>
        <w:t>银行电汇</w:t>
      </w:r>
      <w:r>
        <w:rPr>
          <w:rFonts w:hint="eastAsia" w:cs="新宋体-18030"/>
          <w:sz w:val="24"/>
          <w:highlight w:val="none"/>
          <w:lang w:eastAsia="zh-CN"/>
        </w:rPr>
        <w:t>。</w:t>
      </w:r>
    </w:p>
    <w:p>
      <w:pPr>
        <w:numPr>
          <w:ilvl w:val="0"/>
          <w:numId w:val="8"/>
        </w:numPr>
        <w:tabs>
          <w:tab w:val="left" w:pos="709"/>
        </w:tabs>
        <w:spacing w:before="93" w:beforeLines="30" w:after="93" w:afterLines="30" w:line="360" w:lineRule="exact"/>
        <w:ind w:left="709" w:right="-57" w:rightChars="-27" w:hanging="709"/>
        <w:rPr>
          <w:rFonts w:cs="新宋体-18030"/>
          <w:sz w:val="24"/>
        </w:rPr>
      </w:pPr>
      <w:r>
        <w:rPr>
          <w:rFonts w:hint="eastAsia" w:hAnsi="Garamond" w:cs="新宋体-18030"/>
          <w:sz w:val="24"/>
        </w:rPr>
        <w:t>付款进度：</w:t>
      </w:r>
      <w:r>
        <w:rPr>
          <w:rFonts w:hint="eastAsia" w:hAnsi="Garamond" w:cs="新宋体-18030"/>
          <w:sz w:val="24"/>
          <w:lang w:val="en-US" w:eastAsia="zh-CN"/>
        </w:rPr>
        <w:t>本合同不支付预付款，完工验收合格后支付97%合同价款，质保期满且验收合格后支付3%质保金</w:t>
      </w:r>
      <w:bookmarkStart w:id="0" w:name="_GoBack"/>
      <w:bookmarkEnd w:id="0"/>
      <w:r>
        <w:rPr>
          <w:rFonts w:hint="eastAsia"/>
          <w:sz w:val="24"/>
        </w:rPr>
        <w:t>。</w:t>
      </w:r>
    </w:p>
    <w:p>
      <w:pPr>
        <w:numPr>
          <w:ilvl w:val="0"/>
          <w:numId w:val="8"/>
        </w:numPr>
        <w:tabs>
          <w:tab w:val="left" w:pos="709"/>
        </w:tabs>
        <w:spacing w:before="93" w:beforeLines="30" w:after="93" w:afterLines="30" w:line="360" w:lineRule="exact"/>
        <w:ind w:left="709" w:right="-57" w:rightChars="-27" w:hanging="709"/>
        <w:rPr>
          <w:sz w:val="24"/>
        </w:rPr>
      </w:pPr>
      <w:r>
        <w:rPr>
          <w:rFonts w:hint="eastAsia" w:cs="新宋体-18030"/>
          <w:sz w:val="24"/>
        </w:rPr>
        <w:t>乙方应根据本合同约定的付款条件和进度，提前</w:t>
      </w:r>
      <w:r>
        <w:rPr>
          <w:rFonts w:hint="eastAsia"/>
          <w:sz w:val="24"/>
        </w:rPr>
        <w:t>向甲方</w:t>
      </w:r>
      <w:r>
        <w:rPr>
          <w:sz w:val="24"/>
        </w:rPr>
        <w:t>开具</w:t>
      </w:r>
      <w:r>
        <w:rPr>
          <w:rFonts w:hint="eastAsia"/>
          <w:sz w:val="24"/>
        </w:rPr>
        <w:t>符合中国法律法规要求的</w:t>
      </w:r>
      <w:r>
        <w:rPr>
          <w:sz w:val="24"/>
        </w:rPr>
        <w:t>发票</w:t>
      </w:r>
      <w:r>
        <w:rPr>
          <w:rFonts w:hint="eastAsia"/>
          <w:sz w:val="24"/>
        </w:rPr>
        <w:t>并提交支持文件</w:t>
      </w:r>
      <w:r>
        <w:rPr>
          <w:sz w:val="24"/>
        </w:rPr>
        <w:t>。</w:t>
      </w:r>
      <w:r>
        <w:rPr>
          <w:rFonts w:hint="eastAsia"/>
          <w:sz w:val="24"/>
        </w:rPr>
        <w:t>如乙方提供的服务属于增值税应税范围，乙方应为甲方开具增值税专用发票。如乙方未根据前述约定开具发票并提供相关支持文件，甲方有权拒付相关服务费。</w:t>
      </w:r>
      <w:r>
        <w:rPr>
          <w:rFonts w:hint="eastAsia" w:ascii="宋体" w:hAnsi="宋体"/>
          <w:color w:val="000000"/>
          <w:sz w:val="24"/>
        </w:rPr>
        <w:t>如果甲方对乙方出具的该等发票和提供的相关支持文件无异议，应于收到该等发票和相关支持文件之日起</w:t>
      </w:r>
      <w:r>
        <w:rPr>
          <w:rFonts w:hint="eastAsia" w:ascii="宋体" w:hAnsi="宋体"/>
          <w:color w:val="000000"/>
          <w:sz w:val="24"/>
          <w:highlight w:val="none"/>
          <w:lang w:val="en-US" w:eastAsia="zh-CN"/>
        </w:rPr>
        <w:t>20</w:t>
      </w:r>
      <w:r>
        <w:rPr>
          <w:rFonts w:hint="eastAsia" w:ascii="宋体" w:hAnsi="宋体"/>
          <w:color w:val="000000"/>
          <w:sz w:val="24"/>
        </w:rPr>
        <w:t>日内向乙方付款。</w:t>
      </w:r>
      <w:r>
        <w:rPr>
          <w:color w:val="000000"/>
          <w:sz w:val="24"/>
        </w:rPr>
        <w:t>如付款到期日非为银行工作日，则付款到期日顺延至下一个银行工作日。</w:t>
      </w:r>
      <w:r>
        <w:rPr>
          <w:rFonts w:hint="eastAsia"/>
          <w:sz w:val="24"/>
        </w:rPr>
        <w:t>如甲方对乙方开具的该等发票和相关支持文件有异议，应于收到发票及相关支持文件后</w:t>
      </w:r>
      <w:r>
        <w:rPr>
          <w:rFonts w:hint="eastAsia" w:ascii="宋体" w:hAnsi="宋体"/>
          <w:color w:val="000000"/>
          <w:sz w:val="24"/>
          <w:highlight w:val="none"/>
          <w:lang w:val="en-US" w:eastAsia="zh-CN"/>
        </w:rPr>
        <w:t>20</w:t>
      </w:r>
      <w:r>
        <w:rPr>
          <w:rFonts w:hint="eastAsia"/>
          <w:sz w:val="24"/>
        </w:rPr>
        <w:t>日内通知乙方，乙方应重新开具发票和相关支持文件</w:t>
      </w:r>
      <w:r>
        <w:rPr>
          <w:rFonts w:hint="eastAsia" w:hAnsi="宋体"/>
          <w:sz w:val="24"/>
        </w:rPr>
        <w:t>，</w:t>
      </w:r>
      <w:r>
        <w:rPr>
          <w:color w:val="000000"/>
          <w:sz w:val="24"/>
        </w:rPr>
        <w:t>甲方应于收到乙方重新开具的发票和相关支持文件后</w:t>
      </w:r>
      <w:r>
        <w:rPr>
          <w:rFonts w:hint="eastAsia" w:ascii="宋体" w:hAnsi="宋体"/>
          <w:color w:val="000000"/>
          <w:sz w:val="24"/>
          <w:highlight w:val="none"/>
          <w:lang w:val="en-US" w:eastAsia="zh-CN"/>
        </w:rPr>
        <w:t>20</w:t>
      </w:r>
      <w:r>
        <w:rPr>
          <w:color w:val="000000"/>
          <w:sz w:val="24"/>
        </w:rPr>
        <w:t>日内向乙方付款</w:t>
      </w:r>
      <w:r>
        <w:rPr>
          <w:rFonts w:hint="eastAsia" w:ascii="宋体" w:hAnsi="宋体"/>
          <w:color w:val="000000"/>
          <w:sz w:val="24"/>
        </w:rPr>
        <w:t>。</w:t>
      </w:r>
    </w:p>
    <w:p>
      <w:pPr>
        <w:numPr>
          <w:ilvl w:val="0"/>
          <w:numId w:val="8"/>
        </w:numPr>
        <w:tabs>
          <w:tab w:val="left" w:pos="709"/>
        </w:tabs>
        <w:spacing w:before="93" w:beforeLines="30" w:after="93" w:afterLines="30" w:line="360" w:lineRule="exact"/>
        <w:ind w:left="709" w:right="-57" w:rightChars="-27" w:hanging="709"/>
        <w:rPr>
          <w:rFonts w:cs="新宋体-18030"/>
          <w:sz w:val="24"/>
        </w:rPr>
      </w:pPr>
      <w:r>
        <w:rPr>
          <w:rFonts w:cs="新宋体-18030"/>
          <w:sz w:val="24"/>
        </w:rPr>
        <w:t>甲方或甲方指定的第三方将应付款支付至乙方指定的如下银行账户：</w:t>
      </w:r>
    </w:p>
    <w:p>
      <w:pPr>
        <w:tabs>
          <w:tab w:val="left" w:pos="709"/>
        </w:tabs>
        <w:spacing w:before="93" w:beforeLines="30" w:after="93" w:afterLines="30" w:line="360" w:lineRule="exact"/>
        <w:ind w:left="709" w:right="-57" w:rightChars="-27"/>
        <w:rPr>
          <w:sz w:val="24"/>
          <w:highlight w:val="none"/>
        </w:rPr>
      </w:pPr>
      <w:r>
        <w:rPr>
          <w:rFonts w:hint="eastAsia"/>
          <w:sz w:val="24"/>
          <w:highlight w:val="none"/>
        </w:rPr>
        <w:t>乙方</w:t>
      </w:r>
      <w:r>
        <w:rPr>
          <w:sz w:val="24"/>
          <w:highlight w:val="none"/>
        </w:rPr>
        <w:t>名称：__________________</w:t>
      </w:r>
    </w:p>
    <w:p>
      <w:pPr>
        <w:tabs>
          <w:tab w:val="left" w:pos="709"/>
        </w:tabs>
        <w:spacing w:before="93" w:beforeLines="30" w:after="93" w:afterLines="30" w:line="360" w:lineRule="exact"/>
        <w:ind w:left="709" w:right="-57" w:rightChars="-27"/>
        <w:rPr>
          <w:rFonts w:cs="新宋体-18030"/>
          <w:sz w:val="24"/>
          <w:highlight w:val="none"/>
        </w:rPr>
      </w:pPr>
      <w:r>
        <w:rPr>
          <w:rFonts w:hint="eastAsia"/>
          <w:sz w:val="24"/>
          <w:highlight w:val="none"/>
        </w:rPr>
        <w:t>乙方账号</w:t>
      </w:r>
      <w:r>
        <w:rPr>
          <w:sz w:val="24"/>
          <w:highlight w:val="none"/>
        </w:rPr>
        <w:t>：__________________</w:t>
      </w:r>
    </w:p>
    <w:p>
      <w:pPr>
        <w:tabs>
          <w:tab w:val="left" w:pos="709"/>
        </w:tabs>
        <w:spacing w:before="93" w:beforeLines="30" w:after="93" w:afterLines="30" w:line="360" w:lineRule="exact"/>
        <w:ind w:left="709" w:right="-57" w:rightChars="-27"/>
        <w:rPr>
          <w:sz w:val="24"/>
          <w:highlight w:val="none"/>
        </w:rPr>
      </w:pPr>
      <w:r>
        <w:rPr>
          <w:rFonts w:hint="eastAsia"/>
          <w:sz w:val="24"/>
          <w:highlight w:val="none"/>
        </w:rPr>
        <w:t>开户行名称</w:t>
      </w:r>
      <w:r>
        <w:rPr>
          <w:sz w:val="24"/>
          <w:highlight w:val="none"/>
        </w:rPr>
        <w:t>：________________</w:t>
      </w:r>
    </w:p>
    <w:p>
      <w:pPr>
        <w:tabs>
          <w:tab w:val="left" w:pos="709"/>
        </w:tabs>
        <w:spacing w:before="93" w:beforeLines="30" w:after="93" w:afterLines="30" w:line="360" w:lineRule="exact"/>
        <w:ind w:left="709" w:right="-57" w:rightChars="-27"/>
        <w:rPr>
          <w:sz w:val="24"/>
          <w:highlight w:val="none"/>
        </w:rPr>
      </w:pPr>
      <w:r>
        <w:rPr>
          <w:rFonts w:hint="eastAsia"/>
          <w:sz w:val="24"/>
          <w:highlight w:val="none"/>
        </w:rPr>
        <w:t>开户行地址：</w:t>
      </w:r>
      <w:r>
        <w:rPr>
          <w:sz w:val="24"/>
          <w:highlight w:val="none"/>
        </w:rPr>
        <w:t>________________</w:t>
      </w:r>
    </w:p>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rPr>
        <w:t>监督检查</w:t>
      </w:r>
    </w:p>
    <w:p>
      <w:pPr>
        <w:numPr>
          <w:ilvl w:val="1"/>
          <w:numId w:val="9"/>
        </w:numPr>
        <w:adjustRightInd w:val="0"/>
        <w:snapToGrid w:val="0"/>
        <w:spacing w:before="93" w:beforeLines="30" w:after="93" w:afterLines="30" w:line="360" w:lineRule="exact"/>
        <w:ind w:left="709" w:hanging="709"/>
        <w:rPr>
          <w:rFonts w:ascii="宋体" w:hAnsi="宋体"/>
          <w:sz w:val="24"/>
        </w:rPr>
      </w:pPr>
      <w:r>
        <w:rPr>
          <w:rFonts w:ascii="宋体" w:hAnsi="宋体"/>
          <w:sz w:val="24"/>
        </w:rPr>
        <w:t>甲方或其聘任的</w:t>
      </w:r>
      <w:r>
        <w:rPr>
          <w:rFonts w:hint="eastAsia" w:ascii="宋体" w:hAnsi="宋体"/>
          <w:sz w:val="24"/>
        </w:rPr>
        <w:t>任何甲方和乙方以外的自然人、法人、机构、组织、单位、 实体等（“</w:t>
      </w:r>
      <w:r>
        <w:rPr>
          <w:rFonts w:ascii="宋体" w:hAnsi="宋体"/>
          <w:sz w:val="24"/>
        </w:rPr>
        <w:t>第三方</w:t>
      </w:r>
      <w:r>
        <w:rPr>
          <w:rFonts w:hint="eastAsia" w:ascii="宋体" w:hAnsi="宋体"/>
          <w:sz w:val="24"/>
        </w:rPr>
        <w:t>”）</w:t>
      </w:r>
      <w:r>
        <w:rPr>
          <w:rFonts w:ascii="宋体" w:hAnsi="宋体"/>
          <w:sz w:val="24"/>
        </w:rPr>
        <w:t>有权（包括进入乙方工作场地）对乙方工作进度、质量、安全等进行监督和检查。</w:t>
      </w:r>
    </w:p>
    <w:p>
      <w:pPr>
        <w:numPr>
          <w:ilvl w:val="1"/>
          <w:numId w:val="9"/>
        </w:numPr>
        <w:tabs>
          <w:tab w:val="left" w:pos="709"/>
        </w:tabs>
        <w:adjustRightInd w:val="0"/>
        <w:snapToGrid w:val="0"/>
        <w:spacing w:before="93" w:beforeLines="30" w:after="93" w:afterLines="30" w:line="360" w:lineRule="exact"/>
        <w:ind w:left="709" w:hanging="709"/>
        <w:rPr>
          <w:rFonts w:ascii="宋体" w:hAnsi="宋体"/>
          <w:sz w:val="24"/>
        </w:rPr>
      </w:pPr>
      <w:r>
        <w:rPr>
          <w:rFonts w:ascii="宋体" w:hAnsi="宋体"/>
          <w:sz w:val="24"/>
        </w:rPr>
        <w:t>乙方应</w:t>
      </w:r>
      <w:r>
        <w:rPr>
          <w:rFonts w:hint="eastAsia" w:ascii="宋体" w:hAnsi="宋体"/>
          <w:sz w:val="24"/>
        </w:rPr>
        <w:t>积极</w:t>
      </w:r>
      <w:r>
        <w:rPr>
          <w:rFonts w:ascii="宋体" w:hAnsi="宋体"/>
          <w:sz w:val="24"/>
        </w:rPr>
        <w:t>配合甲方</w:t>
      </w:r>
      <w:r>
        <w:rPr>
          <w:rFonts w:hint="eastAsia" w:ascii="宋体" w:hAnsi="宋体"/>
          <w:sz w:val="24"/>
        </w:rPr>
        <w:t>或其聘任的第三方</w:t>
      </w:r>
      <w:r>
        <w:rPr>
          <w:rFonts w:ascii="宋体" w:hAnsi="宋体"/>
          <w:sz w:val="24"/>
        </w:rPr>
        <w:t>的</w:t>
      </w:r>
      <w:r>
        <w:rPr>
          <w:rFonts w:hint="eastAsia" w:ascii="宋体" w:hAnsi="宋体"/>
          <w:sz w:val="24"/>
        </w:rPr>
        <w:t>监督检查，确保甲方及其聘任的第三方人员有权及时进入相关场地，并</w:t>
      </w:r>
      <w:r>
        <w:rPr>
          <w:rFonts w:ascii="宋体" w:hAnsi="宋体"/>
          <w:sz w:val="24"/>
        </w:rPr>
        <w:t>为</w:t>
      </w:r>
      <w:r>
        <w:rPr>
          <w:rFonts w:hint="eastAsia" w:ascii="宋体" w:hAnsi="宋体"/>
          <w:sz w:val="24"/>
        </w:rPr>
        <w:t>该等人员</w:t>
      </w:r>
      <w:r>
        <w:rPr>
          <w:rFonts w:ascii="宋体" w:hAnsi="宋体"/>
          <w:sz w:val="24"/>
        </w:rPr>
        <w:t>提供足够的</w:t>
      </w:r>
      <w:r>
        <w:rPr>
          <w:rFonts w:hint="eastAsia" w:ascii="宋体" w:hAnsi="宋体"/>
          <w:sz w:val="24"/>
        </w:rPr>
        <w:t>支持和便利。乙方应</w:t>
      </w:r>
      <w:r>
        <w:rPr>
          <w:rFonts w:ascii="宋体" w:hAnsi="宋体"/>
          <w:sz w:val="24"/>
        </w:rPr>
        <w:t>指</w:t>
      </w:r>
      <w:r>
        <w:rPr>
          <w:rFonts w:hint="eastAsia" w:ascii="宋体" w:hAnsi="宋体"/>
          <w:sz w:val="24"/>
        </w:rPr>
        <w:t>派</w:t>
      </w:r>
      <w:r>
        <w:rPr>
          <w:rFonts w:ascii="宋体" w:hAnsi="宋体"/>
          <w:sz w:val="24"/>
        </w:rPr>
        <w:t>专人</w:t>
      </w:r>
      <w:r>
        <w:rPr>
          <w:rFonts w:hint="eastAsia" w:ascii="宋体" w:hAnsi="宋体"/>
          <w:sz w:val="24"/>
        </w:rPr>
        <w:t>负责与甲方或其聘任的第三方</w:t>
      </w:r>
      <w:r>
        <w:rPr>
          <w:rFonts w:ascii="宋体" w:hAnsi="宋体"/>
          <w:sz w:val="24"/>
        </w:rPr>
        <w:t>联系，</w:t>
      </w:r>
      <w:r>
        <w:rPr>
          <w:rFonts w:hint="eastAsia" w:ascii="宋体" w:hAnsi="宋体"/>
          <w:sz w:val="24"/>
        </w:rPr>
        <w:t>根据甲方要求，</w:t>
      </w:r>
      <w:r>
        <w:rPr>
          <w:rFonts w:ascii="宋体" w:hAnsi="宋体"/>
          <w:sz w:val="24"/>
        </w:rPr>
        <w:t>提供</w:t>
      </w:r>
      <w:r>
        <w:rPr>
          <w:rFonts w:hint="eastAsia" w:ascii="宋体" w:hAnsi="宋体"/>
          <w:sz w:val="24"/>
        </w:rPr>
        <w:t>服务</w:t>
      </w:r>
      <w:r>
        <w:rPr>
          <w:rFonts w:ascii="宋体" w:hAnsi="宋体"/>
          <w:sz w:val="24"/>
        </w:rPr>
        <w:t>进度、</w:t>
      </w:r>
      <w:r>
        <w:rPr>
          <w:rFonts w:hint="eastAsia" w:ascii="宋体" w:hAnsi="宋体"/>
          <w:sz w:val="24"/>
        </w:rPr>
        <w:t>计划、</w:t>
      </w:r>
      <w:r>
        <w:rPr>
          <w:rFonts w:ascii="宋体" w:hAnsi="宋体"/>
          <w:sz w:val="24"/>
        </w:rPr>
        <w:t>质量、存在</w:t>
      </w:r>
      <w:r>
        <w:rPr>
          <w:rFonts w:hint="eastAsia" w:ascii="宋体" w:hAnsi="宋体"/>
          <w:sz w:val="24"/>
        </w:rPr>
        <w:t>的</w:t>
      </w:r>
      <w:r>
        <w:rPr>
          <w:rFonts w:ascii="宋体" w:hAnsi="宋体"/>
          <w:sz w:val="24"/>
        </w:rPr>
        <w:t>问题、预防及整改措施</w:t>
      </w:r>
      <w:r>
        <w:rPr>
          <w:rFonts w:hint="eastAsia" w:ascii="宋体" w:hAnsi="宋体"/>
          <w:sz w:val="24"/>
        </w:rPr>
        <w:t>及其它</w:t>
      </w:r>
      <w:r>
        <w:rPr>
          <w:rFonts w:ascii="宋体" w:hAnsi="宋体"/>
          <w:sz w:val="24"/>
        </w:rPr>
        <w:t>服务</w:t>
      </w:r>
      <w:r>
        <w:rPr>
          <w:rFonts w:hint="eastAsia" w:ascii="宋体" w:hAnsi="宋体"/>
          <w:sz w:val="24"/>
        </w:rPr>
        <w:t>信息。</w:t>
      </w:r>
    </w:p>
    <w:p>
      <w:pPr>
        <w:numPr>
          <w:ilvl w:val="1"/>
          <w:numId w:val="9"/>
        </w:numPr>
        <w:tabs>
          <w:tab w:val="left" w:pos="709"/>
        </w:tabs>
        <w:adjustRightInd w:val="0"/>
        <w:snapToGrid w:val="0"/>
        <w:spacing w:before="93" w:beforeLines="30" w:after="93" w:afterLines="30" w:line="360" w:lineRule="exact"/>
        <w:ind w:left="709" w:hanging="709"/>
        <w:rPr>
          <w:rFonts w:ascii="宋体" w:hAnsi="宋体"/>
          <w:sz w:val="24"/>
        </w:rPr>
      </w:pPr>
      <w:r>
        <w:rPr>
          <w:rFonts w:hint="eastAsia" w:ascii="宋体" w:hAnsi="宋体"/>
          <w:sz w:val="24"/>
        </w:rPr>
        <w:t>在监督检查过程中，</w:t>
      </w:r>
      <w:r>
        <w:rPr>
          <w:rFonts w:hint="eastAsia" w:ascii="宋体" w:hAnsi="宋体"/>
          <w:color w:val="000000"/>
          <w:sz w:val="24"/>
        </w:rPr>
        <w:t>如发现乙方的工作实际进度无法达到工作期限的要求，或乙方的工作存在任何缺陷、瑕疵、疏漏或不符合本合同的约定，乙方应按甲方要求提出和实施改进和补救措施（包括但不限于增加人员、设备、倒班次数、服务时间等），乙方应承担因此产生的全部责任和费用，乙方无权就改进和补救措施要求调整工作期限或增加费用。</w:t>
      </w:r>
    </w:p>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rPr>
        <w:t>权利保证</w:t>
      </w:r>
    </w:p>
    <w:p>
      <w:pPr>
        <w:numPr>
          <w:ilvl w:val="1"/>
          <w:numId w:val="10"/>
        </w:numPr>
        <w:tabs>
          <w:tab w:val="left" w:pos="710"/>
          <w:tab w:val="clear" w:pos="0"/>
        </w:tabs>
        <w:spacing w:before="93" w:beforeLines="30" w:after="93" w:afterLines="30" w:line="360" w:lineRule="exact"/>
        <w:ind w:left="709" w:right="-57" w:rightChars="-27" w:hanging="709"/>
        <w:rPr>
          <w:rFonts w:cs="新宋体-18030"/>
          <w:sz w:val="24"/>
        </w:rPr>
      </w:pPr>
      <w:r>
        <w:rPr>
          <w:rFonts w:ascii="宋体" w:hAnsi="宋体"/>
          <w:sz w:val="24"/>
        </w:rPr>
        <w:t>乙方保证，</w:t>
      </w:r>
      <w:r>
        <w:rPr>
          <w:rFonts w:hint="eastAsia" w:ascii="宋体" w:hAnsi="宋体"/>
          <w:sz w:val="24"/>
        </w:rPr>
        <w:t>其执行工作、提供的技术服务和工作成果未侵</w:t>
      </w:r>
      <w:r>
        <w:rPr>
          <w:rFonts w:ascii="宋体" w:hAnsi="宋体"/>
          <w:sz w:val="24"/>
        </w:rPr>
        <w:t>犯任何第三方的</w:t>
      </w:r>
      <w:r>
        <w:rPr>
          <w:rFonts w:hint="eastAsia" w:cs="新宋体-18030"/>
          <w:sz w:val="24"/>
        </w:rPr>
        <w:t>权利和知识产权。</w:t>
      </w:r>
    </w:p>
    <w:p>
      <w:pPr>
        <w:numPr>
          <w:ilvl w:val="1"/>
          <w:numId w:val="10"/>
        </w:numPr>
        <w:tabs>
          <w:tab w:val="left" w:pos="710"/>
          <w:tab w:val="clear" w:pos="0"/>
        </w:tabs>
        <w:spacing w:before="93" w:beforeLines="30" w:after="93" w:afterLines="30" w:line="360" w:lineRule="exact"/>
        <w:ind w:left="709" w:right="-57" w:rightChars="-27" w:hanging="709"/>
        <w:rPr>
          <w:rFonts w:cs="新宋体-18030"/>
          <w:sz w:val="24"/>
        </w:rPr>
      </w:pPr>
      <w:r>
        <w:rPr>
          <w:rFonts w:hint="eastAsia" w:cs="新宋体-18030"/>
          <w:sz w:val="24"/>
        </w:rPr>
        <w:t>乙方提交的工作成果的知识产权归甲方所有。乙方在为甲方提供技术服务的过程中所产生的所有知识产权归</w:t>
      </w:r>
      <w:r>
        <w:rPr>
          <w:rFonts w:hint="eastAsia" w:cs="新宋体-18030"/>
          <w:sz w:val="24"/>
          <w:highlight w:val="none"/>
        </w:rPr>
        <w:t>甲方</w:t>
      </w:r>
      <w:r>
        <w:rPr>
          <w:rFonts w:hint="eastAsia" w:cs="新宋体-18030"/>
          <w:sz w:val="24"/>
        </w:rPr>
        <w:t>所有。</w:t>
      </w:r>
    </w:p>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rPr>
        <w:t>保密</w:t>
      </w:r>
    </w:p>
    <w:p>
      <w:pPr>
        <w:numPr>
          <w:ilvl w:val="1"/>
          <w:numId w:val="11"/>
        </w:numPr>
        <w:tabs>
          <w:tab w:val="left" w:pos="710"/>
          <w:tab w:val="clear" w:pos="0"/>
        </w:tabs>
        <w:spacing w:before="93" w:beforeLines="30" w:after="93" w:afterLines="30" w:line="360" w:lineRule="exact"/>
        <w:ind w:left="709" w:right="-57" w:rightChars="-27" w:hanging="709"/>
        <w:rPr>
          <w:rFonts w:cs="Arial"/>
          <w:sz w:val="24"/>
        </w:rPr>
      </w:pPr>
      <w:r>
        <w:rPr>
          <w:rFonts w:cs="新宋体-18030"/>
          <w:sz w:val="24"/>
        </w:rPr>
        <w:t>乙方及其人员在本合同履行过程中所获得的</w:t>
      </w:r>
      <w:r>
        <w:rPr>
          <w:rFonts w:hint="eastAsia" w:cs="新宋体-18030"/>
          <w:sz w:val="24"/>
        </w:rPr>
        <w:t>甲方所有信息和与提供本合同项下技术服务相关的</w:t>
      </w:r>
      <w:r>
        <w:rPr>
          <w:rFonts w:cs="新宋体-18030"/>
          <w:sz w:val="24"/>
        </w:rPr>
        <w:t>记录、数据、报告等资料均属甲方</w:t>
      </w:r>
      <w:r>
        <w:rPr>
          <w:rFonts w:hint="eastAsia" w:cs="新宋体-18030"/>
          <w:sz w:val="24"/>
        </w:rPr>
        <w:t>的商业秘密</w:t>
      </w:r>
      <w:r>
        <w:rPr>
          <w:rFonts w:cs="新宋体-18030"/>
          <w:sz w:val="24"/>
        </w:rPr>
        <w:t>。未经甲方书面同意，乙方及其人员不得披露、使用、转让、复制或允许第三方使用上述</w:t>
      </w:r>
      <w:r>
        <w:rPr>
          <w:rFonts w:hint="eastAsia" w:cs="新宋体-18030"/>
          <w:sz w:val="24"/>
        </w:rPr>
        <w:t>信息或者资料</w:t>
      </w:r>
      <w:r>
        <w:rPr>
          <w:rFonts w:cs="新宋体-18030"/>
          <w:sz w:val="24"/>
        </w:rPr>
        <w:t>。</w:t>
      </w:r>
    </w:p>
    <w:p>
      <w:pPr>
        <w:numPr>
          <w:ilvl w:val="1"/>
          <w:numId w:val="11"/>
        </w:numPr>
        <w:tabs>
          <w:tab w:val="left" w:pos="710"/>
          <w:tab w:val="clear" w:pos="0"/>
        </w:tabs>
        <w:spacing w:before="93" w:beforeLines="30" w:after="93" w:afterLines="30" w:line="360" w:lineRule="exact"/>
        <w:ind w:left="709" w:right="-57" w:rightChars="-27" w:hanging="709"/>
        <w:rPr>
          <w:rFonts w:cs="新宋体-18030"/>
          <w:sz w:val="24"/>
        </w:rPr>
      </w:pPr>
      <w:r>
        <w:rPr>
          <w:rFonts w:cs="新宋体-18030"/>
          <w:sz w:val="24"/>
        </w:rPr>
        <w:t>本条有关保密的约定，不因本合同</w:t>
      </w:r>
      <w:r>
        <w:rPr>
          <w:rFonts w:hint="eastAsia" w:cs="新宋体-18030"/>
          <w:sz w:val="24"/>
        </w:rPr>
        <w:t>终止或者解除</w:t>
      </w:r>
      <w:r>
        <w:rPr>
          <w:rFonts w:cs="新宋体-18030"/>
          <w:sz w:val="24"/>
        </w:rPr>
        <w:t>而失效。</w:t>
      </w:r>
    </w:p>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rPr>
        <w:t>违约责任</w:t>
      </w:r>
    </w:p>
    <w:p>
      <w:pPr>
        <w:numPr>
          <w:ilvl w:val="1"/>
          <w:numId w:val="12"/>
        </w:numPr>
        <w:tabs>
          <w:tab w:val="left" w:pos="709"/>
          <w:tab w:val="clear" w:pos="0"/>
        </w:tabs>
        <w:spacing w:before="93" w:beforeLines="30" w:after="93" w:afterLines="30" w:line="360" w:lineRule="exact"/>
        <w:ind w:left="709" w:right="-57" w:rightChars="-27" w:hanging="709"/>
        <w:rPr>
          <w:color w:val="000000"/>
          <w:sz w:val="24"/>
        </w:rPr>
      </w:pPr>
      <w:r>
        <w:rPr>
          <w:rFonts w:hint="eastAsia"/>
          <w:color w:val="000000"/>
          <w:sz w:val="24"/>
        </w:rPr>
        <w:t>乙方发生下列任一违约行为时，应向甲方支付服务费的</w:t>
      </w:r>
      <w:r>
        <w:rPr>
          <w:rFonts w:hint="eastAsia" w:asciiTheme="minorEastAsia" w:hAnsiTheme="minorEastAsia" w:eastAsiaTheme="minorEastAsia" w:cstheme="minorEastAsia"/>
          <w:color w:val="000000"/>
          <w:sz w:val="24"/>
          <w:lang w:val="en-US" w:eastAsia="zh-CN"/>
        </w:rPr>
        <w:t>30</w:t>
      </w:r>
      <w:r>
        <w:rPr>
          <w:rFonts w:hint="eastAsia" w:asciiTheme="minorEastAsia" w:hAnsiTheme="minorEastAsia" w:eastAsiaTheme="minorEastAsia" w:cstheme="minorEastAsia"/>
          <w:color w:val="000000"/>
          <w:sz w:val="24"/>
        </w:rPr>
        <w:t>%</w:t>
      </w:r>
      <w:r>
        <w:rPr>
          <w:rFonts w:hint="eastAsia"/>
          <w:color w:val="000000"/>
          <w:sz w:val="24"/>
        </w:rPr>
        <w:t>作为违约金，并赔偿甲方因此遭受的</w:t>
      </w:r>
      <w:r>
        <w:rPr>
          <w:rFonts w:hint="eastAsia"/>
          <w:bCs/>
          <w:sz w:val="24"/>
        </w:rPr>
        <w:t>超出违约金数额的</w:t>
      </w:r>
      <w:r>
        <w:rPr>
          <w:rFonts w:hint="eastAsia"/>
          <w:color w:val="000000"/>
          <w:sz w:val="24"/>
        </w:rPr>
        <w:t>全部损失。同时，甲方有权要求乙方限期纠正，由此增加的费用和（或）延误的服务期限由乙方承担。如乙方未在约定的期限内纠正，甲方有权解除合同，</w:t>
      </w:r>
      <w:r>
        <w:rPr>
          <w:rFonts w:ascii="宋体" w:hAnsi="宋体"/>
          <w:sz w:val="24"/>
        </w:rPr>
        <w:t>乙方应赔偿甲方</w:t>
      </w:r>
      <w:r>
        <w:rPr>
          <w:rFonts w:hint="eastAsia" w:ascii="宋体" w:hAnsi="宋体"/>
          <w:sz w:val="24"/>
        </w:rPr>
        <w:t>因此</w:t>
      </w:r>
      <w:r>
        <w:rPr>
          <w:rFonts w:ascii="宋体" w:hAnsi="宋体"/>
          <w:sz w:val="24"/>
        </w:rPr>
        <w:t>而遭受的</w:t>
      </w:r>
      <w:r>
        <w:rPr>
          <w:rFonts w:hint="eastAsia"/>
          <w:bCs/>
          <w:sz w:val="24"/>
        </w:rPr>
        <w:t>超出违约金数额的</w:t>
      </w:r>
      <w:r>
        <w:rPr>
          <w:rFonts w:ascii="宋体" w:hAnsi="宋体"/>
          <w:sz w:val="24"/>
        </w:rPr>
        <w:t>全部损失</w:t>
      </w:r>
      <w:r>
        <w:rPr>
          <w:rFonts w:hint="eastAsia"/>
          <w:color w:val="000000"/>
          <w:sz w:val="24"/>
        </w:rPr>
        <w:t>：</w:t>
      </w:r>
    </w:p>
    <w:p>
      <w:pPr>
        <w:numPr>
          <w:ilvl w:val="0"/>
          <w:numId w:val="13"/>
        </w:numPr>
        <w:tabs>
          <w:tab w:val="left" w:pos="709"/>
        </w:tabs>
        <w:spacing w:line="360" w:lineRule="exact"/>
        <w:ind w:right="-57" w:rightChars="-27"/>
        <w:rPr>
          <w:color w:val="000000"/>
          <w:sz w:val="24"/>
        </w:rPr>
      </w:pPr>
      <w:r>
        <w:rPr>
          <w:rFonts w:hint="eastAsia"/>
          <w:color w:val="000000"/>
          <w:sz w:val="24"/>
        </w:rPr>
        <w:t>乙方未按本合同的要求提供技术服务的；</w:t>
      </w:r>
    </w:p>
    <w:p>
      <w:pPr>
        <w:numPr>
          <w:ilvl w:val="0"/>
          <w:numId w:val="13"/>
        </w:numPr>
        <w:tabs>
          <w:tab w:val="left" w:pos="709"/>
        </w:tabs>
        <w:spacing w:line="360" w:lineRule="exact"/>
        <w:ind w:right="-57" w:rightChars="-27"/>
        <w:rPr>
          <w:color w:val="000000"/>
          <w:sz w:val="24"/>
        </w:rPr>
      </w:pPr>
      <w:r>
        <w:rPr>
          <w:rFonts w:hint="eastAsia"/>
          <w:color w:val="000000"/>
          <w:sz w:val="24"/>
        </w:rPr>
        <w:t>未经甲方同意，乙方擅自进行转让、分包。</w:t>
      </w:r>
    </w:p>
    <w:p>
      <w:pPr>
        <w:numPr>
          <w:ilvl w:val="1"/>
          <w:numId w:val="12"/>
        </w:numPr>
        <w:tabs>
          <w:tab w:val="left" w:pos="709"/>
          <w:tab w:val="clear" w:pos="0"/>
        </w:tabs>
        <w:spacing w:before="93" w:beforeLines="30" w:after="93" w:afterLines="30" w:line="360" w:lineRule="exact"/>
        <w:ind w:left="709" w:right="-57" w:rightChars="-27" w:hanging="709"/>
        <w:rPr>
          <w:color w:val="000000"/>
          <w:sz w:val="24"/>
        </w:rPr>
      </w:pPr>
      <w:r>
        <w:rPr>
          <w:rFonts w:hint="eastAsia"/>
          <w:color w:val="000000"/>
          <w:sz w:val="24"/>
        </w:rPr>
        <w:t>乙方未按照本合同约定的时间提供服务并完成验收的，每逾期一日，甲方有权要求乙方支付服务费的</w:t>
      </w:r>
      <w:r>
        <w:rPr>
          <w:rFonts w:hint="eastAsia" w:asciiTheme="minorEastAsia" w:hAnsiTheme="minorEastAsia" w:eastAsiaTheme="minorEastAsia" w:cstheme="minorEastAsia"/>
          <w:color w:val="000000"/>
          <w:sz w:val="24"/>
          <w:lang w:val="en-US" w:eastAsia="zh-CN"/>
        </w:rPr>
        <w:t>1</w:t>
      </w:r>
      <w:r>
        <w:rPr>
          <w:rFonts w:hint="eastAsia" w:asciiTheme="minorEastAsia" w:hAnsiTheme="minorEastAsia" w:eastAsiaTheme="minorEastAsia" w:cstheme="minorEastAsia"/>
          <w:color w:val="000000"/>
          <w:sz w:val="24"/>
        </w:rPr>
        <w:t>%</w:t>
      </w:r>
      <w:r>
        <w:rPr>
          <w:rFonts w:hint="eastAsia"/>
          <w:color w:val="000000"/>
          <w:sz w:val="24"/>
        </w:rPr>
        <w:t>作为违约金。如逾期超过</w:t>
      </w:r>
      <w:r>
        <w:rPr>
          <w:rFonts w:hint="eastAsia"/>
          <w:color w:val="000000"/>
          <w:sz w:val="24"/>
          <w:lang w:val="en-US" w:eastAsia="zh-CN"/>
        </w:rPr>
        <w:t>30</w:t>
      </w:r>
      <w:r>
        <w:rPr>
          <w:rFonts w:hint="eastAsia"/>
          <w:color w:val="000000"/>
          <w:sz w:val="24"/>
        </w:rPr>
        <w:t>日，甲</w:t>
      </w:r>
      <w:r>
        <w:rPr>
          <w:color w:val="000000"/>
          <w:sz w:val="24"/>
        </w:rPr>
        <w:t>方有权解除</w:t>
      </w:r>
      <w:r>
        <w:rPr>
          <w:rFonts w:hint="eastAsia"/>
          <w:color w:val="000000"/>
          <w:sz w:val="24"/>
        </w:rPr>
        <w:t>本</w:t>
      </w:r>
      <w:r>
        <w:rPr>
          <w:color w:val="000000"/>
          <w:sz w:val="24"/>
        </w:rPr>
        <w:t>合同</w:t>
      </w:r>
      <w:r>
        <w:rPr>
          <w:rFonts w:hint="eastAsia"/>
          <w:color w:val="000000"/>
          <w:sz w:val="24"/>
        </w:rPr>
        <w:t>；乙方应向甲方支付本条所约定的违约金并赔偿甲方因此遭受的</w:t>
      </w:r>
      <w:r>
        <w:rPr>
          <w:rFonts w:hint="eastAsia"/>
          <w:bCs/>
          <w:sz w:val="24"/>
        </w:rPr>
        <w:t>超出违约金数额的</w:t>
      </w:r>
      <w:r>
        <w:rPr>
          <w:rFonts w:hint="eastAsia"/>
          <w:color w:val="000000"/>
          <w:sz w:val="24"/>
        </w:rPr>
        <w:t>全部损失。</w:t>
      </w:r>
    </w:p>
    <w:p>
      <w:pPr>
        <w:numPr>
          <w:ilvl w:val="1"/>
          <w:numId w:val="12"/>
        </w:numPr>
        <w:tabs>
          <w:tab w:val="left" w:pos="709"/>
          <w:tab w:val="clear" w:pos="0"/>
        </w:tabs>
        <w:spacing w:before="93" w:beforeLines="30" w:after="93" w:afterLines="30" w:line="360" w:lineRule="exact"/>
        <w:ind w:left="709" w:right="-57" w:rightChars="-27" w:hanging="709"/>
        <w:rPr>
          <w:rFonts w:cs="新宋体-18030"/>
          <w:sz w:val="24"/>
        </w:rPr>
      </w:pPr>
      <w:r>
        <w:rPr>
          <w:rFonts w:hint="eastAsia" w:cs="新宋体-18030"/>
          <w:sz w:val="24"/>
        </w:rPr>
        <w:t>乙方按照本合同的约定需要承担违约金或赔偿责任的，甲方有权从应付款项中直接扣除该等违约金或赔偿金。</w:t>
      </w:r>
    </w:p>
    <w:p>
      <w:pPr>
        <w:numPr>
          <w:ilvl w:val="1"/>
          <w:numId w:val="12"/>
        </w:numPr>
        <w:tabs>
          <w:tab w:val="left" w:pos="709"/>
          <w:tab w:val="clear" w:pos="0"/>
        </w:tabs>
        <w:spacing w:before="93" w:beforeLines="30" w:after="93" w:afterLines="30" w:line="360" w:lineRule="exact"/>
        <w:ind w:left="709" w:right="-57" w:rightChars="-27" w:hanging="709"/>
        <w:rPr>
          <w:rFonts w:cs="新宋体-18030"/>
          <w:sz w:val="24"/>
        </w:rPr>
      </w:pPr>
      <w:r>
        <w:rPr>
          <w:rFonts w:cs="新宋体-18030"/>
          <w:sz w:val="24"/>
        </w:rPr>
        <w:t>甲方因自身原因逾期向乙方支付</w:t>
      </w:r>
      <w:r>
        <w:rPr>
          <w:rFonts w:hint="eastAsia" w:cs="新宋体-18030"/>
          <w:sz w:val="24"/>
        </w:rPr>
        <w:t>服务费</w:t>
      </w:r>
      <w:r>
        <w:rPr>
          <w:rFonts w:cs="新宋体-18030"/>
          <w:sz w:val="24"/>
        </w:rPr>
        <w:t>的，应按</w:t>
      </w:r>
      <w:r>
        <w:rPr>
          <w:rFonts w:hint="eastAsia" w:cs="新宋体-18030"/>
          <w:sz w:val="24"/>
        </w:rPr>
        <w:t>合同订立时1年期贷款市场报价利率计算并支付</w:t>
      </w:r>
      <w:r>
        <w:rPr>
          <w:rFonts w:cs="新宋体-18030"/>
          <w:sz w:val="24"/>
        </w:rPr>
        <w:t>逾期付款部分的利息</w:t>
      </w:r>
      <w:r>
        <w:rPr>
          <w:rFonts w:hint="eastAsia" w:cs="新宋体-18030"/>
          <w:sz w:val="24"/>
        </w:rPr>
        <w:t>，但最高不超过应付未付服务费的</w:t>
      </w:r>
      <w:r>
        <w:rPr>
          <w:rFonts w:hint="eastAsia" w:asciiTheme="minorEastAsia" w:hAnsiTheme="minorEastAsia" w:eastAsiaTheme="minorEastAsia" w:cstheme="minorEastAsia"/>
          <w:color w:val="000000"/>
          <w:sz w:val="24"/>
          <w:lang w:val="en-US" w:eastAsia="zh-CN"/>
        </w:rPr>
        <w:t>30</w:t>
      </w:r>
      <w:r>
        <w:rPr>
          <w:rFonts w:hint="eastAsia" w:asciiTheme="minorEastAsia" w:hAnsiTheme="minorEastAsia" w:eastAsiaTheme="minorEastAsia" w:cstheme="minorEastAsia"/>
          <w:color w:val="000000"/>
          <w:sz w:val="24"/>
        </w:rPr>
        <w:t>%</w:t>
      </w:r>
      <w:r>
        <w:rPr>
          <w:rFonts w:cs="新宋体-18030"/>
          <w:sz w:val="24"/>
        </w:rPr>
        <w:t>。</w:t>
      </w:r>
    </w:p>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rPr>
        <w:t>保险</w:t>
      </w:r>
    </w:p>
    <w:p>
      <w:pPr>
        <w:numPr>
          <w:ilvl w:val="0"/>
          <w:numId w:val="14"/>
        </w:numPr>
        <w:tabs>
          <w:tab w:val="left" w:pos="710"/>
          <w:tab w:val="clear" w:pos="0"/>
        </w:tabs>
        <w:spacing w:before="93" w:beforeLines="30" w:after="93" w:afterLines="30" w:line="360" w:lineRule="exact"/>
        <w:ind w:left="811" w:right="-57" w:rightChars="-27" w:hanging="811" w:hangingChars="338"/>
        <w:rPr>
          <w:rFonts w:ascii="宋体" w:hAnsi="宋体"/>
          <w:color w:val="000000"/>
          <w:sz w:val="24"/>
        </w:rPr>
      </w:pPr>
      <w:r>
        <w:rPr>
          <w:rFonts w:hint="eastAsia" w:ascii="宋体" w:hAnsi="宋体"/>
          <w:color w:val="000000"/>
          <w:sz w:val="24"/>
        </w:rPr>
        <w:t>在本合同有效期限内，乙方应就其人员、财产和责任向保险人投保足额保险，并自行承担相应的投保费用。</w:t>
      </w:r>
    </w:p>
    <w:p>
      <w:pPr>
        <w:numPr>
          <w:ilvl w:val="0"/>
          <w:numId w:val="14"/>
        </w:numPr>
        <w:tabs>
          <w:tab w:val="left" w:pos="710"/>
          <w:tab w:val="clear" w:pos="0"/>
        </w:tabs>
        <w:spacing w:before="93" w:beforeLines="30" w:after="93" w:afterLines="30" w:line="360" w:lineRule="exact"/>
        <w:ind w:left="811" w:right="-57" w:rightChars="-27" w:hanging="811" w:hangingChars="338"/>
        <w:rPr>
          <w:rFonts w:ascii="宋体" w:hAnsi="宋体"/>
          <w:color w:val="000000"/>
          <w:sz w:val="24"/>
        </w:rPr>
      </w:pPr>
      <w:r>
        <w:rPr>
          <w:rFonts w:hint="eastAsia" w:ascii="宋体" w:hAnsi="宋体"/>
          <w:color w:val="000000"/>
          <w:sz w:val="24"/>
        </w:rPr>
        <w:t>甲方有权要求乙方提交保险合同、发票等资料并复印存档。乙方应在接到甲方通知后</w:t>
      </w:r>
      <w:r>
        <w:rPr>
          <w:rFonts w:hint="eastAsia" w:ascii="宋体" w:hAnsi="宋体"/>
          <w:color w:val="000000"/>
          <w:sz w:val="24"/>
          <w:lang w:val="en-US" w:eastAsia="zh-CN"/>
        </w:rPr>
        <w:t>5</w:t>
      </w:r>
      <w:r>
        <w:rPr>
          <w:rFonts w:hint="eastAsia" w:ascii="宋体" w:hAnsi="宋体"/>
          <w:color w:val="000000"/>
          <w:sz w:val="24"/>
        </w:rPr>
        <w:t>日内予以提供。</w:t>
      </w:r>
    </w:p>
    <w:p>
      <w:pPr>
        <w:numPr>
          <w:ilvl w:val="0"/>
          <w:numId w:val="14"/>
        </w:numPr>
        <w:tabs>
          <w:tab w:val="left" w:pos="710"/>
          <w:tab w:val="clear" w:pos="0"/>
        </w:tabs>
        <w:spacing w:before="93" w:beforeLines="30" w:after="93" w:afterLines="30" w:line="360" w:lineRule="exact"/>
        <w:ind w:left="811" w:right="-57" w:rightChars="-27" w:hanging="811" w:hangingChars="338"/>
        <w:rPr>
          <w:rFonts w:ascii="宋体" w:hAnsi="宋体"/>
          <w:color w:val="000000"/>
          <w:sz w:val="24"/>
        </w:rPr>
      </w:pPr>
      <w:r>
        <w:rPr>
          <w:rFonts w:hint="eastAsia" w:ascii="宋体" w:hAnsi="宋体"/>
          <w:color w:val="000000"/>
          <w:sz w:val="24"/>
        </w:rPr>
        <w:t>本第十条的约定不能限制或免除乙方在本合同项下的任何义务和责任。</w:t>
      </w:r>
    </w:p>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rPr>
        <w:t>法律适用和争议解决</w:t>
      </w:r>
    </w:p>
    <w:p>
      <w:pPr>
        <w:numPr>
          <w:ilvl w:val="1"/>
          <w:numId w:val="15"/>
        </w:numPr>
        <w:tabs>
          <w:tab w:val="left" w:pos="710"/>
          <w:tab w:val="clear" w:pos="0"/>
        </w:tabs>
        <w:spacing w:before="93" w:beforeLines="30" w:after="93" w:afterLines="30" w:line="360" w:lineRule="exact"/>
        <w:ind w:left="709" w:right="-57" w:rightChars="-27" w:hanging="709"/>
        <w:rPr>
          <w:sz w:val="24"/>
        </w:rPr>
      </w:pPr>
      <w:r>
        <w:rPr>
          <w:rFonts w:hint="eastAsia"/>
          <w:sz w:val="24"/>
        </w:rPr>
        <w:t>本合同适用中华人民共和国法律。</w:t>
      </w:r>
    </w:p>
    <w:p>
      <w:pPr>
        <w:numPr>
          <w:ilvl w:val="1"/>
          <w:numId w:val="15"/>
        </w:numPr>
        <w:tabs>
          <w:tab w:val="left" w:pos="710"/>
          <w:tab w:val="clear" w:pos="0"/>
        </w:tabs>
        <w:spacing w:before="93" w:beforeLines="30" w:after="93" w:afterLines="30" w:line="360" w:lineRule="exact"/>
        <w:ind w:left="709" w:right="-57" w:rightChars="-27" w:hanging="709"/>
        <w:rPr>
          <w:bCs/>
          <w:sz w:val="24"/>
        </w:rPr>
      </w:pPr>
      <w:r>
        <w:rPr>
          <w:sz w:val="24"/>
        </w:rPr>
        <w:t>因履行</w:t>
      </w:r>
      <w:r>
        <w:rPr>
          <w:rFonts w:hint="eastAsia"/>
          <w:sz w:val="24"/>
        </w:rPr>
        <w:t>本</w:t>
      </w:r>
      <w:r>
        <w:rPr>
          <w:sz w:val="24"/>
        </w:rPr>
        <w:t>合同发生的或与本合同有关的一切争议，双方</w:t>
      </w:r>
      <w:r>
        <w:rPr>
          <w:rFonts w:hint="eastAsia"/>
          <w:sz w:val="24"/>
        </w:rPr>
        <w:t>首先应</w:t>
      </w:r>
      <w:r>
        <w:rPr>
          <w:sz w:val="24"/>
        </w:rPr>
        <w:t>友好协商解决，</w:t>
      </w:r>
      <w:r>
        <w:rPr>
          <w:rFonts w:hint="eastAsia"/>
          <w:sz w:val="24"/>
        </w:rPr>
        <w:t>如</w:t>
      </w:r>
      <w:r>
        <w:rPr>
          <w:sz w:val="24"/>
        </w:rPr>
        <w:t>经协商</w:t>
      </w:r>
      <w:r>
        <w:rPr>
          <w:rFonts w:hint="eastAsia"/>
          <w:sz w:val="24"/>
          <w:lang w:val="en-US" w:eastAsia="zh-CN"/>
        </w:rPr>
        <w:t>30</w:t>
      </w:r>
      <w:r>
        <w:rPr>
          <w:rFonts w:hint="eastAsia" w:ascii="宋体" w:hAnsi="宋体"/>
          <w:sz w:val="24"/>
        </w:rPr>
        <w:t>日</w:t>
      </w:r>
      <w:r>
        <w:rPr>
          <w:sz w:val="24"/>
        </w:rPr>
        <w:t>仍不能解决</w:t>
      </w:r>
      <w:r>
        <w:rPr>
          <w:rFonts w:hint="eastAsia"/>
          <w:sz w:val="24"/>
        </w:rPr>
        <w:t>，</w:t>
      </w:r>
      <w:r>
        <w:rPr>
          <w:sz w:val="24"/>
        </w:rPr>
        <w:t>双方同意：</w:t>
      </w:r>
      <w:r>
        <w:rPr>
          <w:bCs/>
          <w:sz w:val="24"/>
        </w:rPr>
        <w:t>向</w:t>
      </w:r>
      <w:r>
        <w:rPr>
          <w:rFonts w:hint="eastAsia"/>
          <w:bCs/>
          <w:sz w:val="24"/>
        </w:rPr>
        <w:t>甲方</w:t>
      </w:r>
      <w:r>
        <w:rPr>
          <w:bCs/>
          <w:sz w:val="24"/>
        </w:rPr>
        <w:t>所在地人民法院起诉。</w:t>
      </w:r>
    </w:p>
    <w:p>
      <w:pPr>
        <w:numPr>
          <w:ilvl w:val="1"/>
          <w:numId w:val="15"/>
        </w:numPr>
        <w:tabs>
          <w:tab w:val="left" w:pos="710"/>
          <w:tab w:val="clear" w:pos="0"/>
        </w:tabs>
        <w:spacing w:before="93" w:beforeLines="30" w:after="93" w:afterLines="30" w:line="360" w:lineRule="exact"/>
        <w:ind w:left="709" w:right="-57" w:rightChars="-27" w:hanging="709"/>
        <w:rPr>
          <w:sz w:val="24"/>
        </w:rPr>
      </w:pPr>
      <w:r>
        <w:rPr>
          <w:rFonts w:hint="eastAsia" w:ascii="宋体" w:hAnsi="宋体"/>
          <w:color w:val="000000"/>
          <w:sz w:val="24"/>
        </w:rPr>
        <w:t>争议解决</w:t>
      </w:r>
      <w:r>
        <w:rPr>
          <w:rFonts w:hint="eastAsia"/>
          <w:sz w:val="24"/>
        </w:rPr>
        <w:t>期间，除争议事项外，双方应继续履行本合同。</w:t>
      </w:r>
    </w:p>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rPr>
        <w:t>联系人</w:t>
      </w:r>
    </w:p>
    <w:p>
      <w:pPr>
        <w:numPr>
          <w:ilvl w:val="1"/>
          <w:numId w:val="16"/>
        </w:numPr>
        <w:tabs>
          <w:tab w:val="left" w:pos="710"/>
          <w:tab w:val="clear" w:pos="0"/>
        </w:tabs>
        <w:spacing w:before="93" w:beforeLines="30" w:after="93" w:afterLines="30" w:line="360" w:lineRule="exact"/>
        <w:ind w:left="709" w:right="-57" w:rightChars="-27" w:hanging="709"/>
        <w:rPr>
          <w:rFonts w:hAnsi="Garamond" w:cs="新宋体-18030"/>
          <w:sz w:val="24"/>
        </w:rPr>
      </w:pPr>
      <w:r>
        <w:rPr>
          <w:rFonts w:hint="eastAsia" w:hAnsi="Garamond" w:cs="新宋体-18030"/>
          <w:sz w:val="24"/>
        </w:rPr>
        <w:t>本合同约定的下述</w:t>
      </w:r>
      <w:r>
        <w:rPr>
          <w:rFonts w:hint="eastAsia"/>
          <w:bCs/>
          <w:kern w:val="0"/>
          <w:sz w:val="24"/>
        </w:rPr>
        <w:t>地址适用范围包括就本合同发生争议时相关文件和法律文书的 送达（包括争议进入仲裁、民事诉讼程序后的一审、二审、再审和执行程序）。</w:t>
      </w:r>
    </w:p>
    <w:p>
      <w:pPr>
        <w:numPr>
          <w:ilvl w:val="1"/>
          <w:numId w:val="16"/>
        </w:numPr>
        <w:tabs>
          <w:tab w:val="left" w:pos="710"/>
          <w:tab w:val="clear" w:pos="0"/>
        </w:tabs>
        <w:spacing w:before="93" w:beforeLines="30" w:after="93" w:afterLines="30" w:line="360" w:lineRule="exact"/>
        <w:ind w:left="709" w:right="-57" w:rightChars="-27" w:hanging="709"/>
        <w:rPr>
          <w:rFonts w:hAnsi="Garamond" w:cs="新宋体-18030"/>
          <w:sz w:val="24"/>
        </w:rPr>
      </w:pPr>
      <w:r>
        <w:rPr>
          <w:rFonts w:hint="eastAsia" w:cs="新宋体-18030"/>
          <w:sz w:val="24"/>
        </w:rPr>
        <w:t>除非双方另有明确约定，任何一方根据本合同向另一方提供资料和发送通知或者在服务过程中需要对相关技术问题进行澄清、咨询的联系人和联系方式如下</w:t>
      </w:r>
      <w:r>
        <w:rPr>
          <w:rFonts w:hint="eastAsia" w:hAnsi="Garamond" w:cs="新宋体-18030"/>
          <w:sz w:val="24"/>
        </w:rPr>
        <w:t>：</w:t>
      </w:r>
    </w:p>
    <w:tbl>
      <w:tblPr>
        <w:tblStyle w:val="11"/>
        <w:tblW w:w="4666" w:type="pct"/>
        <w:tblInd w:w="675" w:type="dxa"/>
        <w:tblLayout w:type="autofit"/>
        <w:tblCellMar>
          <w:top w:w="0" w:type="dxa"/>
          <w:left w:w="108" w:type="dxa"/>
          <w:bottom w:w="0" w:type="dxa"/>
          <w:right w:w="108" w:type="dxa"/>
        </w:tblCellMar>
      </w:tblPr>
      <w:tblGrid>
        <w:gridCol w:w="3843"/>
        <w:gridCol w:w="4110"/>
      </w:tblGrid>
      <w:tr>
        <w:tblPrEx>
          <w:tblCellMar>
            <w:top w:w="0" w:type="dxa"/>
            <w:left w:w="108" w:type="dxa"/>
            <w:bottom w:w="0" w:type="dxa"/>
            <w:right w:w="108" w:type="dxa"/>
          </w:tblCellMar>
        </w:tblPrEx>
        <w:tc>
          <w:tcPr>
            <w:tcW w:w="2416" w:type="pct"/>
          </w:tcPr>
          <w:p>
            <w:pPr>
              <w:tabs>
                <w:tab w:val="left" w:pos="709"/>
              </w:tabs>
              <w:spacing w:line="360" w:lineRule="exact"/>
              <w:ind w:right="-57" w:rightChars="-27"/>
              <w:rPr>
                <w:sz w:val="24"/>
                <w:highlight w:val="none"/>
              </w:rPr>
            </w:pPr>
            <w:r>
              <w:rPr>
                <w:rFonts w:hint="eastAsia"/>
                <w:sz w:val="24"/>
                <w:highlight w:val="none"/>
              </w:rPr>
              <w:t>甲方</w:t>
            </w:r>
            <w:r>
              <w:rPr>
                <w:sz w:val="24"/>
                <w:highlight w:val="none"/>
              </w:rPr>
              <w:t>联系人：</w:t>
            </w:r>
            <w:r>
              <w:rPr>
                <w:rFonts w:hint="eastAsia"/>
                <w:sz w:val="24"/>
                <w:highlight w:val="none"/>
                <w:u w:val="single"/>
              </w:rPr>
              <w:t xml:space="preserve">                  </w:t>
            </w:r>
          </w:p>
        </w:tc>
        <w:tc>
          <w:tcPr>
            <w:tcW w:w="2584" w:type="pct"/>
          </w:tcPr>
          <w:p>
            <w:pPr>
              <w:tabs>
                <w:tab w:val="left" w:pos="709"/>
              </w:tabs>
              <w:spacing w:line="360" w:lineRule="exact"/>
              <w:ind w:right="-57" w:rightChars="-27"/>
              <w:rPr>
                <w:sz w:val="24"/>
                <w:highlight w:val="none"/>
              </w:rPr>
            </w:pPr>
            <w:r>
              <w:rPr>
                <w:rFonts w:hint="eastAsia"/>
                <w:sz w:val="24"/>
                <w:highlight w:val="none"/>
              </w:rPr>
              <w:t>乙方</w:t>
            </w:r>
            <w:r>
              <w:rPr>
                <w:sz w:val="24"/>
                <w:highlight w:val="none"/>
              </w:rPr>
              <w:t>联系人：</w:t>
            </w:r>
            <w:r>
              <w:rPr>
                <w:rFonts w:hint="eastAsia"/>
                <w:sz w:val="24"/>
                <w:highlight w:val="none"/>
                <w:u w:val="single"/>
              </w:rPr>
              <w:t xml:space="preserve">                  </w:t>
            </w:r>
          </w:p>
        </w:tc>
      </w:tr>
      <w:tr>
        <w:trPr>
          <w:trHeight w:val="80" w:hRule="atLeast"/>
        </w:trPr>
        <w:tc>
          <w:tcPr>
            <w:tcW w:w="2416" w:type="pct"/>
          </w:tcPr>
          <w:p>
            <w:pPr>
              <w:tabs>
                <w:tab w:val="left" w:pos="709"/>
              </w:tabs>
              <w:spacing w:line="360" w:lineRule="exact"/>
              <w:ind w:right="-57" w:rightChars="-27"/>
              <w:rPr>
                <w:sz w:val="24"/>
                <w:highlight w:val="none"/>
              </w:rPr>
            </w:pPr>
            <w:r>
              <w:rPr>
                <w:sz w:val="24"/>
                <w:highlight w:val="none"/>
              </w:rPr>
              <w:t>电话：</w:t>
            </w:r>
            <w:r>
              <w:rPr>
                <w:rFonts w:hint="eastAsia"/>
                <w:sz w:val="24"/>
                <w:highlight w:val="none"/>
                <w:u w:val="single"/>
              </w:rPr>
              <w:t xml:space="preserve">                        </w:t>
            </w:r>
          </w:p>
        </w:tc>
        <w:tc>
          <w:tcPr>
            <w:tcW w:w="2584" w:type="pct"/>
          </w:tcPr>
          <w:p>
            <w:pPr>
              <w:tabs>
                <w:tab w:val="left" w:pos="709"/>
              </w:tabs>
              <w:spacing w:line="360" w:lineRule="exact"/>
              <w:ind w:right="-57" w:rightChars="-27"/>
              <w:rPr>
                <w:sz w:val="24"/>
                <w:highlight w:val="none"/>
              </w:rPr>
            </w:pPr>
            <w:r>
              <w:rPr>
                <w:sz w:val="24"/>
                <w:highlight w:val="none"/>
              </w:rPr>
              <w:t>电话：</w:t>
            </w:r>
            <w:r>
              <w:rPr>
                <w:rFonts w:hint="eastAsia"/>
                <w:sz w:val="24"/>
                <w:highlight w:val="none"/>
                <w:u w:val="single"/>
              </w:rPr>
              <w:t xml:space="preserve">                        </w:t>
            </w:r>
          </w:p>
        </w:tc>
      </w:tr>
      <w:tr>
        <w:tblPrEx>
          <w:tblCellMar>
            <w:top w:w="0" w:type="dxa"/>
            <w:left w:w="108" w:type="dxa"/>
            <w:bottom w:w="0" w:type="dxa"/>
            <w:right w:w="108" w:type="dxa"/>
          </w:tblCellMar>
        </w:tblPrEx>
        <w:tc>
          <w:tcPr>
            <w:tcW w:w="2416" w:type="pct"/>
          </w:tcPr>
          <w:p>
            <w:pPr>
              <w:tabs>
                <w:tab w:val="left" w:pos="709"/>
              </w:tabs>
              <w:spacing w:line="360" w:lineRule="exact"/>
              <w:ind w:right="-57" w:rightChars="-27"/>
              <w:rPr>
                <w:sz w:val="24"/>
                <w:highlight w:val="none"/>
              </w:rPr>
            </w:pPr>
            <w:r>
              <w:rPr>
                <w:rFonts w:hint="eastAsia"/>
                <w:sz w:val="24"/>
                <w:highlight w:val="none"/>
              </w:rPr>
              <w:t>电子邮箱：</w:t>
            </w:r>
            <w:r>
              <w:rPr>
                <w:rFonts w:hint="eastAsia"/>
                <w:sz w:val="24"/>
                <w:highlight w:val="none"/>
                <w:u w:val="single"/>
              </w:rPr>
              <w:t xml:space="preserve">                    </w:t>
            </w:r>
          </w:p>
        </w:tc>
        <w:tc>
          <w:tcPr>
            <w:tcW w:w="2584" w:type="pct"/>
          </w:tcPr>
          <w:p>
            <w:pPr>
              <w:tabs>
                <w:tab w:val="left" w:pos="709"/>
              </w:tabs>
              <w:spacing w:line="360" w:lineRule="exact"/>
              <w:ind w:right="-57" w:rightChars="-27"/>
              <w:rPr>
                <w:sz w:val="24"/>
                <w:highlight w:val="none"/>
              </w:rPr>
            </w:pPr>
            <w:r>
              <w:rPr>
                <w:rFonts w:hint="eastAsia"/>
                <w:sz w:val="24"/>
                <w:highlight w:val="none"/>
              </w:rPr>
              <w:t>电子邮箱：</w:t>
            </w:r>
            <w:r>
              <w:rPr>
                <w:rFonts w:hint="eastAsia"/>
                <w:sz w:val="24"/>
                <w:highlight w:val="none"/>
                <w:u w:val="single"/>
              </w:rPr>
              <w:t xml:space="preserve">                    </w:t>
            </w:r>
          </w:p>
        </w:tc>
      </w:tr>
    </w:tbl>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highlight w:val="none"/>
        </w:rPr>
        <w:t>合同期限</w:t>
      </w:r>
    </w:p>
    <w:p>
      <w:pPr>
        <w:numPr>
          <w:ilvl w:val="1"/>
          <w:numId w:val="17"/>
        </w:numPr>
        <w:tabs>
          <w:tab w:val="left" w:pos="710"/>
          <w:tab w:val="clear" w:pos="0"/>
        </w:tabs>
        <w:spacing w:before="93" w:beforeLines="30" w:after="93" w:afterLines="30" w:line="360" w:lineRule="exact"/>
        <w:ind w:left="709" w:right="-57" w:rightChars="-27" w:hanging="709"/>
        <w:rPr>
          <w:sz w:val="24"/>
        </w:rPr>
      </w:pPr>
      <w:r>
        <w:rPr>
          <w:sz w:val="24"/>
        </w:rPr>
        <w:t>本合同自双方授权代表签字并盖章之日起生效，至双方</w:t>
      </w:r>
      <w:r>
        <w:rPr>
          <w:rFonts w:hint="eastAsia"/>
          <w:sz w:val="24"/>
        </w:rPr>
        <w:t>在本合同项下的全部义务</w:t>
      </w:r>
      <w:r>
        <w:rPr>
          <w:sz w:val="24"/>
        </w:rPr>
        <w:t>履行完毕之日终止。</w:t>
      </w:r>
    </w:p>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rPr>
        <w:t>合同的解除和终止</w:t>
      </w:r>
    </w:p>
    <w:p>
      <w:pPr>
        <w:numPr>
          <w:ilvl w:val="0"/>
          <w:numId w:val="18"/>
        </w:numPr>
        <w:tabs>
          <w:tab w:val="left" w:pos="709"/>
          <w:tab w:val="clear" w:pos="0"/>
        </w:tabs>
        <w:spacing w:before="93" w:beforeLines="30" w:after="93" w:afterLines="30" w:line="360" w:lineRule="exact"/>
        <w:ind w:left="709" w:right="-57" w:rightChars="-27" w:hanging="709"/>
        <w:rPr>
          <w:sz w:val="24"/>
        </w:rPr>
      </w:pPr>
      <w:r>
        <w:rPr>
          <w:rFonts w:hint="eastAsia"/>
          <w:sz w:val="24"/>
        </w:rPr>
        <w:t>如</w:t>
      </w:r>
      <w:r>
        <w:rPr>
          <w:sz w:val="24"/>
        </w:rPr>
        <w:t>发生以下任</w:t>
      </w:r>
      <w:r>
        <w:rPr>
          <w:rFonts w:hint="eastAsia"/>
          <w:sz w:val="24"/>
        </w:rPr>
        <w:t>一情形，经书面通知乙方，甲</w:t>
      </w:r>
      <w:r>
        <w:rPr>
          <w:sz w:val="24"/>
        </w:rPr>
        <w:t>方</w:t>
      </w:r>
      <w:r>
        <w:rPr>
          <w:rFonts w:hint="eastAsia"/>
          <w:sz w:val="24"/>
        </w:rPr>
        <w:t>有权立即解除本</w:t>
      </w:r>
      <w:r>
        <w:rPr>
          <w:sz w:val="24"/>
        </w:rPr>
        <w:t>合同：</w:t>
      </w:r>
      <w:r>
        <w:rPr>
          <w:rFonts w:hint="eastAsia"/>
          <w:sz w:val="24"/>
        </w:rPr>
        <w:t xml:space="preserve"> </w:t>
      </w:r>
    </w:p>
    <w:p>
      <w:pPr>
        <w:numPr>
          <w:ilvl w:val="0"/>
          <w:numId w:val="19"/>
        </w:numPr>
        <w:tabs>
          <w:tab w:val="clear" w:pos="840"/>
        </w:tabs>
        <w:spacing w:line="360" w:lineRule="exact"/>
        <w:ind w:left="1194" w:leftChars="338" w:right="-57" w:rightChars="-27" w:hanging="484" w:hangingChars="202"/>
        <w:rPr>
          <w:sz w:val="24"/>
        </w:rPr>
      </w:pPr>
      <w:r>
        <w:rPr>
          <w:sz w:val="24"/>
        </w:rPr>
        <w:t>乙方</w:t>
      </w:r>
      <w:r>
        <w:rPr>
          <w:rFonts w:hint="eastAsia"/>
          <w:sz w:val="24"/>
        </w:rPr>
        <w:t>延期交付工作成果超过</w:t>
      </w:r>
      <w:r>
        <w:rPr>
          <w:rFonts w:hint="eastAsia"/>
          <w:sz w:val="24"/>
          <w:lang w:val="en-US" w:eastAsia="zh-CN"/>
        </w:rPr>
        <w:t>30</w:t>
      </w:r>
      <w:r>
        <w:rPr>
          <w:rFonts w:hint="eastAsia" w:hAnsi="宋体"/>
          <w:sz w:val="24"/>
        </w:rPr>
        <w:t>日</w:t>
      </w:r>
      <w:r>
        <w:rPr>
          <w:rFonts w:hint="eastAsia"/>
          <w:sz w:val="24"/>
        </w:rPr>
        <w:t>；</w:t>
      </w:r>
    </w:p>
    <w:p>
      <w:pPr>
        <w:numPr>
          <w:ilvl w:val="0"/>
          <w:numId w:val="19"/>
        </w:numPr>
        <w:tabs>
          <w:tab w:val="clear" w:pos="840"/>
        </w:tabs>
        <w:spacing w:line="360" w:lineRule="exact"/>
        <w:ind w:left="1194" w:leftChars="338" w:right="-57" w:rightChars="-27" w:hanging="484" w:hangingChars="202"/>
        <w:rPr>
          <w:sz w:val="24"/>
        </w:rPr>
      </w:pPr>
      <w:r>
        <w:rPr>
          <w:rFonts w:hint="eastAsia"/>
          <w:sz w:val="24"/>
        </w:rPr>
        <w:t>乙</w:t>
      </w:r>
      <w:r>
        <w:rPr>
          <w:sz w:val="24"/>
        </w:rPr>
        <w:t>方</w:t>
      </w:r>
      <w:r>
        <w:rPr>
          <w:rFonts w:hint="eastAsia"/>
          <w:sz w:val="24"/>
        </w:rPr>
        <w:t>发生其它严重违约</w:t>
      </w:r>
      <w:r>
        <w:rPr>
          <w:sz w:val="24"/>
        </w:rPr>
        <w:t>，</w:t>
      </w:r>
      <w:r>
        <w:rPr>
          <w:rFonts w:hint="eastAsia"/>
          <w:sz w:val="24"/>
        </w:rPr>
        <w:t>且未在甲方要求的期限内纠正。</w:t>
      </w:r>
    </w:p>
    <w:p>
      <w:pPr>
        <w:numPr>
          <w:ilvl w:val="0"/>
          <w:numId w:val="18"/>
        </w:numPr>
        <w:tabs>
          <w:tab w:val="left" w:pos="709"/>
          <w:tab w:val="clear" w:pos="0"/>
        </w:tabs>
        <w:spacing w:before="93" w:beforeLines="30" w:after="93" w:afterLines="30" w:line="360" w:lineRule="exact"/>
        <w:ind w:left="709" w:right="-57" w:rightChars="-27" w:hanging="709"/>
        <w:rPr>
          <w:sz w:val="24"/>
        </w:rPr>
      </w:pPr>
      <w:r>
        <w:rPr>
          <w:rFonts w:hint="eastAsia"/>
          <w:sz w:val="24"/>
        </w:rPr>
        <w:t>无论基于何种原因，经</w:t>
      </w:r>
      <w:r>
        <w:rPr>
          <w:sz w:val="24"/>
        </w:rPr>
        <w:t>提前</w:t>
      </w:r>
      <w:r>
        <w:rPr>
          <w:rFonts w:hint="eastAsia"/>
          <w:color w:val="000000"/>
          <w:sz w:val="24"/>
          <w:highlight w:val="none"/>
          <w:lang w:val="en-US" w:eastAsia="zh-CN"/>
        </w:rPr>
        <w:t>10</w:t>
      </w:r>
      <w:r>
        <w:rPr>
          <w:rFonts w:hint="eastAsia"/>
          <w:sz w:val="24"/>
        </w:rPr>
        <w:t>日</w:t>
      </w:r>
      <w:r>
        <w:rPr>
          <w:sz w:val="24"/>
        </w:rPr>
        <w:t>书面通知</w:t>
      </w:r>
      <w:r>
        <w:rPr>
          <w:rFonts w:hint="eastAsia"/>
          <w:sz w:val="24"/>
        </w:rPr>
        <w:t>乙方</w:t>
      </w:r>
      <w:r>
        <w:rPr>
          <w:sz w:val="24"/>
        </w:rPr>
        <w:t>，</w:t>
      </w:r>
      <w:r>
        <w:rPr>
          <w:rFonts w:hint="eastAsia"/>
          <w:sz w:val="24"/>
        </w:rPr>
        <w:t>甲</w:t>
      </w:r>
      <w:r>
        <w:rPr>
          <w:sz w:val="24"/>
        </w:rPr>
        <w:t>方有权随时</w:t>
      </w:r>
      <w:r>
        <w:rPr>
          <w:rFonts w:hint="eastAsia"/>
          <w:sz w:val="24"/>
        </w:rPr>
        <w:t>终止本</w:t>
      </w:r>
      <w:r>
        <w:rPr>
          <w:sz w:val="24"/>
        </w:rPr>
        <w:t>合同。</w:t>
      </w:r>
    </w:p>
    <w:p>
      <w:pPr>
        <w:numPr>
          <w:ilvl w:val="0"/>
          <w:numId w:val="18"/>
        </w:numPr>
        <w:tabs>
          <w:tab w:val="left" w:pos="709"/>
          <w:tab w:val="clear" w:pos="0"/>
        </w:tabs>
        <w:spacing w:before="93" w:beforeLines="30" w:after="93" w:afterLines="30" w:line="360" w:lineRule="exact"/>
        <w:ind w:left="709" w:right="-57" w:rightChars="-27" w:hanging="709"/>
        <w:rPr>
          <w:sz w:val="24"/>
        </w:rPr>
      </w:pPr>
      <w:r>
        <w:rPr>
          <w:rFonts w:hint="eastAsia"/>
          <w:sz w:val="24"/>
        </w:rPr>
        <w:t>乙</w:t>
      </w:r>
      <w:r>
        <w:rPr>
          <w:sz w:val="24"/>
        </w:rPr>
        <w:t>方</w:t>
      </w:r>
      <w:r>
        <w:rPr>
          <w:rFonts w:hint="eastAsia"/>
          <w:sz w:val="24"/>
        </w:rPr>
        <w:t>收到甲</w:t>
      </w:r>
      <w:r>
        <w:rPr>
          <w:sz w:val="24"/>
        </w:rPr>
        <w:t>方</w:t>
      </w:r>
      <w:r>
        <w:rPr>
          <w:rFonts w:hint="eastAsia"/>
          <w:sz w:val="24"/>
        </w:rPr>
        <w:t>终止</w:t>
      </w:r>
      <w:r>
        <w:rPr>
          <w:sz w:val="24"/>
        </w:rPr>
        <w:t>合同的</w:t>
      </w:r>
      <w:r>
        <w:rPr>
          <w:rFonts w:hint="eastAsia"/>
          <w:sz w:val="24"/>
        </w:rPr>
        <w:t>书面</w:t>
      </w:r>
      <w:r>
        <w:rPr>
          <w:sz w:val="24"/>
        </w:rPr>
        <w:t>通知</w:t>
      </w:r>
      <w:r>
        <w:rPr>
          <w:rFonts w:hint="eastAsia"/>
          <w:sz w:val="24"/>
        </w:rPr>
        <w:t>后，</w:t>
      </w:r>
      <w:r>
        <w:rPr>
          <w:sz w:val="24"/>
        </w:rPr>
        <w:t>应立即停止</w:t>
      </w:r>
      <w:r>
        <w:rPr>
          <w:rFonts w:hint="eastAsia"/>
          <w:sz w:val="24"/>
        </w:rPr>
        <w:t>履行与</w:t>
      </w:r>
      <w:r>
        <w:rPr>
          <w:sz w:val="24"/>
        </w:rPr>
        <w:t>本合同</w:t>
      </w:r>
      <w:r>
        <w:rPr>
          <w:rFonts w:hint="eastAsia"/>
          <w:sz w:val="24"/>
        </w:rPr>
        <w:t>相</w:t>
      </w:r>
      <w:r>
        <w:rPr>
          <w:sz w:val="24"/>
        </w:rPr>
        <w:t>关的工作，并对</w:t>
      </w:r>
      <w:r>
        <w:rPr>
          <w:rFonts w:hint="eastAsia"/>
          <w:sz w:val="24"/>
        </w:rPr>
        <w:t>已履行</w:t>
      </w:r>
      <w:r>
        <w:rPr>
          <w:sz w:val="24"/>
        </w:rPr>
        <w:t>的</w:t>
      </w:r>
      <w:r>
        <w:rPr>
          <w:rFonts w:hint="eastAsia"/>
          <w:sz w:val="24"/>
        </w:rPr>
        <w:t>部分</w:t>
      </w:r>
      <w:r>
        <w:rPr>
          <w:sz w:val="24"/>
        </w:rPr>
        <w:t>进行结算。甲方收到乙方的结算</w:t>
      </w:r>
      <w:r>
        <w:rPr>
          <w:rFonts w:hint="eastAsia"/>
          <w:sz w:val="24"/>
        </w:rPr>
        <w:t>要求</w:t>
      </w:r>
      <w:r>
        <w:rPr>
          <w:sz w:val="24"/>
        </w:rPr>
        <w:t>后，</w:t>
      </w:r>
      <w:r>
        <w:rPr>
          <w:rFonts w:hint="eastAsia"/>
          <w:sz w:val="24"/>
        </w:rPr>
        <w:t>应</w:t>
      </w:r>
      <w:r>
        <w:rPr>
          <w:sz w:val="24"/>
        </w:rPr>
        <w:t>与乙方协商结算</w:t>
      </w:r>
      <w:r>
        <w:rPr>
          <w:rFonts w:hint="eastAsia"/>
          <w:sz w:val="24"/>
        </w:rPr>
        <w:t>服务费，结算费用以乙方为</w:t>
      </w:r>
      <w:r>
        <w:rPr>
          <w:sz w:val="24"/>
        </w:rPr>
        <w:t>履行合同已</w:t>
      </w:r>
      <w:r>
        <w:rPr>
          <w:rFonts w:hint="eastAsia"/>
          <w:sz w:val="24"/>
        </w:rPr>
        <w:t>实际</w:t>
      </w:r>
      <w:r>
        <w:rPr>
          <w:sz w:val="24"/>
        </w:rPr>
        <w:t>发生</w:t>
      </w:r>
      <w:r>
        <w:rPr>
          <w:rFonts w:hint="eastAsia"/>
          <w:sz w:val="24"/>
        </w:rPr>
        <w:t>的</w:t>
      </w:r>
      <w:r>
        <w:rPr>
          <w:sz w:val="24"/>
        </w:rPr>
        <w:t>直接、合理费用</w:t>
      </w:r>
      <w:r>
        <w:rPr>
          <w:rFonts w:hint="eastAsia"/>
          <w:sz w:val="24"/>
        </w:rPr>
        <w:t>为限，乙方应提供书面证明文件。对于合同终止前乙方完成的工作成果，乙方应立即移交给甲方，甲方拥有相关工作成果的全部权益。</w:t>
      </w:r>
    </w:p>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rPr>
        <w:t>转让和分包</w:t>
      </w:r>
    </w:p>
    <w:p>
      <w:pPr>
        <w:numPr>
          <w:ilvl w:val="0"/>
          <w:numId w:val="20"/>
        </w:numPr>
        <w:tabs>
          <w:tab w:val="left" w:pos="710"/>
          <w:tab w:val="clear" w:pos="0"/>
        </w:tabs>
        <w:spacing w:before="93" w:beforeLines="30" w:after="93" w:afterLines="30" w:line="360" w:lineRule="exact"/>
        <w:ind w:left="709" w:right="-57" w:rightChars="-27" w:hanging="709"/>
        <w:rPr>
          <w:sz w:val="24"/>
        </w:rPr>
      </w:pPr>
      <w:r>
        <w:rPr>
          <w:rFonts w:hint="eastAsia" w:cs="新宋体-18030"/>
          <w:sz w:val="24"/>
        </w:rPr>
        <w:t>未经甲方事先书面同意，乙方不得将其在本合同项下的任何权利和义务全部或部分转让给任何第三方，包括乙方关联企业。</w:t>
      </w:r>
      <w:r>
        <w:rPr>
          <w:rFonts w:hint="eastAsia" w:ascii="宋体" w:hAnsi="宋体"/>
          <w:sz w:val="24"/>
        </w:rPr>
        <w:t>甲方</w:t>
      </w:r>
      <w:r>
        <w:rPr>
          <w:rFonts w:ascii="宋体" w:hAnsi="宋体"/>
          <w:sz w:val="24"/>
        </w:rPr>
        <w:t>可以</w:t>
      </w:r>
      <w:r>
        <w:rPr>
          <w:rFonts w:hint="eastAsia" w:ascii="宋体" w:hAnsi="宋体"/>
          <w:sz w:val="24"/>
        </w:rPr>
        <w:t>将其在</w:t>
      </w:r>
      <w:r>
        <w:rPr>
          <w:rFonts w:ascii="宋体" w:hAnsi="宋体"/>
          <w:sz w:val="24"/>
        </w:rPr>
        <w:t>本合同</w:t>
      </w:r>
      <w:r>
        <w:rPr>
          <w:rFonts w:hint="eastAsia" w:ascii="宋体" w:hAnsi="宋体"/>
          <w:sz w:val="24"/>
        </w:rPr>
        <w:t>项下的</w:t>
      </w:r>
      <w:r>
        <w:rPr>
          <w:rFonts w:ascii="宋体" w:hAnsi="宋体"/>
          <w:sz w:val="24"/>
        </w:rPr>
        <w:t>权利和义务</w:t>
      </w:r>
      <w:r>
        <w:rPr>
          <w:rFonts w:hint="eastAsia" w:ascii="宋体" w:hAnsi="宋体"/>
          <w:sz w:val="24"/>
        </w:rPr>
        <w:t>全部或部分</w:t>
      </w:r>
      <w:r>
        <w:rPr>
          <w:rFonts w:ascii="宋体" w:hAnsi="宋体"/>
          <w:sz w:val="24"/>
        </w:rPr>
        <w:t>转让给</w:t>
      </w:r>
      <w:r>
        <w:rPr>
          <w:rFonts w:hint="eastAsia" w:ascii="宋体" w:hAnsi="宋体"/>
          <w:sz w:val="24"/>
        </w:rPr>
        <w:t>其关联企业</w:t>
      </w:r>
      <w:r>
        <w:rPr>
          <w:rFonts w:ascii="宋体" w:hAnsi="宋体"/>
          <w:sz w:val="24"/>
        </w:rPr>
        <w:t>，</w:t>
      </w:r>
      <w:r>
        <w:rPr>
          <w:rFonts w:hint="eastAsia" w:ascii="宋体" w:hAnsi="宋体"/>
          <w:sz w:val="24"/>
        </w:rPr>
        <w:t>且无需</w:t>
      </w:r>
      <w:r>
        <w:rPr>
          <w:rFonts w:ascii="宋体" w:hAnsi="宋体"/>
          <w:sz w:val="24"/>
        </w:rPr>
        <w:t>事先征得</w:t>
      </w:r>
      <w:r>
        <w:rPr>
          <w:rFonts w:hint="eastAsia" w:ascii="宋体" w:hAnsi="宋体"/>
          <w:sz w:val="24"/>
        </w:rPr>
        <w:t>乙方</w:t>
      </w:r>
      <w:r>
        <w:rPr>
          <w:rFonts w:ascii="宋体" w:hAnsi="宋体"/>
          <w:sz w:val="24"/>
        </w:rPr>
        <w:t>的同意，但应书面通知</w:t>
      </w:r>
      <w:r>
        <w:rPr>
          <w:rFonts w:hint="eastAsia" w:ascii="宋体" w:hAnsi="宋体"/>
          <w:sz w:val="24"/>
        </w:rPr>
        <w:t>乙方</w:t>
      </w:r>
      <w:r>
        <w:rPr>
          <w:rFonts w:ascii="宋体" w:hAnsi="宋体"/>
          <w:sz w:val="24"/>
        </w:rPr>
        <w:t>。</w:t>
      </w:r>
    </w:p>
    <w:p>
      <w:pPr>
        <w:numPr>
          <w:ilvl w:val="0"/>
          <w:numId w:val="20"/>
        </w:numPr>
        <w:tabs>
          <w:tab w:val="left" w:pos="710"/>
          <w:tab w:val="clear" w:pos="0"/>
        </w:tabs>
        <w:spacing w:before="93" w:beforeLines="30" w:after="93" w:afterLines="30" w:line="360" w:lineRule="exact"/>
        <w:ind w:left="709" w:right="-57" w:rightChars="-27" w:hanging="709"/>
        <w:rPr>
          <w:sz w:val="24"/>
        </w:rPr>
      </w:pPr>
      <w:r>
        <w:rPr>
          <w:rFonts w:hint="eastAsia"/>
          <w:sz w:val="24"/>
        </w:rPr>
        <w:t>未经甲方事先书面同意，乙方不得将本合同分包给任何第三方，包括乙方关联企业。</w:t>
      </w:r>
    </w:p>
    <w:p>
      <w:pPr>
        <w:numPr>
          <w:ilvl w:val="0"/>
          <w:numId w:val="20"/>
        </w:numPr>
        <w:tabs>
          <w:tab w:val="left" w:pos="710"/>
          <w:tab w:val="clear" w:pos="0"/>
        </w:tabs>
        <w:spacing w:before="93" w:beforeLines="30" w:after="93" w:afterLines="30" w:line="360" w:lineRule="exact"/>
        <w:ind w:left="709" w:right="-57" w:rightChars="-27" w:hanging="709"/>
        <w:rPr>
          <w:sz w:val="24"/>
        </w:rPr>
      </w:pPr>
      <w:r>
        <w:rPr>
          <w:rFonts w:hint="eastAsia"/>
          <w:sz w:val="24"/>
        </w:rPr>
        <w:t>乙方不得将本合同转包给任何第三方，包括乙方关联企业。</w:t>
      </w:r>
    </w:p>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rPr>
        <w:t>不可抗力</w:t>
      </w:r>
    </w:p>
    <w:p>
      <w:pPr>
        <w:pStyle w:val="5"/>
        <w:widowControl/>
        <w:numPr>
          <w:ilvl w:val="0"/>
          <w:numId w:val="21"/>
        </w:numPr>
        <w:adjustRightInd w:val="0"/>
        <w:snapToGrid w:val="0"/>
        <w:spacing w:before="93" w:beforeLines="30" w:after="93" w:afterLines="30" w:line="360" w:lineRule="exact"/>
        <w:ind w:left="709" w:hanging="709"/>
        <w:rPr>
          <w:rFonts w:asciiTheme="minorEastAsia" w:hAnsiTheme="minorEastAsia" w:eastAsiaTheme="minorEastAsia"/>
          <w:sz w:val="24"/>
        </w:rPr>
      </w:pPr>
      <w:r>
        <w:rPr>
          <w:rFonts w:hint="eastAsia" w:asciiTheme="minorEastAsia" w:hAnsiTheme="minorEastAsia" w:eastAsiaTheme="minorEastAsia"/>
          <w:sz w:val="24"/>
        </w:rPr>
        <w:t>不可抗力系指本合同的履行过程中，任何一方经合理努力仍不可预见、不可避免并不能克服的客观情况。</w:t>
      </w:r>
    </w:p>
    <w:p>
      <w:pPr>
        <w:pStyle w:val="5"/>
        <w:widowControl/>
        <w:numPr>
          <w:ilvl w:val="0"/>
          <w:numId w:val="21"/>
        </w:numPr>
        <w:adjustRightInd w:val="0"/>
        <w:snapToGrid w:val="0"/>
        <w:spacing w:before="93" w:beforeLines="30" w:after="93" w:afterLines="30" w:line="360" w:lineRule="exact"/>
        <w:ind w:left="709" w:hanging="709"/>
        <w:rPr>
          <w:rFonts w:asciiTheme="minorEastAsia" w:hAnsiTheme="minorEastAsia" w:eastAsiaTheme="minorEastAsia"/>
          <w:sz w:val="24"/>
        </w:rPr>
      </w:pPr>
      <w:r>
        <w:rPr>
          <w:rFonts w:asciiTheme="minorEastAsia" w:hAnsiTheme="minorEastAsia" w:eastAsiaTheme="minorEastAsia"/>
          <w:sz w:val="24"/>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w:t>
      </w:r>
      <w:r>
        <w:rPr>
          <w:rFonts w:hint="eastAsia" w:asciiTheme="minorEastAsia" w:hAnsiTheme="minorEastAsia" w:eastAsiaTheme="minorEastAsia"/>
          <w:sz w:val="24"/>
        </w:rPr>
        <w:t>、延续时间、合同设备受影响的范围、补救措施等，如不可抗力持续发生，遭受不可抗力的一方应及时更新该等信息。</w:t>
      </w:r>
    </w:p>
    <w:p>
      <w:pPr>
        <w:pStyle w:val="5"/>
        <w:widowControl/>
        <w:numPr>
          <w:ilvl w:val="0"/>
          <w:numId w:val="21"/>
        </w:numPr>
        <w:adjustRightInd w:val="0"/>
        <w:snapToGrid w:val="0"/>
        <w:spacing w:before="93" w:beforeLines="30" w:after="93" w:afterLines="30" w:line="360" w:lineRule="exact"/>
        <w:ind w:left="709" w:hanging="709"/>
        <w:rPr>
          <w:rFonts w:asciiTheme="minorEastAsia" w:hAnsiTheme="minorEastAsia" w:eastAsiaTheme="minorEastAsia"/>
          <w:sz w:val="24"/>
        </w:rPr>
      </w:pPr>
      <w:r>
        <w:rPr>
          <w:rFonts w:ascii="宋体" w:hAnsi="宋体"/>
          <w:sz w:val="24"/>
        </w:rPr>
        <w:t>不可抗力发生后，</w:t>
      </w:r>
      <w:r>
        <w:rPr>
          <w:rFonts w:hint="eastAsia" w:ascii="宋体" w:hAnsi="宋体"/>
          <w:sz w:val="24"/>
        </w:rPr>
        <w:t>遭受不可抗力一方</w:t>
      </w:r>
      <w:r>
        <w:rPr>
          <w:rFonts w:ascii="宋体" w:hAnsi="宋体"/>
          <w:sz w:val="24"/>
        </w:rPr>
        <w:t>应采取措施尽量避免和减少损失的扩大，</w:t>
      </w:r>
      <w:r>
        <w:rPr>
          <w:rFonts w:hint="eastAsia" w:ascii="宋体" w:hAnsi="宋体"/>
          <w:sz w:val="24"/>
        </w:rPr>
        <w:t>该方</w:t>
      </w:r>
      <w:r>
        <w:rPr>
          <w:rFonts w:ascii="宋体" w:hAnsi="宋体"/>
          <w:sz w:val="24"/>
        </w:rPr>
        <w:t>没有采取有效措施导致损失扩大的，应对扩大的损失承担责任</w:t>
      </w:r>
      <w:r>
        <w:rPr>
          <w:rFonts w:hint="eastAsia" w:ascii="宋体" w:hAnsi="宋体"/>
          <w:sz w:val="24"/>
        </w:rPr>
        <w:t>。</w:t>
      </w:r>
    </w:p>
    <w:p>
      <w:pPr>
        <w:pStyle w:val="5"/>
        <w:widowControl/>
        <w:numPr>
          <w:ilvl w:val="0"/>
          <w:numId w:val="21"/>
        </w:numPr>
        <w:adjustRightInd w:val="0"/>
        <w:snapToGrid w:val="0"/>
        <w:spacing w:before="93" w:beforeLines="30" w:after="93" w:afterLines="30" w:line="360" w:lineRule="exact"/>
        <w:ind w:left="709" w:hanging="709"/>
        <w:rPr>
          <w:rFonts w:asciiTheme="minorEastAsia" w:hAnsiTheme="minorEastAsia" w:eastAsiaTheme="minorEastAsia"/>
          <w:sz w:val="24"/>
        </w:rPr>
      </w:pPr>
      <w:r>
        <w:rPr>
          <w:rFonts w:hint="eastAsia" w:asciiTheme="minorEastAsia" w:hAnsiTheme="minorEastAsia" w:eastAsiaTheme="minorEastAsia"/>
          <w:sz w:val="24"/>
        </w:rPr>
        <w:t>如发生不可抗力，双方各自承担其人员和财产损失。一旦不可抗力停止或者影响消除，双方应立即履行其义务，合同的期限应该相应顺延。如果不可抗力的影响持续超过</w:t>
      </w:r>
      <w:r>
        <w:rPr>
          <w:rFonts w:hint="eastAsia" w:asciiTheme="minorEastAsia" w:hAnsiTheme="minorEastAsia" w:eastAsiaTheme="minorEastAsia"/>
          <w:sz w:val="24"/>
          <w:lang w:val="en-US" w:eastAsia="zh-CN"/>
        </w:rPr>
        <w:t>60</w:t>
      </w:r>
      <w:r>
        <w:rPr>
          <w:rFonts w:hint="eastAsia" w:asciiTheme="minorEastAsia" w:hAnsiTheme="minorEastAsia" w:eastAsiaTheme="minorEastAsia"/>
          <w:sz w:val="24"/>
        </w:rPr>
        <w:t>日，双方应该共同商议应对措施。</w:t>
      </w:r>
    </w:p>
    <w:p>
      <w:pPr>
        <w:pStyle w:val="5"/>
        <w:widowControl/>
        <w:numPr>
          <w:ilvl w:val="0"/>
          <w:numId w:val="21"/>
        </w:numPr>
        <w:adjustRightInd w:val="0"/>
        <w:snapToGrid w:val="0"/>
        <w:spacing w:before="93" w:beforeLines="30" w:after="93" w:afterLines="30" w:line="360" w:lineRule="exact"/>
        <w:ind w:left="709" w:hanging="709"/>
        <w:rPr>
          <w:rFonts w:asciiTheme="minorEastAsia" w:hAnsiTheme="minorEastAsia" w:eastAsiaTheme="minorEastAsia"/>
          <w:sz w:val="24"/>
        </w:rPr>
      </w:pPr>
      <w:r>
        <w:rPr>
          <w:rFonts w:hint="eastAsia" w:asciiTheme="minorEastAsia" w:hAnsiTheme="minorEastAsia" w:eastAsiaTheme="minorEastAsia"/>
          <w:sz w:val="24"/>
        </w:rPr>
        <w:t>任何一方迟延履行合同后遭受不可抗力的，不得减少、免除该方在本合同项下的任何义务和责任。</w:t>
      </w:r>
    </w:p>
    <w:p>
      <w:pPr>
        <w:pStyle w:val="22"/>
        <w:numPr>
          <w:ilvl w:val="0"/>
          <w:numId w:val="21"/>
        </w:numPr>
        <w:tabs>
          <w:tab w:val="left" w:pos="710"/>
        </w:tabs>
        <w:spacing w:before="93" w:beforeLines="30" w:after="93" w:afterLines="30" w:line="360" w:lineRule="exact"/>
        <w:ind w:left="709" w:right="-57" w:rightChars="-27" w:hanging="709" w:firstLineChars="0"/>
        <w:outlineLvl w:val="0"/>
        <w:rPr>
          <w:rFonts w:cs="新宋体-18030" w:asciiTheme="minorEastAsia" w:hAnsiTheme="minorEastAsia" w:eastAsiaTheme="minorEastAsia"/>
          <w:b/>
          <w:sz w:val="24"/>
        </w:rPr>
      </w:pPr>
      <w:r>
        <w:rPr>
          <w:rFonts w:hint="eastAsia" w:ascii="宋体" w:hAnsi="宋体"/>
          <w:sz w:val="24"/>
        </w:rPr>
        <w:t>任何一方因不可抗力不能或迟延履行本合同，在不可抗力的所涉范围内不承担违约责任。不可抗力的发生不能造成任何一方支付额外款项、赔偿或其它救济方式，双方放弃对不可抗力事项进行索赔的权利。</w:t>
      </w:r>
    </w:p>
    <w:p>
      <w:pPr>
        <w:numPr>
          <w:ilvl w:val="0"/>
          <w:numId w:val="3"/>
        </w:numPr>
        <w:tabs>
          <w:tab w:val="left" w:pos="710"/>
          <w:tab w:val="clear" w:pos="960"/>
        </w:tabs>
        <w:spacing w:before="93" w:beforeLines="30" w:after="93" w:afterLines="30" w:line="360" w:lineRule="exact"/>
        <w:ind w:left="709" w:right="-57" w:rightChars="-27" w:hanging="709"/>
        <w:outlineLvl w:val="0"/>
        <w:rPr>
          <w:rFonts w:hAnsi="Garamond" w:cs="新宋体-18030"/>
          <w:b/>
          <w:sz w:val="24"/>
        </w:rPr>
      </w:pPr>
      <w:r>
        <w:rPr>
          <w:rFonts w:hint="eastAsia" w:hAnsi="Garamond" w:cs="新宋体-18030"/>
          <w:b/>
          <w:sz w:val="24"/>
        </w:rPr>
        <w:t>其它</w:t>
      </w:r>
    </w:p>
    <w:p>
      <w:pPr>
        <w:numPr>
          <w:ilvl w:val="0"/>
          <w:numId w:val="22"/>
        </w:numPr>
        <w:tabs>
          <w:tab w:val="left" w:pos="710"/>
          <w:tab w:val="clear" w:pos="0"/>
        </w:tabs>
        <w:spacing w:before="93" w:beforeLines="30" w:after="93" w:afterLines="30" w:line="360" w:lineRule="exact"/>
        <w:ind w:left="710" w:right="-57" w:rightChars="-27" w:hanging="710"/>
        <w:rPr>
          <w:rFonts w:cs="新宋体-18030"/>
          <w:sz w:val="24"/>
        </w:rPr>
      </w:pPr>
      <w:r>
        <w:rPr>
          <w:rFonts w:hint="eastAsia"/>
          <w:sz w:val="24"/>
        </w:rPr>
        <w:t>在本合同签订时如乙方属于《保障中小企业款项支付条例》（“条例”）规定的中小企业，本合同所约定的付款期限、方式、条件和违约责任等交易条件应遵守该条例的规定。如本合同约定的任何交易条件违反该条例，甲方应按照符合该条例规定的交易条件履行合同，并应按照条例的规定与乙方协商变更本合同的该等交易条件，以保障乙方享有条例规定的合法权益</w:t>
      </w:r>
    </w:p>
    <w:p>
      <w:pPr>
        <w:numPr>
          <w:ilvl w:val="0"/>
          <w:numId w:val="22"/>
        </w:numPr>
        <w:tabs>
          <w:tab w:val="left" w:pos="710"/>
          <w:tab w:val="clear" w:pos="0"/>
        </w:tabs>
        <w:spacing w:before="93" w:beforeLines="30" w:after="93" w:afterLines="30" w:line="360" w:lineRule="exact"/>
        <w:ind w:left="710" w:right="-57" w:rightChars="-27" w:hanging="710"/>
        <w:rPr>
          <w:rFonts w:cs="新宋体-18030"/>
          <w:sz w:val="24"/>
        </w:rPr>
      </w:pPr>
      <w:r>
        <w:rPr>
          <w:rFonts w:hint="eastAsia" w:cs="新宋体-18030"/>
          <w:sz w:val="24"/>
        </w:rPr>
        <w:t>合同签署以前双方就合同约定的提供服务及其他相关事宜达成的所有口头和（或）书面的声明、文件、信件及双方其它形式的通信在本合同生效后自动失效。</w:t>
      </w:r>
    </w:p>
    <w:p>
      <w:pPr>
        <w:numPr>
          <w:ilvl w:val="0"/>
          <w:numId w:val="22"/>
        </w:numPr>
        <w:tabs>
          <w:tab w:val="left" w:pos="710"/>
          <w:tab w:val="clear" w:pos="0"/>
        </w:tabs>
        <w:spacing w:before="93" w:beforeLines="30" w:after="93" w:afterLines="30" w:line="360" w:lineRule="exact"/>
        <w:ind w:left="710" w:right="-57" w:rightChars="-27" w:hanging="710"/>
        <w:rPr>
          <w:sz w:val="24"/>
        </w:rPr>
      </w:pPr>
      <w:r>
        <w:rPr>
          <w:rFonts w:hint="eastAsia" w:cs="新宋体-18030"/>
          <w:sz w:val="24"/>
        </w:rPr>
        <w:t>乙方</w:t>
      </w:r>
      <w:r>
        <w:rPr>
          <w:rFonts w:hint="eastAsia"/>
          <w:sz w:val="24"/>
        </w:rPr>
        <w:t>应根据法律法规的要求建立并维系自身良好的健康、安全、环保体系。</w:t>
      </w:r>
      <w:r>
        <w:rPr>
          <w:rFonts w:hint="eastAsia" w:ascii="宋体" w:hAnsi="宋体"/>
          <w:sz w:val="24"/>
        </w:rPr>
        <w:t>乙方应保证其完成工作符合国家要求的健康、安全及环保标准。</w:t>
      </w:r>
      <w:r>
        <w:rPr>
          <w:rFonts w:ascii="宋体" w:hAnsi="宋体"/>
          <w:sz w:val="24"/>
        </w:rPr>
        <w:t>甲方有权根据需要修订其健康、安全及环保政策并将最新文件发给乙方以</w:t>
      </w:r>
      <w:r>
        <w:rPr>
          <w:rFonts w:hint="eastAsia" w:ascii="宋体" w:hAnsi="宋体"/>
          <w:sz w:val="24"/>
        </w:rPr>
        <w:t>便</w:t>
      </w:r>
      <w:r>
        <w:rPr>
          <w:rFonts w:ascii="宋体" w:hAnsi="宋体"/>
          <w:sz w:val="24"/>
        </w:rPr>
        <w:t>遵照执行。</w:t>
      </w:r>
      <w:r>
        <w:rPr>
          <w:rFonts w:hint="eastAsia" w:ascii="宋体" w:hAnsi="宋体"/>
          <w:sz w:val="24"/>
        </w:rPr>
        <w:t>因乙方未能按国家相关规定和甲方的要求，而在健康、安全、环保方面给甲方造成的任何损失由乙方全额承担。</w:t>
      </w:r>
    </w:p>
    <w:p>
      <w:pPr>
        <w:numPr>
          <w:ilvl w:val="0"/>
          <w:numId w:val="22"/>
        </w:numPr>
        <w:tabs>
          <w:tab w:val="left" w:pos="710"/>
          <w:tab w:val="clear" w:pos="0"/>
        </w:tabs>
        <w:spacing w:before="93" w:beforeLines="30" w:after="93" w:afterLines="30" w:line="360" w:lineRule="exact"/>
        <w:ind w:left="710" w:right="-57" w:rightChars="-27" w:hanging="710"/>
        <w:rPr>
          <w:sz w:val="24"/>
        </w:rPr>
      </w:pPr>
      <w:r>
        <w:rPr>
          <w:rFonts w:hint="eastAsia"/>
          <w:sz w:val="24"/>
        </w:rPr>
        <w:t>乙方因履行合同造成乙方和</w:t>
      </w:r>
      <w:r>
        <w:rPr>
          <w:sz w:val="24"/>
        </w:rPr>
        <w:t>/</w:t>
      </w:r>
      <w:r>
        <w:rPr>
          <w:rFonts w:hint="eastAsia"/>
          <w:sz w:val="24"/>
        </w:rPr>
        <w:t>或第三方的人员损失和</w:t>
      </w:r>
      <w:r>
        <w:rPr>
          <w:sz w:val="24"/>
        </w:rPr>
        <w:t>/</w:t>
      </w:r>
      <w:r>
        <w:rPr>
          <w:rFonts w:hint="eastAsia"/>
          <w:sz w:val="24"/>
        </w:rPr>
        <w:t>或财产损失以及环境污染损失由乙方承担全部责任，除非该等损失系甲方故意或重大过失所致。</w:t>
      </w:r>
    </w:p>
    <w:p>
      <w:pPr>
        <w:numPr>
          <w:ilvl w:val="0"/>
          <w:numId w:val="22"/>
        </w:numPr>
        <w:tabs>
          <w:tab w:val="left" w:pos="710"/>
          <w:tab w:val="clear" w:pos="0"/>
        </w:tabs>
        <w:spacing w:before="93" w:beforeLines="30" w:after="93" w:afterLines="30" w:line="360" w:lineRule="exact"/>
        <w:ind w:left="709" w:right="-57" w:rightChars="-27" w:hanging="709"/>
        <w:rPr>
          <w:sz w:val="24"/>
        </w:rPr>
      </w:pPr>
      <w:r>
        <w:rPr>
          <w:rFonts w:hint="eastAsia"/>
          <w:sz w:val="24"/>
        </w:rPr>
        <w:t>乙方应根据甲方要求，无条件接受和配合甲方或甲方委托的会计师事务所进行的与本合同相关的审计，包括配合甲方或甲方委托的会计师事务所对分包商进行的与分包合同相关的审计。乙方应在分包合同中要求其分包商接受与本合同相同的审计要求，包括分包商应无条件接受和配合甲方或甲方委托的会计师事务所对分包商进行的与分包合同相关的审计。</w:t>
      </w:r>
      <w:r>
        <w:rPr>
          <w:sz w:val="24"/>
        </w:rPr>
        <w:t>乙方应保存与本合同相关的记录和账目，保存期限为</w:t>
      </w:r>
      <w:r>
        <w:rPr>
          <w:rFonts w:hint="eastAsia"/>
          <w:i w:val="0"/>
          <w:iCs/>
          <w:sz w:val="24"/>
          <w:highlight w:val="none"/>
        </w:rPr>
        <w:t>遵从所在国相关规定</w:t>
      </w:r>
      <w:r>
        <w:rPr>
          <w:sz w:val="24"/>
        </w:rPr>
        <w:t>。经提前通知，甲方或甲方委托的会计师事务所有权检查并复制该等记录和账目。</w:t>
      </w:r>
    </w:p>
    <w:p>
      <w:pPr>
        <w:numPr>
          <w:ilvl w:val="0"/>
          <w:numId w:val="22"/>
        </w:numPr>
        <w:tabs>
          <w:tab w:val="left" w:pos="710"/>
          <w:tab w:val="clear" w:pos="0"/>
        </w:tabs>
        <w:spacing w:before="93" w:beforeLines="30" w:after="93" w:afterLines="30" w:line="360" w:lineRule="exact"/>
        <w:ind w:left="709" w:right="-57" w:rightChars="-27" w:hanging="709"/>
        <w:rPr>
          <w:sz w:val="24"/>
        </w:rPr>
      </w:pPr>
      <w:r>
        <w:rPr>
          <w:rFonts w:hint="eastAsia"/>
          <w:sz w:val="24"/>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numPr>
          <w:ilvl w:val="0"/>
          <w:numId w:val="22"/>
        </w:numPr>
        <w:tabs>
          <w:tab w:val="left" w:pos="710"/>
          <w:tab w:val="clear" w:pos="0"/>
        </w:tabs>
        <w:spacing w:before="93" w:beforeLines="30" w:after="93" w:afterLines="30" w:line="360" w:lineRule="exact"/>
        <w:ind w:left="709" w:right="-57" w:rightChars="-27" w:hanging="709"/>
        <w:rPr>
          <w:sz w:val="24"/>
        </w:rPr>
      </w:pPr>
      <w:r>
        <w:rPr>
          <w:sz w:val="24"/>
        </w:rPr>
        <w:t>本合同</w:t>
      </w:r>
      <w:r>
        <w:rPr>
          <w:rFonts w:hint="eastAsia"/>
          <w:sz w:val="24"/>
          <w:lang w:val="en-US" w:eastAsia="zh-CN"/>
        </w:rPr>
        <w:t>附件</w:t>
      </w:r>
      <w:r>
        <w:rPr>
          <w:sz w:val="24"/>
        </w:rPr>
        <w:t>是本合同的有效组成部分。</w:t>
      </w:r>
      <w:r>
        <w:rPr>
          <w:rFonts w:hint="eastAsia"/>
          <w:sz w:val="24"/>
        </w:rPr>
        <w:t>本合同</w:t>
      </w:r>
      <w:r>
        <w:rPr>
          <w:sz w:val="24"/>
        </w:rPr>
        <w:t>未尽事宜</w:t>
      </w:r>
      <w:r>
        <w:rPr>
          <w:rFonts w:hint="eastAsia"/>
          <w:sz w:val="24"/>
        </w:rPr>
        <w:t>经</w:t>
      </w:r>
      <w:r>
        <w:rPr>
          <w:sz w:val="24"/>
        </w:rPr>
        <w:t>双方协商</w:t>
      </w:r>
      <w:r>
        <w:rPr>
          <w:rFonts w:hint="eastAsia"/>
          <w:sz w:val="24"/>
        </w:rPr>
        <w:t>后通过签署书面补充协议确定</w:t>
      </w:r>
      <w:r>
        <w:rPr>
          <w:sz w:val="24"/>
        </w:rPr>
        <w:t>。</w:t>
      </w:r>
      <w:r>
        <w:rPr>
          <w:rFonts w:hint="eastAsia"/>
          <w:sz w:val="24"/>
        </w:rPr>
        <w:t>补充协议是本合同的组成部分。</w:t>
      </w:r>
    </w:p>
    <w:p>
      <w:pPr>
        <w:numPr>
          <w:ilvl w:val="0"/>
          <w:numId w:val="22"/>
        </w:numPr>
        <w:tabs>
          <w:tab w:val="left" w:pos="710"/>
          <w:tab w:val="clear" w:pos="0"/>
        </w:tabs>
        <w:spacing w:before="93" w:beforeLines="30" w:after="93" w:afterLines="30" w:line="360" w:lineRule="exact"/>
        <w:ind w:left="709" w:right="-57" w:rightChars="-27" w:hanging="709"/>
        <w:rPr>
          <w:sz w:val="24"/>
        </w:rPr>
      </w:pPr>
      <w:r>
        <w:rPr>
          <w:sz w:val="24"/>
        </w:rPr>
        <w:t>本合同一式</w:t>
      </w:r>
      <w:r>
        <w:rPr>
          <w:rFonts w:hint="eastAsia"/>
          <w:sz w:val="24"/>
          <w:highlight w:val="none"/>
          <w:lang w:val="en-US" w:eastAsia="zh-CN"/>
        </w:rPr>
        <w:t>三</w:t>
      </w:r>
      <w:r>
        <w:rPr>
          <w:sz w:val="24"/>
        </w:rPr>
        <w:t>份，</w:t>
      </w:r>
      <w:r>
        <w:rPr>
          <w:rFonts w:hint="eastAsia"/>
          <w:sz w:val="24"/>
        </w:rPr>
        <w:t>甲方执二份，乙方执一份，具有同等法律效力</w:t>
      </w:r>
      <w:r>
        <w:rPr>
          <w:sz w:val="24"/>
        </w:rPr>
        <w:t>。</w:t>
      </w:r>
    </w:p>
    <w:p>
      <w:pPr>
        <w:numPr>
          <w:ilvl w:val="0"/>
          <w:numId w:val="22"/>
        </w:numPr>
        <w:tabs>
          <w:tab w:val="left" w:pos="710"/>
          <w:tab w:val="clear" w:pos="0"/>
        </w:tabs>
        <w:spacing w:before="93" w:beforeLines="30" w:after="93" w:afterLines="30" w:line="360" w:lineRule="exact"/>
        <w:ind w:left="709" w:right="-57" w:rightChars="-27" w:hanging="709"/>
        <w:rPr>
          <w:sz w:val="24"/>
        </w:rPr>
      </w:pPr>
      <w:r>
        <w:rPr>
          <w:rFonts w:hint="eastAsia"/>
          <w:sz w:val="24"/>
        </w:rPr>
        <w:t>本合同系各方当事人反复协商、讨论的结果，双方充分理解合同内容。本合同的内容不是一方当事人事先拟定的，本合同不属于格式合同，条款内容不属于格式条款。</w:t>
      </w:r>
    </w:p>
    <w:p>
      <w:pPr>
        <w:tabs>
          <w:tab w:val="left" w:pos="540"/>
          <w:tab w:val="left" w:pos="900"/>
        </w:tabs>
        <w:spacing w:before="93" w:beforeLines="30" w:line="360" w:lineRule="exact"/>
        <w:ind w:left="181" w:leftChars="-171" w:right="-512" w:rightChars="-244" w:hanging="540" w:hangingChars="225"/>
        <w:jc w:val="center"/>
        <w:rPr>
          <w:rFonts w:cs="新宋体-18030"/>
          <w:sz w:val="24"/>
        </w:rPr>
      </w:pPr>
      <w:r>
        <w:rPr>
          <w:rFonts w:cs="新宋体-18030"/>
          <w:sz w:val="24"/>
        </w:rPr>
        <w:br w:type="page"/>
      </w:r>
    </w:p>
    <w:p>
      <w:pPr>
        <w:tabs>
          <w:tab w:val="left" w:pos="540"/>
          <w:tab w:val="left" w:pos="900"/>
        </w:tabs>
        <w:spacing w:before="93" w:beforeLines="30" w:line="360" w:lineRule="exact"/>
        <w:ind w:left="181" w:leftChars="-171" w:right="-512" w:rightChars="-244" w:hanging="540" w:hangingChars="225"/>
        <w:jc w:val="center"/>
        <w:rPr>
          <w:rFonts w:cs="新宋体-18030"/>
          <w:sz w:val="24"/>
        </w:rPr>
      </w:pPr>
    </w:p>
    <w:p>
      <w:pPr>
        <w:tabs>
          <w:tab w:val="left" w:pos="540"/>
          <w:tab w:val="left" w:pos="900"/>
        </w:tabs>
        <w:spacing w:before="93" w:beforeLines="30" w:line="360" w:lineRule="exact"/>
        <w:ind w:left="183" w:leftChars="-171" w:right="-512" w:rightChars="-244" w:hanging="542" w:hangingChars="225"/>
        <w:jc w:val="center"/>
        <w:rPr>
          <w:b/>
          <w:sz w:val="24"/>
        </w:rPr>
      </w:pPr>
      <w:r>
        <w:rPr>
          <w:rFonts w:hint="eastAsia"/>
          <w:b/>
          <w:sz w:val="24"/>
        </w:rPr>
        <w:t>（本页无正文，为签章页）</w:t>
      </w:r>
    </w:p>
    <w:p>
      <w:pPr>
        <w:tabs>
          <w:tab w:val="left" w:pos="850"/>
        </w:tabs>
        <w:autoSpaceDE w:val="0"/>
        <w:autoSpaceDN w:val="0"/>
        <w:spacing w:line="360" w:lineRule="exact"/>
        <w:ind w:firstLine="600"/>
        <w:textAlignment w:val="bottom"/>
        <w:rPr>
          <w:sz w:val="24"/>
        </w:rPr>
      </w:pPr>
    </w:p>
    <w:tbl>
      <w:tblPr>
        <w:tblStyle w:val="11"/>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r>
              <w:rPr>
                <w:rFonts w:hint="eastAsia"/>
                <w:sz w:val="24"/>
              </w:rPr>
              <w:t>甲</w:t>
            </w:r>
            <w:r>
              <w:rPr>
                <w:sz w:val="24"/>
              </w:rPr>
              <w:t>方</w:t>
            </w:r>
            <w:r>
              <w:rPr>
                <w:rFonts w:hint="eastAsia"/>
                <w:sz w:val="24"/>
              </w:rPr>
              <w:t>（盖章）</w:t>
            </w:r>
          </w:p>
        </w:tc>
        <w:tc>
          <w:tcPr>
            <w:tcW w:w="2397" w:type="pct"/>
          </w:tcPr>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r>
              <w:rPr>
                <w:rFonts w:hint="eastAsia"/>
                <w:sz w:val="24"/>
              </w:rPr>
              <w:t>乙</w:t>
            </w:r>
            <w:r>
              <w:rPr>
                <w:sz w:val="24"/>
              </w:rPr>
              <w:t>方</w:t>
            </w:r>
            <w:r>
              <w:rPr>
                <w:rFonts w:hint="eastAsia"/>
                <w:sz w:val="24"/>
              </w:rPr>
              <w:t>（盖章）</w:t>
            </w:r>
          </w:p>
          <w:p>
            <w:pPr>
              <w:tabs>
                <w:tab w:val="left" w:pos="850"/>
              </w:tabs>
              <w:autoSpaceDE w:val="0"/>
              <w:autoSpaceDN w:val="0"/>
              <w:spacing w:line="360" w:lineRule="exact"/>
              <w:textAlignment w:val="bottom"/>
              <w:rPr>
                <w:sz w:val="24"/>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line="360" w:lineRule="exact"/>
              <w:textAlignment w:val="bottom"/>
              <w:rPr>
                <w:sz w:val="24"/>
              </w:rPr>
            </w:pPr>
            <w:r>
              <w:rPr>
                <w:sz w:val="24"/>
              </w:rPr>
              <w:t>法定代表人或授权代表签字：</w:t>
            </w: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u w:val="single"/>
              </w:rPr>
            </w:pPr>
            <w:r>
              <w:rPr>
                <w:sz w:val="24"/>
                <w:u w:val="single"/>
              </w:rPr>
              <w:t xml:space="preserve">         </w:t>
            </w:r>
            <w:r>
              <w:rPr>
                <w:rFonts w:hint="eastAsia"/>
                <w:sz w:val="24"/>
                <w:u w:val="single"/>
              </w:rPr>
              <w:t xml:space="preserve">                     </w:t>
            </w:r>
            <w:r>
              <w:rPr>
                <w:sz w:val="24"/>
                <w:u w:val="single"/>
              </w:rPr>
              <w:t xml:space="preserve">    </w:t>
            </w:r>
          </w:p>
          <w:p>
            <w:pPr>
              <w:tabs>
                <w:tab w:val="left" w:pos="850"/>
              </w:tabs>
              <w:autoSpaceDE w:val="0"/>
              <w:autoSpaceDN w:val="0"/>
              <w:spacing w:line="360" w:lineRule="exact"/>
              <w:textAlignment w:val="bottom"/>
              <w:rPr>
                <w:sz w:val="24"/>
              </w:rPr>
            </w:pPr>
          </w:p>
        </w:tc>
        <w:tc>
          <w:tcPr>
            <w:tcW w:w="2397" w:type="pct"/>
            <w:vAlign w:val="center"/>
          </w:tcPr>
          <w:p>
            <w:pPr>
              <w:tabs>
                <w:tab w:val="left" w:pos="850"/>
              </w:tabs>
              <w:autoSpaceDE w:val="0"/>
              <w:autoSpaceDN w:val="0"/>
              <w:spacing w:line="360" w:lineRule="exact"/>
              <w:textAlignment w:val="bottom"/>
              <w:rPr>
                <w:sz w:val="24"/>
              </w:rPr>
            </w:pPr>
            <w:r>
              <w:rPr>
                <w:sz w:val="24"/>
              </w:rPr>
              <w:t>法定代表人或授权代表签字：</w:t>
            </w: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rPr>
            </w:pPr>
          </w:p>
          <w:p>
            <w:pPr>
              <w:tabs>
                <w:tab w:val="left" w:pos="850"/>
              </w:tabs>
              <w:autoSpaceDE w:val="0"/>
              <w:autoSpaceDN w:val="0"/>
              <w:spacing w:line="360" w:lineRule="exact"/>
              <w:textAlignment w:val="bottom"/>
              <w:rPr>
                <w:sz w:val="24"/>
                <w:u w:val="single"/>
              </w:rPr>
            </w:pPr>
            <w:r>
              <w:rPr>
                <w:sz w:val="24"/>
                <w:u w:val="single"/>
              </w:rPr>
              <w:t xml:space="preserve">            </w:t>
            </w:r>
            <w:r>
              <w:rPr>
                <w:rFonts w:hint="eastAsia"/>
                <w:sz w:val="24"/>
                <w:u w:val="single"/>
              </w:rPr>
              <w:t xml:space="preserve">                 </w:t>
            </w:r>
            <w:r>
              <w:rPr>
                <w:sz w:val="24"/>
                <w:u w:val="single"/>
              </w:rPr>
              <w:t xml:space="preserve">   </w:t>
            </w:r>
          </w:p>
          <w:p>
            <w:pPr>
              <w:tabs>
                <w:tab w:val="left" w:pos="850"/>
              </w:tabs>
              <w:autoSpaceDE w:val="0"/>
              <w:autoSpaceDN w:val="0"/>
              <w:spacing w:line="360" w:lineRule="exact"/>
              <w:textAlignment w:val="bottom"/>
              <w:rPr>
                <w:sz w:val="24"/>
              </w:rPr>
            </w:pPr>
          </w:p>
        </w:tc>
      </w:tr>
    </w:tbl>
    <w:p>
      <w:pPr>
        <w:spacing w:line="360" w:lineRule="exact"/>
        <w:rPr>
          <w:rFonts w:hint="default" w:eastAsia="宋体"/>
          <w:b/>
          <w:sz w:val="24"/>
          <w:lang w:val="en-US" w:eastAsia="zh-CN"/>
        </w:rPr>
      </w:pPr>
      <w:r>
        <w:rPr>
          <w:b/>
          <w:sz w:val="24"/>
        </w:rPr>
        <w:br w:type="page"/>
      </w:r>
      <w:r>
        <w:rPr>
          <w:rFonts w:hint="eastAsia"/>
          <w:b/>
          <w:sz w:val="24"/>
        </w:rPr>
        <w:t>附件一：</w:t>
      </w:r>
      <w:r>
        <w:rPr>
          <w:rFonts w:hint="eastAsia"/>
          <w:b/>
          <w:sz w:val="24"/>
          <w:lang w:val="en-US" w:eastAsia="zh-CN"/>
        </w:rPr>
        <w:t>合同技术附件(另附）</w:t>
      </w:r>
    </w:p>
    <w:p>
      <w:pPr>
        <w:spacing w:line="360" w:lineRule="exact"/>
        <w:rPr>
          <w:rFonts w:hint="eastAsia" w:eastAsia="宋体"/>
          <w:b/>
          <w:sz w:val="24"/>
          <w:lang w:val="en-US" w:eastAsia="zh-CN"/>
        </w:rPr>
      </w:pPr>
      <w:r>
        <w:rPr>
          <w:rFonts w:hint="eastAsia"/>
          <w:b/>
          <w:sz w:val="24"/>
        </w:rPr>
        <w:t>附件</w:t>
      </w:r>
      <w:r>
        <w:rPr>
          <w:rFonts w:hint="eastAsia"/>
          <w:b/>
          <w:sz w:val="24"/>
          <w:lang w:val="en-US" w:eastAsia="zh-CN"/>
        </w:rPr>
        <w:t>二</w:t>
      </w:r>
      <w:r>
        <w:rPr>
          <w:rFonts w:hint="eastAsia"/>
          <w:b/>
          <w:sz w:val="24"/>
        </w:rPr>
        <w:t>：服务费及费率</w:t>
      </w:r>
      <w:r>
        <w:rPr>
          <w:rFonts w:hint="eastAsia"/>
          <w:b/>
          <w:sz w:val="24"/>
          <w:lang w:val="en-US" w:eastAsia="zh-CN"/>
        </w:rPr>
        <w:t>明细</w:t>
      </w: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spacing w:line="360" w:lineRule="exact"/>
        <w:rPr>
          <w:rFonts w:hint="eastAsia"/>
          <w:b/>
          <w:sz w:val="24"/>
        </w:rPr>
      </w:pPr>
    </w:p>
    <w:p>
      <w:pPr>
        <w:pStyle w:val="24"/>
        <w:spacing w:line="360" w:lineRule="auto"/>
        <w:rPr>
          <w:rFonts w:hint="eastAsia"/>
        </w:rPr>
      </w:pPr>
    </w:p>
    <w:sectPr>
      <w:footerReference r:id="rId3" w:type="default"/>
      <w:footerReference r:id="rId4" w:type="even"/>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新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D284F"/>
    <w:multiLevelType w:val="multilevel"/>
    <w:tmpl w:val="044D284F"/>
    <w:lvl w:ilvl="0" w:tentative="0">
      <w:start w:val="1"/>
      <w:numFmt w:val="decimal"/>
      <w:lvlText w:val="%1"/>
      <w:lvlJc w:val="left"/>
      <w:pPr>
        <w:tabs>
          <w:tab w:val="left" w:pos="465"/>
        </w:tabs>
        <w:ind w:left="465" w:hanging="465"/>
      </w:pPr>
      <w:rPr>
        <w:rFonts w:hint="default"/>
      </w:rPr>
    </w:lvl>
    <w:lvl w:ilvl="1" w:tentative="0">
      <w:start w:val="1"/>
      <w:numFmt w:val="decimal"/>
      <w:lvlText w:val="2.%2"/>
      <w:lvlJc w:val="left"/>
      <w:pPr>
        <w:tabs>
          <w:tab w:val="left" w:pos="0"/>
        </w:tabs>
        <w:ind w:left="425" w:hanging="425"/>
      </w:pPr>
      <w:rPr>
        <w:rFonts w:hint="default"/>
      </w:rPr>
    </w:lvl>
    <w:lvl w:ilvl="2" w:tentative="0">
      <w:start w:val="1"/>
      <w:numFmt w:val="decimal"/>
      <w:lvlText w:val="%1.%2.%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714"/>
        </w:tabs>
        <w:ind w:left="-714" w:hanging="1440"/>
      </w:pPr>
      <w:rPr>
        <w:rFonts w:hint="default"/>
      </w:rPr>
    </w:lvl>
    <w:lvl w:ilvl="7" w:tentative="0">
      <w:start w:val="1"/>
      <w:numFmt w:val="decimal"/>
      <w:lvlText w:val="%1.%2.%3.%4.%5.%6.%7.%8"/>
      <w:lvlJc w:val="left"/>
      <w:pPr>
        <w:tabs>
          <w:tab w:val="left" w:pos="-713"/>
        </w:tabs>
        <w:ind w:left="-713" w:hanging="1800"/>
      </w:pPr>
      <w:rPr>
        <w:rFonts w:hint="default"/>
      </w:rPr>
    </w:lvl>
    <w:lvl w:ilvl="8" w:tentative="0">
      <w:start w:val="1"/>
      <w:numFmt w:val="decimal"/>
      <w:lvlText w:val="%1.%2.%3.%4.%5.%6.%7.%8.%9"/>
      <w:lvlJc w:val="left"/>
      <w:pPr>
        <w:tabs>
          <w:tab w:val="left" w:pos="-1072"/>
        </w:tabs>
        <w:ind w:left="-1072" w:hanging="1800"/>
      </w:pPr>
      <w:rPr>
        <w:rFonts w:hint="default"/>
      </w:rPr>
    </w:lvl>
  </w:abstractNum>
  <w:abstractNum w:abstractNumId="1">
    <w:nsid w:val="0E201A23"/>
    <w:multiLevelType w:val="multilevel"/>
    <w:tmpl w:val="0E201A23"/>
    <w:lvl w:ilvl="0" w:tentative="0">
      <w:start w:val="1"/>
      <w:numFmt w:val="decimal"/>
      <w:lvlText w:val="14.%1"/>
      <w:lvlJc w:val="left"/>
      <w:pPr>
        <w:tabs>
          <w:tab w:val="left" w:pos="0"/>
        </w:tabs>
        <w:ind w:left="430" w:hanging="430"/>
      </w:pPr>
      <w:rPr>
        <w:rFonts w:hint="eastAsia"/>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E310689"/>
    <w:multiLevelType w:val="multilevel"/>
    <w:tmpl w:val="1E310689"/>
    <w:lvl w:ilvl="0" w:tentative="0">
      <w:start w:val="1"/>
      <w:numFmt w:val="decimal"/>
      <w:lvlText w:val="10.%1"/>
      <w:lvlJc w:val="left"/>
      <w:pPr>
        <w:tabs>
          <w:tab w:val="left" w:pos="0"/>
        </w:tabs>
        <w:ind w:left="425" w:hanging="425"/>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F357447"/>
    <w:multiLevelType w:val="multilevel"/>
    <w:tmpl w:val="1F357447"/>
    <w:lvl w:ilvl="0" w:tentative="0">
      <w:start w:val="1"/>
      <w:numFmt w:val="decimal"/>
      <w:lvlText w:val="16.%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11E3BF7"/>
    <w:multiLevelType w:val="multilevel"/>
    <w:tmpl w:val="211E3BF7"/>
    <w:lvl w:ilvl="0" w:tentative="0">
      <w:start w:val="7"/>
      <w:numFmt w:val="decimal"/>
      <w:lvlText w:val="%1"/>
      <w:lvlJc w:val="left"/>
      <w:pPr>
        <w:tabs>
          <w:tab w:val="left" w:pos="360"/>
        </w:tabs>
        <w:ind w:left="360" w:hanging="360"/>
      </w:pPr>
      <w:rPr>
        <w:rFonts w:hint="default" w:cs="新宋体-18030"/>
      </w:rPr>
    </w:lvl>
    <w:lvl w:ilvl="1" w:tentative="0">
      <w:start w:val="1"/>
      <w:numFmt w:val="decimal"/>
      <w:lvlText w:val="9.%2"/>
      <w:lvlJc w:val="left"/>
      <w:pPr>
        <w:tabs>
          <w:tab w:val="left" w:pos="0"/>
        </w:tabs>
        <w:ind w:left="425" w:hanging="425"/>
      </w:pPr>
      <w:rPr>
        <w:rFonts w:hint="default" w:ascii="Times New Roman" w:hAnsi="Times New Roman" w:cs="Times New Roman"/>
        <w:b w:val="0"/>
        <w:i w:val="0"/>
        <w:color w:val="auto"/>
        <w:sz w:val="24"/>
        <w:szCs w:val="24"/>
      </w:rPr>
    </w:lvl>
    <w:lvl w:ilvl="2" w:tentative="0">
      <w:start w:val="1"/>
      <w:numFmt w:val="decimal"/>
      <w:lvlText w:val="%1.%2.%3"/>
      <w:lvlJc w:val="left"/>
      <w:pPr>
        <w:tabs>
          <w:tab w:val="left" w:pos="2"/>
        </w:tabs>
        <w:ind w:left="2" w:hanging="720"/>
      </w:pPr>
      <w:rPr>
        <w:rFonts w:hint="default" w:cs="新宋体-18030"/>
      </w:rPr>
    </w:lvl>
    <w:lvl w:ilvl="3" w:tentative="0">
      <w:start w:val="1"/>
      <w:numFmt w:val="decimal"/>
      <w:lvlText w:val="%1.%2.%3.%4"/>
      <w:lvlJc w:val="left"/>
      <w:pPr>
        <w:tabs>
          <w:tab w:val="left" w:pos="-357"/>
        </w:tabs>
        <w:ind w:left="-357" w:hanging="720"/>
      </w:pPr>
      <w:rPr>
        <w:rFonts w:hint="default" w:cs="新宋体-18030"/>
      </w:rPr>
    </w:lvl>
    <w:lvl w:ilvl="4" w:tentative="0">
      <w:start w:val="1"/>
      <w:numFmt w:val="decimal"/>
      <w:lvlText w:val="%1.%2.%3.%4.%5"/>
      <w:lvlJc w:val="left"/>
      <w:pPr>
        <w:tabs>
          <w:tab w:val="left" w:pos="-356"/>
        </w:tabs>
        <w:ind w:left="-356" w:hanging="1080"/>
      </w:pPr>
      <w:rPr>
        <w:rFonts w:hint="default" w:cs="新宋体-18030"/>
      </w:rPr>
    </w:lvl>
    <w:lvl w:ilvl="5" w:tentative="0">
      <w:start w:val="1"/>
      <w:numFmt w:val="decimal"/>
      <w:lvlText w:val="%1.%2.%3.%4.%5.%6"/>
      <w:lvlJc w:val="left"/>
      <w:pPr>
        <w:tabs>
          <w:tab w:val="left" w:pos="-715"/>
        </w:tabs>
        <w:ind w:left="-715" w:hanging="1080"/>
      </w:pPr>
      <w:rPr>
        <w:rFonts w:hint="default" w:cs="新宋体-18030"/>
      </w:rPr>
    </w:lvl>
    <w:lvl w:ilvl="6" w:tentative="0">
      <w:start w:val="1"/>
      <w:numFmt w:val="decimal"/>
      <w:lvlText w:val="%1.%2.%3.%4.%5.%6.%7"/>
      <w:lvlJc w:val="left"/>
      <w:pPr>
        <w:tabs>
          <w:tab w:val="left" w:pos="-1074"/>
        </w:tabs>
        <w:ind w:left="-1074" w:hanging="1080"/>
      </w:pPr>
      <w:rPr>
        <w:rFonts w:hint="default" w:cs="新宋体-18030"/>
      </w:rPr>
    </w:lvl>
    <w:lvl w:ilvl="7" w:tentative="0">
      <w:start w:val="1"/>
      <w:numFmt w:val="decimal"/>
      <w:lvlText w:val="%1.%2.%3.%4.%5.%6.%7.%8"/>
      <w:lvlJc w:val="left"/>
      <w:pPr>
        <w:tabs>
          <w:tab w:val="left" w:pos="-1073"/>
        </w:tabs>
        <w:ind w:left="-1073" w:hanging="1440"/>
      </w:pPr>
      <w:rPr>
        <w:rFonts w:hint="default" w:cs="新宋体-18030"/>
      </w:rPr>
    </w:lvl>
    <w:lvl w:ilvl="8" w:tentative="0">
      <w:start w:val="1"/>
      <w:numFmt w:val="decimal"/>
      <w:lvlText w:val="%1.%2.%3.%4.%5.%6.%7.%8.%9"/>
      <w:lvlJc w:val="left"/>
      <w:pPr>
        <w:tabs>
          <w:tab w:val="left" w:pos="-1432"/>
        </w:tabs>
        <w:ind w:left="-1432" w:hanging="1440"/>
      </w:pPr>
      <w:rPr>
        <w:rFonts w:hint="default" w:cs="新宋体-18030"/>
      </w:rPr>
    </w:lvl>
  </w:abstractNum>
  <w:abstractNum w:abstractNumId="5">
    <w:nsid w:val="2E664D0D"/>
    <w:multiLevelType w:val="multilevel"/>
    <w:tmpl w:val="2E664D0D"/>
    <w:lvl w:ilvl="0" w:tentative="0">
      <w:start w:val="1"/>
      <w:numFmt w:val="decimal"/>
      <w:lvlText w:val="%1"/>
      <w:lvlJc w:val="left"/>
      <w:pPr>
        <w:tabs>
          <w:tab w:val="left" w:pos="465"/>
        </w:tabs>
        <w:ind w:left="465" w:hanging="465"/>
      </w:pPr>
      <w:rPr>
        <w:rFonts w:hint="default"/>
      </w:rPr>
    </w:lvl>
    <w:lvl w:ilvl="1" w:tentative="0">
      <w:start w:val="1"/>
      <w:numFmt w:val="decimal"/>
      <w:lvlText w:val="%1.%2"/>
      <w:lvlJc w:val="left"/>
      <w:pPr>
        <w:tabs>
          <w:tab w:val="left" w:pos="0"/>
        </w:tabs>
        <w:ind w:left="425" w:hanging="425"/>
      </w:pPr>
      <w:rPr>
        <w:rFonts w:hint="default"/>
      </w:rPr>
    </w:lvl>
    <w:lvl w:ilvl="2" w:tentative="0">
      <w:start w:val="1"/>
      <w:numFmt w:val="decimal"/>
      <w:lvlText w:val="%1.%2.%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714"/>
        </w:tabs>
        <w:ind w:left="-714" w:hanging="1440"/>
      </w:pPr>
      <w:rPr>
        <w:rFonts w:hint="default"/>
      </w:rPr>
    </w:lvl>
    <w:lvl w:ilvl="7" w:tentative="0">
      <w:start w:val="1"/>
      <w:numFmt w:val="decimal"/>
      <w:lvlText w:val="%1.%2.%3.%4.%5.%6.%7.%8"/>
      <w:lvlJc w:val="left"/>
      <w:pPr>
        <w:tabs>
          <w:tab w:val="left" w:pos="-713"/>
        </w:tabs>
        <w:ind w:left="-713" w:hanging="1800"/>
      </w:pPr>
      <w:rPr>
        <w:rFonts w:hint="default"/>
      </w:rPr>
    </w:lvl>
    <w:lvl w:ilvl="8" w:tentative="0">
      <w:start w:val="1"/>
      <w:numFmt w:val="decimal"/>
      <w:lvlText w:val="%1.%2.%3.%4.%5.%6.%7.%8.%9"/>
      <w:lvlJc w:val="left"/>
      <w:pPr>
        <w:tabs>
          <w:tab w:val="left" w:pos="-1072"/>
        </w:tabs>
        <w:ind w:left="-1072" w:hanging="1800"/>
      </w:pPr>
      <w:rPr>
        <w:rFonts w:hint="default"/>
      </w:rPr>
    </w:lvl>
  </w:abstractNum>
  <w:abstractNum w:abstractNumId="6">
    <w:nsid w:val="3E9C3088"/>
    <w:multiLevelType w:val="multilevel"/>
    <w:tmpl w:val="3E9C3088"/>
    <w:lvl w:ilvl="0" w:tentative="0">
      <w:start w:val="1"/>
      <w:numFmt w:val="decimal"/>
      <w:lvlText w:val="17.%1"/>
      <w:lvlJc w:val="left"/>
      <w:pPr>
        <w:tabs>
          <w:tab w:val="left" w:pos="0"/>
        </w:tabs>
        <w:ind w:left="430" w:hanging="430"/>
      </w:pPr>
      <w:rPr>
        <w:rFonts w:hint="default" w:ascii="Times New Roman" w:hAnsi="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262740C"/>
    <w:multiLevelType w:val="multilevel"/>
    <w:tmpl w:val="4262740C"/>
    <w:lvl w:ilvl="0" w:tentative="0">
      <w:start w:val="1"/>
      <w:numFmt w:val="decimal"/>
      <w:lvlText w:val="%1"/>
      <w:lvlJc w:val="left"/>
      <w:pPr>
        <w:tabs>
          <w:tab w:val="left" w:pos="465"/>
        </w:tabs>
        <w:ind w:left="465" w:hanging="465"/>
      </w:pPr>
      <w:rPr>
        <w:rFonts w:hint="default"/>
      </w:rPr>
    </w:lvl>
    <w:lvl w:ilvl="1" w:tentative="0">
      <w:start w:val="1"/>
      <w:numFmt w:val="decimal"/>
      <w:lvlText w:val="3.%2"/>
      <w:lvlJc w:val="left"/>
      <w:pPr>
        <w:tabs>
          <w:tab w:val="left" w:pos="0"/>
        </w:tabs>
        <w:ind w:left="425" w:hanging="425"/>
      </w:pPr>
      <w:rPr>
        <w:rFonts w:hint="default" w:ascii="宋体" w:hAnsi="宋体" w:eastAsia="宋体" w:cs="宋体"/>
      </w:rPr>
    </w:lvl>
    <w:lvl w:ilvl="2" w:tentative="0">
      <w:start w:val="1"/>
      <w:numFmt w:val="decimal"/>
      <w:lvlText w:val="%1.%2.%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714"/>
        </w:tabs>
        <w:ind w:left="-714" w:hanging="1440"/>
      </w:pPr>
      <w:rPr>
        <w:rFonts w:hint="default"/>
      </w:rPr>
    </w:lvl>
    <w:lvl w:ilvl="7" w:tentative="0">
      <w:start w:val="1"/>
      <w:numFmt w:val="decimal"/>
      <w:lvlText w:val="%1.%2.%3.%4.%5.%6.%7.%8"/>
      <w:lvlJc w:val="left"/>
      <w:pPr>
        <w:tabs>
          <w:tab w:val="left" w:pos="-713"/>
        </w:tabs>
        <w:ind w:left="-713" w:hanging="1800"/>
      </w:pPr>
      <w:rPr>
        <w:rFonts w:hint="default"/>
      </w:rPr>
    </w:lvl>
    <w:lvl w:ilvl="8" w:tentative="0">
      <w:start w:val="1"/>
      <w:numFmt w:val="decimal"/>
      <w:lvlText w:val="%1.%2.%3.%4.%5.%6.%7.%8.%9"/>
      <w:lvlJc w:val="left"/>
      <w:pPr>
        <w:tabs>
          <w:tab w:val="left" w:pos="-1072"/>
        </w:tabs>
        <w:ind w:left="-1072" w:hanging="1800"/>
      </w:pPr>
      <w:rPr>
        <w:rFonts w:hint="default"/>
      </w:rPr>
    </w:lvl>
  </w:abstractNum>
  <w:abstractNum w:abstractNumId="8">
    <w:nsid w:val="435C55BA"/>
    <w:multiLevelType w:val="multilevel"/>
    <w:tmpl w:val="435C55BA"/>
    <w:lvl w:ilvl="0" w:tentative="0">
      <w:start w:val="1"/>
      <w:numFmt w:val="decimal"/>
      <w:lvlText w:val="4.%1"/>
      <w:lvlJc w:val="left"/>
      <w:pPr>
        <w:tabs>
          <w:tab w:val="left" w:pos="0"/>
        </w:tabs>
        <w:ind w:left="425" w:hanging="425"/>
      </w:pPr>
      <w:rPr>
        <w:rFonts w:hint="default" w:cs="Times New Roman"/>
      </w:rPr>
    </w:lvl>
    <w:lvl w:ilvl="1" w:tentative="0">
      <w:start w:val="2"/>
      <w:numFmt w:val="decimal"/>
      <w:lvlText w:val="%1.%2"/>
      <w:lvlJc w:val="left"/>
      <w:pPr>
        <w:tabs>
          <w:tab w:val="left" w:pos="1"/>
        </w:tabs>
        <w:ind w:left="1" w:hanging="360"/>
      </w:pPr>
      <w:rPr>
        <w:rFonts w:hint="default" w:cs="Times New Roman"/>
      </w:rPr>
    </w:lvl>
    <w:lvl w:ilvl="2" w:tentative="0">
      <w:start w:val="1"/>
      <w:numFmt w:val="decimal"/>
      <w:lvlText w:val="%1.%2.%3"/>
      <w:lvlJc w:val="left"/>
      <w:pPr>
        <w:tabs>
          <w:tab w:val="left" w:pos="2"/>
        </w:tabs>
        <w:ind w:left="2" w:hanging="720"/>
      </w:pPr>
      <w:rPr>
        <w:rFonts w:hint="default" w:cs="Times New Roman"/>
      </w:rPr>
    </w:lvl>
    <w:lvl w:ilvl="3" w:tentative="0">
      <w:start w:val="1"/>
      <w:numFmt w:val="decimal"/>
      <w:lvlText w:val="%1.%2.%3.%4"/>
      <w:lvlJc w:val="left"/>
      <w:pPr>
        <w:tabs>
          <w:tab w:val="left" w:pos="-357"/>
        </w:tabs>
        <w:ind w:left="-357" w:hanging="720"/>
      </w:pPr>
      <w:rPr>
        <w:rFonts w:hint="default" w:cs="Times New Roman"/>
      </w:rPr>
    </w:lvl>
    <w:lvl w:ilvl="4" w:tentative="0">
      <w:start w:val="1"/>
      <w:numFmt w:val="decimal"/>
      <w:lvlText w:val="%1.%2.%3.%4.%5"/>
      <w:lvlJc w:val="left"/>
      <w:pPr>
        <w:tabs>
          <w:tab w:val="left" w:pos="-356"/>
        </w:tabs>
        <w:ind w:left="-356" w:hanging="1080"/>
      </w:pPr>
      <w:rPr>
        <w:rFonts w:hint="default" w:cs="Times New Roman"/>
      </w:rPr>
    </w:lvl>
    <w:lvl w:ilvl="5" w:tentative="0">
      <w:start w:val="1"/>
      <w:numFmt w:val="decimal"/>
      <w:lvlText w:val="%1.%2.%3.%4.%5.%6"/>
      <w:lvlJc w:val="left"/>
      <w:pPr>
        <w:tabs>
          <w:tab w:val="left" w:pos="-715"/>
        </w:tabs>
        <w:ind w:left="-715" w:hanging="1080"/>
      </w:pPr>
      <w:rPr>
        <w:rFonts w:hint="default" w:cs="Times New Roman"/>
      </w:rPr>
    </w:lvl>
    <w:lvl w:ilvl="6" w:tentative="0">
      <w:start w:val="1"/>
      <w:numFmt w:val="decimal"/>
      <w:lvlText w:val="%1.%2.%3.%4.%5.%6.%7"/>
      <w:lvlJc w:val="left"/>
      <w:pPr>
        <w:tabs>
          <w:tab w:val="left" w:pos="-1074"/>
        </w:tabs>
        <w:ind w:left="-1074" w:hanging="1080"/>
      </w:pPr>
      <w:rPr>
        <w:rFonts w:hint="default" w:cs="Times New Roman"/>
      </w:rPr>
    </w:lvl>
    <w:lvl w:ilvl="7" w:tentative="0">
      <w:start w:val="1"/>
      <w:numFmt w:val="decimal"/>
      <w:lvlText w:val="%1.%2.%3.%4.%5.%6.%7.%8"/>
      <w:lvlJc w:val="left"/>
      <w:pPr>
        <w:tabs>
          <w:tab w:val="left" w:pos="-1073"/>
        </w:tabs>
        <w:ind w:left="-1073" w:hanging="1440"/>
      </w:pPr>
      <w:rPr>
        <w:rFonts w:hint="default" w:cs="Times New Roman"/>
      </w:rPr>
    </w:lvl>
    <w:lvl w:ilvl="8" w:tentative="0">
      <w:start w:val="1"/>
      <w:numFmt w:val="decimal"/>
      <w:lvlText w:val="%1.%2.%3.%4.%5.%6.%7.%8.%9"/>
      <w:lvlJc w:val="left"/>
      <w:pPr>
        <w:tabs>
          <w:tab w:val="left" w:pos="-1432"/>
        </w:tabs>
        <w:ind w:left="-1432" w:hanging="1440"/>
      </w:pPr>
      <w:rPr>
        <w:rFonts w:hint="default" w:cs="Times New Roman"/>
      </w:rPr>
    </w:lvl>
  </w:abstractNum>
  <w:abstractNum w:abstractNumId="9">
    <w:nsid w:val="43FE2051"/>
    <w:multiLevelType w:val="multilevel"/>
    <w:tmpl w:val="43FE2051"/>
    <w:lvl w:ilvl="0" w:tentative="0">
      <w:start w:val="9"/>
      <w:numFmt w:val="decimal"/>
      <w:lvlText w:val="%1"/>
      <w:lvlJc w:val="left"/>
      <w:pPr>
        <w:tabs>
          <w:tab w:val="left" w:pos="495"/>
        </w:tabs>
        <w:ind w:left="495" w:hanging="495"/>
      </w:pPr>
      <w:rPr>
        <w:rFonts w:hint="default"/>
      </w:rPr>
    </w:lvl>
    <w:lvl w:ilvl="1" w:tentative="0">
      <w:start w:val="1"/>
      <w:numFmt w:val="decimal"/>
      <w:lvlText w:val="13.%2."/>
      <w:lvlJc w:val="left"/>
      <w:pPr>
        <w:tabs>
          <w:tab w:val="left" w:pos="0"/>
        </w:tabs>
        <w:ind w:left="425" w:hanging="425"/>
      </w:pPr>
      <w:rPr>
        <w:rFonts w:hint="default" w:ascii="Times New Roman" w:hAnsi="Times New Roman" w:cs="Times New Roman"/>
        <w:b w:val="0"/>
        <w:i w:val="0"/>
        <w:sz w:val="24"/>
        <w:szCs w:val="24"/>
      </w:rPr>
    </w:lvl>
    <w:lvl w:ilvl="2" w:tentative="0">
      <w:start w:val="1"/>
      <w:numFmt w:val="decimal"/>
      <w:lvlText w:val="%1.%2.%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1074"/>
        </w:tabs>
        <w:ind w:left="-1074" w:hanging="1080"/>
      </w:pPr>
      <w:rPr>
        <w:rFonts w:hint="default"/>
      </w:rPr>
    </w:lvl>
    <w:lvl w:ilvl="7" w:tentative="0">
      <w:start w:val="1"/>
      <w:numFmt w:val="decimal"/>
      <w:lvlText w:val="%1.%2.%3.%4.%5.%6.%7.%8"/>
      <w:lvlJc w:val="left"/>
      <w:pPr>
        <w:tabs>
          <w:tab w:val="left" w:pos="-1073"/>
        </w:tabs>
        <w:ind w:left="-1073" w:hanging="1440"/>
      </w:pPr>
      <w:rPr>
        <w:rFonts w:hint="default"/>
      </w:rPr>
    </w:lvl>
    <w:lvl w:ilvl="8" w:tentative="0">
      <w:start w:val="1"/>
      <w:numFmt w:val="decimal"/>
      <w:lvlText w:val="%1.%2.%3.%4.%5.%6.%7.%8.%9"/>
      <w:lvlJc w:val="left"/>
      <w:pPr>
        <w:tabs>
          <w:tab w:val="left" w:pos="-1432"/>
        </w:tabs>
        <w:ind w:left="-1432" w:hanging="1440"/>
      </w:pPr>
      <w:rPr>
        <w:rFonts w:hint="default"/>
      </w:rPr>
    </w:lvl>
  </w:abstractNum>
  <w:abstractNum w:abstractNumId="10">
    <w:nsid w:val="46A01C03"/>
    <w:multiLevelType w:val="multilevel"/>
    <w:tmpl w:val="46A01C03"/>
    <w:lvl w:ilvl="0" w:tentative="0">
      <w:start w:val="1"/>
      <w:numFmt w:val="decimal"/>
      <w:lvlText w:val="5.%1"/>
      <w:lvlJc w:val="left"/>
      <w:pPr>
        <w:tabs>
          <w:tab w:val="left" w:pos="0"/>
        </w:tabs>
        <w:ind w:left="425" w:hanging="425"/>
      </w:pPr>
      <w:rPr>
        <w:rFonts w:hint="default" w:ascii="Times New Roman" w:hAnsi="Times New Roman" w:cs="Times New Roman"/>
      </w:rPr>
    </w:lvl>
    <w:lvl w:ilvl="1" w:tentative="0">
      <w:start w:val="2"/>
      <w:numFmt w:val="decimal"/>
      <w:lvlText w:val="%1.%2"/>
      <w:lvlJc w:val="left"/>
      <w:pPr>
        <w:tabs>
          <w:tab w:val="left" w:pos="1"/>
        </w:tabs>
        <w:ind w:left="1" w:hanging="360"/>
      </w:pPr>
      <w:rPr>
        <w:rFonts w:hint="default" w:cs="Times New Roman"/>
      </w:rPr>
    </w:lvl>
    <w:lvl w:ilvl="2" w:tentative="0">
      <w:start w:val="1"/>
      <w:numFmt w:val="decimal"/>
      <w:lvlText w:val="%1.%2.%3"/>
      <w:lvlJc w:val="left"/>
      <w:pPr>
        <w:tabs>
          <w:tab w:val="left" w:pos="2"/>
        </w:tabs>
        <w:ind w:left="2" w:hanging="720"/>
      </w:pPr>
      <w:rPr>
        <w:rFonts w:hint="default" w:cs="Times New Roman"/>
      </w:rPr>
    </w:lvl>
    <w:lvl w:ilvl="3" w:tentative="0">
      <w:start w:val="1"/>
      <w:numFmt w:val="decimal"/>
      <w:lvlText w:val="%1.%2.%3.%4"/>
      <w:lvlJc w:val="left"/>
      <w:pPr>
        <w:tabs>
          <w:tab w:val="left" w:pos="-357"/>
        </w:tabs>
        <w:ind w:left="-357" w:hanging="720"/>
      </w:pPr>
      <w:rPr>
        <w:rFonts w:hint="default" w:cs="Times New Roman"/>
      </w:rPr>
    </w:lvl>
    <w:lvl w:ilvl="4" w:tentative="0">
      <w:start w:val="1"/>
      <w:numFmt w:val="decimal"/>
      <w:lvlText w:val="%1.%2.%3.%4.%5"/>
      <w:lvlJc w:val="left"/>
      <w:pPr>
        <w:tabs>
          <w:tab w:val="left" w:pos="-356"/>
        </w:tabs>
        <w:ind w:left="-356" w:hanging="1080"/>
      </w:pPr>
      <w:rPr>
        <w:rFonts w:hint="default" w:cs="Times New Roman"/>
      </w:rPr>
    </w:lvl>
    <w:lvl w:ilvl="5" w:tentative="0">
      <w:start w:val="1"/>
      <w:numFmt w:val="decimal"/>
      <w:lvlText w:val="%1.%2.%3.%4.%5.%6"/>
      <w:lvlJc w:val="left"/>
      <w:pPr>
        <w:tabs>
          <w:tab w:val="left" w:pos="-715"/>
        </w:tabs>
        <w:ind w:left="-715" w:hanging="1080"/>
      </w:pPr>
      <w:rPr>
        <w:rFonts w:hint="default" w:cs="Times New Roman"/>
      </w:rPr>
    </w:lvl>
    <w:lvl w:ilvl="6" w:tentative="0">
      <w:start w:val="1"/>
      <w:numFmt w:val="decimal"/>
      <w:lvlText w:val="%1.%2.%3.%4.%5.%6.%7"/>
      <w:lvlJc w:val="left"/>
      <w:pPr>
        <w:tabs>
          <w:tab w:val="left" w:pos="-1074"/>
        </w:tabs>
        <w:ind w:left="-1074" w:hanging="1080"/>
      </w:pPr>
      <w:rPr>
        <w:rFonts w:hint="default" w:cs="Times New Roman"/>
      </w:rPr>
    </w:lvl>
    <w:lvl w:ilvl="7" w:tentative="0">
      <w:start w:val="1"/>
      <w:numFmt w:val="decimal"/>
      <w:lvlText w:val="%1.%2.%3.%4.%5.%6.%7.%8"/>
      <w:lvlJc w:val="left"/>
      <w:pPr>
        <w:tabs>
          <w:tab w:val="left" w:pos="-1073"/>
        </w:tabs>
        <w:ind w:left="-1073" w:hanging="1440"/>
      </w:pPr>
      <w:rPr>
        <w:rFonts w:hint="default" w:cs="Times New Roman"/>
      </w:rPr>
    </w:lvl>
    <w:lvl w:ilvl="8" w:tentative="0">
      <w:start w:val="1"/>
      <w:numFmt w:val="decimal"/>
      <w:lvlText w:val="%1.%2.%3.%4.%5.%6.%7.%8.%9"/>
      <w:lvlJc w:val="left"/>
      <w:pPr>
        <w:tabs>
          <w:tab w:val="left" w:pos="-1432"/>
        </w:tabs>
        <w:ind w:left="-1432" w:hanging="1440"/>
      </w:pPr>
      <w:rPr>
        <w:rFonts w:hint="default" w:cs="Times New Roman"/>
      </w:rPr>
    </w:lvl>
  </w:abstractNum>
  <w:abstractNum w:abstractNumId="11">
    <w:nsid w:val="4E240114"/>
    <w:multiLevelType w:val="multilevel"/>
    <w:tmpl w:val="4E240114"/>
    <w:lvl w:ilvl="0" w:tentative="0">
      <w:start w:val="1"/>
      <w:numFmt w:val="decimal"/>
      <w:lvlText w:val="%1"/>
      <w:lvlJc w:val="left"/>
      <w:pPr>
        <w:tabs>
          <w:tab w:val="left" w:pos="465"/>
        </w:tabs>
        <w:ind w:left="465" w:hanging="465"/>
      </w:pPr>
      <w:rPr>
        <w:rFonts w:hint="default"/>
      </w:rPr>
    </w:lvl>
    <w:lvl w:ilvl="1" w:tentative="0">
      <w:start w:val="1"/>
      <w:numFmt w:val="decimal"/>
      <w:lvlText w:val="12.%2"/>
      <w:lvlJc w:val="left"/>
      <w:pPr>
        <w:tabs>
          <w:tab w:val="left" w:pos="0"/>
        </w:tabs>
        <w:ind w:left="425" w:hanging="425"/>
      </w:pPr>
      <w:rPr>
        <w:rFonts w:hint="default" w:ascii="Times New Roman" w:hAnsi="Times New Roman" w:cs="Times New Roman"/>
        <w:b w:val="0"/>
        <w:i w:val="0"/>
        <w:color w:val="auto"/>
        <w:sz w:val="24"/>
        <w:szCs w:val="24"/>
      </w:rPr>
    </w:lvl>
    <w:lvl w:ilvl="2" w:tentative="0">
      <w:start w:val="1"/>
      <w:numFmt w:val="decimal"/>
      <w:lvlText w:val="%1.%2.%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714"/>
        </w:tabs>
        <w:ind w:left="-714" w:hanging="1440"/>
      </w:pPr>
      <w:rPr>
        <w:rFonts w:hint="default"/>
      </w:rPr>
    </w:lvl>
    <w:lvl w:ilvl="7" w:tentative="0">
      <w:start w:val="1"/>
      <w:numFmt w:val="decimal"/>
      <w:lvlText w:val="%1.%2.%3.%4.%5.%6.%7.%8"/>
      <w:lvlJc w:val="left"/>
      <w:pPr>
        <w:tabs>
          <w:tab w:val="left" w:pos="-713"/>
        </w:tabs>
        <w:ind w:left="-713" w:hanging="1800"/>
      </w:pPr>
      <w:rPr>
        <w:rFonts w:hint="default"/>
      </w:rPr>
    </w:lvl>
    <w:lvl w:ilvl="8" w:tentative="0">
      <w:start w:val="1"/>
      <w:numFmt w:val="decimal"/>
      <w:lvlText w:val="%1.%2.%3.%4.%5.%6.%7.%8.%9"/>
      <w:lvlJc w:val="left"/>
      <w:pPr>
        <w:tabs>
          <w:tab w:val="left" w:pos="-1072"/>
        </w:tabs>
        <w:ind w:left="-1072" w:hanging="1800"/>
      </w:pPr>
      <w:rPr>
        <w:rFonts w:hint="default"/>
      </w:rPr>
    </w:lvl>
  </w:abstractNum>
  <w:abstractNum w:abstractNumId="12">
    <w:nsid w:val="55DC1EFE"/>
    <w:multiLevelType w:val="multilevel"/>
    <w:tmpl w:val="55DC1EFE"/>
    <w:lvl w:ilvl="0" w:tentative="0">
      <w:start w:val="1"/>
      <w:numFmt w:val="decimal"/>
      <w:lvlText w:val="15.%1"/>
      <w:lvlJc w:val="left"/>
      <w:pPr>
        <w:tabs>
          <w:tab w:val="left" w:pos="0"/>
        </w:tabs>
        <w:ind w:left="425" w:hanging="425"/>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14">
    <w:nsid w:val="5754700B"/>
    <w:multiLevelType w:val="multilevel"/>
    <w:tmpl w:val="5754700B"/>
    <w:lvl w:ilvl="0" w:tentative="0">
      <w:start w:val="6"/>
      <w:numFmt w:val="decimal"/>
      <w:lvlText w:val="%1"/>
      <w:lvlJc w:val="left"/>
      <w:pPr>
        <w:tabs>
          <w:tab w:val="left" w:pos="495"/>
        </w:tabs>
        <w:ind w:left="495" w:hanging="495"/>
      </w:pPr>
      <w:rPr>
        <w:rFonts w:hint="default"/>
      </w:rPr>
    </w:lvl>
    <w:lvl w:ilvl="1" w:tentative="0">
      <w:start w:val="1"/>
      <w:numFmt w:val="decimal"/>
      <w:lvlText w:val="7.%2"/>
      <w:lvlJc w:val="left"/>
      <w:pPr>
        <w:tabs>
          <w:tab w:val="left" w:pos="0"/>
        </w:tabs>
        <w:ind w:left="425" w:hanging="425"/>
      </w:pPr>
      <w:rPr>
        <w:rFonts w:hint="default" w:ascii="Times New Roman" w:hAnsi="Times New Roman" w:cs="Times New Roman"/>
      </w:rPr>
    </w:lvl>
    <w:lvl w:ilvl="2" w:tentative="0">
      <w:start w:val="1"/>
      <w:numFmt w:val="decimal"/>
      <w:lvlText w:val="%1.%2.%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1074"/>
        </w:tabs>
        <w:ind w:left="-1074" w:hanging="1080"/>
      </w:pPr>
      <w:rPr>
        <w:rFonts w:hint="default"/>
      </w:rPr>
    </w:lvl>
    <w:lvl w:ilvl="7" w:tentative="0">
      <w:start w:val="1"/>
      <w:numFmt w:val="decimal"/>
      <w:lvlText w:val="%1.%2.%3.%4.%5.%6.%7.%8"/>
      <w:lvlJc w:val="left"/>
      <w:pPr>
        <w:tabs>
          <w:tab w:val="left" w:pos="-1073"/>
        </w:tabs>
        <w:ind w:left="-1073" w:hanging="1440"/>
      </w:pPr>
      <w:rPr>
        <w:rFonts w:hint="default"/>
      </w:rPr>
    </w:lvl>
    <w:lvl w:ilvl="8" w:tentative="0">
      <w:start w:val="1"/>
      <w:numFmt w:val="decimal"/>
      <w:lvlText w:val="%1.%2.%3.%4.%5.%6.%7.%8.%9"/>
      <w:lvlJc w:val="left"/>
      <w:pPr>
        <w:tabs>
          <w:tab w:val="left" w:pos="-1432"/>
        </w:tabs>
        <w:ind w:left="-1432" w:hanging="1440"/>
      </w:pPr>
      <w:rPr>
        <w:rFonts w:hint="default"/>
      </w:rPr>
    </w:lvl>
  </w:abstractNum>
  <w:abstractNum w:abstractNumId="15">
    <w:nsid w:val="65A24F85"/>
    <w:multiLevelType w:val="multilevel"/>
    <w:tmpl w:val="65A24F85"/>
    <w:lvl w:ilvl="0" w:tentative="0">
      <w:start w:val="7"/>
      <w:numFmt w:val="decimal"/>
      <w:lvlText w:val="%1"/>
      <w:lvlJc w:val="left"/>
      <w:pPr>
        <w:tabs>
          <w:tab w:val="left" w:pos="360"/>
        </w:tabs>
        <w:ind w:left="360" w:hanging="360"/>
      </w:pPr>
      <w:rPr>
        <w:rFonts w:hint="default" w:cs="新宋体-18030"/>
      </w:rPr>
    </w:lvl>
    <w:lvl w:ilvl="1" w:tentative="0">
      <w:start w:val="1"/>
      <w:numFmt w:val="decimal"/>
      <w:lvlText w:val="8.%2"/>
      <w:lvlJc w:val="left"/>
      <w:pPr>
        <w:tabs>
          <w:tab w:val="left" w:pos="0"/>
        </w:tabs>
        <w:ind w:left="425" w:hanging="425"/>
      </w:pPr>
      <w:rPr>
        <w:rFonts w:hint="eastAsia"/>
        <w:b w:val="0"/>
      </w:rPr>
    </w:lvl>
    <w:lvl w:ilvl="2" w:tentative="0">
      <w:start w:val="1"/>
      <w:numFmt w:val="decimal"/>
      <w:lvlText w:val="%1.%2.%3"/>
      <w:lvlJc w:val="left"/>
      <w:pPr>
        <w:tabs>
          <w:tab w:val="left" w:pos="2"/>
        </w:tabs>
        <w:ind w:left="2" w:hanging="720"/>
      </w:pPr>
      <w:rPr>
        <w:rFonts w:hint="default" w:cs="新宋体-18030"/>
      </w:rPr>
    </w:lvl>
    <w:lvl w:ilvl="3" w:tentative="0">
      <w:start w:val="1"/>
      <w:numFmt w:val="decimal"/>
      <w:lvlText w:val="%1.%2.%3.%4"/>
      <w:lvlJc w:val="left"/>
      <w:pPr>
        <w:tabs>
          <w:tab w:val="left" w:pos="-357"/>
        </w:tabs>
        <w:ind w:left="-357" w:hanging="720"/>
      </w:pPr>
      <w:rPr>
        <w:rFonts w:hint="default" w:cs="新宋体-18030"/>
      </w:rPr>
    </w:lvl>
    <w:lvl w:ilvl="4" w:tentative="0">
      <w:start w:val="1"/>
      <w:numFmt w:val="decimal"/>
      <w:lvlText w:val="%1.%2.%3.%4.%5"/>
      <w:lvlJc w:val="left"/>
      <w:pPr>
        <w:tabs>
          <w:tab w:val="left" w:pos="-356"/>
        </w:tabs>
        <w:ind w:left="-356" w:hanging="1080"/>
      </w:pPr>
      <w:rPr>
        <w:rFonts w:hint="default" w:cs="新宋体-18030"/>
      </w:rPr>
    </w:lvl>
    <w:lvl w:ilvl="5" w:tentative="0">
      <w:start w:val="1"/>
      <w:numFmt w:val="decimal"/>
      <w:lvlText w:val="%1.%2.%3.%4.%5.%6"/>
      <w:lvlJc w:val="left"/>
      <w:pPr>
        <w:tabs>
          <w:tab w:val="left" w:pos="-715"/>
        </w:tabs>
        <w:ind w:left="-715" w:hanging="1080"/>
      </w:pPr>
      <w:rPr>
        <w:rFonts w:hint="default" w:cs="新宋体-18030"/>
      </w:rPr>
    </w:lvl>
    <w:lvl w:ilvl="6" w:tentative="0">
      <w:start w:val="1"/>
      <w:numFmt w:val="decimal"/>
      <w:lvlText w:val="%1.%2.%3.%4.%5.%6.%7"/>
      <w:lvlJc w:val="left"/>
      <w:pPr>
        <w:tabs>
          <w:tab w:val="left" w:pos="-1074"/>
        </w:tabs>
        <w:ind w:left="-1074" w:hanging="1080"/>
      </w:pPr>
      <w:rPr>
        <w:rFonts w:hint="default" w:cs="新宋体-18030"/>
      </w:rPr>
    </w:lvl>
    <w:lvl w:ilvl="7" w:tentative="0">
      <w:start w:val="1"/>
      <w:numFmt w:val="decimal"/>
      <w:lvlText w:val="%1.%2.%3.%4.%5.%6.%7.%8"/>
      <w:lvlJc w:val="left"/>
      <w:pPr>
        <w:tabs>
          <w:tab w:val="left" w:pos="-1073"/>
        </w:tabs>
        <w:ind w:left="-1073" w:hanging="1440"/>
      </w:pPr>
      <w:rPr>
        <w:rFonts w:hint="default" w:cs="新宋体-18030"/>
      </w:rPr>
    </w:lvl>
    <w:lvl w:ilvl="8" w:tentative="0">
      <w:start w:val="1"/>
      <w:numFmt w:val="decimal"/>
      <w:lvlText w:val="%1.%2.%3.%4.%5.%6.%7.%8.%9"/>
      <w:lvlJc w:val="left"/>
      <w:pPr>
        <w:tabs>
          <w:tab w:val="left" w:pos="-1432"/>
        </w:tabs>
        <w:ind w:left="-1432" w:hanging="1440"/>
      </w:pPr>
      <w:rPr>
        <w:rFonts w:hint="default" w:cs="新宋体-18030"/>
      </w:rPr>
    </w:lvl>
  </w:abstractNum>
  <w:abstractNum w:abstractNumId="16">
    <w:nsid w:val="67905A4F"/>
    <w:multiLevelType w:val="multilevel"/>
    <w:tmpl w:val="67905A4F"/>
    <w:lvl w:ilvl="0" w:tentative="0">
      <w:start w:val="1"/>
      <w:numFmt w:val="japaneseCounting"/>
      <w:lvlText w:val="第%1条"/>
      <w:lvlJc w:val="left"/>
      <w:pPr>
        <w:tabs>
          <w:tab w:val="left" w:pos="960"/>
        </w:tabs>
        <w:ind w:left="960" w:hanging="960"/>
      </w:pPr>
      <w:rPr>
        <w:rFonts w:hint="default"/>
        <w:b/>
      </w:rPr>
    </w:lvl>
    <w:lvl w:ilvl="1" w:tentative="0">
      <w:start w:val="6"/>
      <w:numFmt w:val="decimal"/>
      <w:lvlText w:val="6.%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94415E2"/>
    <w:multiLevelType w:val="multilevel"/>
    <w:tmpl w:val="694415E2"/>
    <w:lvl w:ilvl="0" w:tentative="0">
      <w:start w:val="9"/>
      <w:numFmt w:val="decimal"/>
      <w:lvlText w:val="%1"/>
      <w:lvlJc w:val="left"/>
      <w:pPr>
        <w:tabs>
          <w:tab w:val="left" w:pos="495"/>
        </w:tabs>
        <w:ind w:left="495" w:hanging="495"/>
      </w:pPr>
      <w:rPr>
        <w:rFonts w:hint="default"/>
      </w:rPr>
    </w:lvl>
    <w:lvl w:ilvl="1" w:tentative="0">
      <w:start w:val="1"/>
      <w:numFmt w:val="decimal"/>
      <w:lvlText w:val="11.%2"/>
      <w:lvlJc w:val="left"/>
      <w:pPr>
        <w:tabs>
          <w:tab w:val="left" w:pos="0"/>
        </w:tabs>
        <w:ind w:left="425" w:hanging="425"/>
      </w:pPr>
      <w:rPr>
        <w:rFonts w:hint="default" w:ascii="Times New Roman" w:hAnsi="Times New Roman" w:cs="Times New Roman"/>
        <w:b w:val="0"/>
        <w:i w:val="0"/>
        <w:color w:val="auto"/>
        <w:sz w:val="24"/>
        <w:szCs w:val="24"/>
      </w:rPr>
    </w:lvl>
    <w:lvl w:ilvl="2" w:tentative="0">
      <w:start w:val="1"/>
      <w:numFmt w:val="decimal"/>
      <w:lvlText w:val="(%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1074"/>
        </w:tabs>
        <w:ind w:left="-1074" w:hanging="1080"/>
      </w:pPr>
      <w:rPr>
        <w:rFonts w:hint="default"/>
      </w:rPr>
    </w:lvl>
    <w:lvl w:ilvl="7" w:tentative="0">
      <w:start w:val="1"/>
      <w:numFmt w:val="decimal"/>
      <w:lvlText w:val="%1.%2.%3.%4.%5.%6.%7.%8"/>
      <w:lvlJc w:val="left"/>
      <w:pPr>
        <w:tabs>
          <w:tab w:val="left" w:pos="-1073"/>
        </w:tabs>
        <w:ind w:left="-1073" w:hanging="1440"/>
      </w:pPr>
      <w:rPr>
        <w:rFonts w:hint="default"/>
      </w:rPr>
    </w:lvl>
    <w:lvl w:ilvl="8" w:tentative="0">
      <w:start w:val="1"/>
      <w:numFmt w:val="decimal"/>
      <w:lvlText w:val="%1.%2.%3.%4.%5.%6.%7.%8.%9"/>
      <w:lvlJc w:val="left"/>
      <w:pPr>
        <w:tabs>
          <w:tab w:val="left" w:pos="-1432"/>
        </w:tabs>
        <w:ind w:left="-1432" w:hanging="1440"/>
      </w:pPr>
      <w:rPr>
        <w:rFonts w:hint="default"/>
      </w:rPr>
    </w:lvl>
  </w:abstractNum>
  <w:abstractNum w:abstractNumId="18">
    <w:nsid w:val="6B810F48"/>
    <w:multiLevelType w:val="multilevel"/>
    <w:tmpl w:val="6B810F48"/>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7"/>
      <w:suff w:val="nothing"/>
      <w:lvlText w:val="%1%2　"/>
      <w:lvlJc w:val="left"/>
      <w:pPr>
        <w:ind w:left="0" w:firstLine="0"/>
      </w:pPr>
      <w:rPr>
        <w:rFonts w:hint="eastAsia" w:ascii="黑体" w:hAnsi="Times New Roman" w:eastAsia="黑体"/>
        <w:b w:val="0"/>
        <w:i w:val="0"/>
        <w:sz w:val="24"/>
        <w:szCs w:val="24"/>
      </w:rPr>
    </w:lvl>
    <w:lvl w:ilvl="2" w:tentative="0">
      <w:start w:val="1"/>
      <w:numFmt w:val="decimal"/>
      <w:pStyle w:val="26"/>
      <w:suff w:val="nothing"/>
      <w:lvlText w:val="%1%2.%3　"/>
      <w:lvlJc w:val="left"/>
      <w:pPr>
        <w:ind w:left="426" w:firstLine="0"/>
      </w:pPr>
      <w:rPr>
        <w:rFonts w:hint="eastAsia" w:ascii="黑体" w:hAnsi="宋体" w:eastAsia="黑体"/>
        <w:b w:val="0"/>
        <w:i w:val="0"/>
        <w:sz w:val="24"/>
        <w:szCs w:val="24"/>
      </w:rPr>
    </w:lvl>
    <w:lvl w:ilvl="3" w:tentative="0">
      <w:start w:val="1"/>
      <w:numFmt w:val="decimal"/>
      <w:suff w:val="nothing"/>
      <w:lvlText w:val="%1%2.%3.%4　"/>
      <w:lvlJc w:val="left"/>
      <w:pPr>
        <w:ind w:left="0" w:firstLine="0"/>
      </w:pPr>
      <w:rPr>
        <w:rFonts w:hint="eastAsia" w:ascii="黑体" w:hAnsi="Times New Roman" w:eastAsia="黑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76933334"/>
    <w:multiLevelType w:val="multilevel"/>
    <w:tmpl w:val="76933334"/>
    <w:lvl w:ilvl="0" w:tentative="0">
      <w:start w:val="1"/>
      <w:numFmt w:val="none"/>
      <w:pStyle w:val="2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B134AAD"/>
    <w:multiLevelType w:val="multilevel"/>
    <w:tmpl w:val="7B134AAD"/>
    <w:lvl w:ilvl="0" w:tentative="0">
      <w:start w:val="1"/>
      <w:numFmt w:val="decimal"/>
      <w:lvlText w:val="%1"/>
      <w:lvlJc w:val="left"/>
      <w:pPr>
        <w:tabs>
          <w:tab w:val="left" w:pos="465"/>
        </w:tabs>
        <w:ind w:left="465" w:hanging="465"/>
      </w:pPr>
      <w:rPr>
        <w:rFonts w:hint="default"/>
      </w:rPr>
    </w:lvl>
    <w:lvl w:ilvl="1" w:tentative="0">
      <w:start w:val="1"/>
      <w:numFmt w:val="decimal"/>
      <w:lvlText w:val="6.%2"/>
      <w:lvlJc w:val="left"/>
      <w:pPr>
        <w:tabs>
          <w:tab w:val="left" w:pos="0"/>
        </w:tabs>
        <w:ind w:left="425" w:hanging="425"/>
      </w:pPr>
      <w:rPr>
        <w:rFonts w:hint="default" w:ascii="Times New Roman" w:hAnsi="Times New Roman" w:cs="Times New Roman"/>
      </w:rPr>
    </w:lvl>
    <w:lvl w:ilvl="2" w:tentative="0">
      <w:start w:val="1"/>
      <w:numFmt w:val="decimal"/>
      <w:lvlText w:val="%1.%2.%3"/>
      <w:lvlJc w:val="left"/>
      <w:pPr>
        <w:tabs>
          <w:tab w:val="left" w:pos="2"/>
        </w:tabs>
        <w:ind w:left="2" w:hanging="720"/>
      </w:pPr>
      <w:rPr>
        <w:rFonts w:hint="default"/>
      </w:rPr>
    </w:lvl>
    <w:lvl w:ilvl="3" w:tentative="0">
      <w:start w:val="1"/>
      <w:numFmt w:val="decimal"/>
      <w:lvlText w:val="%1.%2.%3.%4"/>
      <w:lvlJc w:val="left"/>
      <w:pPr>
        <w:tabs>
          <w:tab w:val="left" w:pos="-357"/>
        </w:tabs>
        <w:ind w:left="-357" w:hanging="720"/>
      </w:pPr>
      <w:rPr>
        <w:rFonts w:hint="default"/>
      </w:rPr>
    </w:lvl>
    <w:lvl w:ilvl="4" w:tentative="0">
      <w:start w:val="1"/>
      <w:numFmt w:val="decimal"/>
      <w:lvlText w:val="%1.%2.%3.%4.%5"/>
      <w:lvlJc w:val="left"/>
      <w:pPr>
        <w:tabs>
          <w:tab w:val="left" w:pos="-356"/>
        </w:tabs>
        <w:ind w:left="-356" w:hanging="1080"/>
      </w:pPr>
      <w:rPr>
        <w:rFonts w:hint="default"/>
      </w:rPr>
    </w:lvl>
    <w:lvl w:ilvl="5" w:tentative="0">
      <w:start w:val="1"/>
      <w:numFmt w:val="decimal"/>
      <w:lvlText w:val="%1.%2.%3.%4.%5.%6"/>
      <w:lvlJc w:val="left"/>
      <w:pPr>
        <w:tabs>
          <w:tab w:val="left" w:pos="-715"/>
        </w:tabs>
        <w:ind w:left="-715" w:hanging="1080"/>
      </w:pPr>
      <w:rPr>
        <w:rFonts w:hint="default"/>
      </w:rPr>
    </w:lvl>
    <w:lvl w:ilvl="6" w:tentative="0">
      <w:start w:val="1"/>
      <w:numFmt w:val="decimal"/>
      <w:lvlText w:val="%1.%2.%3.%4.%5.%6.%7"/>
      <w:lvlJc w:val="left"/>
      <w:pPr>
        <w:tabs>
          <w:tab w:val="left" w:pos="-714"/>
        </w:tabs>
        <w:ind w:left="-714" w:hanging="1440"/>
      </w:pPr>
      <w:rPr>
        <w:rFonts w:hint="default"/>
      </w:rPr>
    </w:lvl>
    <w:lvl w:ilvl="7" w:tentative="0">
      <w:start w:val="1"/>
      <w:numFmt w:val="decimal"/>
      <w:lvlText w:val="%1.%2.%3.%4.%5.%6.%7.%8"/>
      <w:lvlJc w:val="left"/>
      <w:pPr>
        <w:tabs>
          <w:tab w:val="left" w:pos="-713"/>
        </w:tabs>
        <w:ind w:left="-713" w:hanging="1800"/>
      </w:pPr>
      <w:rPr>
        <w:rFonts w:hint="default"/>
      </w:rPr>
    </w:lvl>
    <w:lvl w:ilvl="8" w:tentative="0">
      <w:start w:val="1"/>
      <w:numFmt w:val="decimal"/>
      <w:lvlText w:val="%1.%2.%3.%4.%5.%6.%7.%8.%9"/>
      <w:lvlJc w:val="left"/>
      <w:pPr>
        <w:tabs>
          <w:tab w:val="left" w:pos="-1072"/>
        </w:tabs>
        <w:ind w:left="-1072" w:hanging="1800"/>
      </w:pPr>
      <w:rPr>
        <w:rFonts w:hint="default"/>
      </w:rPr>
    </w:lvl>
  </w:abstractNum>
  <w:num w:numId="1">
    <w:abstractNumId w:val="19"/>
  </w:num>
  <w:num w:numId="2">
    <w:abstractNumId w:val="20"/>
  </w:num>
  <w:num w:numId="3">
    <w:abstractNumId w:val="16"/>
  </w:num>
  <w:num w:numId="4">
    <w:abstractNumId w:val="5"/>
  </w:num>
  <w:num w:numId="5">
    <w:abstractNumId w:val="0"/>
  </w:num>
  <w:num w:numId="6">
    <w:abstractNumId w:val="7"/>
  </w:num>
  <w:num w:numId="7">
    <w:abstractNumId w:val="8"/>
  </w:num>
  <w:num w:numId="8">
    <w:abstractNumId w:val="10"/>
  </w:num>
  <w:num w:numId="9">
    <w:abstractNumId w:val="21"/>
  </w:num>
  <w:num w:numId="10">
    <w:abstractNumId w:val="14"/>
  </w:num>
  <w:num w:numId="11">
    <w:abstractNumId w:val="15"/>
  </w:num>
  <w:num w:numId="12">
    <w:abstractNumId w:val="4"/>
  </w:num>
  <w:num w:numId="13">
    <w:abstractNumId w:val="18"/>
  </w:num>
  <w:num w:numId="14">
    <w:abstractNumId w:val="2"/>
  </w:num>
  <w:num w:numId="15">
    <w:abstractNumId w:val="17"/>
  </w:num>
  <w:num w:numId="16">
    <w:abstractNumId w:val="11"/>
  </w:num>
  <w:num w:numId="17">
    <w:abstractNumId w:val="9"/>
  </w:num>
  <w:num w:numId="18">
    <w:abstractNumId w:val="1"/>
  </w:num>
  <w:num w:numId="19">
    <w:abstractNumId w:val="13"/>
  </w:num>
  <w:num w:numId="20">
    <w:abstractNumId w:val="12"/>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69"/>
    <w:rsid w:val="000012EC"/>
    <w:rsid w:val="0000193C"/>
    <w:rsid w:val="000025B9"/>
    <w:rsid w:val="000031C1"/>
    <w:rsid w:val="00004704"/>
    <w:rsid w:val="000051EB"/>
    <w:rsid w:val="000155A3"/>
    <w:rsid w:val="000160C7"/>
    <w:rsid w:val="00016454"/>
    <w:rsid w:val="000165AE"/>
    <w:rsid w:val="0001664F"/>
    <w:rsid w:val="0001773F"/>
    <w:rsid w:val="00023269"/>
    <w:rsid w:val="00026015"/>
    <w:rsid w:val="00027CCD"/>
    <w:rsid w:val="000307FB"/>
    <w:rsid w:val="00033984"/>
    <w:rsid w:val="00034E7B"/>
    <w:rsid w:val="0003520A"/>
    <w:rsid w:val="000362AC"/>
    <w:rsid w:val="00042CDB"/>
    <w:rsid w:val="00046E10"/>
    <w:rsid w:val="00046E96"/>
    <w:rsid w:val="000477AD"/>
    <w:rsid w:val="00050FCB"/>
    <w:rsid w:val="000512BD"/>
    <w:rsid w:val="00051430"/>
    <w:rsid w:val="00051992"/>
    <w:rsid w:val="0006021B"/>
    <w:rsid w:val="00063486"/>
    <w:rsid w:val="000664A4"/>
    <w:rsid w:val="000709CA"/>
    <w:rsid w:val="000765DB"/>
    <w:rsid w:val="00080247"/>
    <w:rsid w:val="00091F0A"/>
    <w:rsid w:val="00092BA0"/>
    <w:rsid w:val="00096A3E"/>
    <w:rsid w:val="00097F69"/>
    <w:rsid w:val="000A4125"/>
    <w:rsid w:val="000B7718"/>
    <w:rsid w:val="000C040A"/>
    <w:rsid w:val="000C2DF9"/>
    <w:rsid w:val="000C321A"/>
    <w:rsid w:val="000C3450"/>
    <w:rsid w:val="000C66C0"/>
    <w:rsid w:val="000D2DF7"/>
    <w:rsid w:val="000D3104"/>
    <w:rsid w:val="000D4BE1"/>
    <w:rsid w:val="000D56D3"/>
    <w:rsid w:val="000D5864"/>
    <w:rsid w:val="000D6856"/>
    <w:rsid w:val="000D7026"/>
    <w:rsid w:val="000E30D4"/>
    <w:rsid w:val="000E3E99"/>
    <w:rsid w:val="000E6CA1"/>
    <w:rsid w:val="000F05F6"/>
    <w:rsid w:val="000F4BAD"/>
    <w:rsid w:val="000F4BF7"/>
    <w:rsid w:val="000F5304"/>
    <w:rsid w:val="000F64C4"/>
    <w:rsid w:val="000F6632"/>
    <w:rsid w:val="000F7008"/>
    <w:rsid w:val="001008A5"/>
    <w:rsid w:val="00106C36"/>
    <w:rsid w:val="00107E00"/>
    <w:rsid w:val="00111451"/>
    <w:rsid w:val="00114175"/>
    <w:rsid w:val="00117E54"/>
    <w:rsid w:val="00120F6B"/>
    <w:rsid w:val="001214ED"/>
    <w:rsid w:val="00125913"/>
    <w:rsid w:val="00126169"/>
    <w:rsid w:val="00134C85"/>
    <w:rsid w:val="00137945"/>
    <w:rsid w:val="00156D48"/>
    <w:rsid w:val="00157530"/>
    <w:rsid w:val="00162988"/>
    <w:rsid w:val="00163601"/>
    <w:rsid w:val="001666E5"/>
    <w:rsid w:val="00171FBB"/>
    <w:rsid w:val="00174051"/>
    <w:rsid w:val="001754EA"/>
    <w:rsid w:val="001768F8"/>
    <w:rsid w:val="00180C5C"/>
    <w:rsid w:val="00181A08"/>
    <w:rsid w:val="00186E45"/>
    <w:rsid w:val="001907A6"/>
    <w:rsid w:val="00191CF4"/>
    <w:rsid w:val="00195AFE"/>
    <w:rsid w:val="00195D50"/>
    <w:rsid w:val="001A116E"/>
    <w:rsid w:val="001B1443"/>
    <w:rsid w:val="001B2253"/>
    <w:rsid w:val="001B32FF"/>
    <w:rsid w:val="001B3C1A"/>
    <w:rsid w:val="001B5422"/>
    <w:rsid w:val="001B6C1D"/>
    <w:rsid w:val="001C1B00"/>
    <w:rsid w:val="001C1B49"/>
    <w:rsid w:val="001C3803"/>
    <w:rsid w:val="001C6AEF"/>
    <w:rsid w:val="001D37AA"/>
    <w:rsid w:val="001D61DC"/>
    <w:rsid w:val="001E2215"/>
    <w:rsid w:val="001E6D2F"/>
    <w:rsid w:val="001E6F39"/>
    <w:rsid w:val="001E78F5"/>
    <w:rsid w:val="001F2E82"/>
    <w:rsid w:val="001F4239"/>
    <w:rsid w:val="00201B52"/>
    <w:rsid w:val="002052B5"/>
    <w:rsid w:val="00205F49"/>
    <w:rsid w:val="00206AD3"/>
    <w:rsid w:val="002072A1"/>
    <w:rsid w:val="00207B94"/>
    <w:rsid w:val="0021070A"/>
    <w:rsid w:val="00210F0A"/>
    <w:rsid w:val="002114C3"/>
    <w:rsid w:val="00215FAB"/>
    <w:rsid w:val="00217BEF"/>
    <w:rsid w:val="00217F65"/>
    <w:rsid w:val="00217FD3"/>
    <w:rsid w:val="002222B9"/>
    <w:rsid w:val="00223947"/>
    <w:rsid w:val="002257D5"/>
    <w:rsid w:val="00231A9E"/>
    <w:rsid w:val="00231C07"/>
    <w:rsid w:val="0023635E"/>
    <w:rsid w:val="00240223"/>
    <w:rsid w:val="00240888"/>
    <w:rsid w:val="002442F0"/>
    <w:rsid w:val="002476D0"/>
    <w:rsid w:val="00250659"/>
    <w:rsid w:val="00251ADA"/>
    <w:rsid w:val="00252894"/>
    <w:rsid w:val="002548D0"/>
    <w:rsid w:val="00256E6B"/>
    <w:rsid w:val="00260CA4"/>
    <w:rsid w:val="002634D1"/>
    <w:rsid w:val="002705A5"/>
    <w:rsid w:val="00273004"/>
    <w:rsid w:val="00275AD1"/>
    <w:rsid w:val="00275F6C"/>
    <w:rsid w:val="00283F74"/>
    <w:rsid w:val="00285B08"/>
    <w:rsid w:val="00285CC7"/>
    <w:rsid w:val="002924A3"/>
    <w:rsid w:val="00297261"/>
    <w:rsid w:val="002A5BCB"/>
    <w:rsid w:val="002A62EC"/>
    <w:rsid w:val="002B260F"/>
    <w:rsid w:val="002B3B2F"/>
    <w:rsid w:val="002C01F9"/>
    <w:rsid w:val="002C2821"/>
    <w:rsid w:val="002C3013"/>
    <w:rsid w:val="002C6E35"/>
    <w:rsid w:val="002D0413"/>
    <w:rsid w:val="002D10F4"/>
    <w:rsid w:val="002D5716"/>
    <w:rsid w:val="002D72E3"/>
    <w:rsid w:val="002E0AAC"/>
    <w:rsid w:val="002E469C"/>
    <w:rsid w:val="002E48C5"/>
    <w:rsid w:val="002E53F3"/>
    <w:rsid w:val="002E55BD"/>
    <w:rsid w:val="002F144B"/>
    <w:rsid w:val="002F22CB"/>
    <w:rsid w:val="002F3EB4"/>
    <w:rsid w:val="002F45E3"/>
    <w:rsid w:val="002F4C0C"/>
    <w:rsid w:val="0030218F"/>
    <w:rsid w:val="00303A1B"/>
    <w:rsid w:val="00305A7E"/>
    <w:rsid w:val="00312996"/>
    <w:rsid w:val="00322578"/>
    <w:rsid w:val="00325317"/>
    <w:rsid w:val="00325DFD"/>
    <w:rsid w:val="00326057"/>
    <w:rsid w:val="00326F79"/>
    <w:rsid w:val="00333BB8"/>
    <w:rsid w:val="0033514C"/>
    <w:rsid w:val="003373F5"/>
    <w:rsid w:val="003511E4"/>
    <w:rsid w:val="0036051F"/>
    <w:rsid w:val="0036259D"/>
    <w:rsid w:val="00365A5F"/>
    <w:rsid w:val="0037162F"/>
    <w:rsid w:val="003732BB"/>
    <w:rsid w:val="003810C5"/>
    <w:rsid w:val="00382544"/>
    <w:rsid w:val="00382768"/>
    <w:rsid w:val="0038664B"/>
    <w:rsid w:val="003871CB"/>
    <w:rsid w:val="003927E7"/>
    <w:rsid w:val="00392C3B"/>
    <w:rsid w:val="00393BBF"/>
    <w:rsid w:val="00393C7A"/>
    <w:rsid w:val="0039441D"/>
    <w:rsid w:val="003A1860"/>
    <w:rsid w:val="003A7561"/>
    <w:rsid w:val="003B0E01"/>
    <w:rsid w:val="003C0A28"/>
    <w:rsid w:val="003C1A0F"/>
    <w:rsid w:val="003C63D8"/>
    <w:rsid w:val="003C77D0"/>
    <w:rsid w:val="003C7BC4"/>
    <w:rsid w:val="003D2183"/>
    <w:rsid w:val="003D38DE"/>
    <w:rsid w:val="003D3909"/>
    <w:rsid w:val="003D7AD4"/>
    <w:rsid w:val="003E08D2"/>
    <w:rsid w:val="003E109D"/>
    <w:rsid w:val="003E12E5"/>
    <w:rsid w:val="003E3F0F"/>
    <w:rsid w:val="003E4C38"/>
    <w:rsid w:val="003E58A8"/>
    <w:rsid w:val="003F196D"/>
    <w:rsid w:val="003F2DE7"/>
    <w:rsid w:val="003F4860"/>
    <w:rsid w:val="003F64C8"/>
    <w:rsid w:val="003F7443"/>
    <w:rsid w:val="004009D8"/>
    <w:rsid w:val="00401E0A"/>
    <w:rsid w:val="00402EE9"/>
    <w:rsid w:val="004036A8"/>
    <w:rsid w:val="00403785"/>
    <w:rsid w:val="00405F80"/>
    <w:rsid w:val="00407704"/>
    <w:rsid w:val="00411241"/>
    <w:rsid w:val="00412D77"/>
    <w:rsid w:val="0041335B"/>
    <w:rsid w:val="00414253"/>
    <w:rsid w:val="00414B77"/>
    <w:rsid w:val="00416CC8"/>
    <w:rsid w:val="004170FA"/>
    <w:rsid w:val="00417F49"/>
    <w:rsid w:val="0045168A"/>
    <w:rsid w:val="0045724C"/>
    <w:rsid w:val="00457854"/>
    <w:rsid w:val="004617E5"/>
    <w:rsid w:val="00467CF0"/>
    <w:rsid w:val="00467D87"/>
    <w:rsid w:val="00467F28"/>
    <w:rsid w:val="004802FE"/>
    <w:rsid w:val="00482206"/>
    <w:rsid w:val="00485F4B"/>
    <w:rsid w:val="004902C8"/>
    <w:rsid w:val="0049459F"/>
    <w:rsid w:val="00497D97"/>
    <w:rsid w:val="004A1BC4"/>
    <w:rsid w:val="004B0C46"/>
    <w:rsid w:val="004B4450"/>
    <w:rsid w:val="004C2FA4"/>
    <w:rsid w:val="004C56CE"/>
    <w:rsid w:val="004D02A9"/>
    <w:rsid w:val="004D05D1"/>
    <w:rsid w:val="004D3C8E"/>
    <w:rsid w:val="004D49B8"/>
    <w:rsid w:val="004E0C51"/>
    <w:rsid w:val="004E4232"/>
    <w:rsid w:val="004E450C"/>
    <w:rsid w:val="004E4882"/>
    <w:rsid w:val="004E52AF"/>
    <w:rsid w:val="004F293C"/>
    <w:rsid w:val="00500A91"/>
    <w:rsid w:val="005060D9"/>
    <w:rsid w:val="00506C2A"/>
    <w:rsid w:val="00511B3F"/>
    <w:rsid w:val="00512776"/>
    <w:rsid w:val="0051388B"/>
    <w:rsid w:val="00514D18"/>
    <w:rsid w:val="005157FB"/>
    <w:rsid w:val="005163AF"/>
    <w:rsid w:val="00520E6E"/>
    <w:rsid w:val="005210E5"/>
    <w:rsid w:val="00521D00"/>
    <w:rsid w:val="0053089C"/>
    <w:rsid w:val="00533D1D"/>
    <w:rsid w:val="005349D6"/>
    <w:rsid w:val="005376CE"/>
    <w:rsid w:val="005468C4"/>
    <w:rsid w:val="00546C96"/>
    <w:rsid w:val="005506C9"/>
    <w:rsid w:val="0055738E"/>
    <w:rsid w:val="00561245"/>
    <w:rsid w:val="00563E72"/>
    <w:rsid w:val="00565DFA"/>
    <w:rsid w:val="00565E90"/>
    <w:rsid w:val="005675B0"/>
    <w:rsid w:val="005715DC"/>
    <w:rsid w:val="00571DA3"/>
    <w:rsid w:val="0057461E"/>
    <w:rsid w:val="00575DE9"/>
    <w:rsid w:val="00576309"/>
    <w:rsid w:val="00576E93"/>
    <w:rsid w:val="00583716"/>
    <w:rsid w:val="00584A5C"/>
    <w:rsid w:val="00585B9E"/>
    <w:rsid w:val="00590153"/>
    <w:rsid w:val="00591BAF"/>
    <w:rsid w:val="00595042"/>
    <w:rsid w:val="0059646B"/>
    <w:rsid w:val="0059684F"/>
    <w:rsid w:val="005A0650"/>
    <w:rsid w:val="005A21E4"/>
    <w:rsid w:val="005A2F99"/>
    <w:rsid w:val="005A7181"/>
    <w:rsid w:val="005B1C12"/>
    <w:rsid w:val="005B75F8"/>
    <w:rsid w:val="005D2C9F"/>
    <w:rsid w:val="005D6C13"/>
    <w:rsid w:val="005D70EB"/>
    <w:rsid w:val="005E2A31"/>
    <w:rsid w:val="005F3893"/>
    <w:rsid w:val="00600317"/>
    <w:rsid w:val="00602166"/>
    <w:rsid w:val="00602AD2"/>
    <w:rsid w:val="006030C6"/>
    <w:rsid w:val="00604CF0"/>
    <w:rsid w:val="00605253"/>
    <w:rsid w:val="00611EB2"/>
    <w:rsid w:val="0061258C"/>
    <w:rsid w:val="00612998"/>
    <w:rsid w:val="0061318C"/>
    <w:rsid w:val="00613B02"/>
    <w:rsid w:val="00624496"/>
    <w:rsid w:val="00626E2F"/>
    <w:rsid w:val="006305DA"/>
    <w:rsid w:val="00635484"/>
    <w:rsid w:val="0063596A"/>
    <w:rsid w:val="00645D6B"/>
    <w:rsid w:val="00645E4C"/>
    <w:rsid w:val="006470D5"/>
    <w:rsid w:val="00652DC6"/>
    <w:rsid w:val="00657E00"/>
    <w:rsid w:val="0066332B"/>
    <w:rsid w:val="00673DC1"/>
    <w:rsid w:val="00674570"/>
    <w:rsid w:val="00677919"/>
    <w:rsid w:val="00694A0F"/>
    <w:rsid w:val="00694BA3"/>
    <w:rsid w:val="00696EC0"/>
    <w:rsid w:val="00697A0F"/>
    <w:rsid w:val="006A0ED4"/>
    <w:rsid w:val="006A4DAE"/>
    <w:rsid w:val="006B1FD2"/>
    <w:rsid w:val="006B32E1"/>
    <w:rsid w:val="006B3854"/>
    <w:rsid w:val="006B3FEE"/>
    <w:rsid w:val="006C61F4"/>
    <w:rsid w:val="006D081E"/>
    <w:rsid w:val="006D2853"/>
    <w:rsid w:val="006D2C86"/>
    <w:rsid w:val="006D2F1C"/>
    <w:rsid w:val="006D53B7"/>
    <w:rsid w:val="006D648C"/>
    <w:rsid w:val="006D69FE"/>
    <w:rsid w:val="006D6B91"/>
    <w:rsid w:val="006E01BA"/>
    <w:rsid w:val="006E0BE1"/>
    <w:rsid w:val="006E162D"/>
    <w:rsid w:val="006E4356"/>
    <w:rsid w:val="006E4957"/>
    <w:rsid w:val="006E7E42"/>
    <w:rsid w:val="006F18A8"/>
    <w:rsid w:val="006F215B"/>
    <w:rsid w:val="006F7F98"/>
    <w:rsid w:val="00707879"/>
    <w:rsid w:val="0071090B"/>
    <w:rsid w:val="00714053"/>
    <w:rsid w:val="007153A5"/>
    <w:rsid w:val="0071653F"/>
    <w:rsid w:val="00716AB2"/>
    <w:rsid w:val="007222E0"/>
    <w:rsid w:val="00722B7F"/>
    <w:rsid w:val="007230A3"/>
    <w:rsid w:val="00723B25"/>
    <w:rsid w:val="00724625"/>
    <w:rsid w:val="007251AE"/>
    <w:rsid w:val="0074212C"/>
    <w:rsid w:val="0074560F"/>
    <w:rsid w:val="00745C2C"/>
    <w:rsid w:val="007465FF"/>
    <w:rsid w:val="00751BB1"/>
    <w:rsid w:val="00751EAF"/>
    <w:rsid w:val="0075203D"/>
    <w:rsid w:val="0075270D"/>
    <w:rsid w:val="00754502"/>
    <w:rsid w:val="00755DEC"/>
    <w:rsid w:val="00761576"/>
    <w:rsid w:val="00766EAA"/>
    <w:rsid w:val="00772557"/>
    <w:rsid w:val="007732A1"/>
    <w:rsid w:val="00773305"/>
    <w:rsid w:val="0077641B"/>
    <w:rsid w:val="00777CD6"/>
    <w:rsid w:val="007921D4"/>
    <w:rsid w:val="007930B1"/>
    <w:rsid w:val="00793735"/>
    <w:rsid w:val="0079408C"/>
    <w:rsid w:val="007A16B3"/>
    <w:rsid w:val="007A1E89"/>
    <w:rsid w:val="007B3F45"/>
    <w:rsid w:val="007B5D77"/>
    <w:rsid w:val="007B5DEA"/>
    <w:rsid w:val="007B7576"/>
    <w:rsid w:val="007C084D"/>
    <w:rsid w:val="007C2BB4"/>
    <w:rsid w:val="007C4792"/>
    <w:rsid w:val="007E0475"/>
    <w:rsid w:val="007E0D4A"/>
    <w:rsid w:val="007E46F6"/>
    <w:rsid w:val="007E58E3"/>
    <w:rsid w:val="007F2721"/>
    <w:rsid w:val="007F6278"/>
    <w:rsid w:val="00800C1C"/>
    <w:rsid w:val="0080213A"/>
    <w:rsid w:val="008118EB"/>
    <w:rsid w:val="00813AEE"/>
    <w:rsid w:val="00817826"/>
    <w:rsid w:val="00821C6E"/>
    <w:rsid w:val="00821D6C"/>
    <w:rsid w:val="0082203A"/>
    <w:rsid w:val="00822D1F"/>
    <w:rsid w:val="00830DBF"/>
    <w:rsid w:val="00834B13"/>
    <w:rsid w:val="008365FD"/>
    <w:rsid w:val="0083766B"/>
    <w:rsid w:val="00842D2E"/>
    <w:rsid w:val="008454C9"/>
    <w:rsid w:val="00846808"/>
    <w:rsid w:val="00846ED4"/>
    <w:rsid w:val="00847F55"/>
    <w:rsid w:val="008552C4"/>
    <w:rsid w:val="00855921"/>
    <w:rsid w:val="008574AD"/>
    <w:rsid w:val="00857D50"/>
    <w:rsid w:val="00861353"/>
    <w:rsid w:val="008625A7"/>
    <w:rsid w:val="00863EE9"/>
    <w:rsid w:val="008651BC"/>
    <w:rsid w:val="008667D5"/>
    <w:rsid w:val="00874A47"/>
    <w:rsid w:val="00875D07"/>
    <w:rsid w:val="00876CCE"/>
    <w:rsid w:val="00883D11"/>
    <w:rsid w:val="00883FBD"/>
    <w:rsid w:val="00892969"/>
    <w:rsid w:val="00894A82"/>
    <w:rsid w:val="008974B6"/>
    <w:rsid w:val="008B1E7E"/>
    <w:rsid w:val="008B2E67"/>
    <w:rsid w:val="008B7352"/>
    <w:rsid w:val="008C0547"/>
    <w:rsid w:val="008C5123"/>
    <w:rsid w:val="008C5471"/>
    <w:rsid w:val="008D3F54"/>
    <w:rsid w:val="008D484B"/>
    <w:rsid w:val="008D5066"/>
    <w:rsid w:val="008E1989"/>
    <w:rsid w:val="008E3589"/>
    <w:rsid w:val="008E3BAF"/>
    <w:rsid w:val="008E401B"/>
    <w:rsid w:val="008E4E8D"/>
    <w:rsid w:val="008E6239"/>
    <w:rsid w:val="008F008B"/>
    <w:rsid w:val="008F1612"/>
    <w:rsid w:val="008F5B55"/>
    <w:rsid w:val="008F68F2"/>
    <w:rsid w:val="008F6C45"/>
    <w:rsid w:val="008F7E42"/>
    <w:rsid w:val="009019D0"/>
    <w:rsid w:val="00904B10"/>
    <w:rsid w:val="0090580D"/>
    <w:rsid w:val="00905E25"/>
    <w:rsid w:val="00910C87"/>
    <w:rsid w:val="00913E2E"/>
    <w:rsid w:val="00920380"/>
    <w:rsid w:val="00920B3A"/>
    <w:rsid w:val="00920F83"/>
    <w:rsid w:val="009227FB"/>
    <w:rsid w:val="0092579F"/>
    <w:rsid w:val="009278D4"/>
    <w:rsid w:val="00927960"/>
    <w:rsid w:val="009323A9"/>
    <w:rsid w:val="009327AB"/>
    <w:rsid w:val="00934C16"/>
    <w:rsid w:val="00936EAE"/>
    <w:rsid w:val="0094133B"/>
    <w:rsid w:val="00943D6E"/>
    <w:rsid w:val="009456F2"/>
    <w:rsid w:val="00947BC3"/>
    <w:rsid w:val="00952BBB"/>
    <w:rsid w:val="00952D85"/>
    <w:rsid w:val="00955D2A"/>
    <w:rsid w:val="0096095A"/>
    <w:rsid w:val="0096172E"/>
    <w:rsid w:val="00961A50"/>
    <w:rsid w:val="0096215E"/>
    <w:rsid w:val="00962FE9"/>
    <w:rsid w:val="00963062"/>
    <w:rsid w:val="00963384"/>
    <w:rsid w:val="00963ADF"/>
    <w:rsid w:val="00967CDA"/>
    <w:rsid w:val="0097320D"/>
    <w:rsid w:val="00973933"/>
    <w:rsid w:val="00974C15"/>
    <w:rsid w:val="00983BCE"/>
    <w:rsid w:val="009903F2"/>
    <w:rsid w:val="00992447"/>
    <w:rsid w:val="00993047"/>
    <w:rsid w:val="009931AF"/>
    <w:rsid w:val="00995837"/>
    <w:rsid w:val="00996BE8"/>
    <w:rsid w:val="009972CB"/>
    <w:rsid w:val="009A0320"/>
    <w:rsid w:val="009A0856"/>
    <w:rsid w:val="009A2C0F"/>
    <w:rsid w:val="009A627C"/>
    <w:rsid w:val="009A7CBD"/>
    <w:rsid w:val="009B6EBA"/>
    <w:rsid w:val="009C277A"/>
    <w:rsid w:val="009C65E0"/>
    <w:rsid w:val="009D3152"/>
    <w:rsid w:val="009D3392"/>
    <w:rsid w:val="009E6685"/>
    <w:rsid w:val="009F0105"/>
    <w:rsid w:val="009F10BD"/>
    <w:rsid w:val="009F1E44"/>
    <w:rsid w:val="009F3177"/>
    <w:rsid w:val="009F3614"/>
    <w:rsid w:val="009F4CE9"/>
    <w:rsid w:val="009F7DDE"/>
    <w:rsid w:val="00A01308"/>
    <w:rsid w:val="00A11AAA"/>
    <w:rsid w:val="00A126AB"/>
    <w:rsid w:val="00A20C4D"/>
    <w:rsid w:val="00A21E0A"/>
    <w:rsid w:val="00A220B4"/>
    <w:rsid w:val="00A2352D"/>
    <w:rsid w:val="00A27926"/>
    <w:rsid w:val="00A32D99"/>
    <w:rsid w:val="00A333E8"/>
    <w:rsid w:val="00A361C0"/>
    <w:rsid w:val="00A400C0"/>
    <w:rsid w:val="00A41A56"/>
    <w:rsid w:val="00A423E7"/>
    <w:rsid w:val="00A43677"/>
    <w:rsid w:val="00A54CA0"/>
    <w:rsid w:val="00A54FA2"/>
    <w:rsid w:val="00A56C78"/>
    <w:rsid w:val="00A5741E"/>
    <w:rsid w:val="00A61317"/>
    <w:rsid w:val="00A6197F"/>
    <w:rsid w:val="00A66780"/>
    <w:rsid w:val="00A7236E"/>
    <w:rsid w:val="00A725CD"/>
    <w:rsid w:val="00A73B78"/>
    <w:rsid w:val="00A90ED6"/>
    <w:rsid w:val="00A91A1E"/>
    <w:rsid w:val="00A94D1D"/>
    <w:rsid w:val="00A96596"/>
    <w:rsid w:val="00AA224B"/>
    <w:rsid w:val="00AB09FD"/>
    <w:rsid w:val="00AB0EFF"/>
    <w:rsid w:val="00AB1FF6"/>
    <w:rsid w:val="00AB1FFE"/>
    <w:rsid w:val="00AB3B98"/>
    <w:rsid w:val="00AB551D"/>
    <w:rsid w:val="00AB62FC"/>
    <w:rsid w:val="00AB7CF6"/>
    <w:rsid w:val="00AC1280"/>
    <w:rsid w:val="00AC403D"/>
    <w:rsid w:val="00AC490A"/>
    <w:rsid w:val="00AC692C"/>
    <w:rsid w:val="00AC7DB0"/>
    <w:rsid w:val="00AE0A27"/>
    <w:rsid w:val="00AE5870"/>
    <w:rsid w:val="00AE6B2C"/>
    <w:rsid w:val="00AF49B2"/>
    <w:rsid w:val="00AF501F"/>
    <w:rsid w:val="00B14D29"/>
    <w:rsid w:val="00B15ACF"/>
    <w:rsid w:val="00B23C09"/>
    <w:rsid w:val="00B257D7"/>
    <w:rsid w:val="00B26F64"/>
    <w:rsid w:val="00B33523"/>
    <w:rsid w:val="00B348E2"/>
    <w:rsid w:val="00B36260"/>
    <w:rsid w:val="00B42FE8"/>
    <w:rsid w:val="00B465FA"/>
    <w:rsid w:val="00B5127F"/>
    <w:rsid w:val="00B563E0"/>
    <w:rsid w:val="00B576A2"/>
    <w:rsid w:val="00B629C8"/>
    <w:rsid w:val="00B63699"/>
    <w:rsid w:val="00B67749"/>
    <w:rsid w:val="00B80531"/>
    <w:rsid w:val="00B8101A"/>
    <w:rsid w:val="00B83718"/>
    <w:rsid w:val="00B90584"/>
    <w:rsid w:val="00B92260"/>
    <w:rsid w:val="00B9362A"/>
    <w:rsid w:val="00B977B1"/>
    <w:rsid w:val="00BA1580"/>
    <w:rsid w:val="00BA4167"/>
    <w:rsid w:val="00BB1159"/>
    <w:rsid w:val="00BB5738"/>
    <w:rsid w:val="00BC16E1"/>
    <w:rsid w:val="00BC175D"/>
    <w:rsid w:val="00BC1965"/>
    <w:rsid w:val="00BC3A6E"/>
    <w:rsid w:val="00BC5592"/>
    <w:rsid w:val="00BC5B2F"/>
    <w:rsid w:val="00BC6B84"/>
    <w:rsid w:val="00BC6C0E"/>
    <w:rsid w:val="00BC6C9E"/>
    <w:rsid w:val="00BC6FAD"/>
    <w:rsid w:val="00BD2D6B"/>
    <w:rsid w:val="00BE2B82"/>
    <w:rsid w:val="00BF116B"/>
    <w:rsid w:val="00BF2572"/>
    <w:rsid w:val="00BF538C"/>
    <w:rsid w:val="00BF6993"/>
    <w:rsid w:val="00C0655B"/>
    <w:rsid w:val="00C073F3"/>
    <w:rsid w:val="00C0745F"/>
    <w:rsid w:val="00C10CCA"/>
    <w:rsid w:val="00C138C9"/>
    <w:rsid w:val="00C17346"/>
    <w:rsid w:val="00C17D23"/>
    <w:rsid w:val="00C20C03"/>
    <w:rsid w:val="00C23031"/>
    <w:rsid w:val="00C25995"/>
    <w:rsid w:val="00C25BCF"/>
    <w:rsid w:val="00C26E95"/>
    <w:rsid w:val="00C33453"/>
    <w:rsid w:val="00C33650"/>
    <w:rsid w:val="00C35707"/>
    <w:rsid w:val="00C3591E"/>
    <w:rsid w:val="00C371A4"/>
    <w:rsid w:val="00C405E4"/>
    <w:rsid w:val="00C415C7"/>
    <w:rsid w:val="00C42654"/>
    <w:rsid w:val="00C43698"/>
    <w:rsid w:val="00C43D19"/>
    <w:rsid w:val="00C46282"/>
    <w:rsid w:val="00C50FCC"/>
    <w:rsid w:val="00C51FDA"/>
    <w:rsid w:val="00C53941"/>
    <w:rsid w:val="00C53967"/>
    <w:rsid w:val="00C54BD0"/>
    <w:rsid w:val="00C55C3C"/>
    <w:rsid w:val="00C55D66"/>
    <w:rsid w:val="00C626DA"/>
    <w:rsid w:val="00C632C3"/>
    <w:rsid w:val="00C67565"/>
    <w:rsid w:val="00C74BEF"/>
    <w:rsid w:val="00C7513C"/>
    <w:rsid w:val="00C76657"/>
    <w:rsid w:val="00C77984"/>
    <w:rsid w:val="00C82635"/>
    <w:rsid w:val="00C82CDC"/>
    <w:rsid w:val="00C83B7B"/>
    <w:rsid w:val="00C86E13"/>
    <w:rsid w:val="00C909E5"/>
    <w:rsid w:val="00C91FB8"/>
    <w:rsid w:val="00C92891"/>
    <w:rsid w:val="00C94D7D"/>
    <w:rsid w:val="00C96A0E"/>
    <w:rsid w:val="00CA5833"/>
    <w:rsid w:val="00CA6141"/>
    <w:rsid w:val="00CB169B"/>
    <w:rsid w:val="00CB49FF"/>
    <w:rsid w:val="00CB4EF8"/>
    <w:rsid w:val="00CC0695"/>
    <w:rsid w:val="00CC1493"/>
    <w:rsid w:val="00CC3456"/>
    <w:rsid w:val="00CC47A7"/>
    <w:rsid w:val="00CC4FFA"/>
    <w:rsid w:val="00CC6911"/>
    <w:rsid w:val="00CC7584"/>
    <w:rsid w:val="00CD43A9"/>
    <w:rsid w:val="00CD5075"/>
    <w:rsid w:val="00CE6270"/>
    <w:rsid w:val="00CE6FE9"/>
    <w:rsid w:val="00CF628C"/>
    <w:rsid w:val="00D00299"/>
    <w:rsid w:val="00D13D9A"/>
    <w:rsid w:val="00D14B8C"/>
    <w:rsid w:val="00D157B1"/>
    <w:rsid w:val="00D21ED3"/>
    <w:rsid w:val="00D24121"/>
    <w:rsid w:val="00D30BCE"/>
    <w:rsid w:val="00D31C28"/>
    <w:rsid w:val="00D327FE"/>
    <w:rsid w:val="00D45903"/>
    <w:rsid w:val="00D46661"/>
    <w:rsid w:val="00D46BBF"/>
    <w:rsid w:val="00D6294B"/>
    <w:rsid w:val="00D637BB"/>
    <w:rsid w:val="00D7063B"/>
    <w:rsid w:val="00D7709C"/>
    <w:rsid w:val="00D92571"/>
    <w:rsid w:val="00D92AEA"/>
    <w:rsid w:val="00D92CDD"/>
    <w:rsid w:val="00D93040"/>
    <w:rsid w:val="00D9313F"/>
    <w:rsid w:val="00D957F7"/>
    <w:rsid w:val="00D95A9E"/>
    <w:rsid w:val="00D973FE"/>
    <w:rsid w:val="00D9754D"/>
    <w:rsid w:val="00DA00E3"/>
    <w:rsid w:val="00DA05A6"/>
    <w:rsid w:val="00DA328F"/>
    <w:rsid w:val="00DA3EC1"/>
    <w:rsid w:val="00DA7F0B"/>
    <w:rsid w:val="00DB5392"/>
    <w:rsid w:val="00DC1FD7"/>
    <w:rsid w:val="00DC6AE1"/>
    <w:rsid w:val="00DD1796"/>
    <w:rsid w:val="00DE0719"/>
    <w:rsid w:val="00DE485C"/>
    <w:rsid w:val="00DE493A"/>
    <w:rsid w:val="00DF2B7E"/>
    <w:rsid w:val="00DF50AA"/>
    <w:rsid w:val="00DF5E5A"/>
    <w:rsid w:val="00E04586"/>
    <w:rsid w:val="00E04915"/>
    <w:rsid w:val="00E0716A"/>
    <w:rsid w:val="00E11E0E"/>
    <w:rsid w:val="00E1564C"/>
    <w:rsid w:val="00E17744"/>
    <w:rsid w:val="00E237D2"/>
    <w:rsid w:val="00E347AB"/>
    <w:rsid w:val="00E37F6E"/>
    <w:rsid w:val="00E429AC"/>
    <w:rsid w:val="00E445A7"/>
    <w:rsid w:val="00E44622"/>
    <w:rsid w:val="00E51961"/>
    <w:rsid w:val="00E5316F"/>
    <w:rsid w:val="00E56893"/>
    <w:rsid w:val="00E5690C"/>
    <w:rsid w:val="00E64F40"/>
    <w:rsid w:val="00E836EB"/>
    <w:rsid w:val="00E84295"/>
    <w:rsid w:val="00E85351"/>
    <w:rsid w:val="00E932D6"/>
    <w:rsid w:val="00E96465"/>
    <w:rsid w:val="00E972BE"/>
    <w:rsid w:val="00EA0D28"/>
    <w:rsid w:val="00EA1818"/>
    <w:rsid w:val="00EA1EBC"/>
    <w:rsid w:val="00EA225C"/>
    <w:rsid w:val="00EA2A36"/>
    <w:rsid w:val="00EA2A3C"/>
    <w:rsid w:val="00EA4111"/>
    <w:rsid w:val="00EA570E"/>
    <w:rsid w:val="00EA5E81"/>
    <w:rsid w:val="00EB129F"/>
    <w:rsid w:val="00EB1D94"/>
    <w:rsid w:val="00EB6A97"/>
    <w:rsid w:val="00EC2969"/>
    <w:rsid w:val="00EC467F"/>
    <w:rsid w:val="00EC6984"/>
    <w:rsid w:val="00EC7C82"/>
    <w:rsid w:val="00ED4B19"/>
    <w:rsid w:val="00ED5006"/>
    <w:rsid w:val="00ED5C61"/>
    <w:rsid w:val="00ED7BE5"/>
    <w:rsid w:val="00ED7E84"/>
    <w:rsid w:val="00EE2EB6"/>
    <w:rsid w:val="00EE42B6"/>
    <w:rsid w:val="00EE6AAC"/>
    <w:rsid w:val="00EF3174"/>
    <w:rsid w:val="00EF42F0"/>
    <w:rsid w:val="00F01888"/>
    <w:rsid w:val="00F020B4"/>
    <w:rsid w:val="00F023E6"/>
    <w:rsid w:val="00F04389"/>
    <w:rsid w:val="00F1254B"/>
    <w:rsid w:val="00F12F83"/>
    <w:rsid w:val="00F20FE8"/>
    <w:rsid w:val="00F302D9"/>
    <w:rsid w:val="00F33478"/>
    <w:rsid w:val="00F34ABB"/>
    <w:rsid w:val="00F34FD2"/>
    <w:rsid w:val="00F35208"/>
    <w:rsid w:val="00F35B51"/>
    <w:rsid w:val="00F46BC7"/>
    <w:rsid w:val="00F4770B"/>
    <w:rsid w:val="00F53129"/>
    <w:rsid w:val="00F53851"/>
    <w:rsid w:val="00F60F67"/>
    <w:rsid w:val="00F61168"/>
    <w:rsid w:val="00F715EA"/>
    <w:rsid w:val="00F71B5E"/>
    <w:rsid w:val="00F73B4A"/>
    <w:rsid w:val="00F76B0A"/>
    <w:rsid w:val="00F85123"/>
    <w:rsid w:val="00F86466"/>
    <w:rsid w:val="00F9404A"/>
    <w:rsid w:val="00FA0378"/>
    <w:rsid w:val="00FA0535"/>
    <w:rsid w:val="00FA27DC"/>
    <w:rsid w:val="00FA34BA"/>
    <w:rsid w:val="00FA4A00"/>
    <w:rsid w:val="00FA6542"/>
    <w:rsid w:val="00FA73E7"/>
    <w:rsid w:val="00FB64C1"/>
    <w:rsid w:val="00FB6FA0"/>
    <w:rsid w:val="00FC1B7D"/>
    <w:rsid w:val="00FC35A2"/>
    <w:rsid w:val="00FC6437"/>
    <w:rsid w:val="00FC7F7F"/>
    <w:rsid w:val="00FD237E"/>
    <w:rsid w:val="00FD2923"/>
    <w:rsid w:val="00FE0A85"/>
    <w:rsid w:val="00FE2B9C"/>
    <w:rsid w:val="00FE3E2E"/>
    <w:rsid w:val="00FE76E2"/>
    <w:rsid w:val="00FF57E8"/>
    <w:rsid w:val="08EC46D2"/>
    <w:rsid w:val="101D0EA5"/>
    <w:rsid w:val="6B7C64ED"/>
    <w:rsid w:val="75DD2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link w:val="20"/>
    <w:qFormat/>
    <w:uiPriority w:val="99"/>
    <w:pPr>
      <w:jc w:val="left"/>
    </w:pPr>
  </w:style>
  <w:style w:type="paragraph" w:styleId="5">
    <w:name w:val="Body Text"/>
    <w:basedOn w:val="1"/>
    <w:link w:val="21"/>
    <w:semiHidden/>
    <w:unhideWhenUsed/>
    <w:qFormat/>
    <w:uiPriority w:val="0"/>
    <w:pPr>
      <w:spacing w:after="120"/>
    </w:pPr>
  </w:style>
  <w:style w:type="paragraph" w:styleId="6">
    <w:name w:val="Body Text Indent"/>
    <w:basedOn w:val="1"/>
    <w:link w:val="17"/>
    <w:qFormat/>
    <w:uiPriority w:val="0"/>
    <w:pPr>
      <w:spacing w:after="120"/>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semiHidden/>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qFormat/>
    <w:uiPriority w:val="99"/>
    <w:rPr>
      <w:sz w:val="21"/>
      <w:szCs w:val="21"/>
    </w:rPr>
  </w:style>
  <w:style w:type="paragraph" w:customStyle="1" w:styleId="16">
    <w:name w:val="Char1"/>
    <w:basedOn w:val="1"/>
    <w:qFormat/>
    <w:uiPriority w:val="0"/>
    <w:pPr>
      <w:adjustRightInd w:val="0"/>
      <w:spacing w:line="360" w:lineRule="auto"/>
    </w:pPr>
    <w:rPr>
      <w:kern w:val="0"/>
      <w:sz w:val="24"/>
      <w:szCs w:val="20"/>
    </w:rPr>
  </w:style>
  <w:style w:type="character" w:customStyle="1" w:styleId="17">
    <w:name w:val="正文文本缩进 字符"/>
    <w:basedOn w:val="13"/>
    <w:link w:val="6"/>
    <w:qFormat/>
    <w:uiPriority w:val="0"/>
    <w:rPr>
      <w:kern w:val="2"/>
      <w:sz w:val="21"/>
      <w:szCs w:val="24"/>
    </w:rPr>
  </w:style>
  <w:style w:type="character" w:customStyle="1" w:styleId="18">
    <w:name w:val="DeltaView Insertion"/>
    <w:qFormat/>
    <w:uiPriority w:val="99"/>
    <w:rPr>
      <w:color w:val="0000FF"/>
      <w:spacing w:val="0"/>
      <w:u w:val="double"/>
    </w:rPr>
  </w:style>
  <w:style w:type="character" w:customStyle="1" w:styleId="19">
    <w:name w:val="标题 2 字符"/>
    <w:basedOn w:val="13"/>
    <w:link w:val="2"/>
    <w:qFormat/>
    <w:uiPriority w:val="0"/>
    <w:rPr>
      <w:rFonts w:ascii="Arial" w:hAnsi="Arial" w:eastAsia="黑体"/>
      <w:b/>
      <w:bCs/>
      <w:kern w:val="2"/>
      <w:sz w:val="32"/>
      <w:szCs w:val="32"/>
    </w:rPr>
  </w:style>
  <w:style w:type="character" w:customStyle="1" w:styleId="20">
    <w:name w:val="批注文字 字符"/>
    <w:link w:val="4"/>
    <w:qFormat/>
    <w:uiPriority w:val="99"/>
    <w:rPr>
      <w:kern w:val="2"/>
      <w:sz w:val="21"/>
      <w:szCs w:val="24"/>
    </w:rPr>
  </w:style>
  <w:style w:type="character" w:customStyle="1" w:styleId="21">
    <w:name w:val="正文文本 字符"/>
    <w:basedOn w:val="13"/>
    <w:link w:val="5"/>
    <w:semiHidden/>
    <w:qFormat/>
    <w:uiPriority w:val="0"/>
    <w:rPr>
      <w:kern w:val="2"/>
      <w:sz w:val="21"/>
      <w:szCs w:val="24"/>
    </w:rPr>
  </w:style>
  <w:style w:type="paragraph" w:styleId="22">
    <w:name w:val="List Paragraph"/>
    <w:basedOn w:val="1"/>
    <w:qFormat/>
    <w:uiPriority w:val="34"/>
    <w:pPr>
      <w:ind w:firstLine="420" w:firstLineChars="200"/>
    </w:pPr>
  </w:style>
  <w:style w:type="paragraph" w:customStyle="1" w:styleId="23">
    <w:name w:val="Revision"/>
    <w:hidden/>
    <w:semiHidden/>
    <w:qFormat/>
    <w:uiPriority w:val="99"/>
    <w:rPr>
      <w:rFonts w:ascii="Times New Roman" w:hAnsi="Times New Roman" w:eastAsia="宋体" w:cs="Times New Roman"/>
      <w:kern w:val="2"/>
      <w:sz w:val="21"/>
      <w:szCs w:val="24"/>
      <w:lang w:val="en-US" w:eastAsia="zh-CN" w:bidi="ar-SA"/>
    </w:rPr>
  </w:style>
  <w:style w:type="paragraph" w:styleId="2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p0"/>
    <w:basedOn w:val="1"/>
    <w:qFormat/>
    <w:uiPriority w:val="0"/>
    <w:pPr>
      <w:widowControl/>
    </w:pPr>
    <w:rPr>
      <w:kern w:val="0"/>
      <w:szCs w:val="21"/>
    </w:rPr>
  </w:style>
  <w:style w:type="paragraph" w:customStyle="1" w:styleId="26">
    <w:name w:val="一级条标题"/>
    <w:basedOn w:val="27"/>
    <w:next w:val="28"/>
    <w:qFormat/>
    <w:uiPriority w:val="0"/>
    <w:pPr>
      <w:numPr>
        <w:ilvl w:val="2"/>
        <w:numId w:val="1"/>
      </w:numPr>
      <w:spacing w:beforeLines="0" w:afterLines="0"/>
      <w:outlineLvl w:val="2"/>
    </w:pPr>
  </w:style>
  <w:style w:type="paragraph" w:customStyle="1" w:styleId="27">
    <w:name w:val="章标题"/>
    <w:next w:val="2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列项——（一级）"/>
    <w:qFormat/>
    <w:uiPriority w:val="0"/>
    <w:pPr>
      <w:widowControl w:val="0"/>
      <w:numPr>
        <w:ilvl w:val="0"/>
        <w:numId w:val="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66FC8-E85C-469A-94D9-EFF5FF60046B}">
  <ds:schemaRefs/>
</ds:datastoreItem>
</file>

<file path=docProps/app.xml><?xml version="1.0" encoding="utf-8"?>
<Properties xmlns="http://schemas.openxmlformats.org/officeDocument/2006/extended-properties" xmlns:vt="http://schemas.openxmlformats.org/officeDocument/2006/docPropsVTypes">
  <Template>Normal</Template>
  <Pages>14</Pages>
  <Words>6166</Words>
  <Characters>585</Characters>
  <Lines>4</Lines>
  <Paragraphs>13</Paragraphs>
  <TotalTime>0</TotalTime>
  <ScaleCrop>false</ScaleCrop>
  <LinksUpToDate>false</LinksUpToDate>
  <CharactersWithSpaces>6738</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2021-03-04T00:20:00Z</dcterms:created>
  <dc:creator>zhanhao-001</dc:creator>
  <cp:lastModifiedBy>郭超</cp:lastModifiedBy>
  <cp:lastPrinted>2013-11-27T08:25:00Z</cp:lastPrinted>
  <dcterms:modified xsi:type="dcterms:W3CDTF">2024-04-24T09:53:09Z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8CAANxNujMFpJiwlgkySDTC+ZbASbun0fRgwzFURTyWVb60BTNT3uvUM0+NGXGc6jg4u8mBc6tc2W0Gw_x000d_
36SLUhYroDOLSeevZiBE0OXJRVMvDi/a0aFwNDrgtZOsR9+/GQm5gomPbMP9FPUJ0mbUUM3sem+Q_x000d_
AgYNyu0rGlGf/GQXO/JBo6MyE3gm8Q==</vt:lpwstr>
  </property>
  <property fmtid="{D5CDD505-2E9C-101B-9397-08002B2CF9AE}" pid="3" name="RESPONSE_SENDER_NAME">
    <vt:lpwstr>gAAAXTx225pBMcYyQp6cmx4KgH3dfF8WPzXm</vt:lpwstr>
  </property>
  <property fmtid="{D5CDD505-2E9C-101B-9397-08002B2CF9AE}" pid="4" name="EMAIL_OWNER_ADDRESS">
    <vt:lpwstr>sAAAUYtyAkeNWR4Cs093IjBAP6ZiOSZfXNOZlMTrenbnt1o=</vt:lpwstr>
  </property>
  <property fmtid="{D5CDD505-2E9C-101B-9397-08002B2CF9AE}" pid="5" name="KSOProductBuildVer">
    <vt:lpwstr>2052-11.8.2.11716</vt:lpwstr>
  </property>
  <property fmtid="{D5CDD505-2E9C-101B-9397-08002B2CF9AE}" pid="6" name="ICV">
    <vt:lpwstr>C49C90DA15834199BBB4015F0896F618</vt:lpwstr>
  </property>
</Properties>
</file>