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cs="宋体" w:asciiTheme="minorEastAsia" w:hAnsiTheme="minorEastAsia"/>
          <w:color w:val="auto"/>
          <w:sz w:val="72"/>
          <w:szCs w:val="72"/>
          <w:highlight w:val="none"/>
        </w:rPr>
      </w:pPr>
      <w:r>
        <w:rPr>
          <w:rFonts w:hint="eastAsia" w:cs="宋体" w:asciiTheme="minorEastAsia" w:hAnsiTheme="minorEastAsia"/>
          <w:color w:val="auto"/>
          <w:sz w:val="44"/>
          <w:szCs w:val="44"/>
          <w:highlight w:val="none"/>
          <w:lang w:val="en-US" w:eastAsia="zh-CN"/>
        </w:rPr>
        <w:t>公开/邀请询比文件</w:t>
      </w:r>
    </w:p>
    <w:p>
      <w:pPr>
        <w:pStyle w:val="4"/>
        <w:numPr>
          <w:ilvl w:val="0"/>
          <w:numId w:val="0"/>
        </w:numPr>
        <w:ind w:leftChars="0"/>
        <w:rPr>
          <w:rFonts w:hint="default"/>
          <w:color w:val="C00000"/>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left="1840"/>
        <w:textAlignment w:val="auto"/>
        <w:outlineLvl w:val="9"/>
        <w:rPr>
          <w:rFonts w:cs="宋体" w:asciiTheme="minorEastAsia" w:hAnsiTheme="minorEastAsia"/>
          <w:color w:val="auto"/>
          <w:sz w:val="4"/>
          <w:szCs w:val="4"/>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auto"/>
          <w:sz w:val="7"/>
          <w:szCs w:val="7"/>
          <w:highlight w:val="none"/>
        </w:rPr>
      </w:pP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auto"/>
          <w:highlight w:val="none"/>
        </w:rPr>
      </w:pPr>
      <w:r>
        <w:rPr>
          <w:rFonts w:asciiTheme="minorEastAsia" w:hAnsiTheme="minorEastAsia" w:eastAsiaTheme="minorEastAsia"/>
          <w:color w:val="auto"/>
          <w:spacing w:val="-3"/>
          <w:highlight w:val="none"/>
        </w:rPr>
        <w:t>（</w:t>
      </w:r>
      <w:r>
        <w:rPr>
          <w:rFonts w:hint="eastAsia" w:asciiTheme="minorEastAsia" w:hAnsiTheme="minorEastAsia"/>
          <w:color w:val="auto"/>
          <w:spacing w:val="-3"/>
          <w:highlight w:val="none"/>
          <w:lang w:val="en-US" w:eastAsia="zh-CN"/>
        </w:rPr>
        <w:t>项目名称</w:t>
      </w:r>
      <w:r>
        <w:rPr>
          <w:rFonts w:asciiTheme="minorEastAsia" w:hAnsiTheme="minorEastAsia" w:eastAsiaTheme="minorEastAsia"/>
          <w:color w:val="auto"/>
          <w:spacing w:val="-3"/>
          <w:highlight w:val="none"/>
        </w:rPr>
        <w:t>：</w:t>
      </w:r>
      <w:r>
        <w:rPr>
          <w:rFonts w:hint="eastAsia" w:asciiTheme="minorEastAsia" w:hAnsiTheme="minorEastAsia"/>
          <w:color w:val="auto"/>
          <w:spacing w:val="-3"/>
          <w:highlight w:val="none"/>
          <w:u w:val="single"/>
          <w:lang w:val="en-US" w:eastAsia="zh-CN"/>
        </w:rPr>
        <w:t>装备公司钢板等24项采购</w:t>
      </w:r>
      <w:r>
        <w:rPr>
          <w:rFonts w:asciiTheme="minorEastAsia" w:hAnsiTheme="minorEastAsia" w:eastAsiaTheme="minorEastAsia"/>
          <w:color w:val="auto"/>
          <w:spacing w:val="-3"/>
          <w:highlight w:val="none"/>
          <w:u w:val="single"/>
        </w:rPr>
        <w:tab/>
      </w:r>
      <w:r>
        <w:rPr>
          <w:rFonts w:asciiTheme="minorEastAsia" w:hAnsiTheme="minorEastAsia" w:eastAsiaTheme="minorEastAsia"/>
          <w:color w:val="auto"/>
          <w:highlight w:val="none"/>
        </w:rPr>
        <w:t>）</w:t>
      </w:r>
    </w:p>
    <w:p>
      <w:pPr>
        <w:keepNext w:val="0"/>
        <w:keepLines w:val="0"/>
        <w:pageBreakBefore w:val="0"/>
        <w:widowControl w:val="0"/>
        <w:tabs>
          <w:tab w:val="left" w:pos="6373"/>
        </w:tabs>
        <w:kinsoku/>
        <w:wordWrap/>
        <w:overflowPunct/>
        <w:topLinePunct w:val="0"/>
        <w:autoSpaceDE/>
        <w:autoSpaceDN/>
        <w:bidi w:val="0"/>
        <w:adjustRightInd/>
        <w:snapToGrid/>
        <w:spacing w:before="0" w:line="360" w:lineRule="auto"/>
        <w:ind w:right="134"/>
        <w:jc w:val="center"/>
        <w:textAlignment w:val="auto"/>
        <w:outlineLvl w:val="9"/>
        <w:rPr>
          <w:rFonts w:asciiTheme="minorEastAsia" w:hAnsiTheme="minorEastAsia" w:eastAsiaTheme="minorEastAsia"/>
          <w:color w:val="000000" w:themeColor="text1"/>
          <w:highlight w:val="none"/>
          <w14:textFill>
            <w14:solidFill>
              <w14:schemeClr w14:val="tx1"/>
            </w14:solidFill>
          </w14:textFill>
        </w:rPr>
      </w:pPr>
      <w:r>
        <w:rPr>
          <w:rFonts w:asciiTheme="minorEastAsia" w:hAnsiTheme="minorEastAsia" w:eastAsiaTheme="minorEastAsia"/>
          <w:color w:val="000000" w:themeColor="text1"/>
          <w:spacing w:val="-3"/>
          <w:highlight w:val="none"/>
          <w14:textFill>
            <w14:solidFill>
              <w14:schemeClr w14:val="tx1"/>
            </w14:solidFill>
          </w14:textFill>
        </w:rPr>
        <w:t>（采购编号：</w:t>
      </w:r>
      <w:r>
        <w:rPr>
          <w:rFonts w:hint="eastAsia" w:asciiTheme="minorEastAsia" w:hAnsiTheme="minorEastAsia" w:eastAsiaTheme="minorEastAsia"/>
          <w:b/>
          <w:bCs/>
          <w:color w:val="auto"/>
          <w:spacing w:val="-3"/>
          <w:highlight w:val="none"/>
          <w:u w:val="single"/>
        </w:rPr>
        <w:t>GKXJ-2025-ZB-3338</w:t>
      </w:r>
      <w:r>
        <w:rPr>
          <w:rFonts w:asciiTheme="minorEastAsia" w:hAnsiTheme="minorEastAsia" w:eastAsiaTheme="minorEastAsia"/>
          <w:color w:val="000000" w:themeColor="text1"/>
          <w:spacing w:val="-3"/>
          <w:highlight w:val="none"/>
          <w:u w:val="single"/>
          <w14:textFill>
            <w14:solidFill>
              <w14:schemeClr w14:val="tx1"/>
            </w14:solidFill>
          </w14:textFill>
        </w:rPr>
        <w:tab/>
      </w:r>
      <w:r>
        <w:rPr>
          <w:rFonts w:asciiTheme="minorEastAsia" w:hAnsiTheme="minorEastAsia" w:eastAsiaTheme="minorEastAsia"/>
          <w:color w:val="000000" w:themeColor="text1"/>
          <w:highlight w:val="none"/>
          <w14:textFill>
            <w14:solidFill>
              <w14:schemeClr w14:val="tx1"/>
            </w14:solidFill>
          </w14:textFill>
        </w:rPr>
        <w:t>）</w:t>
      </w:r>
    </w:p>
    <w:p>
      <w:pPr>
        <w:pStyle w:val="9"/>
      </w:pPr>
    </w:p>
    <w:p>
      <w:pPr>
        <w:keepNext w:val="0"/>
        <w:keepLines w:val="0"/>
        <w:pageBreakBefore w:val="0"/>
        <w:widowControl w:val="0"/>
        <w:kinsoku/>
        <w:wordWrap/>
        <w:overflowPunct/>
        <w:topLinePunct w:val="0"/>
        <w:autoSpaceDE/>
        <w:autoSpaceDN/>
        <w:bidi w:val="0"/>
        <w:adjustRightInd/>
        <w:snapToGrid/>
        <w:spacing w:line="360" w:lineRule="auto"/>
        <w:ind w:left="4772"/>
        <w:textAlignment w:val="auto"/>
        <w:outlineLvl w:val="9"/>
        <w:rPr>
          <w:rFonts w:cs="宋体" w:asciiTheme="minorEastAsia" w:hAnsiTheme="minorEastAsia"/>
          <w:color w:val="000000" w:themeColor="text1"/>
          <w:sz w:val="2"/>
          <w:szCs w:val="2"/>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20"/>
          <w:szCs w:val="20"/>
          <w:highlight w:val="none"/>
          <w14:textFill>
            <w14:solidFill>
              <w14:schemeClr w14:val="tx1"/>
            </w14:solidFill>
          </w14:textFill>
        </w:rPr>
      </w:pPr>
    </w:p>
    <w:p>
      <w:pPr>
        <w:keepNext w:val="0"/>
        <w:keepLines w:val="0"/>
        <w:pageBreakBefore w:val="0"/>
        <w:widowControl w:val="0"/>
        <w:tabs>
          <w:tab w:val="left" w:pos="6618"/>
        </w:tabs>
        <w:kinsoku/>
        <w:wordWrap/>
        <w:overflowPunct/>
        <w:topLinePunct w:val="0"/>
        <w:autoSpaceDE/>
        <w:autoSpaceDN/>
        <w:bidi w:val="0"/>
        <w:adjustRightInd/>
        <w:snapToGrid/>
        <w:spacing w:line="360" w:lineRule="auto"/>
        <w:ind w:right="134" w:firstLine="2250" w:firstLineChars="900"/>
        <w:textAlignment w:val="auto"/>
        <w:outlineLvl w:val="9"/>
        <w:rPr>
          <w:rFonts w:cs="宋体" w:asciiTheme="minorEastAsia" w:hAnsiTheme="minorEastAsia"/>
          <w:color w:val="000000" w:themeColor="text1"/>
          <w:sz w:val="28"/>
          <w:szCs w:val="28"/>
          <w:highlight w:val="none"/>
          <w:u w:val="single"/>
          <w14:textFill>
            <w14:solidFill>
              <w14:schemeClr w14:val="tx1"/>
            </w14:solidFill>
          </w14:textFill>
        </w:rPr>
      </w:pPr>
      <w:r>
        <w:rPr>
          <w:rFonts w:cs="宋体" w:asciiTheme="minorEastAsia" w:hAnsiTheme="minorEastAsia"/>
          <w:color w:val="000000" w:themeColor="text1"/>
          <w:spacing w:val="-15"/>
          <w:sz w:val="28"/>
          <w:szCs w:val="28"/>
          <w:highlight w:val="none"/>
          <w14:textFill>
            <w14:solidFill>
              <w14:schemeClr w14:val="tx1"/>
            </w14:solidFill>
          </w14:textFill>
        </w:rPr>
        <w:t>采购人：</w:t>
      </w:r>
      <w:r>
        <w:rPr>
          <w:rFonts w:hint="eastAsia" w:cs="宋体" w:asciiTheme="minorEastAsia" w:hAnsiTheme="minorEastAsia"/>
          <w:color w:val="000000" w:themeColor="text1"/>
          <w:spacing w:val="-15"/>
          <w:sz w:val="28"/>
          <w:szCs w:val="28"/>
          <w:highlight w:val="none"/>
          <w:u w:val="single"/>
          <w14:textFill>
            <w14:solidFill>
              <w14:schemeClr w14:val="tx1"/>
            </w14:solidFill>
          </w14:textFill>
        </w:rPr>
        <w:t xml:space="preserve"> </w:t>
      </w:r>
      <w:r>
        <w:rPr>
          <w:rFonts w:hint="eastAsia" w:cs="宋体" w:asciiTheme="minorEastAsia" w:hAnsiTheme="minorEastAsia"/>
          <w:spacing w:val="-15"/>
          <w:sz w:val="28"/>
          <w:szCs w:val="28"/>
          <w:highlight w:val="none"/>
          <w:u w:val="single"/>
        </w:rPr>
        <w:t>中海油能源发展股份有限公司</w:t>
      </w:r>
      <w:r>
        <w:rPr>
          <w:rFonts w:cs="宋体" w:asciiTheme="minorEastAsia" w:hAnsiTheme="minorEastAsia"/>
          <w:color w:val="000000" w:themeColor="text1"/>
          <w:spacing w:val="-15"/>
          <w:sz w:val="28"/>
          <w:szCs w:val="28"/>
          <w:highlight w:val="none"/>
          <w:u w:val="single"/>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360" w:lineRule="auto"/>
        <w:textAlignment w:val="auto"/>
        <w:outlineLvl w:val="9"/>
        <w:rPr>
          <w:rFonts w:cs="宋体" w:asciiTheme="minorEastAsia" w:hAnsiTheme="minorEastAsia"/>
          <w:color w:val="000000" w:themeColor="text1"/>
          <w:sz w:val="19"/>
          <w:szCs w:val="19"/>
          <w:highlight w:val="none"/>
          <w14:textFill>
            <w14:solidFill>
              <w14:schemeClr w14:val="tx1"/>
            </w14:solidFill>
          </w14:textFill>
        </w:rPr>
      </w:pPr>
    </w:p>
    <w:p>
      <w:pPr>
        <w:spacing w:line="360" w:lineRule="auto"/>
        <w:ind w:firstLine="2240" w:firstLineChars="800"/>
        <w:jc w:val="left"/>
        <w:rPr>
          <w:rFonts w:hint="default" w:asciiTheme="minorEastAsia" w:hAnsiTheme="minorEastAsia"/>
          <w:color w:val="000000" w:themeColor="text1"/>
          <w:sz w:val="24"/>
          <w:szCs w:val="24"/>
          <w:highlight w:val="none"/>
          <w:u w:val="none"/>
          <w:lang w:val="en-US"/>
          <w14:textFill>
            <w14:solidFill>
              <w14:schemeClr w14:val="tx1"/>
            </w14:solidFill>
          </w14:textFill>
        </w:rPr>
      </w:pPr>
      <w:r>
        <w:rPr>
          <w:rFonts w:hint="eastAsia" w:cs="Times New Roman" w:asciiTheme="minorEastAsia" w:hAnsiTheme="minorEastAsia"/>
          <w:color w:val="000000" w:themeColor="text1"/>
          <w:sz w:val="28"/>
          <w:szCs w:val="28"/>
          <w:highlight w:val="none"/>
          <w:u w:val="single" w:color="000000"/>
          <w:lang w:val="en-US" w:eastAsia="zh-CN"/>
          <w14:textFill>
            <w14:solidFill>
              <w14:schemeClr w14:val="tx1"/>
            </w14:solidFill>
          </w14:textFill>
        </w:rPr>
        <w:t>2025</w:t>
      </w:r>
      <w:r>
        <w:rPr>
          <w:rFonts w:cs="宋体" w:asciiTheme="minorEastAsia" w:hAnsiTheme="minorEastAsia"/>
          <w:color w:val="000000" w:themeColor="text1"/>
          <w:sz w:val="28"/>
          <w:szCs w:val="28"/>
          <w:highlight w:val="none"/>
          <w14:textFill>
            <w14:solidFill>
              <w14:schemeClr w14:val="tx1"/>
            </w14:solidFill>
          </w14:textFill>
        </w:rPr>
        <w:t>年</w:t>
      </w:r>
      <w:r>
        <w:rPr>
          <w:rFonts w:hint="eastAsia" w:cs="宋体" w:asciiTheme="minorEastAsia" w:hAnsiTheme="minorEastAsia"/>
          <w:color w:val="000000" w:themeColor="text1"/>
          <w:sz w:val="28"/>
          <w:szCs w:val="28"/>
          <w:highlight w:val="none"/>
          <w:lang w:val="en-US" w:eastAsia="zh-CN"/>
          <w14:textFill>
            <w14:solidFill>
              <w14:schemeClr w14:val="tx1"/>
            </w14:solidFill>
          </w14:textFill>
        </w:rPr>
        <w:t>11</w:t>
      </w:r>
      <w:r>
        <w:rPr>
          <w:rFonts w:cs="宋体" w:asciiTheme="minorEastAsia" w:hAnsiTheme="minorEastAsia"/>
          <w:color w:val="000000" w:themeColor="text1"/>
          <w:sz w:val="28"/>
          <w:szCs w:val="28"/>
          <w:highlight w:val="none"/>
          <w14:textFill>
            <w14:solidFill>
              <w14:schemeClr w14:val="tx1"/>
            </w14:solidFill>
          </w14:textFill>
        </w:rPr>
        <w:t>月</w:t>
      </w:r>
      <w:r>
        <w:rPr>
          <w:rFonts w:hint="eastAsia" w:cs="宋体" w:asciiTheme="minorEastAsia" w:hAnsiTheme="minorEastAsia"/>
          <w:color w:val="000000" w:themeColor="text1"/>
          <w:sz w:val="28"/>
          <w:szCs w:val="28"/>
          <w:highlight w:val="none"/>
          <w:u w:val="single"/>
          <w:lang w:val="en-US" w:eastAsia="zh-CN"/>
          <w14:textFill>
            <w14:solidFill>
              <w14:schemeClr w14:val="tx1"/>
            </w14:solidFill>
          </w14:textFill>
        </w:rPr>
        <w:t xml:space="preserve">20 </w:t>
      </w:r>
      <w:r>
        <w:rPr>
          <w:rFonts w:hint="eastAsia" w:cs="宋体" w:asciiTheme="minorEastAsia" w:hAnsiTheme="minorEastAsia"/>
          <w:color w:val="000000" w:themeColor="text1"/>
          <w:sz w:val="28"/>
          <w:szCs w:val="28"/>
          <w:highlight w:val="none"/>
          <w:u w:val="none"/>
          <w:lang w:val="en-US" w:eastAsia="zh-CN"/>
          <w14:textFill>
            <w14:solidFill>
              <w14:schemeClr w14:val="tx1"/>
            </w14:solidFill>
          </w14:textFill>
        </w:rPr>
        <w:t>日</w:t>
      </w:r>
    </w:p>
    <w:p>
      <w:pPr>
        <w:spacing w:line="440" w:lineRule="exact"/>
        <w:jc w:val="center"/>
        <w:rPr>
          <w:rFonts w:asciiTheme="minorEastAsia" w:hAnsiTheme="minorEastAsia" w:cstheme="minorEastAsia"/>
          <w:b/>
          <w:bCs/>
          <w:color w:val="000000" w:themeColor="text1"/>
          <w:sz w:val="40"/>
          <w:szCs w:val="40"/>
          <w:highlight w:val="none"/>
          <w14:textFill>
            <w14:solidFill>
              <w14:schemeClr w14:val="tx1"/>
            </w14:solidFill>
          </w14:textFill>
        </w:rPr>
      </w:pPr>
    </w:p>
    <w:p>
      <w:pPr>
        <w:pStyle w:val="4"/>
        <w:numPr>
          <w:ilvl w:val="0"/>
          <w:numId w:val="0"/>
        </w:numPr>
        <w:ind w:leftChars="0"/>
      </w:pPr>
    </w:p>
    <w:p>
      <w:pPr>
        <w:rPr>
          <w:rFonts w:asciiTheme="minorEastAsia" w:hAnsiTheme="minorEastAsia" w:cstheme="minorEastAsia"/>
          <w:b/>
          <w:bCs/>
          <w:color w:val="000000" w:themeColor="text1"/>
          <w:sz w:val="40"/>
          <w:szCs w:val="40"/>
          <w:highlight w:val="none"/>
          <w14:textFill>
            <w14:solidFill>
              <w14:schemeClr w14:val="tx1"/>
            </w14:solidFill>
          </w14:textFill>
        </w:rPr>
      </w:pPr>
    </w:p>
    <w:p>
      <w:pPr>
        <w:pStyle w:val="4"/>
        <w:numPr>
          <w:ilvl w:val="0"/>
          <w:numId w:val="0"/>
        </w:numPr>
        <w:ind w:leftChars="0"/>
      </w:pPr>
    </w:p>
    <w:p>
      <w:pPr>
        <w:spacing w:line="440" w:lineRule="exact"/>
        <w:jc w:val="both"/>
        <w:rPr>
          <w:rFonts w:hint="default" w:cs="宋体" w:asciiTheme="minorEastAsia" w:hAnsiTheme="minorEastAsia" w:eastAsiaTheme="minorEastAsia"/>
          <w:b/>
          <w:bCs/>
          <w:i/>
          <w:iCs/>
          <w:color w:val="C00000"/>
          <w:kern w:val="2"/>
          <w:sz w:val="24"/>
          <w:szCs w:val="24"/>
          <w:highlight w:val="none"/>
          <w:lang w:val="en-US" w:eastAsia="zh-CN" w:bidi="ar-SA"/>
        </w:rPr>
      </w:pPr>
    </w:p>
    <w:p>
      <w:pPr>
        <w:pStyle w:val="4"/>
        <w:numPr>
          <w:ilvl w:val="0"/>
          <w:numId w:val="0"/>
        </w:numPr>
        <w:ind w:leftChars="0"/>
        <w:rPr>
          <w:rFonts w:hint="eastAsia" w:asciiTheme="minorEastAsia" w:hAnsiTheme="minorEastAsia" w:eastAsiaTheme="minorEastAsia" w:cstheme="minorEastAsia"/>
          <w:b/>
          <w:bCs/>
          <w:color w:val="000000" w:themeColor="text1"/>
          <w:sz w:val="40"/>
          <w:szCs w:val="40"/>
          <w:highlight w:val="none"/>
          <w:lang w:val="en-US" w:eastAsia="zh-CN"/>
          <w14:textFill>
            <w14:solidFill>
              <w14:schemeClr w14:val="tx1"/>
            </w14:solidFill>
          </w14:textFill>
        </w:rPr>
      </w:pPr>
    </w:p>
    <w:p>
      <w:pPr>
        <w:rPr>
          <w:rFonts w:hint="eastAsia" w:asciiTheme="minorEastAsia" w:hAnsiTheme="minorEastAsia" w:cstheme="minorEastAsia"/>
          <w:b/>
          <w:bCs/>
          <w:color w:val="000000" w:themeColor="text1"/>
          <w:sz w:val="40"/>
          <w:szCs w:val="40"/>
          <w:highlight w:val="none"/>
          <w14:textFill>
            <w14:solidFill>
              <w14:schemeClr w14:val="tx1"/>
            </w14:solidFill>
          </w14:textFill>
        </w:rPr>
      </w:pPr>
      <w:r>
        <w:rPr>
          <w:rFonts w:hint="eastAsia" w:asciiTheme="minorEastAsia" w:hAnsiTheme="minorEastAsia" w:cstheme="minorEastAsia"/>
          <w:b/>
          <w:bCs/>
          <w:color w:val="000000" w:themeColor="text1"/>
          <w:sz w:val="40"/>
          <w:szCs w:val="40"/>
          <w:highlight w:val="none"/>
          <w14:textFill>
            <w14:solidFill>
              <w14:schemeClr w14:val="tx1"/>
            </w14:solidFill>
          </w14:textFill>
        </w:rPr>
        <w:br w:type="page"/>
      </w:r>
    </w:p>
    <w:p>
      <w:pPr>
        <w:spacing w:line="360" w:lineRule="auto"/>
        <w:jc w:val="center"/>
        <w:outlineLvl w:val="0"/>
        <w:rPr>
          <w:rFonts w:ascii="黑体" w:hAnsi="黑体" w:eastAsia="黑体"/>
          <w:b/>
          <w:color w:val="000000" w:themeColor="text1"/>
          <w:sz w:val="30"/>
          <w:szCs w:val="30"/>
          <w:highlight w:val="none"/>
          <w14:textFill>
            <w14:solidFill>
              <w14:schemeClr w14:val="tx1"/>
            </w14:solidFill>
          </w14:textFill>
        </w:rPr>
      </w:pPr>
      <w:r>
        <w:rPr>
          <w:rFonts w:hint="eastAsia" w:ascii="黑体" w:hAnsi="黑体" w:eastAsia="黑体"/>
          <w:b/>
          <w:color w:val="000000" w:themeColor="text1"/>
          <w:sz w:val="30"/>
          <w:szCs w:val="30"/>
          <w:highlight w:val="none"/>
          <w:lang w:eastAsia="zh-CN"/>
          <w14:textFill>
            <w14:solidFill>
              <w14:schemeClr w14:val="tx1"/>
            </w14:solidFill>
          </w14:textFill>
        </w:rPr>
        <w:t>询比</w:t>
      </w:r>
      <w:r>
        <w:rPr>
          <w:rFonts w:hint="eastAsia" w:ascii="黑体" w:hAnsi="黑体" w:eastAsia="黑体"/>
          <w:b/>
          <w:color w:val="000000" w:themeColor="text1"/>
          <w:sz w:val="30"/>
          <w:szCs w:val="30"/>
          <w:highlight w:val="none"/>
          <w14:textFill>
            <w14:solidFill>
              <w14:schemeClr w14:val="tx1"/>
            </w14:solidFill>
          </w14:textFill>
        </w:rPr>
        <w:t>文件</w:t>
      </w:r>
    </w:p>
    <w:p>
      <w:pPr>
        <w:spacing w:line="360" w:lineRule="auto"/>
        <w:jc w:val="center"/>
        <w:rPr>
          <w:rFonts w:asciiTheme="minorEastAsia" w:hAnsiTheme="minorEastAsia"/>
          <w:color w:val="000000" w:themeColor="text1"/>
          <w:sz w:val="24"/>
          <w:szCs w:val="24"/>
          <w:highlight w:val="none"/>
          <w14:textFill>
            <w14:solidFill>
              <w14:schemeClr w14:val="tx1"/>
            </w14:solidFill>
          </w14:textFill>
        </w:rPr>
      </w:pPr>
    </w:p>
    <w:p>
      <w:pPr>
        <w:spacing w:line="360" w:lineRule="auto"/>
        <w:ind w:firstLine="420" w:firstLineChars="20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海油发展采办共享中心对</w:t>
      </w:r>
      <w:r>
        <w:rPr>
          <w:rFonts w:hint="eastAsia" w:asciiTheme="minorEastAsia" w:hAnsiTheme="minorEastAsia"/>
          <w:color w:val="000000" w:themeColor="text1"/>
          <w:sz w:val="21"/>
          <w:szCs w:val="21"/>
          <w:highlight w:val="none"/>
          <w:u w:val="single"/>
          <w14:textFill>
            <w14:solidFill>
              <w14:schemeClr w14:val="tx1"/>
            </w14:solidFill>
          </w14:textFill>
        </w:rPr>
        <w:t xml:space="preserve"> 装备公司</w:t>
      </w:r>
      <w:r>
        <w:rPr>
          <w:rFonts w:hint="eastAsia" w:asciiTheme="minorEastAsia" w:hAnsiTheme="minorEastAsia"/>
          <w:color w:val="000000" w:themeColor="text1"/>
          <w:sz w:val="21"/>
          <w:szCs w:val="21"/>
          <w:highlight w:val="none"/>
          <w:u w:val="single"/>
          <w:lang w:eastAsia="zh-CN"/>
          <w14:textFill>
            <w14:solidFill>
              <w14:schemeClr w14:val="tx1"/>
            </w14:solidFill>
          </w14:textFill>
        </w:rPr>
        <w:t>钢板等24项采购</w:t>
      </w:r>
      <w:r>
        <w:rPr>
          <w:rFonts w:hint="eastAsia" w:asciiTheme="minorEastAsia" w:hAnsiTheme="minorEastAsia"/>
          <w:color w:val="000000" w:themeColor="text1"/>
          <w:sz w:val="21"/>
          <w:szCs w:val="21"/>
          <w:highlight w:val="none"/>
          <w14:textFill>
            <w14:solidFill>
              <w14:schemeClr w14:val="tx1"/>
            </w14:solidFill>
          </w14:textFill>
        </w:rPr>
        <w:t>项目进行公开</w:t>
      </w:r>
      <w:r>
        <w:rPr>
          <w:rFonts w:hint="eastAsia" w:asciiTheme="minorEastAsia" w:hAnsiTheme="minorEastAsia"/>
          <w:color w:val="000000" w:themeColor="text1"/>
          <w:sz w:val="21"/>
          <w:szCs w:val="21"/>
          <w:highlight w:val="none"/>
          <w:lang w:val="en-US" w:eastAsia="zh-CN"/>
          <w14:textFill>
            <w14:solidFill>
              <w14:schemeClr w14:val="tx1"/>
            </w14:solidFill>
          </w14:textFill>
        </w:rPr>
        <w:t>/邀请</w:t>
      </w:r>
      <w:r>
        <w:rPr>
          <w:rFonts w:hint="eastAsia" w:asciiTheme="minorEastAsia" w:hAnsiTheme="minorEastAsia"/>
          <w:color w:val="000000" w:themeColor="text1"/>
          <w:sz w:val="21"/>
          <w:szCs w:val="21"/>
          <w:highlight w:val="none"/>
          <w:lang w:eastAsia="zh-CN"/>
          <w14:textFill>
            <w14:solidFill>
              <w14:schemeClr w14:val="tx1"/>
            </w14:solidFill>
          </w14:textFill>
        </w:rPr>
        <w:t>询比</w:t>
      </w:r>
      <w:r>
        <w:rPr>
          <w:rFonts w:hint="eastAsia" w:asciiTheme="minorEastAsia" w:hAnsiTheme="minorEastAsia"/>
          <w:color w:val="000000" w:themeColor="text1"/>
          <w:sz w:val="21"/>
          <w:szCs w:val="21"/>
          <w:highlight w:val="none"/>
          <w14:textFill>
            <w14:solidFill>
              <w14:schemeClr w14:val="tx1"/>
            </w14:solidFill>
          </w14:textFill>
        </w:rPr>
        <w:t>采购，欢迎供应商参加。现将有关事项明确如下：</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outlineLvl w:val="1"/>
        <w:rPr>
          <w:rFonts w:asciiTheme="minorEastAsia" w:hAnsiTheme="minorEastAsia"/>
          <w:b/>
          <w:color w:val="000000" w:themeColor="text1"/>
          <w:sz w:val="21"/>
          <w:szCs w:val="21"/>
          <w:highlight w:val="none"/>
          <w14:textFill>
            <w14:solidFill>
              <w14:schemeClr w14:val="tx1"/>
            </w14:solidFill>
          </w14:textFill>
        </w:rPr>
      </w:pPr>
      <w:r>
        <w:rPr>
          <w:rFonts w:hint="eastAsia" w:asciiTheme="minorEastAsia" w:hAnsiTheme="minorEastAsia"/>
          <w:b/>
          <w:color w:val="000000" w:themeColor="text1"/>
          <w:sz w:val="21"/>
          <w:szCs w:val="21"/>
          <w:highlight w:val="none"/>
          <w14:textFill>
            <w14:solidFill>
              <w14:schemeClr w14:val="tx1"/>
            </w14:solidFill>
          </w14:textFill>
        </w:rPr>
        <w:t>总则</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1</w:t>
      </w:r>
      <w:r>
        <w:rPr>
          <w:rFonts w:hint="eastAsia" w:asciiTheme="minorEastAsia" w:hAnsiTheme="minorEastAsia"/>
          <w:color w:val="000000" w:themeColor="text1"/>
          <w:sz w:val="21"/>
          <w:szCs w:val="21"/>
          <w:highlight w:val="none"/>
          <w14:textFill>
            <w14:solidFill>
              <w14:schemeClr w14:val="tx1"/>
            </w14:solidFill>
          </w14:textFill>
        </w:rPr>
        <w:t>.合格的</w:t>
      </w:r>
      <w:r>
        <w:rPr>
          <w:rFonts w:hint="eastAsia" w:asciiTheme="minorEastAsia" w:hAnsiTheme="minorEastAsia"/>
          <w:color w:val="000000" w:themeColor="text1"/>
          <w:sz w:val="21"/>
          <w:szCs w:val="21"/>
          <w:highlight w:val="none"/>
          <w:lang w:eastAsia="zh-CN"/>
          <w14:textFill>
            <w14:solidFill>
              <w14:schemeClr w14:val="tx1"/>
            </w14:solidFill>
          </w14:textFill>
        </w:rPr>
        <w:t>应答人</w:t>
      </w:r>
      <w:r>
        <w:rPr>
          <w:rFonts w:hint="eastAsia" w:asciiTheme="minorEastAsia" w:hAnsiTheme="minorEastAsia"/>
          <w:color w:val="000000" w:themeColor="text1"/>
          <w:sz w:val="21"/>
          <w:szCs w:val="21"/>
          <w:highlight w:val="none"/>
          <w14:textFill>
            <w14:solidFill>
              <w14:schemeClr w14:val="tx1"/>
            </w14:solidFill>
          </w14:textFill>
        </w:rPr>
        <w:t>：符合</w:t>
      </w:r>
      <w:r>
        <w:rPr>
          <w:rFonts w:hint="eastAsia" w:asciiTheme="minorEastAsia" w:hAnsiTheme="minorEastAsia"/>
          <w:color w:val="000000" w:themeColor="text1"/>
          <w:sz w:val="21"/>
          <w:szCs w:val="21"/>
          <w:highlight w:val="none"/>
          <w:lang w:eastAsia="zh-CN"/>
          <w14:textFill>
            <w14:solidFill>
              <w14:schemeClr w14:val="tx1"/>
            </w14:solidFill>
          </w14:textFill>
        </w:rPr>
        <w:t>询比</w:t>
      </w:r>
      <w:r>
        <w:rPr>
          <w:rFonts w:hint="eastAsia" w:asciiTheme="minorEastAsia" w:hAnsiTheme="minorEastAsia"/>
          <w:color w:val="000000" w:themeColor="text1"/>
          <w:sz w:val="21"/>
          <w:szCs w:val="21"/>
          <w:highlight w:val="none"/>
          <w14:textFill>
            <w14:solidFill>
              <w14:schemeClr w14:val="tx1"/>
            </w14:solidFill>
          </w14:textFill>
        </w:rPr>
        <w:t>公告的供应商资格条件。</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2.采购内容、技术参数及要求：见本</w:t>
      </w:r>
      <w:r>
        <w:rPr>
          <w:rFonts w:hint="eastAsia" w:asciiTheme="minorEastAsia" w:hAnsiTheme="minorEastAsia"/>
          <w:color w:val="000000" w:themeColor="text1"/>
          <w:sz w:val="21"/>
          <w:szCs w:val="21"/>
          <w:highlight w:val="none"/>
          <w:lang w:eastAsia="zh-CN"/>
          <w14:textFill>
            <w14:solidFill>
              <w14:schemeClr w14:val="tx1"/>
            </w14:solidFill>
          </w14:textFill>
        </w:rPr>
        <w:t>询比</w:t>
      </w:r>
      <w:r>
        <w:rPr>
          <w:rFonts w:hint="eastAsia" w:asciiTheme="minorEastAsia" w:hAnsiTheme="minorEastAsia"/>
          <w:color w:val="000000" w:themeColor="text1"/>
          <w:sz w:val="21"/>
          <w:szCs w:val="21"/>
          <w:highlight w:val="none"/>
          <w14:textFill>
            <w14:solidFill>
              <w14:schemeClr w14:val="tx1"/>
            </w14:solidFill>
          </w14:textFill>
        </w:rPr>
        <w:t>文件附件</w:t>
      </w:r>
      <w:r>
        <w:rPr>
          <w:rFonts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14:textFill>
            <w14:solidFill>
              <w14:schemeClr w14:val="tx1"/>
            </w14:solidFill>
          </w14:textFill>
        </w:rPr>
        <w:t>。</w:t>
      </w:r>
    </w:p>
    <w:p>
      <w:pPr>
        <w:spacing w:line="360" w:lineRule="auto"/>
        <w:ind w:firstLine="420"/>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3</w:t>
      </w:r>
      <w:r>
        <w:rPr>
          <w:rFonts w:hint="eastAsia" w:asciiTheme="minorEastAsia" w:hAnsiTheme="minorEastAsia"/>
          <w:color w:val="000000" w:themeColor="text1"/>
          <w:sz w:val="21"/>
          <w:szCs w:val="21"/>
          <w:highlight w:val="none"/>
          <w14:textFill>
            <w14:solidFill>
              <w14:schemeClr w14:val="tx1"/>
            </w14:solidFill>
          </w14:textFill>
        </w:rPr>
        <w:t>.公告时间：自</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11</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日起至</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11</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27</w:t>
      </w:r>
      <w:bookmarkStart w:id="120" w:name="_GoBack"/>
      <w:bookmarkEnd w:id="120"/>
      <w:r>
        <w:rPr>
          <w:rFonts w:hint="eastAsia" w:asciiTheme="minorEastAsia" w:hAnsiTheme="minorEastAsia"/>
          <w:color w:val="000000" w:themeColor="text1"/>
          <w:sz w:val="21"/>
          <w:szCs w:val="21"/>
          <w:highlight w:val="none"/>
          <w14:textFill>
            <w14:solidFill>
              <w14:schemeClr w14:val="tx1"/>
            </w14:solidFill>
          </w14:textFill>
        </w:rPr>
        <w:t>日止。</w:t>
      </w:r>
    </w:p>
    <w:p>
      <w:pPr>
        <w:spacing w:line="360" w:lineRule="auto"/>
        <w:ind w:firstLine="630" w:firstLineChars="300"/>
        <w:jc w:val="left"/>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采购人</w:t>
      </w:r>
      <w:r>
        <w:rPr>
          <w:rFonts w:asciiTheme="minorEastAsia" w:hAnsiTheme="minorEastAsia"/>
          <w:color w:val="000000" w:themeColor="text1"/>
          <w:sz w:val="21"/>
          <w:szCs w:val="21"/>
          <w:highlight w:val="none"/>
          <w14:textFill>
            <w14:solidFill>
              <w14:schemeClr w14:val="tx1"/>
            </w14:solidFill>
          </w14:textFill>
        </w:rPr>
        <w:t>于</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11</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日（北京时间</w:t>
      </w:r>
      <w:r>
        <w:rPr>
          <w:rFonts w:hint="eastAsia" w:asciiTheme="minorEastAsia" w:hAnsiTheme="minorEastAsia"/>
          <w:color w:val="000000" w:themeColor="text1"/>
          <w:sz w:val="21"/>
          <w:szCs w:val="21"/>
          <w:highlight w:val="none"/>
          <w14:textFill>
            <w14:solidFill>
              <w14:schemeClr w14:val="tx1"/>
            </w14:solidFill>
          </w14:textFill>
        </w:rPr>
        <w:t>）将</w:t>
      </w:r>
      <w:r>
        <w:rPr>
          <w:rFonts w:hint="eastAsia" w:asciiTheme="minorEastAsia" w:hAnsiTheme="minorEastAsia"/>
          <w:color w:val="000000" w:themeColor="text1"/>
          <w:sz w:val="21"/>
          <w:szCs w:val="21"/>
          <w:highlight w:val="none"/>
          <w:lang w:eastAsia="zh-CN"/>
          <w14:textFill>
            <w14:solidFill>
              <w14:schemeClr w14:val="tx1"/>
            </w14:solidFill>
          </w14:textFill>
        </w:rPr>
        <w:t>询比</w:t>
      </w:r>
      <w:r>
        <w:rPr>
          <w:rFonts w:hint="eastAsia" w:asciiTheme="minorEastAsia" w:hAnsiTheme="minorEastAsia"/>
          <w:color w:val="000000" w:themeColor="text1"/>
          <w:sz w:val="21"/>
          <w:szCs w:val="21"/>
          <w:highlight w:val="none"/>
          <w14:textFill>
            <w14:solidFill>
              <w14:schemeClr w14:val="tx1"/>
            </w14:solidFill>
          </w14:textFill>
        </w:rPr>
        <w:t>文件发布至中国海洋石油集团有限公司《中国海油供应链数字化平台》（以下简称“系统”）https://bid.cnooc.com.cn/，请登陆并下载。</w:t>
      </w:r>
    </w:p>
    <w:p>
      <w:pPr>
        <w:spacing w:line="360" w:lineRule="auto"/>
        <w:ind w:firstLine="420"/>
        <w:rPr>
          <w:rFonts w:hint="default" w:asciiTheme="minorEastAsia" w:hAnsiTheme="minorEastAsia"/>
          <w:color w:val="000000" w:themeColor="text1"/>
          <w:sz w:val="21"/>
          <w:szCs w:val="21"/>
          <w:highlight w:val="yellow"/>
          <w:lang w:val="en-US"/>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4.递交响应文件的截止时间及地点：递交</w:t>
      </w:r>
      <w:r>
        <w:rPr>
          <w:rFonts w:hint="eastAsia" w:asciiTheme="minorEastAsia" w:hAnsiTheme="minorEastAsia"/>
          <w:color w:val="000000" w:themeColor="text1"/>
          <w:sz w:val="21"/>
          <w:szCs w:val="21"/>
          <w:highlight w:val="none"/>
          <w14:textFill>
            <w14:solidFill>
              <w14:schemeClr w14:val="tx1"/>
            </w14:solidFill>
          </w14:textFill>
        </w:rPr>
        <w:t>报价</w:t>
      </w:r>
      <w:r>
        <w:rPr>
          <w:rFonts w:asciiTheme="minorEastAsia" w:hAnsiTheme="minorEastAsia"/>
          <w:color w:val="000000" w:themeColor="text1"/>
          <w:sz w:val="21"/>
          <w:szCs w:val="21"/>
          <w:highlight w:val="none"/>
          <w14:textFill>
            <w14:solidFill>
              <w14:schemeClr w14:val="tx1"/>
            </w14:solidFill>
          </w14:textFill>
        </w:rPr>
        <w:t>文件的截止时间为</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2025</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年</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11</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月</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27</w:t>
      </w:r>
      <w:r>
        <w:rPr>
          <w:rFonts w:hint="eastAsia" w:asciiTheme="minorEastAsia" w:hAnsiTheme="minorEastAsia"/>
          <w:color w:val="000000" w:themeColor="text1"/>
          <w:sz w:val="21"/>
          <w:szCs w:val="21"/>
          <w:highlight w:val="none"/>
          <w:u w:val="single"/>
          <w14:textFill>
            <w14:solidFill>
              <w14:schemeClr w14:val="tx1"/>
            </w14:solidFill>
          </w14:textFill>
        </w:rPr>
        <w:t xml:space="preserve"> </w:t>
      </w:r>
      <w:r>
        <w:rPr>
          <w:rFonts w:asciiTheme="minorEastAsia" w:hAnsiTheme="minorEastAsia"/>
          <w:color w:val="000000" w:themeColor="text1"/>
          <w:sz w:val="21"/>
          <w:szCs w:val="21"/>
          <w:highlight w:val="none"/>
          <w14:textFill>
            <w14:solidFill>
              <w14:schemeClr w14:val="tx1"/>
            </w14:solidFill>
          </w14:textFill>
        </w:rPr>
        <w:t>日</w:t>
      </w:r>
      <w:r>
        <w:rPr>
          <w:rFonts w:asciiTheme="minorEastAsia" w:hAnsiTheme="minorEastAsia"/>
          <w:color w:val="000000" w:themeColor="text1"/>
          <w:sz w:val="21"/>
          <w:szCs w:val="21"/>
          <w:highlight w:val="none"/>
          <w:u w:val="single"/>
          <w14:textFill>
            <w14:solidFill>
              <w14:schemeClr w14:val="tx1"/>
            </w14:solidFill>
          </w14:textFill>
        </w:rPr>
        <w:t xml:space="preserve">  </w:t>
      </w:r>
      <w:r>
        <w:rPr>
          <w:rFonts w:hint="eastAsia" w:asciiTheme="minorEastAsia" w:hAnsiTheme="minorEastAsia"/>
          <w:color w:val="000000" w:themeColor="text1"/>
          <w:sz w:val="21"/>
          <w:szCs w:val="21"/>
          <w:highlight w:val="none"/>
          <w:u w:val="single"/>
          <w:lang w:val="en-US" w:eastAsia="zh-CN"/>
          <w14:textFill>
            <w14:solidFill>
              <w14:schemeClr w14:val="tx1"/>
            </w14:solidFill>
          </w14:textFill>
        </w:rPr>
        <w:t>12</w:t>
      </w:r>
      <w:r>
        <w:rPr>
          <w:rFonts w:asciiTheme="minorEastAsia" w:hAnsiTheme="minorEastAsia"/>
          <w:color w:val="000000" w:themeColor="text1"/>
          <w:sz w:val="21"/>
          <w:szCs w:val="21"/>
          <w:highlight w:val="none"/>
          <w14:textFill>
            <w14:solidFill>
              <w14:schemeClr w14:val="tx1"/>
            </w14:solidFill>
          </w14:textFill>
        </w:rPr>
        <w:t>时，</w:t>
      </w:r>
      <w:r>
        <w:rPr>
          <w:rFonts w:hint="eastAsia" w:asciiTheme="minorEastAsia" w:hAnsiTheme="minorEastAsia"/>
          <w:color w:val="000000" w:themeColor="text1"/>
          <w:sz w:val="21"/>
          <w:szCs w:val="21"/>
          <w:highlight w:val="none"/>
          <w14:textFill>
            <w14:solidFill>
              <w14:schemeClr w14:val="tx1"/>
            </w14:solidFill>
          </w14:textFill>
        </w:rPr>
        <w:t>请在规定报价截止时间前通过系统报价及挂接</w:t>
      </w:r>
      <w:r>
        <w:rPr>
          <w:rFonts w:hint="eastAsia" w:asciiTheme="minorEastAsia" w:hAnsiTheme="minorEastAsia"/>
          <w:color w:val="000000" w:themeColor="text1"/>
          <w:sz w:val="21"/>
          <w:szCs w:val="21"/>
          <w:highlight w:val="none"/>
          <w:lang w:val="en-US" w:eastAsia="zh-CN"/>
          <w14:textFill>
            <w14:solidFill>
              <w14:schemeClr w14:val="tx1"/>
            </w14:solidFill>
          </w14:textFill>
        </w:rPr>
        <w:t>价格明细文件</w:t>
      </w:r>
      <w:r>
        <w:rPr>
          <w:rFonts w:hint="eastAsia"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Cs w:val="21"/>
          <w:highlight w:val="yellow"/>
          <w:u w:val="single"/>
          <w:lang w:val="en-US" w:eastAsia="zh-CN"/>
          <w14:textFill>
            <w14:solidFill>
              <w14:schemeClr w14:val="tx1"/>
            </w14:solidFill>
          </w14:textFill>
        </w:rPr>
        <w:t>以中国海油供应链数字化平台发布为准。</w:t>
      </w:r>
    </w:p>
    <w:p>
      <w:pPr>
        <w:widowControl/>
        <w:snapToGrid w:val="0"/>
        <w:spacing w:line="460" w:lineRule="exact"/>
        <w:ind w:firstLine="420" w:firstLineChars="200"/>
        <w:jc w:val="left"/>
        <w:rPr>
          <w:rFonts w:hint="eastAsia"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5</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应答人须知</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pPr>
      <w:r>
        <w:rPr>
          <w:rFonts w:hint="eastAsia" w:ascii="宋体" w:hAnsi="宋体" w:eastAsia="宋体" w:cs="宋体"/>
          <w:color w:val="000000"/>
          <w:kern w:val="0"/>
          <w:sz w:val="21"/>
          <w:szCs w:val="21"/>
          <w:highlight w:val="none"/>
          <w:lang w:val="en-US" w:eastAsia="zh-CN" w:bidi="ar"/>
        </w:rPr>
        <w:t>采购人有权进行合规审查，经审查发现包括但不限于法律政策变化、政府行为、贸易限制等原因，导致与应答人签署合同将使海油发展在商业上面临重大不确定性，且经海油发展合理评估认为可能对其经营稳定造成实质性影响，或面临显著增加的履行成本或较大损失（包括但不限于财产损失和预期利益的损失），从而可能导致国有资产流失，则采购人有权否决其应答。</w:t>
      </w:r>
    </w:p>
    <w:p>
      <w:pPr>
        <w:widowControl/>
        <w:snapToGrid w:val="0"/>
        <w:spacing w:line="460" w:lineRule="exact"/>
        <w:ind w:firstLine="420" w:firstLineChars="200"/>
        <w:jc w:val="left"/>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1</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）凡参加的</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均视作认同本次</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询比</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的各项约定事宜(包括供应商资格、技术参数、相关日期</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w:t>
      </w:r>
      <w:r>
        <w:rPr>
          <w:rFonts w:hint="eastAsia" w:ascii="宋体" w:hAnsi="宋体" w:eastAsia="宋体" w:cs="宋体"/>
          <w:b w:val="0"/>
          <w:bCs w:val="0"/>
          <w:strike w:val="0"/>
          <w:dstrike w:val="0"/>
          <w:color w:val="000000" w:themeColor="text1"/>
          <w:kern w:val="0"/>
          <w:sz w:val="21"/>
          <w:szCs w:val="21"/>
          <w:highlight w:val="none"/>
          <w:lang w:val="en-US" w:eastAsia="zh-CN"/>
          <w14:textFill>
            <w14:solidFill>
              <w14:schemeClr w14:val="tx1"/>
            </w14:solidFill>
          </w14:textFill>
        </w:rPr>
        <w:t>供应商注册、准入</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等)</w:t>
      </w:r>
      <w:r>
        <w:rPr>
          <w:rFonts w:hint="eastAsia" w:ascii="宋体" w:hAnsi="宋体" w:eastAsia="宋体" w:cs="宋体"/>
          <w:b w:val="0"/>
          <w:bCs w:val="0"/>
          <w:strike w:val="0"/>
          <w:dstrike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 w:val="0"/>
          <w:bCs w:val="0"/>
          <w:strike w:val="0"/>
          <w:dstrike w:val="0"/>
          <w:color w:val="000000" w:themeColor="text1"/>
          <w:kern w:val="0"/>
          <w:sz w:val="21"/>
          <w:szCs w:val="21"/>
          <w:highlight w:val="none"/>
          <w14:textFill>
            <w14:solidFill>
              <w14:schemeClr w14:val="tx1"/>
            </w14:solidFill>
          </w14:textFill>
        </w:rPr>
        <w:t>不得以各类约定事宜提出质疑。</w:t>
      </w:r>
    </w:p>
    <w:p>
      <w:pPr>
        <w:pStyle w:val="3"/>
        <w:spacing w:line="360" w:lineRule="auto"/>
        <w:rPr>
          <w:rFonts w:hint="eastAsia"/>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（2）</w:t>
      </w:r>
      <w:r>
        <w:rPr>
          <w:rFonts w:hint="eastAsia" w:ascii="宋体" w:hAnsi="宋体" w:eastAsia="宋体" w:cs="宋体"/>
          <w:color w:val="000000" w:themeColor="text1"/>
          <w:kern w:val="0"/>
          <w:sz w:val="21"/>
          <w:szCs w:val="21"/>
          <w:highlight w:val="none"/>
          <w:lang w:eastAsia="zh-CN"/>
          <w14:textFill>
            <w14:solidFill>
              <w14:schemeClr w14:val="tx1"/>
            </w14:solidFill>
          </w14:textFill>
        </w:rPr>
        <w:t>应答人在《中国海油供应链数字化平台》填报供应商注册信息，并在注册审核通过后，方可具备参与采购业务的基本资格，未通过注册审核的应答人应答均视为无效。</w:t>
      </w:r>
    </w:p>
    <w:p>
      <w:pPr>
        <w:pStyle w:val="40"/>
        <w:numPr>
          <w:ilvl w:val="-1"/>
          <w:numId w:val="0"/>
        </w:numPr>
        <w:spacing w:line="360" w:lineRule="auto"/>
        <w:ind w:firstLine="420" w:firstLineChars="200"/>
        <w:jc w:val="both"/>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t>（3）应答人（非海油发展供应商资源库供应商）应于收到中标通知书后 2 日内按照纳入海油发展供应商资源库的资料提报要求完成资料准备和上传工作。如应答人超时效未完成上传工作，有可能影响其中标资格，因此造成的损失，由应答人自行承担。</w:t>
      </w:r>
    </w:p>
    <w:p>
      <w:pPr>
        <w:pStyle w:val="3"/>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4）应答人成交后申请供应商资源库准入阶段，采购人有权对供应商进行考察工作，具体考察工作以项目经办人通知为准。如考察结果与应答文件要求不符，采购人有权取消其成交资格，涉及虚假承诺或者响应资料造假的按照《中海油能源发展股份有限公司供应链供应商管理办法》给与禁用处理。</w:t>
      </w:r>
    </w:p>
    <w:p>
      <w:pPr>
        <w:pStyle w:val="3"/>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（5）供应商履约异常处理标准，详见附件4。</w:t>
      </w:r>
    </w:p>
    <w:p>
      <w:pPr>
        <w:pStyle w:val="3"/>
        <w:spacing w:line="360" w:lineRule="auto"/>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6）应答人如发现询比文件及其评审办法中存在含糊不清、相互矛盾、多种含义以及歧视性不公正条款或违法违规内容时，请在报价截止日到期前一天书面形式反映，未对询比文件提出异议或要求澄清的，将视为完全理解并默认询比文件所有条款，并同意放弃对询比文件有不明或误解而询问、质疑、投诉的权利。</w:t>
      </w:r>
    </w:p>
    <w:p>
      <w:pPr>
        <w:pStyle w:val="3"/>
        <w:spacing w:line="360" w:lineRule="auto"/>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pP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（7）</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其他：</w:t>
      </w:r>
    </w:p>
    <w:p>
      <w:pPr>
        <w:pStyle w:val="3"/>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《招标</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投标</w:t>
      </w:r>
      <w:r>
        <w:rPr>
          <w:rFonts w:hint="eastAsia" w:ascii="宋体" w:hAnsi="宋体" w:eastAsia="宋体" w:cs="宋体"/>
          <w:bCs w:val="0"/>
          <w:color w:val="000000" w:themeColor="text1"/>
          <w:kern w:val="0"/>
          <w:sz w:val="21"/>
          <w:szCs w:val="21"/>
          <w:highlight w:val="none"/>
          <w14:textFill>
            <w14:solidFill>
              <w14:schemeClr w14:val="tx1"/>
            </w14:solidFill>
          </w14:textFill>
        </w:rPr>
        <w:t>法实施条例》第四十条　串通</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投标</w:t>
      </w:r>
      <w:r>
        <w:rPr>
          <w:rFonts w:hint="eastAsia" w:ascii="宋体" w:hAnsi="宋体" w:eastAsia="宋体" w:cs="宋体"/>
          <w:bCs w:val="0"/>
          <w:color w:val="000000" w:themeColor="text1"/>
          <w:kern w:val="0"/>
          <w:sz w:val="21"/>
          <w:szCs w:val="21"/>
          <w:highlight w:val="none"/>
          <w14:textFill>
            <w14:solidFill>
              <w14:schemeClr w14:val="tx1"/>
            </w14:solidFill>
          </w14:textFill>
        </w:rPr>
        <w:t>的认定</w:t>
      </w:r>
    </w:p>
    <w:p>
      <w:pPr>
        <w:pStyle w:val="3"/>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,1)</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有下列情形之一的，视为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w:t>
      </w:r>
      <w:r>
        <w:rPr>
          <w:rFonts w:hint="eastAsia" w:ascii="宋体" w:hAnsi="宋体" w:eastAsia="宋体" w:cs="宋体"/>
          <w:bCs w:val="0"/>
          <w:color w:val="000000" w:themeColor="text1"/>
          <w:kern w:val="0"/>
          <w:sz w:val="21"/>
          <w:szCs w:val="21"/>
          <w:highlight w:val="none"/>
          <w14:textFill>
            <w14:solidFill>
              <w14:schemeClr w14:val="tx1"/>
            </w14:solidFill>
          </w14:textFill>
        </w:rPr>
        <w:t>：</w:t>
      </w:r>
    </w:p>
    <w:p>
      <w:pPr>
        <w:pStyle w:val="3"/>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a</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应答文件</w:t>
      </w:r>
      <w:r>
        <w:rPr>
          <w:rFonts w:hint="eastAsia" w:ascii="宋体" w:hAnsi="宋体" w:eastAsia="宋体" w:cs="宋体"/>
          <w:bCs w:val="0"/>
          <w:color w:val="000000" w:themeColor="text1"/>
          <w:kern w:val="0"/>
          <w:sz w:val="21"/>
          <w:szCs w:val="21"/>
          <w:highlight w:val="none"/>
          <w14:textFill>
            <w14:solidFill>
              <w14:schemeClr w14:val="tx1"/>
            </w14:solidFill>
          </w14:textFill>
        </w:rPr>
        <w:t>由同一单位或者个人编制；</w:t>
      </w:r>
    </w:p>
    <w:p>
      <w:pPr>
        <w:pStyle w:val="3"/>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b</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委托同一单位或者个人办理</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w:t>
      </w:r>
      <w:r>
        <w:rPr>
          <w:rFonts w:hint="eastAsia" w:ascii="宋体" w:hAnsi="宋体" w:eastAsia="宋体" w:cs="宋体"/>
          <w:bCs w:val="0"/>
          <w:color w:val="000000" w:themeColor="text1"/>
          <w:kern w:val="0"/>
          <w:sz w:val="21"/>
          <w:szCs w:val="21"/>
          <w:highlight w:val="none"/>
          <w14:textFill>
            <w14:solidFill>
              <w14:schemeClr w14:val="tx1"/>
            </w14:solidFill>
          </w14:textFill>
        </w:rPr>
        <w:t>事宜；</w:t>
      </w:r>
    </w:p>
    <w:p>
      <w:pPr>
        <w:pStyle w:val="3"/>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c</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应答文件</w:t>
      </w:r>
      <w:r>
        <w:rPr>
          <w:rFonts w:hint="eastAsia" w:ascii="宋体" w:hAnsi="宋体" w:eastAsia="宋体" w:cs="宋体"/>
          <w:bCs w:val="0"/>
          <w:color w:val="000000" w:themeColor="text1"/>
          <w:kern w:val="0"/>
          <w:sz w:val="21"/>
          <w:szCs w:val="21"/>
          <w:highlight w:val="none"/>
          <w14:textFill>
            <w14:solidFill>
              <w14:schemeClr w14:val="tx1"/>
            </w14:solidFill>
          </w14:textFill>
        </w:rPr>
        <w:t>载明的项目管理成员为同一人；</w:t>
      </w:r>
    </w:p>
    <w:p>
      <w:pPr>
        <w:pStyle w:val="3"/>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d</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应答文件</w:t>
      </w:r>
      <w:r>
        <w:rPr>
          <w:rFonts w:hint="eastAsia" w:ascii="宋体" w:hAnsi="宋体" w:eastAsia="宋体" w:cs="宋体"/>
          <w:bCs w:val="0"/>
          <w:color w:val="000000" w:themeColor="text1"/>
          <w:kern w:val="0"/>
          <w:sz w:val="21"/>
          <w:szCs w:val="21"/>
          <w:highlight w:val="none"/>
          <w14:textFill>
            <w14:solidFill>
              <w14:schemeClr w14:val="tx1"/>
            </w14:solidFill>
          </w14:textFill>
        </w:rPr>
        <w:t>异常一致或者</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w:t>
      </w:r>
      <w:r>
        <w:rPr>
          <w:rFonts w:hint="eastAsia" w:ascii="宋体" w:hAnsi="宋体" w:eastAsia="宋体" w:cs="宋体"/>
          <w:bCs w:val="0"/>
          <w:color w:val="000000" w:themeColor="text1"/>
          <w:kern w:val="0"/>
          <w:sz w:val="21"/>
          <w:szCs w:val="21"/>
          <w:highlight w:val="none"/>
          <w14:textFill>
            <w14:solidFill>
              <w14:schemeClr w14:val="tx1"/>
            </w14:solidFill>
          </w14:textFill>
        </w:rPr>
        <w:t>报价呈规律性差异；</w:t>
      </w:r>
    </w:p>
    <w:p>
      <w:pPr>
        <w:pStyle w:val="3"/>
        <w:spacing w:line="360" w:lineRule="auto"/>
        <w:rPr>
          <w:rFonts w:hint="eastAsia" w:ascii="宋体" w:hAnsi="宋体" w:eastAsia="宋体" w:cs="宋体"/>
          <w:bCs w:val="0"/>
          <w:color w:val="000000" w:themeColor="text1"/>
          <w:kern w:val="0"/>
          <w:sz w:val="21"/>
          <w:szCs w:val="21"/>
          <w:highlight w:val="none"/>
          <w14:textFill>
            <w14:solidFill>
              <w14:schemeClr w14:val="tx1"/>
            </w14:solidFill>
          </w14:textFill>
        </w:rPr>
      </w:pPr>
      <w:r>
        <w:rPr>
          <w:rFonts w:hint="eastAsia" w:ascii="宋体" w:hAnsi="宋体" w:eastAsia="宋体" w:cs="宋体"/>
          <w:bCs w:val="0"/>
          <w:color w:val="000000" w:themeColor="text1"/>
          <w:kern w:val="0"/>
          <w:sz w:val="21"/>
          <w:szCs w:val="21"/>
          <w:highlight w:val="none"/>
          <w14:textFill>
            <w14:solidFill>
              <w14:schemeClr w14:val="tx1"/>
            </w14:solidFill>
          </w14:textFill>
        </w:rPr>
        <w:t>(</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e</w:t>
      </w:r>
      <w:r>
        <w:rPr>
          <w:rFonts w:hint="eastAsia" w:ascii="宋体" w:hAnsi="宋体" w:eastAsia="宋体" w:cs="宋体"/>
          <w:bCs w:val="0"/>
          <w:color w:val="000000" w:themeColor="text1"/>
          <w:kern w:val="0"/>
          <w:sz w:val="21"/>
          <w:szCs w:val="21"/>
          <w:highlight w:val="none"/>
          <w14:textFill>
            <w14:solidFill>
              <w14:schemeClr w14:val="tx1"/>
            </w14:solidFill>
          </w14:textFill>
        </w:rPr>
        <w:t>)不同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应答文件</w:t>
      </w:r>
      <w:r>
        <w:rPr>
          <w:rFonts w:hint="eastAsia" w:ascii="宋体" w:hAnsi="宋体" w:eastAsia="宋体" w:cs="宋体"/>
          <w:bCs w:val="0"/>
          <w:color w:val="000000" w:themeColor="text1"/>
          <w:kern w:val="0"/>
          <w:sz w:val="21"/>
          <w:szCs w:val="21"/>
          <w:highlight w:val="none"/>
          <w14:textFill>
            <w14:solidFill>
              <w14:schemeClr w14:val="tx1"/>
            </w14:solidFill>
          </w14:textFill>
        </w:rPr>
        <w:t>相互混装；</w:t>
      </w:r>
    </w:p>
    <w:p>
      <w:pPr>
        <w:pStyle w:val="3"/>
        <w:spacing w:line="360" w:lineRule="auto"/>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begin"/>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 EQ \o\ac(</w:instrText>
      </w:r>
      <w:r>
        <w:rPr>
          <w:rFonts w:hint="eastAsia" w:ascii="宋体" w:hAnsi="宋体" w:eastAsia="宋体" w:cs="宋体"/>
          <w:b w:val="0"/>
          <w:bCs w:val="0"/>
          <w:color w:val="000000" w:themeColor="text1"/>
          <w:kern w:val="0"/>
          <w:position w:val="-4"/>
          <w:sz w:val="31"/>
          <w:szCs w:val="21"/>
          <w:highlight w:val="none"/>
          <w:lang w:val="en-US" w:eastAsia="zh-CN"/>
          <w14:textFill>
            <w14:solidFill>
              <w14:schemeClr w14:val="tx1"/>
            </w14:solidFill>
          </w14:textFill>
        </w:rPr>
        <w:instrText xml:space="preserve">○</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instrText xml:space="preserve">,2)</w:instrTex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fldChar w:fldCharType="end"/>
      </w:r>
      <w:r>
        <w:rPr>
          <w:rFonts w:hint="eastAsia" w:ascii="宋体" w:hAnsi="宋体" w:eastAsia="宋体" w:cs="宋体"/>
          <w:bCs w:val="0"/>
          <w:color w:val="000000" w:themeColor="text1"/>
          <w:kern w:val="0"/>
          <w:sz w:val="21"/>
          <w:szCs w:val="21"/>
          <w:highlight w:val="none"/>
          <w14:textFill>
            <w14:solidFill>
              <w14:schemeClr w14:val="tx1"/>
            </w14:solidFill>
          </w14:textFill>
        </w:rPr>
        <w:t>报价文件特征码：若发现不同</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在采办信息系统上“报价文件特征码”环节里“文件制作机器码、文件创建标识码和MAC地址”中的任何一类内容一致时，视为</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相互串通</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w:t>
      </w:r>
      <w:r>
        <w:rPr>
          <w:rFonts w:hint="eastAsia" w:ascii="宋体" w:hAnsi="宋体" w:eastAsia="宋体" w:cs="宋体"/>
          <w:bCs w:val="0"/>
          <w:color w:val="000000" w:themeColor="text1"/>
          <w:kern w:val="0"/>
          <w:sz w:val="21"/>
          <w:szCs w:val="21"/>
          <w:highlight w:val="none"/>
          <w14:textFill>
            <w14:solidFill>
              <w14:schemeClr w14:val="tx1"/>
            </w14:solidFill>
          </w14:textFill>
        </w:rPr>
        <w:t>，否决所有涉及</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应答人</w:t>
      </w:r>
      <w:r>
        <w:rPr>
          <w:rFonts w:hint="eastAsia" w:ascii="宋体" w:hAnsi="宋体" w:eastAsia="宋体" w:cs="宋体"/>
          <w:bCs w:val="0"/>
          <w:color w:val="000000" w:themeColor="text1"/>
          <w:kern w:val="0"/>
          <w:sz w:val="21"/>
          <w:szCs w:val="21"/>
          <w:highlight w:val="none"/>
          <w14:textFill>
            <w14:solidFill>
              <w14:schemeClr w14:val="tx1"/>
            </w14:solidFill>
          </w14:textFill>
        </w:rPr>
        <w:t>的</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应答，</w:t>
      </w:r>
      <w:r>
        <w:rPr>
          <w:rFonts w:hint="eastAsia" w:ascii="宋体" w:hAnsi="宋体" w:eastAsia="宋体" w:cs="宋体"/>
          <w:bCs w:val="0"/>
          <w:color w:val="000000" w:themeColor="text1"/>
          <w:kern w:val="0"/>
          <w:sz w:val="21"/>
          <w:szCs w:val="21"/>
          <w:highlight w:val="none"/>
          <w:lang w:val="en-US" w:eastAsia="zh-CN"/>
          <w14:textFill>
            <w14:solidFill>
              <w14:schemeClr w14:val="tx1"/>
            </w14:solidFill>
          </w14:textFill>
        </w:rPr>
        <w:t>并</w:t>
      </w:r>
      <w:r>
        <w:rPr>
          <w:rFonts w:hint="eastAsia" w:ascii="宋体" w:hAnsi="宋体" w:eastAsia="宋体" w:cs="宋体"/>
          <w:color w:val="000000" w:themeColor="text1"/>
          <w:kern w:val="0"/>
          <w:sz w:val="21"/>
          <w:szCs w:val="21"/>
          <w:highlight w:val="none"/>
          <w:lang w:val="en-US" w:eastAsia="zh-CN" w:bidi="ar-SA"/>
          <w14:textFill>
            <w14:solidFill>
              <w14:schemeClr w14:val="tx1"/>
            </w14:solidFill>
          </w14:textFill>
        </w:rPr>
        <w:t>按照《中海油能源发展股份有限公司供应链供应商管理办法》给与禁用处理</w:t>
      </w:r>
      <w:r>
        <w:rPr>
          <w:rFonts w:hint="eastAsia" w:ascii="宋体" w:hAnsi="宋体" w:eastAsia="宋体" w:cs="宋体"/>
          <w:bCs w:val="0"/>
          <w:color w:val="000000" w:themeColor="text1"/>
          <w:kern w:val="0"/>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bCs w:val="0"/>
          <w:color w:val="auto"/>
          <w:kern w:val="0"/>
          <w:sz w:val="21"/>
          <w:szCs w:val="21"/>
          <w:highlight w:val="none"/>
          <w:lang w:val="en-US" w:eastAsia="zh-CN" w:bidi="ar-SA"/>
        </w:rPr>
      </w:pPr>
      <w:r>
        <w:rPr>
          <w:rFonts w:hint="eastAsia" w:ascii="宋体" w:hAnsi="宋体" w:eastAsia="宋体" w:cs="宋体"/>
          <w:bCs w:val="0"/>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lang w:val="en-US" w:eastAsia="zh-CN" w:bidi="ar-SA"/>
        </w:rPr>
        <w:t xml:space="preserve"> （8）应答人提供代理证书的，采购人有权向制造商就代理证书的真实性进行核实，采购人存在无法验证应答人代理证书真实性的情况，将</w:t>
      </w:r>
      <w:r>
        <w:rPr>
          <w:rFonts w:hint="eastAsia"/>
          <w:strike w:val="0"/>
          <w:lang w:val="en-US" w:eastAsia="zh-CN"/>
        </w:rPr>
        <w:t>否决应答</w:t>
      </w:r>
      <w:r>
        <w:rPr>
          <w:rFonts w:hint="eastAsia" w:ascii="宋体" w:hAnsi="宋体" w:eastAsia="宋体" w:cs="宋体"/>
          <w:color w:val="auto"/>
          <w:kern w:val="0"/>
          <w:sz w:val="21"/>
          <w:szCs w:val="21"/>
          <w:highlight w:val="none"/>
          <w:lang w:val="en-US" w:eastAsia="zh-CN" w:bidi="ar-SA"/>
        </w:rPr>
        <w:t>;如需制造商确认，评审人员规定时间内制造商未予确认，视为无效代理，否决应答。</w:t>
      </w:r>
    </w:p>
    <w:p>
      <w:pPr>
        <w:widowControl/>
        <w:snapToGrid w:val="0"/>
        <w:spacing w:line="460" w:lineRule="exact"/>
        <w:ind w:firstLine="210" w:firstLineChars="100"/>
        <w:jc w:val="left"/>
        <w:rPr>
          <w:color w:val="000000" w:themeColor="text1"/>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6.联系方式：</w:t>
      </w:r>
    </w:p>
    <w:p>
      <w:pPr>
        <w:pStyle w:val="9"/>
        <w:ind w:left="415" w:leftChars="135" w:right="10" w:hanging="132" w:hangingChars="63"/>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采购人</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商务代表联系人与联系方式如下：</w:t>
      </w:r>
    </w:p>
    <w:p>
      <w:pPr>
        <w:pStyle w:val="9"/>
        <w:ind w:left="415" w:leftChars="135" w:right="10" w:hanging="132" w:hangingChars="63"/>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联系单位：</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海油发展</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采办共享中心/</w:t>
      </w: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中海油能源发展装备技术有限公司</w:t>
      </w:r>
    </w:p>
    <w:p>
      <w:pPr>
        <w:pStyle w:val="9"/>
        <w:ind w:left="415" w:leftChars="135" w:right="10" w:hanging="132" w:hangingChars="63"/>
        <w:rPr>
          <w:rFonts w:hint="default"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联系人：刘娜</w:t>
      </w:r>
    </w:p>
    <w:p>
      <w:pPr>
        <w:pStyle w:val="9"/>
        <w:ind w:left="415" w:leftChars="135" w:right="10" w:hanging="132" w:hangingChars="63"/>
        <w:rPr>
          <w:rFonts w:hint="default"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联系电话：022-66919032</w:t>
      </w:r>
    </w:p>
    <w:p>
      <w:pPr>
        <w:pStyle w:val="9"/>
        <w:ind w:left="415" w:leftChars="135" w:right="10" w:hanging="132" w:hangingChars="63"/>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pPr>
      <w:r>
        <w:rPr>
          <w:rFonts w:hint="eastAsia" w:cs="宋体"/>
          <w:b w:val="0"/>
          <w:bCs w:val="0"/>
          <w:strike w:val="0"/>
          <w:dstrike w:val="0"/>
          <w:color w:val="000000" w:themeColor="text1"/>
          <w:kern w:val="0"/>
          <w:sz w:val="21"/>
          <w:szCs w:val="21"/>
          <w:highlight w:val="none"/>
          <w:lang w:val="en-US" w:eastAsia="zh-CN" w:bidi="ar-SA"/>
          <w14:textFill>
            <w14:solidFill>
              <w14:schemeClr w14:val="tx1"/>
            </w14:solidFill>
          </w14:textFill>
        </w:rPr>
        <w:t>邮  箱：</w:t>
      </w: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liuna@cnooc.com.cn</w:t>
      </w:r>
    </w:p>
    <w:p>
      <w:pPr>
        <w:rPr>
          <w:rFonts w:hint="eastAsia"/>
          <w:lang w:val="en-US" w:eastAsia="zh-CN"/>
        </w:rPr>
      </w:pPr>
    </w:p>
    <w:p>
      <w:pPr>
        <w:widowControl/>
        <w:snapToGrid w:val="0"/>
        <w:spacing w:line="240" w:lineRule="auto"/>
        <w:ind w:firstLine="210" w:firstLineChars="100"/>
        <w:jc w:val="left"/>
        <w:rPr>
          <w:rFonts w:ascii="宋体" w:hAnsi="宋体" w:eastAsia="宋体" w:cs="宋体"/>
          <w:b w:val="0"/>
          <w:bCs w:val="0"/>
          <w:color w:val="000000" w:themeColor="text1"/>
          <w:kern w:val="0"/>
          <w:sz w:val="21"/>
          <w:szCs w:val="21"/>
          <w:highlight w:val="none"/>
          <w14:textFill>
            <w14:solidFill>
              <w14:schemeClr w14:val="tx1"/>
            </w14:solidFill>
          </w14:textFill>
        </w:rPr>
      </w:pP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7</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r>
        <w:rPr>
          <w:rFonts w:hint="eastAsia" w:ascii="宋体" w:hAnsi="宋体" w:eastAsia="宋体" w:cs="宋体"/>
          <w:b w:val="0"/>
          <w:bCs w:val="0"/>
          <w:color w:val="000000" w:themeColor="text1"/>
          <w:kern w:val="0"/>
          <w:sz w:val="21"/>
          <w:szCs w:val="21"/>
          <w:highlight w:val="none"/>
          <w:lang w:val="en-US" w:eastAsia="zh-CN"/>
          <w14:textFill>
            <w14:solidFill>
              <w14:schemeClr w14:val="tx1"/>
            </w14:solidFill>
          </w14:textFill>
        </w:rPr>
        <w:t>附件</w:t>
      </w:r>
      <w:r>
        <w:rPr>
          <w:rFonts w:hint="eastAsia" w:ascii="宋体" w:hAnsi="宋体" w:eastAsia="宋体" w:cs="宋体"/>
          <w:b w:val="0"/>
          <w:bCs w:val="0"/>
          <w:color w:val="000000" w:themeColor="text1"/>
          <w:kern w:val="0"/>
          <w:sz w:val="21"/>
          <w:szCs w:val="21"/>
          <w:highlight w:val="none"/>
          <w14:textFill>
            <w14:solidFill>
              <w14:schemeClr w14:val="tx1"/>
            </w14:solidFill>
          </w14:textFill>
        </w:rPr>
        <w:t>：</w:t>
      </w:r>
    </w:p>
    <w:p>
      <w:pPr>
        <w:pStyle w:val="3"/>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附件1：询比评议内容</w:t>
      </w:r>
    </w:p>
    <w:p>
      <w:pPr>
        <w:pStyle w:val="3"/>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附件2：采购内容及技术要求</w:t>
      </w:r>
    </w:p>
    <w:p>
      <w:pPr>
        <w:pStyle w:val="3"/>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附件3：合同文本</w:t>
      </w:r>
    </w:p>
    <w:p>
      <w:pPr>
        <w:pStyle w:val="3"/>
        <w:keepNext w:val="0"/>
        <w:keepLines w:val="0"/>
        <w:pageBreakBefore w:val="0"/>
        <w:kinsoku/>
        <w:wordWrap/>
        <w:overflowPunct/>
        <w:topLinePunct w:val="0"/>
        <w:autoSpaceDE/>
        <w:autoSpaceDN/>
        <w:bidi w:val="0"/>
        <w:adjustRightInd/>
        <w:spacing w:line="240" w:lineRule="auto"/>
        <w:ind w:firstLine="210" w:firstLineChars="100"/>
        <w:textAlignment w:val="auto"/>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附件</w:t>
      </w:r>
      <w:r>
        <w:rPr>
          <w:rFonts w:hint="eastAsia" w:ascii="宋体" w:hAnsi="宋体" w:eastAsia="宋体" w:cs="宋体"/>
          <w:b w:val="0"/>
          <w:bCs w:val="0"/>
          <w:strike w:val="0"/>
          <w:dstrike w:val="0"/>
          <w:color w:val="000000" w:themeColor="text1"/>
          <w:kern w:val="0"/>
          <w:sz w:val="21"/>
          <w:szCs w:val="21"/>
          <w:highlight w:val="none"/>
          <w:u w:val="none"/>
          <w:lang w:val="en-US" w:eastAsia="zh-CN"/>
          <w14:textFill>
            <w14:solidFill>
              <w14:schemeClr w14:val="tx1"/>
            </w14:solidFill>
          </w14:textFill>
        </w:rPr>
        <w:t>4</w:t>
      </w:r>
      <w:r>
        <w:rPr>
          <w:rFonts w:hint="eastAsia" w:ascii="宋体" w:hAnsi="宋体" w:eastAsia="宋体" w:cs="宋体"/>
          <w:b w:val="0"/>
          <w:bCs w:val="0"/>
          <w:strike w:val="0"/>
          <w:dstrike w:val="0"/>
          <w:color w:val="000000" w:themeColor="text1"/>
          <w:kern w:val="0"/>
          <w:sz w:val="21"/>
          <w:szCs w:val="21"/>
          <w:highlight w:val="none"/>
          <w:u w:val="none"/>
          <w14:textFill>
            <w14:solidFill>
              <w14:schemeClr w14:val="tx1"/>
            </w14:solidFill>
          </w14:textFill>
        </w:rPr>
        <w:t>：供应商履约异常处罚方式</w:t>
      </w:r>
    </w:p>
    <w:p>
      <w:pPr>
        <w:pStyle w:val="3"/>
        <w:spacing w:line="240" w:lineRule="auto"/>
        <w:ind w:left="0" w:leftChars="0" w:firstLine="210" w:firstLineChars="100"/>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附件5：商务文件</w:t>
      </w:r>
    </w:p>
    <w:p>
      <w:pPr>
        <w:pStyle w:val="3"/>
        <w:spacing w:line="240" w:lineRule="auto"/>
        <w:ind w:left="0" w:leftChars="0"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附件6: 技术文件</w:t>
      </w:r>
    </w:p>
    <w:p>
      <w:pPr>
        <w:spacing w:line="240" w:lineRule="auto"/>
        <w:ind w:firstLine="210" w:firstLineChars="100"/>
        <w:rPr>
          <w:rFonts w:hint="default"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t>附件7: 报价文件</w:t>
      </w:r>
    </w:p>
    <w:p>
      <w:pP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pPr>
      <w:r>
        <w:rPr>
          <w:rFonts w:hint="eastAsia" w:ascii="宋体" w:hAnsi="宋体" w:eastAsia="宋体" w:cs="宋体"/>
          <w:b w:val="0"/>
          <w:bCs w:val="0"/>
          <w:strike w:val="0"/>
          <w:dstrike w:val="0"/>
          <w:color w:val="000000" w:themeColor="text1"/>
          <w:kern w:val="0"/>
          <w:sz w:val="21"/>
          <w:szCs w:val="21"/>
          <w:highlight w:val="none"/>
          <w:lang w:val="en-US" w:eastAsia="zh-CN" w:bidi="ar-SA"/>
          <w14:textFill>
            <w14:solidFill>
              <w14:schemeClr w14:val="tx1"/>
            </w14:solidFill>
          </w14:textFill>
        </w:rPr>
        <w:br w:type="page"/>
      </w:r>
    </w:p>
    <w:p>
      <w:pPr>
        <w:shd w:val="clear" w:color="000000" w:fill="auto"/>
        <w:adjustRightInd w:val="0"/>
        <w:snapToGrid w:val="0"/>
        <w:spacing w:line="360" w:lineRule="auto"/>
        <w:outlineLvl w:val="2"/>
        <w:rPr>
          <w:rFonts w:hint="eastAsia" w:ascii="黑体" w:hAnsi="黑体" w:eastAsia="黑体"/>
          <w:sz w:val="28"/>
          <w:szCs w:val="21"/>
          <w:lang w:eastAsia="zh-CN"/>
        </w:rPr>
      </w:pPr>
      <w:bookmarkStart w:id="0" w:name="_Toc256000003"/>
      <w:r>
        <w:rPr>
          <w:rFonts w:hint="eastAsia" w:ascii="黑体" w:hAnsi="黑体" w:eastAsia="黑体"/>
          <w:sz w:val="28"/>
          <w:szCs w:val="21"/>
          <w:lang w:eastAsia="zh-CN"/>
        </w:rPr>
        <w:t>投标须知前附件</w:t>
      </w:r>
      <w:bookmarkEnd w:id="0"/>
    </w:p>
    <w:p>
      <w:pPr>
        <w:numPr>
          <w:ilvl w:val="0"/>
          <w:numId w:val="2"/>
        </w:numPr>
        <w:spacing w:line="360" w:lineRule="auto"/>
        <w:outlineLvl w:val="0"/>
        <w:rPr>
          <w:rFonts w:hint="eastAsia"/>
          <w:kern w:val="2"/>
          <w:sz w:val="21"/>
          <w:szCs w:val="24"/>
          <w:lang w:eastAsia="zh-CN"/>
        </w:rPr>
      </w:pPr>
      <w:r>
        <w:rPr>
          <w:rFonts w:hint="eastAsia"/>
          <w:kern w:val="2"/>
          <w:sz w:val="21"/>
          <w:szCs w:val="24"/>
          <w:lang w:eastAsia="zh-CN"/>
        </w:rPr>
        <w:t>本询比文件关于期间的计算按照《民法典》第十章的规定执行，本招标文件所称的“以上”、“以下”、“以内”、“届满”，包括本数；所称的“不满”、“超过”、“以外”，不包括本数。</w:t>
      </w:r>
    </w:p>
    <w:p>
      <w:pPr>
        <w:pStyle w:val="2"/>
        <w:numPr>
          <w:ilvl w:val="0"/>
          <w:numId w:val="2"/>
        </w:numPr>
        <w:spacing w:line="360" w:lineRule="auto"/>
        <w:rPr>
          <w:rFonts w:hint="eastAsia"/>
        </w:rPr>
      </w:pPr>
      <w:r>
        <w:rPr>
          <w:rFonts w:ascii="宋体" w:hAnsi="宋体" w:eastAsia="宋体" w:cs="微软雅黑"/>
          <w:kern w:val="2"/>
          <w:sz w:val="21"/>
          <w:szCs w:val="21"/>
          <w:u w:val="none"/>
          <w:lang w:eastAsia="zh-CN"/>
        </w:rPr>
        <w:t>★</w:t>
      </w:r>
      <w:r>
        <w:rPr>
          <w:rFonts w:hint="eastAsia" w:ascii="宋体" w:hAnsi="宋体" w:eastAsia="宋体" w:cs="微软雅黑"/>
          <w:kern w:val="2"/>
          <w:sz w:val="21"/>
          <w:szCs w:val="21"/>
          <w:u w:val="none"/>
          <w:lang w:eastAsia="zh-CN"/>
        </w:rPr>
        <w:t>询比</w:t>
      </w:r>
      <w:r>
        <w:rPr>
          <w:rFonts w:ascii="宋体" w:hAnsi="宋体" w:eastAsia="宋体" w:cs="微软雅黑"/>
          <w:kern w:val="2"/>
          <w:sz w:val="21"/>
          <w:szCs w:val="21"/>
          <w:u w:val="none"/>
          <w:lang w:eastAsia="zh-CN"/>
        </w:rPr>
        <w:t>文件（包括所有附件）中所有标注“★”的均为关键性条款，任何对关键性条款的偏离都将导致投标被拒绝。</w:t>
      </w:r>
      <w:r>
        <w:rPr>
          <w:rFonts w:hint="eastAsia" w:ascii="宋体" w:hAnsi="宋体" w:eastAsia="宋体" w:cs="微软雅黑"/>
          <w:kern w:val="2"/>
          <w:sz w:val="21"/>
          <w:szCs w:val="21"/>
          <w:u w:val="none"/>
          <w:lang w:eastAsia="zh-CN"/>
        </w:rPr>
        <w:t>如实质性条款响应内容缺漏，视为不响应，评审为不合格。对于实质性条款，商务、技术偏离表明确无偏离，但应答文件存在偏离，以应答文件中偏离内容为准，不予澄清。</w:t>
      </w:r>
    </w:p>
    <w:p>
      <w:pPr>
        <w:pStyle w:val="2"/>
        <w:numPr>
          <w:ilvl w:val="0"/>
          <w:numId w:val="2"/>
        </w:numPr>
        <w:spacing w:line="360" w:lineRule="auto"/>
        <w:rPr>
          <w:rFonts w:hint="eastAsia"/>
          <w:sz w:val="21"/>
          <w:szCs w:val="24"/>
        </w:rPr>
      </w:pPr>
      <w:r>
        <w:rPr>
          <w:rFonts w:hint="eastAsia"/>
          <w:sz w:val="21"/>
          <w:szCs w:val="24"/>
        </w:rPr>
        <w:t>对于一般条款，商务、技术偏离表明确无偏离，但应答文件存在偏离，以应答文件中偏离内容为准，不予澄清；商务、技术偏离表明确无偏离，应答文件中未包含相应内容，按</w:t>
      </w:r>
      <w:r>
        <w:rPr>
          <w:rFonts w:hint="eastAsia"/>
          <w:sz w:val="21"/>
          <w:szCs w:val="24"/>
          <w:lang w:eastAsia="zh-CN"/>
        </w:rPr>
        <w:t>询比</w:t>
      </w:r>
      <w:r>
        <w:rPr>
          <w:rFonts w:hint="eastAsia"/>
          <w:sz w:val="21"/>
          <w:szCs w:val="24"/>
        </w:rPr>
        <w:t>文件要求应提交证明材料或详细方案的，视为不响应</w:t>
      </w:r>
      <w:r>
        <w:rPr>
          <w:rFonts w:hint="eastAsia"/>
          <w:sz w:val="21"/>
          <w:szCs w:val="24"/>
          <w:lang w:eastAsia="zh-CN"/>
        </w:rPr>
        <w:t>询比</w:t>
      </w:r>
      <w:r>
        <w:rPr>
          <w:rFonts w:hint="eastAsia"/>
          <w:sz w:val="21"/>
          <w:szCs w:val="24"/>
        </w:rPr>
        <w:t>文件，不予澄清；</w:t>
      </w:r>
      <w:r>
        <w:rPr>
          <w:rFonts w:hint="eastAsia"/>
          <w:sz w:val="21"/>
          <w:szCs w:val="24"/>
          <w:lang w:eastAsia="zh-CN"/>
        </w:rPr>
        <w:t>询比</w:t>
      </w:r>
      <w:r>
        <w:rPr>
          <w:rFonts w:hint="eastAsia"/>
          <w:sz w:val="21"/>
          <w:szCs w:val="24"/>
        </w:rPr>
        <w:t>文件未要求提交证明材料或详细方案的，视为响应</w:t>
      </w:r>
      <w:r>
        <w:rPr>
          <w:rFonts w:hint="eastAsia"/>
          <w:sz w:val="21"/>
          <w:szCs w:val="24"/>
          <w:lang w:eastAsia="zh-CN"/>
        </w:rPr>
        <w:t>询比</w:t>
      </w:r>
      <w:r>
        <w:rPr>
          <w:rFonts w:hint="eastAsia"/>
          <w:sz w:val="21"/>
          <w:szCs w:val="24"/>
        </w:rPr>
        <w:t>文件。商务、技术偏离表中没有写明偏离，但是又没有响应的，视为不响应，不予澄清。</w:t>
      </w:r>
    </w:p>
    <w:p>
      <w:pPr>
        <w:numPr>
          <w:ilvl w:val="0"/>
          <w:numId w:val="2"/>
        </w:numPr>
        <w:ind w:left="0" w:leftChars="0" w:firstLine="0" w:firstLineChars="0"/>
        <w:outlineLvl w:val="0"/>
        <w:rPr>
          <w:rFonts w:hint="default"/>
          <w:highlight w:val="yellow"/>
          <w:lang w:val="en-US"/>
        </w:rPr>
      </w:pPr>
      <w:r>
        <w:rPr>
          <w:rFonts w:hint="eastAsia"/>
          <w:b w:val="0"/>
          <w:bCs w:val="0"/>
          <w:sz w:val="21"/>
          <w:szCs w:val="24"/>
          <w:highlight w:val="yellow"/>
          <w:lang w:val="en-US" w:eastAsia="zh-CN"/>
        </w:rPr>
        <w:t>本询比文件中如出现前后条款不一致，以附件1：询比评议内容中的“1、形式评审”和“2、详细评审”中的要求为准。</w:t>
      </w: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黑体" w:hAnsi="黑体" w:eastAsia="黑体"/>
          <w:b/>
          <w:bCs/>
          <w:color w:val="auto"/>
          <w:sz w:val="24"/>
          <w:szCs w:val="24"/>
          <w:highlight w:val="none"/>
        </w:rPr>
      </w:pPr>
    </w:p>
    <w:p>
      <w:pPr>
        <w:outlineLvl w:val="0"/>
        <w:rPr>
          <w:rFonts w:hint="eastAsia" w:asciiTheme="minorEastAsia" w:hAnsiTheme="minorEastAsia" w:cstheme="minorEastAsia"/>
          <w:b/>
          <w:bCs/>
          <w:color w:val="auto"/>
          <w:sz w:val="24"/>
          <w:szCs w:val="24"/>
          <w:highlight w:val="none"/>
          <w:lang w:val="en-US" w:eastAsia="zh-CN"/>
        </w:rPr>
      </w:pPr>
      <w:r>
        <w:rPr>
          <w:rFonts w:hint="eastAsia" w:ascii="黑体" w:hAnsi="黑体" w:eastAsia="黑体"/>
          <w:b/>
          <w:bCs/>
          <w:color w:val="auto"/>
          <w:sz w:val="24"/>
          <w:szCs w:val="24"/>
          <w:highlight w:val="none"/>
        </w:rPr>
        <w:t>附件1</w:t>
      </w:r>
      <w:r>
        <w:rPr>
          <w:rFonts w:hint="eastAsia" w:ascii="黑体" w:hAnsi="黑体" w:eastAsia="黑体"/>
          <w:b/>
          <w:bCs/>
          <w:color w:val="auto"/>
          <w:sz w:val="24"/>
          <w:szCs w:val="24"/>
          <w:highlight w:val="none"/>
          <w:lang w:eastAsia="zh-CN"/>
        </w:rPr>
        <w:t>：</w:t>
      </w:r>
      <w:r>
        <w:rPr>
          <w:rFonts w:hint="eastAsia" w:asciiTheme="minorEastAsia" w:hAnsiTheme="minorEastAsia" w:cstheme="minorEastAsia"/>
          <w:b/>
          <w:bCs/>
          <w:color w:val="auto"/>
          <w:sz w:val="24"/>
          <w:szCs w:val="24"/>
          <w:highlight w:val="none"/>
          <w:lang w:eastAsia="zh-CN"/>
        </w:rPr>
        <w:t>询比</w:t>
      </w:r>
      <w:r>
        <w:rPr>
          <w:rFonts w:hint="eastAsia" w:asciiTheme="minorEastAsia" w:hAnsiTheme="minorEastAsia" w:cstheme="minorEastAsia"/>
          <w:b/>
          <w:bCs/>
          <w:color w:val="auto"/>
          <w:sz w:val="24"/>
          <w:szCs w:val="24"/>
          <w:highlight w:val="none"/>
          <w:lang w:val="en-US" w:eastAsia="zh-CN"/>
        </w:rPr>
        <w:t>评议内容</w:t>
      </w:r>
    </w:p>
    <w:p>
      <w:pPr>
        <w:outlineLvl w:val="0"/>
        <w:rPr>
          <w:rFonts w:ascii="黑体" w:hAnsi="黑体" w:eastAsia="黑体"/>
          <w:color w:val="auto"/>
          <w:sz w:val="24"/>
          <w:szCs w:val="24"/>
          <w:highlight w:val="none"/>
        </w:rPr>
      </w:pPr>
      <w:r>
        <w:rPr>
          <w:rFonts w:hint="eastAsia" w:ascii="黑体" w:hAnsi="黑体" w:eastAsia="黑体"/>
          <w:b/>
          <w:bCs/>
          <w:color w:val="auto"/>
          <w:sz w:val="24"/>
          <w:szCs w:val="24"/>
          <w:highlight w:val="none"/>
        </w:rPr>
        <w:t xml:space="preserve"> </w:t>
      </w:r>
      <w:r>
        <w:rPr>
          <w:rFonts w:ascii="黑体" w:hAnsi="黑体" w:eastAsia="黑体"/>
          <w:b/>
          <w:bCs/>
          <w:color w:val="auto"/>
          <w:sz w:val="24"/>
          <w:szCs w:val="24"/>
          <w:highlight w:val="none"/>
        </w:rPr>
        <w:t xml:space="preserve"> </w:t>
      </w:r>
      <w:r>
        <w:rPr>
          <w:rFonts w:ascii="黑体" w:hAnsi="黑体" w:eastAsia="黑体"/>
          <w:color w:val="auto"/>
          <w:sz w:val="24"/>
          <w:szCs w:val="24"/>
          <w:highlight w:val="none"/>
        </w:rPr>
        <w:t xml:space="preserve">                    </w:t>
      </w:r>
    </w:p>
    <w:p>
      <w:pPr>
        <w:ind w:firstLine="281" w:firstLineChars="100"/>
        <w:jc w:val="center"/>
        <w:rPr>
          <w:rFonts w:hint="eastAsia"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评审办法</w:t>
      </w:r>
    </w:p>
    <w:p>
      <w:pPr>
        <w:pStyle w:val="4"/>
        <w:numPr>
          <w:ilvl w:val="0"/>
          <w:numId w:val="0"/>
        </w:numPr>
        <w:ind w:leftChars="0"/>
        <w:rPr>
          <w:rFonts w:hint="eastAsia" w:ascii="仿宋" w:hAnsi="仿宋" w:eastAsia="仿宋" w:cs="Calibri"/>
          <w:b/>
          <w:bCs/>
          <w:color w:val="auto"/>
          <w:sz w:val="28"/>
          <w:szCs w:val="28"/>
          <w:highlight w:val="none"/>
          <w:lang w:val="en-US" w:eastAsia="zh-CN"/>
        </w:rPr>
      </w:pPr>
      <w:r>
        <w:rPr>
          <w:rFonts w:hint="eastAsia" w:ascii="仿宋" w:hAnsi="仿宋" w:eastAsia="仿宋" w:cs="Calibri"/>
          <w:b/>
          <w:bCs/>
          <w:color w:val="auto"/>
          <w:sz w:val="28"/>
          <w:szCs w:val="28"/>
          <w:highlight w:val="none"/>
          <w:lang w:val="en-US" w:eastAsia="zh-CN"/>
        </w:rPr>
        <w:t>评审办法前附表</w:t>
      </w:r>
    </w:p>
    <w:p>
      <w:pPr>
        <w:pStyle w:val="2"/>
        <w:numPr>
          <w:ilvl w:val="0"/>
          <w:numId w:val="0"/>
        </w:numPr>
        <w:rPr>
          <w:rFonts w:hint="eastAsia" w:ascii="宋体" w:hAnsi="宋体" w:eastAsia="宋体"/>
          <w:kern w:val="2"/>
          <w:sz w:val="21"/>
          <w:szCs w:val="21"/>
          <w:lang w:val="en-US" w:eastAsia="zh-CN"/>
        </w:rPr>
      </w:pPr>
      <w:r>
        <w:rPr>
          <w:rFonts w:hint="eastAsia" w:ascii="宋体" w:hAnsi="宋体" w:eastAsia="宋体"/>
          <w:kern w:val="2"/>
          <w:sz w:val="21"/>
          <w:szCs w:val="21"/>
          <w:lang w:val="en-US" w:eastAsia="zh-CN"/>
        </w:rPr>
        <w:t>1、形式评审</w:t>
      </w:r>
    </w:p>
    <w:p>
      <w:pPr>
        <w:pStyle w:val="2"/>
        <w:rPr>
          <w:rFonts w:hint="eastAsia" w:ascii="宋体" w:hAnsi="宋体" w:eastAsia="宋体"/>
          <w:kern w:val="2"/>
          <w:sz w:val="21"/>
          <w:szCs w:val="21"/>
          <w:lang w:eastAsia="zh-CN"/>
        </w:rPr>
      </w:pPr>
    </w:p>
    <w:tbl>
      <w:tblPr>
        <w:tblStyle w:val="55"/>
        <w:tblW w:w="89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4"/>
        <w:gridCol w:w="1785"/>
        <w:gridCol w:w="6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94" w:type="dxa"/>
            <w:shd w:val="clear" w:color="auto" w:fill="auto"/>
            <w:vAlign w:val="center"/>
          </w:tcPr>
          <w:p>
            <w:pPr>
              <w:adjustRightInd w:val="0"/>
              <w:snapToGrid w:val="0"/>
              <w:jc w:val="center"/>
              <w:rPr>
                <w:rFonts w:hint="eastAsia" w:ascii="仿宋" w:hAnsi="仿宋" w:eastAsia="仿宋" w:cs="仿宋"/>
                <w:b/>
                <w:bCs w:val="0"/>
                <w:color w:val="auto"/>
                <w:kern w:val="0"/>
                <w:sz w:val="21"/>
                <w:szCs w:val="21"/>
                <w:highlight w:val="none"/>
                <w:lang w:val="en-US" w:eastAsia="zh-CN" w:bidi="ar-SA"/>
              </w:rPr>
            </w:pPr>
            <w:bookmarkStart w:id="1" w:name="psFlowItem_20230326215101601_0"/>
            <w:r>
              <w:rPr>
                <w:rFonts w:hint="eastAsia" w:ascii="仿宋" w:hAnsi="仿宋" w:eastAsia="仿宋" w:cs="仿宋"/>
                <w:b/>
                <w:bCs w:val="0"/>
                <w:color w:val="auto"/>
                <w:kern w:val="0"/>
                <w:sz w:val="21"/>
                <w:szCs w:val="21"/>
                <w:highlight w:val="none"/>
                <w:lang w:val="en-US" w:eastAsia="zh-CN" w:bidi="ar-SA"/>
              </w:rPr>
              <w:t>序号</w:t>
            </w:r>
          </w:p>
        </w:tc>
        <w:tc>
          <w:tcPr>
            <w:tcW w:w="1785" w:type="dxa"/>
            <w:shd w:val="clear" w:color="auto" w:fill="auto"/>
            <w:vAlign w:val="center"/>
          </w:tcPr>
          <w:p>
            <w:pPr>
              <w:adjustRightInd w:val="0"/>
              <w:snapToGrid w:val="0"/>
              <w:jc w:val="center"/>
              <w:rPr>
                <w:rFonts w:hint="eastAsia" w:ascii="仿宋" w:hAnsi="仿宋" w:eastAsia="仿宋" w:cs="仿宋"/>
                <w:b/>
                <w:bCs w:val="0"/>
                <w:color w:val="auto"/>
                <w:kern w:val="0"/>
                <w:sz w:val="21"/>
                <w:szCs w:val="21"/>
                <w:highlight w:val="none"/>
                <w:lang w:val="en-US" w:eastAsia="zh-CN" w:bidi="ar-SA"/>
              </w:rPr>
            </w:pPr>
            <w:r>
              <w:rPr>
                <w:rFonts w:hint="eastAsia" w:ascii="仿宋" w:hAnsi="仿宋" w:eastAsia="仿宋" w:cs="仿宋"/>
                <w:b/>
                <w:bCs w:val="0"/>
                <w:color w:val="auto"/>
                <w:kern w:val="0"/>
                <w:sz w:val="21"/>
                <w:szCs w:val="21"/>
                <w:highlight w:val="none"/>
                <w:lang w:val="en-US" w:eastAsia="zh-CN" w:bidi="ar-SA"/>
              </w:rPr>
              <w:t>评审因素</w:t>
            </w:r>
          </w:p>
        </w:tc>
        <w:tc>
          <w:tcPr>
            <w:tcW w:w="6427" w:type="dxa"/>
            <w:shd w:val="clear" w:color="auto" w:fill="auto"/>
            <w:vAlign w:val="center"/>
          </w:tcPr>
          <w:p>
            <w:pPr>
              <w:tabs>
                <w:tab w:val="left" w:pos="142"/>
              </w:tabs>
              <w:adjustRightInd w:val="0"/>
              <w:snapToGrid w:val="0"/>
              <w:jc w:val="center"/>
              <w:rPr>
                <w:rFonts w:hint="eastAsia" w:ascii="仿宋" w:hAnsi="仿宋" w:eastAsia="仿宋" w:cs="仿宋"/>
                <w:b/>
                <w:bCs w:val="0"/>
                <w:color w:val="auto"/>
                <w:kern w:val="0"/>
                <w:sz w:val="21"/>
                <w:szCs w:val="21"/>
                <w:highlight w:val="none"/>
                <w:lang w:val="en-US" w:eastAsia="zh-CN" w:bidi="ar-SA"/>
              </w:rPr>
            </w:pPr>
            <w:r>
              <w:rPr>
                <w:rFonts w:hint="eastAsia" w:ascii="仿宋" w:hAnsi="仿宋" w:eastAsia="仿宋" w:cs="仿宋"/>
                <w:b/>
                <w:bCs w:val="0"/>
                <w:color w:val="auto"/>
                <w:kern w:val="0"/>
                <w:sz w:val="21"/>
                <w:szCs w:val="21"/>
                <w:highlight w:val="none"/>
                <w:lang w:val="en-US" w:eastAsia="zh-CN" w:bidi="ar-SA"/>
              </w:rPr>
              <w:t>评审标准</w:t>
            </w:r>
          </w:p>
        </w:tc>
      </w:tr>
      <w:bookmarkEnd w:id="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pPr>
              <w:jc w:val="center"/>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1</w:t>
            </w:r>
          </w:p>
        </w:tc>
        <w:tc>
          <w:tcPr>
            <w:tcW w:w="1785" w:type="dxa"/>
            <w:vAlign w:val="center"/>
          </w:tcPr>
          <w:p>
            <w:pPr>
              <w:jc w:val="center"/>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★应答人名称</w:t>
            </w:r>
          </w:p>
        </w:tc>
        <w:tc>
          <w:tcPr>
            <w:tcW w:w="6427" w:type="dxa"/>
            <w:vAlign w:val="bottom"/>
          </w:tcPr>
          <w:p>
            <w:pPr>
              <w:jc w:val="both"/>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pPr>
              <w:jc w:val="center"/>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2</w:t>
            </w:r>
          </w:p>
        </w:tc>
        <w:tc>
          <w:tcPr>
            <w:tcW w:w="1785" w:type="dxa"/>
            <w:vAlign w:val="center"/>
          </w:tcPr>
          <w:p>
            <w:pPr>
              <w:pStyle w:val="40"/>
              <w:spacing w:line="300" w:lineRule="exact"/>
              <w:jc w:val="center"/>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★报价有效期</w:t>
            </w:r>
          </w:p>
        </w:tc>
        <w:tc>
          <w:tcPr>
            <w:tcW w:w="6427" w:type="dxa"/>
            <w:vAlign w:val="center"/>
          </w:tcPr>
          <w:p>
            <w:pPr>
              <w:pStyle w:val="40"/>
              <w:spacing w:line="300" w:lineRule="exact"/>
              <w:jc w:val="both"/>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报价截止之日起【120】日历日内保持有效；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pPr>
              <w:jc w:val="center"/>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3</w:t>
            </w:r>
          </w:p>
        </w:tc>
        <w:tc>
          <w:tcPr>
            <w:tcW w:w="1785" w:type="dxa"/>
            <w:vAlign w:val="center"/>
          </w:tcPr>
          <w:p>
            <w:pPr>
              <w:jc w:val="center"/>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★选择性报价</w:t>
            </w:r>
          </w:p>
        </w:tc>
        <w:tc>
          <w:tcPr>
            <w:tcW w:w="6427" w:type="dxa"/>
            <w:vAlign w:val="bottom"/>
          </w:tcPr>
          <w:p>
            <w:pPr>
              <w:jc w:val="both"/>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本次采购不接受选择性报价或附加条件的报价。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pPr>
              <w:jc w:val="center"/>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4</w:t>
            </w:r>
          </w:p>
        </w:tc>
        <w:tc>
          <w:tcPr>
            <w:tcW w:w="1785" w:type="dxa"/>
            <w:vAlign w:val="center"/>
          </w:tcPr>
          <w:p>
            <w:pPr>
              <w:jc w:val="center"/>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★报价唯一</w:t>
            </w:r>
          </w:p>
        </w:tc>
        <w:tc>
          <w:tcPr>
            <w:tcW w:w="6427" w:type="dxa"/>
            <w:vAlign w:val="bottom"/>
          </w:tcPr>
          <w:p>
            <w:pPr>
              <w:jc w:val="both"/>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只能有一个有效报价，本次采购不接受选择性报价或附加条件的报价，不接受备选方案。除非国家税法修改，报价表中标明的价格和增值税税率在合同执行过程中是固定不变的，不得以任何理由予以变更。以可调整的价格提交的将作为非响应性应答而予以拒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4" w:type="dxa"/>
            <w:vAlign w:val="center"/>
          </w:tcPr>
          <w:p>
            <w:pPr>
              <w:jc w:val="center"/>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5</w:t>
            </w:r>
          </w:p>
        </w:tc>
        <w:tc>
          <w:tcPr>
            <w:tcW w:w="1785" w:type="dxa"/>
            <w:vAlign w:val="center"/>
          </w:tcPr>
          <w:p>
            <w:pPr>
              <w:jc w:val="center"/>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★围标串标</w:t>
            </w:r>
          </w:p>
        </w:tc>
        <w:tc>
          <w:tcPr>
            <w:tcW w:w="6427" w:type="dxa"/>
            <w:vAlign w:val="bottom"/>
          </w:tcPr>
          <w:p>
            <w:pPr>
              <w:jc w:val="both"/>
              <w:rPr>
                <w:rFonts w:hint="eastAsia" w:ascii="仿宋" w:hAnsi="仿宋" w:eastAsia="仿宋" w:cs="仿宋"/>
                <w:bCs/>
                <w:color w:val="auto"/>
                <w:kern w:val="0"/>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有以下情形之一的，视为应答人相互串通应答，并否决所有涉及的应答： a) 不同应答人的应答文件由同一单位或者个人编制，且应答人不能合理说明的，例如：不同应答人在集团公司数字化供应链平台上记录的文件制作机器码、文件创建标识码和应答电脑的MAC地址内容任何一项一致的；不同应答人的应答文件作者名称（除Admin、经确认为系统自动生成的作者名称）异常一致，且应答人不能合理说明的； b) 不同应答人委托同一单位或者个人办理应答事宜：例如：不同应答人在数字化供应链平台上的电子应答文件记录的应答文件上传IP地址异常一致且不属于中国海油网络IP范围，且应答人不能合理说明的。 c) 不同应答人的应答文件载明的项目管理成员为同一人，且应答人不能合理说明的。 d) 不同应答人的应答文件异常一致或者存在2处以上一致性错误；或者投标报价呈规律性差异的项数达到报价清单的50%以上，且应答人不能合理说明的。 e) 不同应答人的应答文件相互混装，且应答人不能合理说明的。</w:t>
            </w:r>
            <w:r>
              <w:rPr>
                <w:rFonts w:hint="eastAsia" w:ascii="仿宋" w:hAnsi="仿宋" w:eastAsia="仿宋" w:cs="仿宋"/>
                <w:bCs/>
                <w:color w:val="auto"/>
                <w:kern w:val="0"/>
                <w:sz w:val="21"/>
                <w:szCs w:val="21"/>
                <w:highlight w:val="yellow"/>
                <w:lang w:val="en-US" w:eastAsia="zh-CN" w:bidi="ar-SA"/>
              </w:rPr>
              <w:t>f</w:t>
            </w:r>
            <w:r>
              <w:rPr>
                <w:rFonts w:hint="eastAsia" w:ascii="仿宋" w:hAnsi="仿宋" w:eastAsia="仿宋" w:cs="仿宋"/>
                <w:bCs/>
                <w:color w:val="C00000"/>
                <w:kern w:val="0"/>
                <w:sz w:val="21"/>
                <w:szCs w:val="21"/>
                <w:highlight w:val="yellow"/>
                <w:lang w:val="en-US" w:eastAsia="zh-CN" w:bidi="ar-SA"/>
              </w:rPr>
              <w:t>）</w:t>
            </w:r>
            <w:r>
              <w:rPr>
                <w:rFonts w:hint="eastAsia" w:ascii="仿宋" w:hAnsi="仿宋" w:eastAsia="仿宋" w:cs="仿宋"/>
                <w:bCs/>
                <w:color w:val="auto"/>
                <w:kern w:val="0"/>
                <w:sz w:val="21"/>
                <w:szCs w:val="21"/>
                <w:highlight w:val="yellow"/>
                <w:lang w:val="en-US" w:eastAsia="zh-CN" w:bidi="ar-SA"/>
              </w:rPr>
              <w:t>不同应答人在数字化供应链平台上的上传应答文件联系人或联系电话一致，且应答人不能合理说明的。</w:t>
            </w:r>
          </w:p>
        </w:tc>
      </w:tr>
    </w:tbl>
    <w:p>
      <w:pPr>
        <w:pStyle w:val="3"/>
        <w:ind w:left="0" w:leftChars="0" w:firstLine="0" w:firstLineChars="0"/>
        <w:rPr>
          <w:rFonts w:hint="eastAsia"/>
          <w:lang w:eastAsia="zh-CN"/>
        </w:rPr>
      </w:pPr>
    </w:p>
    <w:p>
      <w:pPr>
        <w:pStyle w:val="3"/>
        <w:ind w:left="0" w:leftChars="0" w:firstLine="0" w:firstLineChars="0"/>
        <w:rPr>
          <w:rFonts w:hint="default"/>
          <w:lang w:val="en-US" w:eastAsia="zh-CN"/>
        </w:rPr>
      </w:pPr>
      <w:r>
        <w:rPr>
          <w:rFonts w:hint="eastAsia" w:ascii="宋体" w:hAnsi="宋体" w:eastAsia="宋体"/>
          <w:kern w:val="2"/>
          <w:sz w:val="21"/>
          <w:szCs w:val="21"/>
          <w:lang w:val="en-US" w:eastAsia="zh-CN"/>
        </w:rPr>
        <w:t>2、详细评审</w:t>
      </w:r>
    </w:p>
    <w:tbl>
      <w:tblPr>
        <w:tblStyle w:val="18"/>
        <w:tblpPr w:leftFromText="180" w:rightFromText="180" w:vertAnchor="text" w:horzAnchor="page" w:tblpX="1590" w:tblpY="220"/>
        <w:tblOverlap w:val="never"/>
        <w:tblW w:w="5459" w:type="pct"/>
        <w:tblInd w:w="0" w:type="dxa"/>
        <w:tblLayout w:type="autofit"/>
        <w:tblCellMar>
          <w:top w:w="0" w:type="dxa"/>
          <w:left w:w="0" w:type="dxa"/>
          <w:bottom w:w="0" w:type="dxa"/>
          <w:right w:w="0" w:type="dxa"/>
        </w:tblCellMar>
      </w:tblPr>
      <w:tblGrid>
        <w:gridCol w:w="520"/>
        <w:gridCol w:w="478"/>
        <w:gridCol w:w="2276"/>
        <w:gridCol w:w="5805"/>
      </w:tblGrid>
      <w:tr>
        <w:tblPrEx>
          <w:tblCellMar>
            <w:top w:w="0" w:type="dxa"/>
            <w:left w:w="0" w:type="dxa"/>
            <w:bottom w:w="0" w:type="dxa"/>
            <w:right w:w="0" w:type="dxa"/>
          </w:tblCellMar>
        </w:tblPrEx>
        <w:trPr>
          <w:trHeight w:val="454" w:hRule="atLeast"/>
        </w:trPr>
        <w:tc>
          <w:tcPr>
            <w:tcW w:w="550" w:type="pct"/>
            <w:gridSpan w:val="2"/>
            <w:tcBorders>
              <w:top w:val="single" w:color="000000" w:sz="4" w:space="0"/>
              <w:left w:val="single" w:color="000000" w:sz="4" w:space="0"/>
              <w:bottom w:val="single" w:color="000000" w:sz="6" w:space="0"/>
              <w:right w:val="single" w:color="000000" w:sz="4" w:space="0"/>
            </w:tcBorders>
            <w:vAlign w:val="center"/>
          </w:tcPr>
          <w:p>
            <w:pPr>
              <w:pStyle w:val="40"/>
              <w:spacing w:line="300" w:lineRule="exact"/>
              <w:jc w:val="left"/>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eastAsia="zh-CN"/>
              </w:rPr>
              <w:t>序号</w:t>
            </w:r>
          </w:p>
        </w:tc>
        <w:tc>
          <w:tcPr>
            <w:tcW w:w="1253" w:type="pct"/>
            <w:tcBorders>
              <w:top w:val="single" w:color="000000" w:sz="4" w:space="0"/>
              <w:left w:val="nil"/>
              <w:bottom w:val="single" w:color="000000" w:sz="4" w:space="0"/>
              <w:right w:val="single" w:color="000000" w:sz="4" w:space="0"/>
            </w:tcBorders>
            <w:vAlign w:val="center"/>
          </w:tcPr>
          <w:p>
            <w:pPr>
              <w:pStyle w:val="40"/>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内容</w:t>
            </w:r>
          </w:p>
        </w:tc>
        <w:tc>
          <w:tcPr>
            <w:tcW w:w="3196" w:type="pct"/>
            <w:tcBorders>
              <w:top w:val="single" w:color="000000" w:sz="4" w:space="0"/>
              <w:left w:val="nil"/>
              <w:bottom w:val="single" w:color="000000" w:sz="4" w:space="0"/>
              <w:right w:val="single" w:color="000000" w:sz="4" w:space="0"/>
            </w:tcBorders>
            <w:vAlign w:val="center"/>
          </w:tcPr>
          <w:p>
            <w:pPr>
              <w:pStyle w:val="40"/>
              <w:spacing w:line="300" w:lineRule="exact"/>
              <w:jc w:val="center"/>
              <w:rPr>
                <w:rFonts w:hint="eastAsia" w:ascii="仿宋" w:hAnsi="仿宋" w:eastAsia="仿宋" w:cs="仿宋"/>
                <w:b/>
                <w:bCs/>
                <w:color w:val="auto"/>
                <w:sz w:val="21"/>
                <w:szCs w:val="21"/>
                <w:highlight w:val="none"/>
                <w:lang w:eastAsia="zh-CN"/>
              </w:rPr>
            </w:pPr>
            <w:r>
              <w:rPr>
                <w:rFonts w:hint="eastAsia" w:ascii="仿宋" w:hAnsi="仿宋" w:eastAsia="仿宋" w:cs="仿宋"/>
                <w:b/>
                <w:bCs/>
                <w:color w:val="auto"/>
                <w:sz w:val="21"/>
                <w:szCs w:val="21"/>
                <w:highlight w:val="none"/>
                <w:lang w:val="en-US" w:eastAsia="zh-CN"/>
              </w:rPr>
              <w:t>评议</w:t>
            </w:r>
            <w:r>
              <w:rPr>
                <w:rFonts w:hint="eastAsia" w:ascii="仿宋" w:hAnsi="仿宋" w:eastAsia="仿宋" w:cs="仿宋"/>
                <w:b/>
                <w:bCs/>
                <w:color w:val="auto"/>
                <w:sz w:val="21"/>
                <w:szCs w:val="21"/>
                <w:highlight w:val="none"/>
                <w:lang w:eastAsia="zh-CN"/>
              </w:rPr>
              <w:t>标准</w:t>
            </w:r>
          </w:p>
        </w:tc>
      </w:tr>
      <w:tr>
        <w:tblPrEx>
          <w:tblCellMar>
            <w:top w:w="0" w:type="dxa"/>
            <w:left w:w="0" w:type="dxa"/>
            <w:bottom w:w="0" w:type="dxa"/>
            <w:right w:w="0" w:type="dxa"/>
          </w:tblCellMar>
        </w:tblPrEx>
        <w:trPr>
          <w:trHeight w:val="454" w:hRule="atLeast"/>
        </w:trPr>
        <w:tc>
          <w:tcPr>
            <w:tcW w:w="287" w:type="pct"/>
            <w:vMerge w:val="restart"/>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Cs/>
                <w:color w:val="auto"/>
                <w:sz w:val="21"/>
                <w:szCs w:val="21"/>
                <w:highlight w:val="none"/>
              </w:rPr>
            </w:pPr>
            <w:r>
              <w:rPr>
                <w:rFonts w:hint="eastAsia" w:ascii="仿宋" w:hAnsi="仿宋" w:eastAsia="仿宋" w:cs="仿宋"/>
                <w:bCs/>
                <w:color w:val="auto"/>
                <w:sz w:val="21"/>
                <w:szCs w:val="21"/>
                <w:highlight w:val="none"/>
                <w:lang w:val="en-US" w:eastAsia="zh-CN"/>
              </w:rPr>
              <w:t>1</w:t>
            </w:r>
          </w:p>
        </w:tc>
        <w:tc>
          <w:tcPr>
            <w:tcW w:w="262" w:type="pct"/>
            <w:vMerge w:val="restart"/>
            <w:tcBorders>
              <w:top w:val="single" w:color="000000" w:sz="6" w:space="0"/>
              <w:left w:val="nil"/>
              <w:bottom w:val="single" w:color="000000" w:sz="6" w:space="0"/>
              <w:right w:val="single" w:color="000000" w:sz="6" w:space="0"/>
            </w:tcBorders>
            <w:textDirection w:val="tbRlV"/>
            <w:vAlign w:val="center"/>
          </w:tcPr>
          <w:p>
            <w:pPr>
              <w:pStyle w:val="40"/>
              <w:spacing w:line="300" w:lineRule="exact"/>
              <w:ind w:left="113" w:right="113"/>
              <w:jc w:val="cente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eastAsia="zh-CN"/>
              </w:rPr>
              <w:t>商务标准</w:t>
            </w:r>
          </w:p>
        </w:tc>
        <w:tc>
          <w:tcPr>
            <w:tcW w:w="1253" w:type="pct"/>
            <w:tcBorders>
              <w:top w:val="single" w:color="000000" w:sz="4" w:space="0"/>
              <w:left w:val="nil"/>
              <w:bottom w:val="nil"/>
              <w:right w:val="single" w:color="000000" w:sz="4" w:space="0"/>
            </w:tcBorders>
            <w:vAlign w:val="center"/>
          </w:tcPr>
          <w:p>
            <w:pPr>
              <w:pStyle w:val="40"/>
              <w:spacing w:line="300" w:lineRule="exact"/>
              <w:jc w:val="left"/>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报价文件签字盖章</w:t>
            </w:r>
          </w:p>
        </w:tc>
        <w:tc>
          <w:tcPr>
            <w:tcW w:w="3196" w:type="pct"/>
            <w:tcBorders>
              <w:top w:val="single" w:color="000000" w:sz="4" w:space="0"/>
              <w:left w:val="nil"/>
              <w:bottom w:val="nil"/>
              <w:right w:val="single" w:color="000000" w:sz="4" w:space="0"/>
            </w:tcBorders>
            <w:vAlign w:val="center"/>
          </w:tcPr>
          <w:p>
            <w:pPr>
              <w:pStyle w:val="40"/>
              <w:spacing w:line="300" w:lineRule="exact"/>
              <w:jc w:val="both"/>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lang w:val="en-US" w:eastAsia="zh-CN"/>
              </w:rPr>
              <w:t>由</w:t>
            </w:r>
            <w:r>
              <w:rPr>
                <w:rFonts w:hint="eastAsia" w:ascii="仿宋" w:hAnsi="仿宋" w:eastAsia="仿宋" w:cs="仿宋"/>
                <w:bCs/>
                <w:color w:val="auto"/>
                <w:sz w:val="21"/>
                <w:szCs w:val="21"/>
                <w:highlight w:val="none"/>
                <w:lang w:eastAsia="zh-CN"/>
              </w:rPr>
              <w:t>法定代表人（单位负责人）或其委托代理人签字并加盖单位章。由法定代表人（单位负责人）签字的，应附法定代表人（单位负责人）身份证明，由代理人签字的，应</w:t>
            </w:r>
            <w:r>
              <w:rPr>
                <w:rFonts w:hint="eastAsia" w:ascii="仿宋" w:hAnsi="仿宋" w:eastAsia="仿宋" w:cs="仿宋"/>
                <w:bCs/>
                <w:color w:val="auto"/>
                <w:sz w:val="21"/>
                <w:szCs w:val="21"/>
                <w:highlight w:val="none"/>
                <w:lang w:val="en-US" w:eastAsia="zh-CN"/>
              </w:rPr>
              <w:t>在提供</w:t>
            </w:r>
            <w:r>
              <w:rPr>
                <w:rFonts w:hint="eastAsia" w:ascii="仿宋" w:hAnsi="仿宋" w:eastAsia="仿宋" w:cs="仿宋"/>
                <w:bCs/>
                <w:color w:val="auto"/>
                <w:sz w:val="21"/>
                <w:szCs w:val="21"/>
                <w:highlight w:val="none"/>
                <w:lang w:eastAsia="zh-CN"/>
              </w:rPr>
              <w:t>法定代表人（单位负责人）身份证明</w:t>
            </w:r>
            <w:r>
              <w:rPr>
                <w:rFonts w:hint="eastAsia" w:ascii="仿宋" w:hAnsi="仿宋" w:eastAsia="仿宋" w:cs="仿宋"/>
                <w:bCs/>
                <w:color w:val="auto"/>
                <w:sz w:val="21"/>
                <w:szCs w:val="21"/>
                <w:highlight w:val="none"/>
                <w:lang w:val="en-US" w:eastAsia="zh-CN"/>
              </w:rPr>
              <w:t>基础上，补充提供</w:t>
            </w:r>
            <w:r>
              <w:rPr>
                <w:rFonts w:hint="eastAsia" w:ascii="仿宋" w:hAnsi="仿宋" w:eastAsia="仿宋" w:cs="仿宋"/>
                <w:bCs/>
                <w:color w:val="auto"/>
                <w:sz w:val="21"/>
                <w:szCs w:val="21"/>
                <w:highlight w:val="none"/>
                <w:lang w:eastAsia="zh-CN"/>
              </w:rPr>
              <w:t>授权委托书。</w:t>
            </w:r>
          </w:p>
        </w:tc>
      </w:tr>
      <w:tr>
        <w:tblPrEx>
          <w:tblCellMar>
            <w:top w:w="0" w:type="dxa"/>
            <w:left w:w="0" w:type="dxa"/>
            <w:bottom w:w="0" w:type="dxa"/>
            <w:right w:w="0" w:type="dxa"/>
          </w:tblCellMar>
        </w:tblPrEx>
        <w:trPr>
          <w:trHeight w:val="454" w:hRule="atLeast"/>
        </w:trPr>
        <w:tc>
          <w:tcPr>
            <w:tcW w:w="287" w:type="pct"/>
            <w:vMerge w:val="continue"/>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62" w:type="pct"/>
            <w:vMerge w:val="continue"/>
            <w:tcBorders>
              <w:top w:val="single" w:color="000000" w:sz="6" w:space="0"/>
              <w:left w:val="nil"/>
              <w:bottom w:val="single" w:color="000000" w:sz="6" w:space="0"/>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53" w:type="pct"/>
            <w:tcBorders>
              <w:top w:val="single" w:color="000000" w:sz="4" w:space="0"/>
              <w:left w:val="nil"/>
              <w:bottom w:val="single" w:color="000000" w:sz="4" w:space="0"/>
              <w:right w:val="single" w:color="000000" w:sz="4" w:space="0"/>
            </w:tcBorders>
            <w:vAlign w:val="center"/>
          </w:tcPr>
          <w:p>
            <w:pPr>
              <w:pStyle w:val="40"/>
              <w:spacing w:line="300" w:lineRule="exact"/>
              <w:jc w:val="left"/>
              <w:rPr>
                <w:rFonts w:hint="eastAsia" w:ascii="仿宋" w:hAnsi="仿宋" w:eastAsia="仿宋" w:cs="仿宋"/>
                <w:bCs/>
                <w:color w:val="auto"/>
                <w:sz w:val="21"/>
                <w:szCs w:val="21"/>
                <w:highlight w:val="none"/>
                <w:lang w:eastAsia="zh-CN"/>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sz w:val="21"/>
                <w:szCs w:val="21"/>
                <w:highlight w:val="none"/>
                <w:lang w:eastAsia="zh-CN"/>
              </w:rPr>
              <w:t>报价文件格式</w:t>
            </w:r>
          </w:p>
        </w:tc>
        <w:tc>
          <w:tcPr>
            <w:tcW w:w="3196" w:type="pct"/>
            <w:tcBorders>
              <w:top w:val="single" w:color="000000" w:sz="4" w:space="0"/>
              <w:left w:val="nil"/>
              <w:bottom w:val="single" w:color="000000" w:sz="4" w:space="0"/>
              <w:right w:val="single" w:color="000000" w:sz="4" w:space="0"/>
            </w:tcBorders>
            <w:vAlign w:val="center"/>
          </w:tcPr>
          <w:p>
            <w:pPr>
              <w:rPr>
                <w:rFonts w:hint="eastAsia" w:ascii="仿宋" w:hAnsi="仿宋" w:eastAsia="仿宋" w:cs="仿宋"/>
                <w:bCs/>
                <w:color w:val="auto"/>
                <w:sz w:val="21"/>
                <w:szCs w:val="21"/>
                <w:highlight w:val="none"/>
                <w:lang w:eastAsia="zh-CN"/>
              </w:rPr>
            </w:pPr>
            <w:r>
              <w:rPr>
                <w:rFonts w:hint="eastAsia" w:ascii="仿宋" w:hAnsi="仿宋" w:eastAsia="仿宋" w:cs="仿宋"/>
                <w:bCs/>
                <w:color w:val="auto"/>
                <w:sz w:val="21"/>
                <w:szCs w:val="21"/>
                <w:highlight w:val="none"/>
              </w:rPr>
              <w:t>符合附件3：报价单格式的规定；</w:t>
            </w:r>
          </w:p>
        </w:tc>
      </w:tr>
      <w:tr>
        <w:tblPrEx>
          <w:tblCellMar>
            <w:top w:w="0" w:type="dxa"/>
            <w:left w:w="0" w:type="dxa"/>
            <w:bottom w:w="0" w:type="dxa"/>
            <w:right w:w="0" w:type="dxa"/>
          </w:tblCellMar>
        </w:tblPrEx>
        <w:trPr>
          <w:trHeight w:val="454" w:hRule="atLeast"/>
        </w:trPr>
        <w:tc>
          <w:tcPr>
            <w:tcW w:w="287" w:type="pct"/>
            <w:vMerge w:val="continue"/>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62" w:type="pct"/>
            <w:vMerge w:val="continue"/>
            <w:tcBorders>
              <w:top w:val="single" w:color="000000" w:sz="6" w:space="0"/>
              <w:left w:val="nil"/>
              <w:bottom w:val="single" w:color="000000" w:sz="6" w:space="0"/>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53" w:type="pct"/>
            <w:tcBorders>
              <w:top w:val="single" w:color="000000" w:sz="4" w:space="0"/>
              <w:left w:val="single" w:color="000000" w:sz="6" w:space="0"/>
              <w:bottom w:val="single" w:color="auto" w:sz="4" w:space="0"/>
              <w:right w:val="single" w:color="000000" w:sz="4" w:space="0"/>
            </w:tcBorders>
            <w:vAlign w:val="center"/>
          </w:tcPr>
          <w:p>
            <w:pPr>
              <w:pStyle w:val="40"/>
              <w:spacing w:line="300" w:lineRule="exact"/>
              <w:jc w:val="left"/>
              <w:rPr>
                <w:rFonts w:hint="eastAsia" w:ascii="仿宋" w:hAnsi="仿宋" w:eastAsia="仿宋" w:cs="仿宋"/>
                <w:bCs/>
                <w:color w:val="auto"/>
                <w:sz w:val="21"/>
                <w:szCs w:val="21"/>
                <w:highlight w:val="none"/>
                <w:lang w:eastAsia="zh-CN"/>
              </w:rPr>
            </w:pPr>
            <w:r>
              <w:rPr>
                <w:rFonts w:hint="eastAsia" w:ascii="仿宋" w:hAnsi="仿宋" w:eastAsia="仿宋" w:cs="仿宋"/>
                <w:color w:val="auto"/>
                <w:kern w:val="2"/>
                <w:sz w:val="21"/>
                <w:szCs w:val="21"/>
                <w:highlight w:val="none"/>
                <w:lang w:val="en-US" w:eastAsia="zh-CN" w:bidi="ar-SA"/>
              </w:rPr>
              <w:t>★商务资格</w:t>
            </w:r>
          </w:p>
        </w:tc>
        <w:tc>
          <w:tcPr>
            <w:tcW w:w="3196"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1.营业执照：应答人具有合法有效的企业法人营业执照、税务登记证及组织机构代码证 或证照合一的营业执照，应答时需提供原件扫描件（原件备查）。 应答人为事业单位的，应具有合法有效的事业单位法人证书，应答时需提供原件扫描件（原件备查）。应答人为分公司的，应具有合法有效的营业执照和上级法人单位授权书，分 公司与上级法人单位只可一家参与应答，同时参与应答的，应答均无效。</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2.法定代表人（单位负责人）身份证明</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rPr>
            </w:pPr>
            <w:r>
              <w:rPr>
                <w:rFonts w:hint="eastAsia" w:ascii="仿宋" w:hAnsi="仿宋" w:eastAsia="仿宋" w:cs="仿宋"/>
                <w:color w:val="auto"/>
                <w:kern w:val="2"/>
                <w:sz w:val="21"/>
                <w:szCs w:val="21"/>
                <w:highlight w:val="none"/>
                <w:lang w:val="en-US" w:eastAsia="zh-CN" w:bidi="ar-SA"/>
              </w:rPr>
              <w:t>3.法定代表人授权委托书（如涉及）</w:t>
            </w:r>
          </w:p>
        </w:tc>
      </w:tr>
      <w:tr>
        <w:tblPrEx>
          <w:tblCellMar>
            <w:top w:w="0" w:type="dxa"/>
            <w:left w:w="0" w:type="dxa"/>
            <w:bottom w:w="0" w:type="dxa"/>
            <w:right w:w="0" w:type="dxa"/>
          </w:tblCellMar>
        </w:tblPrEx>
        <w:trPr>
          <w:trHeight w:val="454" w:hRule="atLeast"/>
        </w:trPr>
        <w:tc>
          <w:tcPr>
            <w:tcW w:w="287" w:type="pct"/>
            <w:vMerge w:val="continue"/>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62" w:type="pct"/>
            <w:vMerge w:val="continue"/>
            <w:tcBorders>
              <w:top w:val="single" w:color="000000" w:sz="6" w:space="0"/>
              <w:left w:val="nil"/>
              <w:bottom w:val="single" w:color="000000" w:sz="6" w:space="0"/>
              <w:right w:val="single" w:color="000000" w:sz="6" w:space="0"/>
            </w:tcBorders>
            <w:vAlign w:val="center"/>
          </w:tcPr>
          <w:p>
            <w:pPr>
              <w:widowControl/>
              <w:rPr>
                <w:rFonts w:hint="eastAsia" w:ascii="仿宋" w:hAnsi="仿宋" w:eastAsia="仿宋" w:cs="仿宋"/>
                <w:bCs/>
                <w:color w:val="auto"/>
                <w:kern w:val="0"/>
                <w:sz w:val="21"/>
                <w:szCs w:val="21"/>
                <w:highlight w:val="none"/>
              </w:rPr>
            </w:pPr>
          </w:p>
        </w:tc>
        <w:tc>
          <w:tcPr>
            <w:tcW w:w="1253" w:type="pct"/>
            <w:tcBorders>
              <w:top w:val="single" w:color="000000" w:sz="4" w:space="0"/>
              <w:left w:val="single" w:color="000000" w:sz="6" w:space="0"/>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jc w:val="both"/>
              <w:textAlignment w:val="auto"/>
              <w:rPr>
                <w:rFonts w:hint="eastAsia" w:ascii="仿宋" w:hAnsi="仿宋" w:eastAsia="仿宋" w:cs="仿宋"/>
                <w:bCs/>
                <w:color w:val="auto"/>
                <w:sz w:val="21"/>
                <w:szCs w:val="21"/>
                <w:highlight w:val="none"/>
                <w:lang w:eastAsia="zh-CN"/>
              </w:rPr>
            </w:pPr>
            <w:r>
              <w:rPr>
                <w:rFonts w:hint="eastAsia" w:ascii="仿宋" w:hAnsi="仿宋" w:eastAsia="仿宋" w:cs="仿宋"/>
                <w:color w:val="auto"/>
                <w:kern w:val="2"/>
                <w:sz w:val="21"/>
                <w:szCs w:val="21"/>
                <w:highlight w:val="none"/>
                <w:lang w:val="en-US" w:eastAsia="zh-CN" w:bidi="ar-SA"/>
              </w:rPr>
              <w:t>★股权证明文件</w:t>
            </w:r>
          </w:p>
        </w:tc>
        <w:tc>
          <w:tcPr>
            <w:tcW w:w="3196"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股权证明文件：应答人应在应答文件中提供其公司章程或其他能够体现出资人、股东信息的法定文件、第三方网站查询记录截图，此证明文件将作为评标/评审参与应答供应商是否存在关联关系时的依据。</w:t>
            </w:r>
          </w:p>
          <w:p>
            <w:pPr>
              <w:keepNext w:val="0"/>
              <w:keepLines w:val="0"/>
              <w:pageBreakBefore w:val="0"/>
              <w:numPr>
                <w:ilvl w:val="0"/>
                <w:numId w:val="0"/>
              </w:numPr>
              <w:kinsoku/>
              <w:wordWrap/>
              <w:overflowPunct/>
              <w:topLinePunct w:val="0"/>
              <w:autoSpaceDE/>
              <w:autoSpaceDN/>
              <w:bidi w:val="0"/>
              <w:adjustRightInd/>
              <w:spacing w:line="240" w:lineRule="auto"/>
              <w:textAlignment w:val="auto"/>
              <w:rPr>
                <w:rFonts w:hint="eastAsia" w:ascii="仿宋" w:hAnsi="仿宋" w:eastAsia="仿宋" w:cs="仿宋"/>
                <w:bCs/>
                <w:color w:val="auto"/>
                <w:sz w:val="21"/>
                <w:szCs w:val="21"/>
                <w:highlight w:val="none"/>
                <w:lang w:eastAsia="zh-CN"/>
              </w:rPr>
            </w:pPr>
            <w:r>
              <w:rPr>
                <w:rFonts w:hint="eastAsia" w:ascii="仿宋" w:hAnsi="仿宋" w:eastAsia="仿宋" w:cs="仿宋"/>
                <w:b/>
                <w:bCs/>
                <w:color w:val="auto"/>
                <w:kern w:val="2"/>
                <w:sz w:val="21"/>
                <w:szCs w:val="21"/>
                <w:highlight w:val="none"/>
                <w:lang w:val="en-US" w:eastAsia="zh-CN" w:bidi="ar-SA"/>
              </w:rPr>
              <w:t>备注：如应答人未提供或提供文件无法体现出资人、股东信息的以及与其他应答人存在关联关系的，都将影响评审结果。</w:t>
            </w:r>
          </w:p>
        </w:tc>
      </w:tr>
      <w:tr>
        <w:tblPrEx>
          <w:tblCellMar>
            <w:top w:w="0" w:type="dxa"/>
            <w:left w:w="0" w:type="dxa"/>
            <w:bottom w:w="0" w:type="dxa"/>
            <w:right w:w="0" w:type="dxa"/>
          </w:tblCellMar>
        </w:tblPrEx>
        <w:trPr>
          <w:trHeight w:val="569" w:hRule="atLeast"/>
        </w:trPr>
        <w:tc>
          <w:tcPr>
            <w:tcW w:w="287" w:type="pct"/>
            <w:vMerge w:val="continue"/>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62" w:type="pct"/>
            <w:vMerge w:val="continue"/>
            <w:tcBorders>
              <w:top w:val="single" w:color="000000" w:sz="6" w:space="0"/>
              <w:left w:val="single" w:color="000000" w:sz="6" w:space="0"/>
              <w:bottom w:val="single" w:color="000000" w:sz="6" w:space="0"/>
              <w:right w:val="single" w:color="000000" w:sz="6" w:space="0"/>
            </w:tcBorders>
            <w:vAlign w:val="center"/>
          </w:tcPr>
          <w:p>
            <w:pPr>
              <w:pStyle w:val="40"/>
              <w:spacing w:line="300" w:lineRule="exact"/>
              <w:jc w:val="center"/>
              <w:rPr>
                <w:rFonts w:hint="eastAsia" w:ascii="仿宋" w:hAnsi="仿宋" w:eastAsia="仿宋" w:cs="仿宋"/>
                <w:bCs/>
                <w:color w:val="auto"/>
                <w:sz w:val="21"/>
                <w:szCs w:val="21"/>
                <w:highlight w:val="none"/>
                <w:lang w:eastAsia="zh-CN"/>
              </w:rPr>
            </w:pPr>
          </w:p>
        </w:tc>
        <w:tc>
          <w:tcPr>
            <w:tcW w:w="1253" w:type="pct"/>
            <w:tcBorders>
              <w:top w:val="single" w:color="000000" w:sz="4" w:space="0"/>
              <w:left w:val="single" w:color="000000" w:sz="6" w:space="0"/>
              <w:bottom w:val="single" w:color="auto" w:sz="4" w:space="0"/>
              <w:right w:val="single" w:color="000000" w:sz="4" w:space="0"/>
            </w:tcBorders>
            <w:vAlign w:val="center"/>
          </w:tcPr>
          <w:p>
            <w:pPr>
              <w:pStyle w:val="40"/>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专业资质（如涉及）</w:t>
            </w:r>
          </w:p>
        </w:tc>
        <w:tc>
          <w:tcPr>
            <w:tcW w:w="3196" w:type="pct"/>
            <w:tcBorders>
              <w:top w:val="single" w:color="000000" w:sz="4" w:space="0"/>
              <w:left w:val="nil"/>
              <w:bottom w:val="single" w:color="auto" w:sz="4" w:space="0"/>
              <w:right w:val="single" w:color="000000" w:sz="4" w:space="0"/>
            </w:tcBorders>
            <w:vAlign w:val="center"/>
          </w:tcPr>
          <w:p>
            <w:pPr>
              <w:keepNext w:val="0"/>
              <w:keepLines w:val="0"/>
              <w:pageBreakBefore w:val="0"/>
              <w:numPr>
                <w:ilvl w:val="0"/>
                <w:numId w:val="0"/>
              </w:numPr>
              <w:kinsoku/>
              <w:wordWrap/>
              <w:overflowPunct/>
              <w:topLinePunct w:val="0"/>
              <w:autoSpaceDE/>
              <w:autoSpaceDN/>
              <w:bidi w:val="0"/>
              <w:adjustRightInd/>
              <w:spacing w:line="360" w:lineRule="auto"/>
              <w:textAlignment w:val="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1.无具体要求</w:t>
            </w:r>
          </w:p>
        </w:tc>
      </w:tr>
      <w:tr>
        <w:tblPrEx>
          <w:tblCellMar>
            <w:top w:w="0" w:type="dxa"/>
            <w:left w:w="0" w:type="dxa"/>
            <w:bottom w:w="0" w:type="dxa"/>
            <w:right w:w="0" w:type="dxa"/>
          </w:tblCellMar>
        </w:tblPrEx>
        <w:trPr>
          <w:trHeight w:val="1869" w:hRule="atLeast"/>
        </w:trPr>
        <w:tc>
          <w:tcPr>
            <w:tcW w:w="287" w:type="pct"/>
            <w:vMerge w:val="continue"/>
            <w:tcBorders>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pacing w:line="240" w:lineRule="auto"/>
              <w:textAlignment w:val="auto"/>
            </w:pPr>
          </w:p>
        </w:tc>
        <w:tc>
          <w:tcPr>
            <w:tcW w:w="262" w:type="pct"/>
            <w:vMerge w:val="continue"/>
            <w:tcBorders>
              <w:left w:val="single" w:color="000000" w:sz="6" w:space="0"/>
              <w:bottom w:val="single" w:color="000000" w:sz="6" w:space="0"/>
              <w:right w:val="single" w:color="000000" w:sz="6" w:space="0"/>
            </w:tcBorders>
            <w:vAlign w:val="center"/>
          </w:tcPr>
          <w:p>
            <w:pPr>
              <w:keepNext w:val="0"/>
              <w:keepLines w:val="0"/>
              <w:pageBreakBefore w:val="0"/>
              <w:kinsoku/>
              <w:wordWrap/>
              <w:overflowPunct/>
              <w:topLinePunct w:val="0"/>
              <w:autoSpaceDE/>
              <w:autoSpaceDN/>
              <w:bidi w:val="0"/>
              <w:adjustRightInd/>
              <w:spacing w:line="240" w:lineRule="auto"/>
              <w:textAlignment w:val="auto"/>
            </w:pPr>
          </w:p>
        </w:tc>
        <w:tc>
          <w:tcPr>
            <w:tcW w:w="1253" w:type="pct"/>
            <w:tcBorders>
              <w:top w:val="single" w:color="000000" w:sz="4" w:space="0"/>
              <w:left w:val="single" w:color="000000" w:sz="6" w:space="0"/>
              <w:bottom w:val="single" w:color="auto" w:sz="4" w:space="0"/>
              <w:right w:val="single" w:color="000000" w:sz="4" w:space="0"/>
            </w:tcBorders>
            <w:vAlign w:val="center"/>
          </w:tcPr>
          <w:p>
            <w:pPr>
              <w:pStyle w:val="40"/>
              <w:spacing w:line="300" w:lineRule="exact"/>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体系认证</w:t>
            </w:r>
          </w:p>
        </w:tc>
        <w:tc>
          <w:tcPr>
            <w:tcW w:w="3196" w:type="pct"/>
            <w:tcBorders>
              <w:top w:val="single" w:color="000000" w:sz="4" w:space="0"/>
              <w:left w:val="nil"/>
              <w:bottom w:val="single" w:color="auto" w:sz="4" w:space="0"/>
              <w:right w:val="single" w:color="000000" w:sz="4" w:space="0"/>
            </w:tcBorders>
            <w:vAlign w:val="center"/>
          </w:tcPr>
          <w:p>
            <w:pPr>
              <w:pStyle w:val="40"/>
              <w:numPr>
                <w:ilvl w:val="0"/>
                <w:numId w:val="3"/>
              </w:numPr>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bCs/>
                <w:color w:val="auto"/>
                <w:kern w:val="0"/>
                <w:sz w:val="21"/>
                <w:szCs w:val="21"/>
                <w:highlight w:val="none"/>
                <w:lang w:val="en-US" w:eastAsia="zh-CN" w:bidi="ar-SA"/>
              </w:rPr>
              <w:t>投标人为制造商时</w:t>
            </w:r>
            <w:r>
              <w:rPr>
                <w:rFonts w:hint="eastAsia" w:ascii="仿宋" w:hAnsi="仿宋" w:eastAsia="仿宋" w:cs="仿宋"/>
                <w:color w:val="auto"/>
                <w:kern w:val="2"/>
                <w:sz w:val="21"/>
                <w:szCs w:val="21"/>
                <w:highlight w:val="none"/>
                <w:lang w:val="en-US" w:eastAsia="zh-CN" w:bidi="ar-SA"/>
              </w:rPr>
              <w:t>提供有效期的GB/T19001（ISO9001）质量体系认证证书、GB/T24001（ISO14001）环境管理体系认证证书、OHSAS18001或GB/T45001(ISO45001)职业健康管理体系认证证书，国内认证机构签发的证书应可在中国国家认证认可监督管理委员会网站(http://www.cnca.gov.cn/)核实。如果有国家相关部门发布的最新体系标准，以最新体系标准为准，应答时需提供原件扫描件（原件备查）。</w:t>
            </w:r>
          </w:p>
          <w:p>
            <w:pPr>
              <w:pStyle w:val="40"/>
              <w:numPr>
                <w:ilvl w:val="0"/>
                <w:numId w:val="3"/>
              </w:numPr>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投标人为贸易商、代理商时，无具体要求</w:t>
            </w:r>
          </w:p>
        </w:tc>
      </w:tr>
      <w:tr>
        <w:tblPrEx>
          <w:tblCellMar>
            <w:top w:w="0" w:type="dxa"/>
            <w:left w:w="0" w:type="dxa"/>
            <w:bottom w:w="0" w:type="dxa"/>
            <w:right w:w="0" w:type="dxa"/>
          </w:tblCellMar>
        </w:tblPrEx>
        <w:trPr>
          <w:trHeight w:val="696" w:hRule="atLeast"/>
        </w:trPr>
        <w:tc>
          <w:tcPr>
            <w:tcW w:w="287" w:type="pct"/>
            <w:vMerge w:val="continue"/>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62" w:type="pct"/>
            <w:vMerge w:val="continue"/>
            <w:tcBorders>
              <w:top w:val="single" w:color="000000" w:sz="6" w:space="0"/>
              <w:left w:val="single" w:color="000000" w:sz="6" w:space="0"/>
              <w:bottom w:val="single" w:color="000000" w:sz="6" w:space="0"/>
              <w:right w:val="single" w:color="000000" w:sz="6" w:space="0"/>
            </w:tcBorders>
            <w:vAlign w:val="center"/>
          </w:tcPr>
          <w:p>
            <w:pPr>
              <w:pStyle w:val="40"/>
              <w:spacing w:line="300" w:lineRule="exact"/>
              <w:jc w:val="center"/>
              <w:rPr>
                <w:rFonts w:hint="eastAsia" w:ascii="仿宋" w:hAnsi="仿宋" w:eastAsia="仿宋" w:cs="仿宋"/>
                <w:bCs/>
                <w:color w:val="auto"/>
                <w:sz w:val="21"/>
                <w:szCs w:val="21"/>
                <w:highlight w:val="none"/>
                <w:lang w:eastAsia="zh-CN"/>
              </w:rPr>
            </w:pPr>
          </w:p>
        </w:tc>
        <w:tc>
          <w:tcPr>
            <w:tcW w:w="1253" w:type="pct"/>
            <w:tcBorders>
              <w:top w:val="single" w:color="auto" w:sz="4" w:space="0"/>
              <w:left w:val="single" w:color="000000" w:sz="6" w:space="0"/>
              <w:bottom w:val="single" w:color="000000" w:sz="4" w:space="0"/>
              <w:right w:val="single" w:color="000000" w:sz="4" w:space="0"/>
            </w:tcBorders>
            <w:vAlign w:val="center"/>
          </w:tcPr>
          <w:p>
            <w:pPr>
              <w:pStyle w:val="40"/>
              <w:jc w:val="left"/>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color w:val="000000" w:themeColor="text1"/>
                <w:sz w:val="21"/>
                <w:szCs w:val="21"/>
                <w:highlight w:val="none"/>
                <w:lang w:eastAsia="zh-CN"/>
                <w14:textFill>
                  <w14:solidFill>
                    <w14:schemeClr w14:val="tx1"/>
                  </w14:solidFill>
                </w14:textFill>
              </w:rPr>
              <w:t>信誉要求</w:t>
            </w:r>
          </w:p>
        </w:tc>
        <w:tc>
          <w:tcPr>
            <w:tcW w:w="3196" w:type="pct"/>
            <w:tcBorders>
              <w:top w:val="single" w:color="auto" w:sz="4" w:space="0"/>
              <w:left w:val="nil"/>
              <w:bottom w:val="single" w:color="000000" w:sz="4" w:space="0"/>
              <w:right w:val="single" w:color="000000" w:sz="4" w:space="0"/>
            </w:tcBorders>
            <w:vAlign w:val="center"/>
          </w:tcPr>
          <w:p>
            <w:pPr>
              <w:pStyle w:val="40"/>
              <w:jc w:val="both"/>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应答人应提供《5.7：供应商承诺书》，应答人应按照模版格式，对涉及信誉情形进行承诺，并加盖</w:t>
            </w:r>
            <w:r>
              <w:rPr>
                <w:rFonts w:hint="eastAsia" w:ascii="仿宋" w:hAnsi="仿宋" w:eastAsia="仿宋" w:cs="仿宋"/>
                <w:color w:val="000000" w:themeColor="text1"/>
                <w:sz w:val="21"/>
                <w:szCs w:val="21"/>
                <w:highlight w:val="none"/>
                <w:lang w:eastAsia="zh-CN"/>
                <w14:textFill>
                  <w14:solidFill>
                    <w14:schemeClr w14:val="tx1"/>
                  </w14:solidFill>
                </w14:textFill>
              </w:rPr>
              <w:t>单位章</w:t>
            </w:r>
            <w:r>
              <w:rPr>
                <w:rFonts w:hint="eastAsia" w:ascii="仿宋" w:hAnsi="仿宋" w:eastAsia="仿宋" w:cs="仿宋"/>
                <w:color w:val="000000" w:themeColor="text1"/>
                <w:sz w:val="21"/>
                <w:szCs w:val="21"/>
                <w:highlight w:val="none"/>
                <w:lang w:val="en-US" w:eastAsia="zh-CN"/>
                <w14:textFill>
                  <w14:solidFill>
                    <w14:schemeClr w14:val="tx1"/>
                  </w14:solidFill>
                </w14:textFill>
              </w:rPr>
              <w:t>。如应答人未提供或不符合填报要求以及无法满足承诺项的，都将影响评审结果。</w:t>
            </w:r>
            <w:r>
              <w:rPr>
                <w:rFonts w:hint="eastAsia" w:ascii="仿宋" w:hAnsi="仿宋" w:eastAsia="仿宋" w:cs="仿宋"/>
                <w:b/>
                <w:bCs/>
                <w:color w:val="000000" w:themeColor="text1"/>
                <w:sz w:val="21"/>
                <w:szCs w:val="21"/>
                <w:highlight w:val="none"/>
                <w:lang w:val="en-US" w:eastAsia="zh-CN"/>
                <w14:textFill>
                  <w14:solidFill>
                    <w14:schemeClr w14:val="tx1"/>
                  </w14:solidFill>
                </w14:textFill>
              </w:rPr>
              <w:t>（备注：评审时评委通过网上查询结果进行评审，如查询不合格则废标处理。）</w:t>
            </w:r>
          </w:p>
        </w:tc>
      </w:tr>
      <w:tr>
        <w:tblPrEx>
          <w:tblCellMar>
            <w:top w:w="0" w:type="dxa"/>
            <w:left w:w="0" w:type="dxa"/>
            <w:bottom w:w="0" w:type="dxa"/>
            <w:right w:w="0" w:type="dxa"/>
          </w:tblCellMar>
        </w:tblPrEx>
        <w:trPr>
          <w:trHeight w:val="2008" w:hRule="atLeast"/>
        </w:trPr>
        <w:tc>
          <w:tcPr>
            <w:tcW w:w="287" w:type="pct"/>
            <w:vMerge w:val="continue"/>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Cs/>
                <w:color w:val="auto"/>
                <w:kern w:val="0"/>
                <w:sz w:val="21"/>
                <w:szCs w:val="21"/>
                <w:highlight w:val="none"/>
              </w:rPr>
            </w:pPr>
          </w:p>
        </w:tc>
        <w:tc>
          <w:tcPr>
            <w:tcW w:w="262" w:type="pct"/>
            <w:vMerge w:val="continue"/>
            <w:tcBorders>
              <w:top w:val="single" w:color="000000" w:sz="6" w:space="0"/>
              <w:left w:val="single" w:color="000000" w:sz="6" w:space="0"/>
              <w:bottom w:val="single" w:color="000000" w:sz="6" w:space="0"/>
              <w:right w:val="single" w:color="000000" w:sz="6" w:space="0"/>
            </w:tcBorders>
            <w:vAlign w:val="center"/>
          </w:tcPr>
          <w:p>
            <w:pPr>
              <w:pStyle w:val="40"/>
              <w:spacing w:line="300" w:lineRule="exact"/>
              <w:jc w:val="center"/>
              <w:rPr>
                <w:rFonts w:hint="eastAsia" w:ascii="仿宋" w:hAnsi="仿宋" w:eastAsia="仿宋" w:cs="仿宋"/>
                <w:bCs/>
                <w:color w:val="auto"/>
                <w:sz w:val="21"/>
                <w:szCs w:val="21"/>
                <w:highlight w:val="none"/>
                <w:lang w:eastAsia="zh-CN"/>
              </w:rPr>
            </w:pPr>
          </w:p>
        </w:tc>
        <w:tc>
          <w:tcPr>
            <w:tcW w:w="1253" w:type="pct"/>
            <w:tcBorders>
              <w:top w:val="single" w:color="000000" w:sz="4" w:space="0"/>
              <w:left w:val="single" w:color="000000" w:sz="6" w:space="0"/>
              <w:bottom w:val="single" w:color="000000" w:sz="4" w:space="0"/>
              <w:right w:val="single" w:color="000000" w:sz="4" w:space="0"/>
            </w:tcBorders>
            <w:vAlign w:val="center"/>
          </w:tcPr>
          <w:p>
            <w:pPr>
              <w:pStyle w:val="40"/>
              <w:numPr>
                <w:ilvl w:val="-1"/>
                <w:numId w:val="0"/>
              </w:numPr>
              <w:jc w:val="both"/>
              <w:rPr>
                <w:rFonts w:hint="eastAsia" w:ascii="仿宋" w:hAnsi="仿宋" w:eastAsia="仿宋" w:cs="仿宋"/>
                <w:color w:val="C00000"/>
                <w:kern w:val="2"/>
                <w:sz w:val="21"/>
                <w:szCs w:val="21"/>
                <w:highlight w:val="none"/>
                <w:lang w:eastAsia="zh-CN"/>
              </w:rPr>
            </w:pPr>
            <w:r>
              <w:rPr>
                <w:rFonts w:hint="eastAsia" w:ascii="仿宋" w:hAnsi="仿宋" w:eastAsia="仿宋" w:cs="仿宋"/>
                <w:color w:val="auto"/>
                <w:kern w:val="2"/>
                <w:sz w:val="21"/>
                <w:szCs w:val="21"/>
                <w:highlight w:val="none"/>
                <w:lang w:val="en-US" w:eastAsia="zh-CN" w:bidi="ar-SA"/>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应答人或应答人所提供的第三方不得存在的其他情形</w:t>
            </w:r>
          </w:p>
          <w:p>
            <w:pPr>
              <w:pStyle w:val="40"/>
              <w:jc w:val="center"/>
              <w:rPr>
                <w:rFonts w:hint="default" w:ascii="仿宋" w:hAnsi="仿宋" w:eastAsia="仿宋" w:cs="仿宋"/>
                <w:color w:val="auto"/>
                <w:kern w:val="2"/>
                <w:sz w:val="21"/>
                <w:szCs w:val="21"/>
                <w:highlight w:val="none"/>
                <w:lang w:val="en-US" w:eastAsia="zh-CN" w:bidi="ar-SA"/>
              </w:rPr>
            </w:pPr>
          </w:p>
        </w:tc>
        <w:tc>
          <w:tcPr>
            <w:tcW w:w="3196" w:type="pct"/>
            <w:tcBorders>
              <w:top w:val="single" w:color="000000" w:sz="4" w:space="0"/>
              <w:left w:val="nil"/>
              <w:bottom w:val="single" w:color="000000" w:sz="4" w:space="0"/>
              <w:right w:val="single" w:color="000000" w:sz="4" w:space="0"/>
            </w:tcBorders>
            <w:vAlign w:val="center"/>
          </w:tcPr>
          <w:p>
            <w:pPr>
              <w:pStyle w:val="40"/>
              <w:jc w:val="left"/>
              <w:rPr>
                <w:rFonts w:hint="eastAsia" w:ascii="仿宋" w:hAnsi="仿宋" w:eastAsia="仿宋" w:cs="仿宋"/>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被中国海洋石油集团有限公司在集团范围内进行风险提示，且在中国海洋石油集团有限公司《中国海油供应链数字化平台》中被采购冻结，进入调查程序的；</w:t>
            </w:r>
          </w:p>
          <w:p>
            <w:pPr>
              <w:pStyle w:val="40"/>
              <w:jc w:val="left"/>
              <w:rPr>
                <w:rFonts w:hint="eastAsia"/>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w:t>
            </w:r>
            <w:r>
              <w:rPr>
                <w:rFonts w:hint="eastAsia" w:ascii="仿宋" w:hAnsi="仿宋" w:eastAsia="仿宋" w:cs="仿宋"/>
                <w:color w:val="000000" w:themeColor="text1"/>
                <w:sz w:val="21"/>
                <w:szCs w:val="21"/>
                <w:highlight w:val="none"/>
                <w:lang w:eastAsia="zh-CN"/>
                <w14:textFill>
                  <w14:solidFill>
                    <w14:schemeClr w14:val="tx1"/>
                  </w14:solidFill>
                </w14:textFill>
              </w:rPr>
              <w:t>被中国海洋石油集团有限公司</w:t>
            </w:r>
            <w:r>
              <w:rPr>
                <w:rFonts w:hint="eastAsia" w:ascii="仿宋" w:hAnsi="仿宋" w:eastAsia="仿宋" w:cs="仿宋"/>
                <w:color w:val="000000" w:themeColor="text1"/>
                <w:sz w:val="21"/>
                <w:szCs w:val="21"/>
                <w:highlight w:val="none"/>
                <w:lang w:val="en-US" w:eastAsia="zh-CN"/>
                <w14:textFill>
                  <w14:solidFill>
                    <w14:schemeClr w14:val="tx1"/>
                  </w14:solidFill>
                </w14:textFill>
              </w:rPr>
              <w:t>及</w:t>
            </w:r>
            <w:r>
              <w:rPr>
                <w:rFonts w:hint="eastAsia" w:ascii="仿宋" w:hAnsi="仿宋" w:eastAsia="仿宋" w:cs="仿宋"/>
                <w:color w:val="000000" w:themeColor="text1"/>
                <w:sz w:val="21"/>
                <w:szCs w:val="21"/>
                <w:highlight w:val="none"/>
                <w:lang w:eastAsia="zh-CN"/>
                <w14:textFill>
                  <w14:solidFill>
                    <w14:schemeClr w14:val="tx1"/>
                  </w14:solidFill>
                </w14:textFill>
              </w:rPr>
              <w:t>所属单位处以“</w:t>
            </w:r>
            <w:r>
              <w:rPr>
                <w:rFonts w:hint="eastAsia" w:ascii="仿宋" w:hAnsi="仿宋" w:eastAsia="仿宋" w:cs="仿宋"/>
                <w:color w:val="000000" w:themeColor="text1"/>
                <w:sz w:val="21"/>
                <w:szCs w:val="21"/>
                <w:highlight w:val="none"/>
                <w:lang w:val="en-US" w:eastAsia="zh-CN"/>
                <w14:textFill>
                  <w14:solidFill>
                    <w14:schemeClr w14:val="tx1"/>
                  </w14:solidFill>
                </w14:textFill>
              </w:rPr>
              <w:t>禁用</w:t>
            </w:r>
            <w:r>
              <w:rPr>
                <w:rFonts w:hint="eastAsia" w:ascii="仿宋" w:hAnsi="仿宋" w:eastAsia="仿宋" w:cs="仿宋"/>
                <w:color w:val="000000" w:themeColor="text1"/>
                <w:sz w:val="21"/>
                <w:szCs w:val="21"/>
                <w:highlight w:val="none"/>
                <w:lang w:eastAsia="zh-CN"/>
                <w14:textFill>
                  <w14:solidFill>
                    <w14:schemeClr w14:val="tx1"/>
                  </w14:solidFill>
                </w14:textFill>
              </w:rPr>
              <w:t>”处罚，且仍在处罚期内或处罚期满但在系统中的供应商档案中的“档案状态”为“</w:t>
            </w:r>
            <w:r>
              <w:rPr>
                <w:rFonts w:hint="eastAsia" w:ascii="仿宋" w:hAnsi="仿宋" w:eastAsia="仿宋" w:cs="仿宋"/>
                <w:color w:val="000000" w:themeColor="text1"/>
                <w:sz w:val="21"/>
                <w:szCs w:val="21"/>
                <w:highlight w:val="none"/>
                <w:lang w:val="en-US" w:eastAsia="zh-CN"/>
                <w14:textFill>
                  <w14:solidFill>
                    <w14:schemeClr w14:val="tx1"/>
                  </w14:solidFill>
                </w14:textFill>
              </w:rPr>
              <w:t>受控</w:t>
            </w:r>
            <w:r>
              <w:rPr>
                <w:rFonts w:hint="eastAsia" w:ascii="仿宋" w:hAnsi="仿宋" w:eastAsia="仿宋" w:cs="仿宋"/>
                <w:color w:val="000000" w:themeColor="text1"/>
                <w:sz w:val="21"/>
                <w:szCs w:val="21"/>
                <w:highlight w:val="none"/>
                <w:lang w:eastAsia="zh-CN"/>
                <w14:textFill>
                  <w14:solidFill>
                    <w14:schemeClr w14:val="tx1"/>
                  </w14:solidFill>
                </w14:textFill>
              </w:rPr>
              <w:t>”、“业务状态”为“采购冻结”的。</w:t>
            </w:r>
          </w:p>
        </w:tc>
      </w:tr>
      <w:tr>
        <w:tblPrEx>
          <w:tblCellMar>
            <w:top w:w="0" w:type="dxa"/>
            <w:left w:w="0" w:type="dxa"/>
            <w:bottom w:w="0" w:type="dxa"/>
            <w:right w:w="0" w:type="dxa"/>
          </w:tblCellMar>
        </w:tblPrEx>
        <w:trPr>
          <w:trHeight w:val="820" w:hRule="atLeast"/>
        </w:trPr>
        <w:tc>
          <w:tcPr>
            <w:tcW w:w="287" w:type="pct"/>
            <w:vMerge w:val="continue"/>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62" w:type="pct"/>
            <w:vMerge w:val="continue"/>
            <w:tcBorders>
              <w:top w:val="single" w:color="000000" w:sz="6" w:space="0"/>
              <w:left w:val="single" w:color="000000" w:sz="6" w:space="0"/>
              <w:bottom w:val="single" w:color="000000" w:sz="6" w:space="0"/>
              <w:right w:val="single" w:color="000000" w:sz="6"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53" w:type="pct"/>
            <w:tcBorders>
              <w:top w:val="single" w:color="000000" w:sz="4" w:space="0"/>
              <w:left w:val="single" w:color="000000" w:sz="6" w:space="0"/>
              <w:right w:val="single" w:color="000000" w:sz="4" w:space="0"/>
            </w:tcBorders>
            <w:vAlign w:val="center"/>
          </w:tcPr>
          <w:p>
            <w:pPr>
              <w:pStyle w:val="9"/>
              <w:tabs>
                <w:tab w:val="left" w:pos="770"/>
              </w:tabs>
              <w:ind w:left="0" w:right="134"/>
              <w:jc w:val="left"/>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auto"/>
                <w:sz w:val="21"/>
                <w:szCs w:val="21"/>
                <w:highlight w:val="none"/>
                <w:lang w:val="en-US" w:eastAsia="zh-CN"/>
              </w:rPr>
              <w:t>★</w:t>
            </w:r>
            <w:r>
              <w:rPr>
                <w:rFonts w:hint="eastAsia" w:ascii="仿宋" w:hAnsi="仿宋" w:eastAsia="仿宋" w:cs="仿宋"/>
                <w:color w:val="000000" w:themeColor="text1"/>
                <w:sz w:val="21"/>
                <w:szCs w:val="21"/>
                <w:highlight w:val="none"/>
                <w:lang w:val="en-US" w:eastAsia="zh-CN"/>
                <w14:textFill>
                  <w14:solidFill>
                    <w14:schemeClr w14:val="tx1"/>
                  </w14:solidFill>
                </w14:textFill>
              </w:rPr>
              <w:t>制造商要求</w:t>
            </w:r>
          </w:p>
        </w:tc>
        <w:tc>
          <w:tcPr>
            <w:tcW w:w="3196" w:type="pct"/>
            <w:tcBorders>
              <w:top w:val="single" w:color="000000" w:sz="4" w:space="0"/>
              <w:left w:val="nil"/>
              <w:bottom w:val="single" w:color="000000" w:sz="4" w:space="0"/>
              <w:right w:val="single" w:color="000000" w:sz="4" w:space="0"/>
            </w:tcBorders>
            <w:vAlign w:val="center"/>
          </w:tcPr>
          <w:p>
            <w:pPr>
              <w:widowControl/>
              <w:numPr>
                <w:ilvl w:val="0"/>
                <w:numId w:val="0"/>
              </w:numPr>
              <w:ind w:firstLine="0" w:firstLineChars="0"/>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本次采购允许制造商参与。应答人应严格按照本次采购内容界定供应商属性，如为制造商，须按照本《询比文件》提供的格式填写《</w:t>
            </w:r>
            <w:r>
              <w:rPr>
                <w:rFonts w:hint="eastAsia" w:ascii="仿宋" w:hAnsi="仿宋" w:eastAsia="仿宋" w:cs="仿宋"/>
                <w:color w:val="000000" w:themeColor="text1"/>
                <w:kern w:val="0"/>
                <w:sz w:val="21"/>
                <w:szCs w:val="21"/>
                <w:highlight w:val="yellow"/>
                <w:lang w:val="en-US" w:eastAsia="zh-CN" w:bidi="ar-SA"/>
                <w14:textFill>
                  <w14:solidFill>
                    <w14:schemeClr w14:val="tx1"/>
                  </w14:solidFill>
                </w14:textFill>
              </w:rPr>
              <w:t>5.7：供应商承诺书</w:t>
            </w: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》，并根据《5.8：制造商属性证明书》中的要求提供相关证明材料。</w:t>
            </w:r>
            <w:r>
              <w:rPr>
                <w:rFonts w:hint="eastAsia" w:ascii="仿宋" w:hAnsi="仿宋" w:eastAsia="仿宋" w:cs="仿宋"/>
                <w:color w:val="000000" w:themeColor="text1"/>
                <w:kern w:val="0"/>
                <w:sz w:val="21"/>
                <w:szCs w:val="21"/>
                <w:highlight w:val="yellow"/>
                <w:lang w:val="en-US" w:eastAsia="zh-CN" w:bidi="ar-SA"/>
                <w14:textFill>
                  <w14:solidFill>
                    <w14:schemeClr w14:val="tx1"/>
                  </w14:solidFill>
                </w14:textFill>
              </w:rPr>
              <w:t>提供</w:t>
            </w:r>
            <w:r>
              <w:rPr>
                <w:rFonts w:hint="eastAsia" w:ascii="仿宋" w:hAnsi="仿宋" w:eastAsia="仿宋" w:cs="仿宋"/>
                <w:color w:val="auto"/>
                <w:sz w:val="20"/>
                <w:szCs w:val="20"/>
                <w:highlight w:val="yellow"/>
                <w:lang w:val="en-US" w:eastAsia="zh-CN"/>
              </w:rPr>
              <w:t>厂房、库房证明（1.需提供房产证明或租赁证明；2.提供实物照片等），与标的物相关的生产设备证明材料（3.提供相关设备购买证明或租赁证明;4.提供实物照片等）</w:t>
            </w:r>
            <w:r>
              <w:rPr>
                <w:rFonts w:hint="eastAsia" w:ascii="仿宋" w:hAnsi="仿宋" w:eastAsia="仿宋" w:cs="仿宋"/>
                <w:color w:val="0000FF"/>
                <w:sz w:val="20"/>
                <w:szCs w:val="20"/>
                <w:highlight w:val="yellow"/>
                <w:lang w:val="en-US" w:eastAsia="zh-CN"/>
              </w:rPr>
              <w:t>（备注：需提供以上共4种证明，参照附件5.9格式要求）</w:t>
            </w:r>
          </w:p>
        </w:tc>
      </w:tr>
      <w:tr>
        <w:tblPrEx>
          <w:tblCellMar>
            <w:top w:w="0" w:type="dxa"/>
            <w:left w:w="0" w:type="dxa"/>
            <w:bottom w:w="0" w:type="dxa"/>
            <w:right w:w="0" w:type="dxa"/>
          </w:tblCellMar>
        </w:tblPrEx>
        <w:trPr>
          <w:trHeight w:val="755" w:hRule="atLeast"/>
        </w:trPr>
        <w:tc>
          <w:tcPr>
            <w:tcW w:w="287" w:type="pct"/>
            <w:vMerge w:val="continue"/>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62" w:type="pct"/>
            <w:vMerge w:val="continue"/>
            <w:tcBorders>
              <w:top w:val="single" w:color="000000" w:sz="6" w:space="0"/>
              <w:left w:val="single" w:color="000000" w:sz="6" w:space="0"/>
              <w:bottom w:val="single" w:color="000000" w:sz="6" w:space="0"/>
              <w:right w:val="single" w:color="000000" w:sz="6"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53" w:type="pct"/>
            <w:tcBorders>
              <w:top w:val="single" w:color="000000" w:sz="4" w:space="0"/>
              <w:left w:val="single" w:color="000000" w:sz="6" w:space="0"/>
              <w:right w:val="single" w:color="000000" w:sz="4" w:space="0"/>
            </w:tcBorders>
            <w:vAlign w:val="center"/>
          </w:tcPr>
          <w:p>
            <w:pPr>
              <w:pStyle w:val="9"/>
              <w:tabs>
                <w:tab w:val="left" w:pos="770"/>
              </w:tabs>
              <w:ind w:left="0" w:right="134"/>
              <w:jc w:val="left"/>
              <w:rPr>
                <w:rFonts w:hint="eastAsia" w:ascii="仿宋" w:hAnsi="仿宋" w:eastAsia="仿宋" w:cs="仿宋"/>
                <w:color w:val="auto"/>
                <w:sz w:val="21"/>
                <w:szCs w:val="21"/>
                <w:highlight w:val="none"/>
                <w:lang w:val="en-US" w:eastAsia="zh-CN"/>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★代理商、贸易商要求（如涉及）</w:t>
            </w:r>
          </w:p>
        </w:tc>
        <w:tc>
          <w:tcPr>
            <w:tcW w:w="3196" w:type="pct"/>
            <w:tcBorders>
              <w:top w:val="single" w:color="000000" w:sz="4" w:space="0"/>
              <w:left w:val="nil"/>
              <w:bottom w:val="single" w:color="000000" w:sz="4" w:space="0"/>
              <w:right w:val="single" w:color="000000" w:sz="4" w:space="0"/>
            </w:tcBorders>
            <w:vAlign w:val="center"/>
          </w:tcPr>
          <w:p>
            <w:pPr>
              <w:tabs>
                <w:tab w:val="left" w:pos="770"/>
              </w:tabs>
              <w:ind w:right="134"/>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应答人应严格按照本次采购内容界定供应商属性，如为代理商、贸易商，须按照本《询比文件》提供的格式填写</w:t>
            </w:r>
            <w:r>
              <w:rPr>
                <w:rFonts w:hint="eastAsia" w:ascii="仿宋" w:hAnsi="仿宋" w:eastAsia="仿宋" w:cs="仿宋"/>
                <w:color w:val="000000" w:themeColor="text1"/>
                <w:kern w:val="0"/>
                <w:sz w:val="21"/>
                <w:szCs w:val="21"/>
                <w:highlight w:val="yellow"/>
                <w:lang w:val="en-US" w:eastAsia="zh-CN" w:bidi="ar-SA"/>
                <w14:textFill>
                  <w14:solidFill>
                    <w14:schemeClr w14:val="tx1"/>
                  </w14:solidFill>
                </w14:textFill>
              </w:rPr>
              <w:t>《5.7：供应商承诺书》，并根据《5.7：供应商承诺书》中的要求进行承诺。</w:t>
            </w: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应答人应按照模版格式，对适用情形进行选择，并加盖单位章。如应答人未提供或不符合填报要求以及无法满足承诺项的，都将影响评审结果。应答人准入资源库前，采购人有权对《供应商承诺书》中的承诺项进行</w:t>
            </w:r>
            <w:r>
              <w:rPr>
                <w:rFonts w:hint="eastAsia" w:ascii="仿宋" w:hAnsi="仿宋" w:eastAsia="仿宋" w:cs="仿宋"/>
                <w:b/>
                <w:bCs/>
                <w:color w:val="000000" w:themeColor="text1"/>
                <w:kern w:val="0"/>
                <w:sz w:val="21"/>
                <w:szCs w:val="21"/>
                <w:highlight w:val="none"/>
                <w:lang w:val="en-US" w:eastAsia="zh-CN" w:bidi="ar-SA"/>
                <w14:textFill>
                  <w14:solidFill>
                    <w14:schemeClr w14:val="tx1"/>
                  </w14:solidFill>
                </w14:textFill>
              </w:rPr>
              <w:t>现场考察验证</w:t>
            </w: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，在考察过程中供应商须全程配合并提供相应支撑文件，如考察结果与《供应商承诺书》中代理商、贸易商承诺情况不符，采购人有权取消其成交资格，存在造假情形的按供应商管理办法进行严肃处理。</w:t>
            </w:r>
          </w:p>
          <w:p>
            <w:pPr>
              <w:tabs>
                <w:tab w:val="left" w:pos="770"/>
              </w:tabs>
              <w:ind w:right="134"/>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宋体"/>
                <w:b/>
                <w:bCs/>
                <w:color w:val="auto"/>
                <w:kern w:val="0"/>
                <w:sz w:val="20"/>
                <w:szCs w:val="22"/>
                <w:highlight w:val="none"/>
                <w:lang w:val="en-US" w:eastAsia="zh-CN" w:bidi="ar-SA"/>
              </w:rPr>
              <w:t>1.贸易商需满足</w:t>
            </w:r>
            <w:r>
              <w:rPr>
                <w:rFonts w:hint="eastAsia" w:ascii="仿宋" w:hAnsi="仿宋" w:eastAsia="仿宋" w:cs="宋体"/>
                <w:color w:val="auto"/>
                <w:kern w:val="0"/>
                <w:sz w:val="20"/>
                <w:szCs w:val="22"/>
                <w:highlight w:val="none"/>
                <w:lang w:val="en-US" w:eastAsia="zh-CN" w:bidi="ar-SA"/>
              </w:rPr>
              <w:t>：</w:t>
            </w: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1）提供近三年经审计财务报表，且近一年利润不能为负且近一年资产负债率＜80%；2）自有社保人数≥5人，须提供近三月社保证明；3）不得将中国海油作为唯一服务客户，承诺中国海油非其唯一服务客户并提供支持性材料</w:t>
            </w:r>
            <w:r>
              <w:rPr>
                <w:rFonts w:hint="eastAsia" w:ascii="仿宋" w:hAnsi="仿宋" w:eastAsia="仿宋" w:cs="仿宋"/>
                <w:color w:val="000000" w:themeColor="text1"/>
                <w:kern w:val="0"/>
                <w:sz w:val="21"/>
                <w:szCs w:val="21"/>
                <w:highlight w:val="yellow"/>
                <w:lang w:val="en-US" w:eastAsia="zh-CN" w:bidi="ar-SA"/>
                <w14:textFill>
                  <w14:solidFill>
                    <w14:schemeClr w14:val="tx1"/>
                  </w14:solidFill>
                </w14:textFill>
              </w:rPr>
              <w:t>（海油外业绩：含业绩合同及与业绩合同对应的业绩发票并提供查询真伪截图）</w:t>
            </w: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w:t>
            </w:r>
          </w:p>
          <w:p>
            <w:pPr>
              <w:tabs>
                <w:tab w:val="left" w:pos="770"/>
              </w:tabs>
              <w:ind w:right="134"/>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2.</w:t>
            </w:r>
            <w:r>
              <w:rPr>
                <w:rFonts w:hint="eastAsia" w:ascii="仿宋" w:hAnsi="仿宋" w:eastAsia="仿宋" w:cs="仿宋"/>
                <w:b/>
                <w:bCs/>
                <w:color w:val="000000" w:themeColor="text1"/>
                <w:kern w:val="0"/>
                <w:sz w:val="21"/>
                <w:szCs w:val="21"/>
                <w:highlight w:val="none"/>
                <w:lang w:val="en-US" w:eastAsia="zh-CN" w:bidi="ar-SA"/>
                <w14:textFill>
                  <w14:solidFill>
                    <w14:schemeClr w14:val="tx1"/>
                  </w14:solidFill>
                </w14:textFill>
              </w:rPr>
              <w:t>代理商需满足</w:t>
            </w: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1）提供近三年经审计财务报表，且近一年利润不能为负且近一年资产负债率＜80%；2）自有社保人数≥5人，须提供近三月社保证明；3）不得将中国海油作为唯一服务客户，承诺中国海油非其唯一服务客户并提供支持性材料。（</w:t>
            </w:r>
            <w:r>
              <w:rPr>
                <w:rFonts w:hint="eastAsia" w:ascii="仿宋" w:hAnsi="仿宋" w:eastAsia="仿宋" w:cs="仿宋"/>
                <w:color w:val="000000" w:themeColor="text1"/>
                <w:kern w:val="0"/>
                <w:sz w:val="21"/>
                <w:szCs w:val="21"/>
                <w:highlight w:val="yellow"/>
                <w:lang w:val="en-US" w:eastAsia="zh-CN" w:bidi="ar-SA"/>
                <w14:textFill>
                  <w14:solidFill>
                    <w14:schemeClr w14:val="tx1"/>
                  </w14:solidFill>
                </w14:textFill>
              </w:rPr>
              <w:t>海油外业绩：含业绩合同及与业绩合同对应的业绩发票并提供查询真伪截图</w:t>
            </w: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）；4）具有有效代理证书，且满足资质要求，且不能为项目代理。</w:t>
            </w:r>
          </w:p>
          <w:p>
            <w:pPr>
              <w:tabs>
                <w:tab w:val="left" w:pos="770"/>
              </w:tabs>
              <w:ind w:right="134"/>
              <w:rPr>
                <w:rFonts w:hint="default" w:ascii="仿宋" w:hAnsi="仿宋" w:eastAsia="仿宋" w:cs="仿宋"/>
                <w:color w:val="000000" w:themeColor="text1"/>
                <w:kern w:val="0"/>
                <w:sz w:val="21"/>
                <w:szCs w:val="21"/>
                <w:highlight w:val="none"/>
                <w:lang w:val="en-US" w:eastAsia="zh-CN" w:bidi="ar-SA"/>
                <w14:textFill>
                  <w14:solidFill>
                    <w14:schemeClr w14:val="tx1"/>
                  </w14:solidFill>
                </w14:textFill>
              </w:rPr>
            </w:pPr>
          </w:p>
        </w:tc>
      </w:tr>
      <w:tr>
        <w:tblPrEx>
          <w:tblCellMar>
            <w:top w:w="0" w:type="dxa"/>
            <w:left w:w="0" w:type="dxa"/>
            <w:bottom w:w="0" w:type="dxa"/>
            <w:right w:w="0" w:type="dxa"/>
          </w:tblCellMar>
        </w:tblPrEx>
        <w:trPr>
          <w:trHeight w:val="755" w:hRule="atLeast"/>
        </w:trPr>
        <w:tc>
          <w:tcPr>
            <w:tcW w:w="287" w:type="pct"/>
            <w:vMerge w:val="continue"/>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62" w:type="pct"/>
            <w:vMerge w:val="continue"/>
            <w:tcBorders>
              <w:top w:val="single" w:color="000000" w:sz="6" w:space="0"/>
              <w:left w:val="single" w:color="000000" w:sz="6" w:space="0"/>
              <w:bottom w:val="single" w:color="000000" w:sz="6" w:space="0"/>
              <w:right w:val="single" w:color="000000" w:sz="6"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53" w:type="pct"/>
            <w:tcBorders>
              <w:top w:val="single" w:color="000000" w:sz="4" w:space="0"/>
              <w:left w:val="single" w:color="000000" w:sz="6" w:space="0"/>
              <w:right w:val="single" w:color="000000" w:sz="4" w:space="0"/>
            </w:tcBorders>
            <w:vAlign w:val="center"/>
          </w:tcPr>
          <w:p>
            <w:pPr>
              <w:pStyle w:val="9"/>
              <w:tabs>
                <w:tab w:val="left" w:pos="770"/>
              </w:tabs>
              <w:ind w:left="0" w:right="134"/>
              <w:jc w:val="left"/>
              <w:rPr>
                <w:rFonts w:hint="default"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代理证书</w:t>
            </w:r>
            <w:r>
              <w:rPr>
                <w:rFonts w:hint="eastAsia" w:ascii="仿宋" w:hAnsi="仿宋" w:eastAsia="仿宋" w:cs="仿宋"/>
                <w:color w:val="auto"/>
                <w:kern w:val="2"/>
                <w:sz w:val="21"/>
                <w:szCs w:val="21"/>
                <w:highlight w:val="none"/>
                <w:lang w:val="en-US" w:eastAsia="zh-CN" w:bidi="ar-SA"/>
              </w:rPr>
              <w:t>（如涉及）</w:t>
            </w:r>
          </w:p>
        </w:tc>
        <w:tc>
          <w:tcPr>
            <w:tcW w:w="3196" w:type="pct"/>
            <w:tcBorders>
              <w:top w:val="single" w:color="000000" w:sz="4" w:space="0"/>
              <w:left w:val="nil"/>
              <w:bottom w:val="single" w:color="000000" w:sz="4" w:space="0"/>
              <w:right w:val="single" w:color="000000" w:sz="4" w:space="0"/>
            </w:tcBorders>
            <w:vAlign w:val="center"/>
          </w:tcPr>
          <w:p>
            <w:pPr>
              <w:tabs>
                <w:tab w:val="left" w:pos="770"/>
              </w:tabs>
              <w:ind w:right="134" w:firstLine="0" w:firstLineChars="0"/>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1"/>
                <w:szCs w:val="21"/>
                <w:highlight w:val="yellow"/>
                <w:lang w:val="en-US" w:eastAsia="zh-CN" w:bidi="ar-SA"/>
                <w14:textFill>
                  <w14:solidFill>
                    <w14:schemeClr w14:val="tx1"/>
                  </w14:solidFill>
                </w14:textFill>
              </w:rPr>
              <w:t>投标人为代理商时</w:t>
            </w: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提供有效的制造商授权代理证书，且不属于项目代理。</w:t>
            </w:r>
            <w:r>
              <w:rPr>
                <w:rFonts w:hint="eastAsia" w:ascii="仿宋" w:hAnsi="仿宋" w:eastAsia="仿宋" w:cs="仿宋"/>
                <w:color w:val="auto"/>
                <w:kern w:val="2"/>
                <w:sz w:val="21"/>
                <w:szCs w:val="21"/>
                <w:highlight w:val="none"/>
                <w:lang w:val="en-US" w:eastAsia="zh-CN" w:bidi="ar-SA"/>
              </w:rPr>
              <w:t>如应答人未提供或采购人无法验证其真实性的，都将影响评审结果。</w:t>
            </w:r>
          </w:p>
        </w:tc>
      </w:tr>
      <w:tr>
        <w:tblPrEx>
          <w:tblCellMar>
            <w:top w:w="0" w:type="dxa"/>
            <w:left w:w="0" w:type="dxa"/>
            <w:bottom w:w="0" w:type="dxa"/>
            <w:right w:w="0" w:type="dxa"/>
          </w:tblCellMar>
        </w:tblPrEx>
        <w:trPr>
          <w:trHeight w:val="479" w:hRule="atLeast"/>
        </w:trPr>
        <w:tc>
          <w:tcPr>
            <w:tcW w:w="287" w:type="pct"/>
            <w:vMerge w:val="continue"/>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62" w:type="pct"/>
            <w:vMerge w:val="continue"/>
            <w:tcBorders>
              <w:top w:val="single" w:color="000000" w:sz="6" w:space="0"/>
              <w:left w:val="single" w:color="000000" w:sz="6" w:space="0"/>
              <w:bottom w:val="single" w:color="000000" w:sz="6" w:space="0"/>
              <w:right w:val="single" w:color="000000" w:sz="6"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53" w:type="pct"/>
            <w:tcBorders>
              <w:top w:val="single" w:color="000000" w:sz="4" w:space="0"/>
              <w:left w:val="single" w:color="000000" w:sz="6" w:space="0"/>
              <w:bottom w:val="single" w:color="000000" w:sz="4" w:space="0"/>
              <w:right w:val="single" w:color="000000" w:sz="4" w:space="0"/>
            </w:tcBorders>
            <w:vAlign w:val="center"/>
          </w:tcPr>
          <w:p>
            <w:pPr>
              <w:pStyle w:val="40"/>
              <w:spacing w:line="300" w:lineRule="exact"/>
              <w:jc w:val="left"/>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 w:val="0"/>
                <w:bCs/>
                <w:color w:val="000000" w:themeColor="text1"/>
                <w:sz w:val="21"/>
                <w:szCs w:val="21"/>
                <w:highlight w:val="none"/>
                <w:lang w:eastAsia="zh-CN"/>
                <w14:textFill>
                  <w14:solidFill>
                    <w14:schemeClr w14:val="tx1"/>
                  </w14:solidFill>
                </w14:textFill>
              </w:rPr>
              <w:t>业绩要求</w:t>
            </w:r>
          </w:p>
          <w:p>
            <w:pPr>
              <w:pStyle w:val="40"/>
              <w:spacing w:line="300" w:lineRule="exact"/>
              <w:jc w:val="both"/>
              <w:rPr>
                <w:rFonts w:hint="eastAsia" w:asciiTheme="minorHAnsi" w:hAnsiTheme="minorHAnsi" w:eastAsiaTheme="minorEastAsia" w:cstheme="minorBidi"/>
                <w:kern w:val="2"/>
                <w:sz w:val="21"/>
                <w:szCs w:val="22"/>
                <w:lang w:val="en-US" w:eastAsia="zh-CN" w:bidi="ar-SA"/>
              </w:rPr>
            </w:pPr>
          </w:p>
        </w:tc>
        <w:tc>
          <w:tcPr>
            <w:tcW w:w="3196" w:type="pct"/>
            <w:tcBorders>
              <w:top w:val="single" w:color="000000" w:sz="4" w:space="0"/>
              <w:left w:val="nil"/>
              <w:bottom w:val="single" w:color="000000" w:sz="4" w:space="0"/>
              <w:right w:val="single" w:color="000000" w:sz="4" w:space="0"/>
            </w:tcBorders>
            <w:vAlign w:val="center"/>
          </w:tcPr>
          <w:p>
            <w:pPr>
              <w:pStyle w:val="34"/>
              <w:rPr>
                <w:rFonts w:hint="default" w:asciiTheme="minorHAnsi" w:hAnsiTheme="minorHAnsi" w:eastAsiaTheme="minorEastAsia" w:cstheme="minorBidi"/>
                <w:kern w:val="2"/>
                <w:sz w:val="21"/>
                <w:szCs w:val="22"/>
                <w:lang w:val="en-US" w:eastAsia="zh-CN" w:bidi="ar-SA"/>
              </w:rPr>
            </w:pPr>
            <w:r>
              <w:rPr>
                <w:rFonts w:hint="eastAsia" w:ascii="仿宋" w:hAnsi="仿宋" w:eastAsia="仿宋" w:cs="仿宋"/>
                <w:color w:val="000000" w:themeColor="text1"/>
                <w:kern w:val="0"/>
                <w:sz w:val="21"/>
                <w:szCs w:val="21"/>
                <w:highlight w:val="none"/>
                <w:lang w:val="en-US" w:eastAsia="zh-CN" w:bidi="ar-SA"/>
                <w14:textFill>
                  <w14:solidFill>
                    <w14:schemeClr w14:val="tx1"/>
                  </w14:solidFill>
                </w14:textFill>
              </w:rPr>
              <w:t>无具体要求</w:t>
            </w:r>
          </w:p>
        </w:tc>
      </w:tr>
      <w:tr>
        <w:tblPrEx>
          <w:tblCellMar>
            <w:top w:w="0" w:type="dxa"/>
            <w:left w:w="0" w:type="dxa"/>
            <w:bottom w:w="0" w:type="dxa"/>
            <w:right w:w="0" w:type="dxa"/>
          </w:tblCellMar>
        </w:tblPrEx>
        <w:trPr>
          <w:trHeight w:val="479" w:hRule="atLeast"/>
        </w:trPr>
        <w:tc>
          <w:tcPr>
            <w:tcW w:w="287" w:type="pct"/>
            <w:vMerge w:val="continue"/>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62" w:type="pct"/>
            <w:vMerge w:val="continue"/>
            <w:tcBorders>
              <w:top w:val="single" w:color="000000" w:sz="6" w:space="0"/>
              <w:left w:val="single" w:color="000000" w:sz="6" w:space="0"/>
              <w:bottom w:val="single" w:color="000000" w:sz="6" w:space="0"/>
              <w:right w:val="single" w:color="000000" w:sz="6"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53" w:type="pct"/>
            <w:tcBorders>
              <w:top w:val="single" w:color="auto" w:sz="4" w:space="0"/>
              <w:left w:val="single" w:color="000000" w:sz="6" w:space="0"/>
              <w:bottom w:val="nil"/>
              <w:right w:val="single" w:color="000000" w:sz="4" w:space="0"/>
            </w:tcBorders>
            <w:vAlign w:val="center"/>
          </w:tcPr>
          <w:p>
            <w:pPr>
              <w:pStyle w:val="40"/>
              <w:spacing w:line="300" w:lineRule="exact"/>
              <w:jc w:val="center"/>
              <w:rPr>
                <w:rFonts w:hint="default" w:ascii="仿宋" w:hAnsi="仿宋" w:eastAsia="仿宋" w:cs="仿宋"/>
                <w:color w:val="auto"/>
                <w:sz w:val="21"/>
                <w:szCs w:val="21"/>
                <w:highlight w:val="none"/>
                <w:lang w:val="en-US" w:eastAsia="zh-CN"/>
              </w:rPr>
            </w:pPr>
            <w:r>
              <w:rPr>
                <w:rFonts w:hint="eastAsia" w:ascii="仿宋" w:hAnsi="仿宋" w:eastAsia="仿宋" w:cs="仿宋"/>
                <w:bCs/>
                <w:color w:val="000000" w:themeColor="text1"/>
                <w:sz w:val="21"/>
                <w:szCs w:val="21"/>
                <w:highlight w:val="none"/>
                <w:lang w:eastAsia="zh-CN"/>
                <w14:textFill>
                  <w14:solidFill>
                    <w14:schemeClr w14:val="tx1"/>
                  </w14:solidFill>
                </w14:textFill>
              </w:rPr>
              <w:t>付款条款</w:t>
            </w:r>
          </w:p>
        </w:tc>
        <w:tc>
          <w:tcPr>
            <w:tcW w:w="3196" w:type="pct"/>
            <w:tcBorders>
              <w:top w:val="single" w:color="auto" w:sz="4" w:space="0"/>
              <w:left w:val="nil"/>
              <w:bottom w:val="nil"/>
              <w:right w:val="single" w:color="000000" w:sz="4" w:space="0"/>
            </w:tcBorders>
            <w:vAlign w:val="center"/>
          </w:tcPr>
          <w:p>
            <w:pPr>
              <w:pStyle w:val="8"/>
              <w:ind w:right="11"/>
              <w:rPr>
                <w:rFonts w:hint="eastAsia" w:ascii="仿宋" w:hAnsi="仿宋" w:eastAsia="仿宋" w:cs="仿宋"/>
                <w:strike w:val="0"/>
                <w:color w:val="auto"/>
                <w:sz w:val="21"/>
                <w:szCs w:val="21"/>
                <w:highlight w:val="yellow"/>
                <w:lang w:val="en-US" w:eastAsia="zh-CN"/>
              </w:rPr>
            </w:pPr>
            <w:r>
              <w:rPr>
                <w:rFonts w:hint="eastAsia" w:ascii="仿宋" w:hAnsi="仿宋" w:eastAsia="仿宋" w:cs="仿宋"/>
                <w:color w:val="auto"/>
                <w:kern w:val="0"/>
                <w:sz w:val="21"/>
                <w:szCs w:val="21"/>
                <w:highlight w:val="none"/>
                <w:lang w:val="en-US" w:eastAsia="zh-CN" w:bidi="ar-SA"/>
              </w:rPr>
              <w:t>（1）卖方在合同规定的期限内将货物运至交货地点，经买方验收合格后，卖方开具全额增值税专用发票，买方在收到发票后四十五（45）日内，支付合同总价的100</w:t>
            </w:r>
            <w:r>
              <w:rPr>
                <w:rFonts w:hint="default" w:ascii="仿宋" w:hAnsi="仿宋" w:eastAsia="仿宋" w:cs="仿宋"/>
                <w:color w:val="auto"/>
                <w:kern w:val="0"/>
                <w:sz w:val="21"/>
                <w:szCs w:val="21"/>
                <w:highlight w:val="none"/>
                <w:lang w:val="en-US" w:eastAsia="zh-CN" w:bidi="ar-SA"/>
              </w:rPr>
              <w:t>%</w:t>
            </w:r>
            <w:r>
              <w:rPr>
                <w:rFonts w:hint="eastAsia" w:ascii="仿宋" w:hAnsi="仿宋" w:eastAsia="仿宋" w:cs="仿宋"/>
                <w:color w:val="auto"/>
                <w:kern w:val="0"/>
                <w:sz w:val="21"/>
                <w:szCs w:val="21"/>
                <w:highlight w:val="none"/>
                <w:lang w:val="en-US" w:eastAsia="zh-CN" w:bidi="ar-SA"/>
              </w:rPr>
              <w:t>；</w:t>
            </w:r>
          </w:p>
        </w:tc>
      </w:tr>
      <w:tr>
        <w:tblPrEx>
          <w:tblCellMar>
            <w:top w:w="0" w:type="dxa"/>
            <w:left w:w="0" w:type="dxa"/>
            <w:bottom w:w="0" w:type="dxa"/>
            <w:right w:w="0" w:type="dxa"/>
          </w:tblCellMar>
        </w:tblPrEx>
        <w:trPr>
          <w:trHeight w:val="479" w:hRule="atLeast"/>
        </w:trPr>
        <w:tc>
          <w:tcPr>
            <w:tcW w:w="287" w:type="pct"/>
            <w:vMerge w:val="continue"/>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62" w:type="pct"/>
            <w:vMerge w:val="continue"/>
            <w:tcBorders>
              <w:top w:val="single" w:color="000000" w:sz="6" w:space="0"/>
              <w:left w:val="single" w:color="000000" w:sz="6" w:space="0"/>
              <w:bottom w:val="single" w:color="000000" w:sz="6" w:space="0"/>
              <w:right w:val="single" w:color="000000" w:sz="6"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53" w:type="pct"/>
            <w:tcBorders>
              <w:top w:val="single" w:color="000000" w:sz="4" w:space="0"/>
              <w:left w:val="single" w:color="000000" w:sz="6" w:space="0"/>
              <w:bottom w:val="single" w:color="000000" w:sz="4" w:space="0"/>
              <w:right w:val="single" w:color="000000" w:sz="4" w:space="0"/>
            </w:tcBorders>
            <w:vAlign w:val="center"/>
          </w:tcPr>
          <w:p>
            <w:pPr>
              <w:jc w:val="cente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质保期条款</w:t>
            </w:r>
          </w:p>
        </w:tc>
        <w:tc>
          <w:tcPr>
            <w:tcW w:w="3196" w:type="pct"/>
            <w:tcBorders>
              <w:top w:val="single" w:color="000000" w:sz="4" w:space="0"/>
              <w:left w:val="nil"/>
              <w:bottom w:val="single" w:color="000000" w:sz="4" w:space="0"/>
              <w:right w:val="single" w:color="000000" w:sz="4" w:space="0"/>
            </w:tcBorders>
            <w:vAlign w:val="center"/>
          </w:tcPr>
          <w:p>
            <w:pPr>
              <w:jc w:val="left"/>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t>质保期为货物验收合格之日起12个月；</w:t>
            </w:r>
          </w:p>
        </w:tc>
      </w:tr>
      <w:tr>
        <w:tblPrEx>
          <w:tblCellMar>
            <w:top w:w="0" w:type="dxa"/>
            <w:left w:w="0" w:type="dxa"/>
            <w:bottom w:w="0" w:type="dxa"/>
            <w:right w:w="0" w:type="dxa"/>
          </w:tblCellMar>
        </w:tblPrEx>
        <w:trPr>
          <w:trHeight w:val="479" w:hRule="atLeast"/>
        </w:trPr>
        <w:tc>
          <w:tcPr>
            <w:tcW w:w="287" w:type="pct"/>
            <w:vMerge w:val="continue"/>
            <w:tcBorders>
              <w:top w:val="single" w:color="000000" w:sz="6" w:space="0"/>
              <w:left w:val="single" w:color="000000" w:sz="6" w:space="0"/>
              <w:bottom w:val="single" w:color="000000" w:sz="6" w:space="0"/>
              <w:right w:val="single" w:color="000000" w:sz="6" w:space="0"/>
            </w:tcBorders>
            <w:vAlign w:val="center"/>
          </w:tcPr>
          <w:p>
            <w:pPr>
              <w:spacing w:line="300" w:lineRule="exact"/>
              <w:jc w:val="center"/>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62" w:type="pct"/>
            <w:vMerge w:val="continue"/>
            <w:tcBorders>
              <w:top w:val="single" w:color="000000" w:sz="6" w:space="0"/>
              <w:left w:val="single" w:color="000000" w:sz="6" w:space="0"/>
              <w:bottom w:val="single" w:color="000000" w:sz="6" w:space="0"/>
              <w:right w:val="single" w:color="000000" w:sz="6"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53" w:type="pct"/>
            <w:tcBorders>
              <w:top w:val="single" w:color="000000" w:sz="4" w:space="0"/>
              <w:left w:val="single" w:color="000000" w:sz="6" w:space="0"/>
              <w:bottom w:val="single" w:color="000000" w:sz="4" w:space="0"/>
              <w:right w:val="single" w:color="000000" w:sz="4" w:space="0"/>
            </w:tcBorders>
            <w:vAlign w:val="center"/>
          </w:tcPr>
          <w:p>
            <w:pPr>
              <w:pStyle w:val="40"/>
              <w:spacing w:line="300" w:lineRule="exact"/>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其他</w:t>
            </w:r>
          </w:p>
        </w:tc>
        <w:tc>
          <w:tcPr>
            <w:tcW w:w="3196" w:type="pct"/>
            <w:tcBorders>
              <w:top w:val="single" w:color="000000" w:sz="4" w:space="0"/>
              <w:left w:val="nil"/>
              <w:bottom w:val="single" w:color="000000" w:sz="4" w:space="0"/>
              <w:right w:val="single" w:color="000000"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both"/>
              <w:textAlignment w:val="auto"/>
              <w:rPr>
                <w:rFonts w:hint="default"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无</w:t>
            </w:r>
          </w:p>
        </w:tc>
      </w:tr>
      <w:tr>
        <w:tblPrEx>
          <w:tblCellMar>
            <w:top w:w="0" w:type="dxa"/>
            <w:left w:w="0" w:type="dxa"/>
            <w:bottom w:w="0" w:type="dxa"/>
            <w:right w:w="0" w:type="dxa"/>
          </w:tblCellMar>
        </w:tblPrEx>
        <w:trPr>
          <w:trHeight w:val="454" w:hRule="atLeast"/>
        </w:trPr>
        <w:tc>
          <w:tcPr>
            <w:tcW w:w="287"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62" w:type="pct"/>
            <w:vMerge w:val="continue"/>
            <w:tcBorders>
              <w:top w:val="single" w:color="000000" w:sz="6" w:space="0"/>
              <w:left w:val="single" w:color="000000" w:sz="6" w:space="0"/>
              <w:bottom w:val="single" w:color="000000" w:sz="6" w:space="0"/>
              <w:right w:val="single" w:color="000000" w:sz="6"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1253" w:type="pct"/>
            <w:tcBorders>
              <w:top w:val="single" w:color="000000" w:sz="4" w:space="0"/>
              <w:left w:val="single" w:color="000000" w:sz="6" w:space="0"/>
              <w:bottom w:val="single" w:color="000000" w:sz="4" w:space="0"/>
              <w:right w:val="single" w:color="000000" w:sz="4" w:space="0"/>
            </w:tcBorders>
            <w:vAlign w:val="center"/>
          </w:tcPr>
          <w:p>
            <w:pPr>
              <w:pStyle w:val="40"/>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★商务偏离要求</w:t>
            </w:r>
          </w:p>
        </w:tc>
        <w:tc>
          <w:tcPr>
            <w:tcW w:w="3196" w:type="pct"/>
            <w:tcBorders>
              <w:top w:val="single" w:color="000000" w:sz="4" w:space="0"/>
              <w:left w:val="nil"/>
              <w:bottom w:val="single" w:color="000000" w:sz="4" w:space="0"/>
              <w:right w:val="single" w:color="000000" w:sz="4" w:space="0"/>
            </w:tcBorders>
            <w:vAlign w:val="center"/>
          </w:tcPr>
          <w:p>
            <w:pPr>
              <w:pStyle w:val="4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1.一般商务指标偏离超过**项，则评议不合格。</w:t>
            </w:r>
          </w:p>
          <w:p>
            <w:pPr>
              <w:pStyle w:val="40"/>
              <w:jc w:val="both"/>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40"/>
              <w:jc w:val="both"/>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3.对于一般条款，提供了商务偏离表且明确无偏离，如无要求提供支持材料，则视为合格。</w:t>
            </w:r>
          </w:p>
        </w:tc>
      </w:tr>
      <w:tr>
        <w:tblPrEx>
          <w:tblCellMar>
            <w:top w:w="0" w:type="dxa"/>
            <w:left w:w="0" w:type="dxa"/>
            <w:bottom w:w="0" w:type="dxa"/>
            <w:right w:w="0" w:type="dxa"/>
          </w:tblCellMar>
        </w:tblPrEx>
        <w:trPr>
          <w:trHeight w:val="454" w:hRule="atLeast"/>
        </w:trPr>
        <w:tc>
          <w:tcPr>
            <w:tcW w:w="287" w:type="pct"/>
            <w:vMerge w:val="restart"/>
            <w:tcBorders>
              <w:top w:val="single" w:color="000000" w:sz="6" w:space="0"/>
              <w:left w:val="single" w:color="auto" w:sz="4" w:space="0"/>
              <w:bottom w:val="single" w:color="000000" w:sz="6" w:space="0"/>
              <w:right w:val="single" w:color="auto" w:sz="4"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2</w:t>
            </w:r>
          </w:p>
        </w:tc>
        <w:tc>
          <w:tcPr>
            <w:tcW w:w="262" w:type="pct"/>
            <w:vMerge w:val="restart"/>
            <w:tcBorders>
              <w:top w:val="single" w:color="000000" w:sz="6" w:space="0"/>
              <w:left w:val="single" w:color="auto" w:sz="4" w:space="0"/>
              <w:bottom w:val="single" w:color="000000" w:sz="6" w:space="0"/>
              <w:right w:val="single" w:color="auto" w:sz="4" w:space="0"/>
            </w:tcBorders>
            <w:textDirection w:val="tbRlV"/>
            <w:vAlign w:val="center"/>
          </w:tcPr>
          <w:p>
            <w:pPr>
              <w:pStyle w:val="4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r>
              <w:rPr>
                <w:rFonts w:hint="eastAsia" w:ascii="仿宋" w:hAnsi="仿宋" w:eastAsia="仿宋" w:cs="仿宋"/>
                <w:bCs/>
                <w:color w:val="000000" w:themeColor="text1"/>
                <w:sz w:val="21"/>
                <w:szCs w:val="21"/>
                <w:highlight w:val="none"/>
                <w:lang w:eastAsia="zh-CN"/>
                <w14:textFill>
                  <w14:solidFill>
                    <w14:schemeClr w14:val="tx1"/>
                  </w14:solidFill>
                </w14:textFill>
              </w:rPr>
              <w:t>技术标准</w:t>
            </w:r>
          </w:p>
        </w:tc>
        <w:tc>
          <w:tcPr>
            <w:tcW w:w="1253" w:type="pct"/>
            <w:tcBorders>
              <w:top w:val="single" w:color="auto" w:sz="4" w:space="0"/>
              <w:left w:val="single" w:color="auto" w:sz="4" w:space="0"/>
              <w:bottom w:val="single" w:color="auto" w:sz="4" w:space="0"/>
              <w:right w:val="single" w:color="auto" w:sz="4" w:space="0"/>
            </w:tcBorders>
            <w:vAlign w:val="center"/>
          </w:tcPr>
          <w:p>
            <w:pPr>
              <w:widowControl/>
              <w:ind w:right="11" w:rightChars="0"/>
              <w:jc w:val="center"/>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lang w:eastAsia="zh-CN"/>
                <w14:textFill>
                  <w14:solidFill>
                    <w14:schemeClr w14:val="tx1"/>
                  </w14:solidFill>
                </w14:textFill>
              </w:rPr>
              <w:t>关键技术参数</w:t>
            </w:r>
          </w:p>
        </w:tc>
        <w:tc>
          <w:tcPr>
            <w:tcW w:w="3196" w:type="pct"/>
            <w:tcBorders>
              <w:top w:val="single" w:color="000000" w:sz="4" w:space="0"/>
              <w:left w:val="single" w:color="auto" w:sz="4" w:space="0"/>
              <w:bottom w:val="single" w:color="000000" w:sz="4" w:space="0"/>
              <w:right w:val="single" w:color="000000" w:sz="4" w:space="0"/>
            </w:tcBorders>
            <w:vAlign w:val="center"/>
          </w:tcPr>
          <w:p>
            <w:pPr>
              <w:pStyle w:val="50"/>
              <w:keepNext w:val="0"/>
              <w:keepLines w:val="0"/>
              <w:pageBreakBefore w:val="0"/>
              <w:numPr>
                <w:ilvl w:val="0"/>
                <w:numId w:val="4"/>
              </w:numPr>
              <w:kinsoku/>
              <w:wordWrap/>
              <w:overflowPunct/>
              <w:topLinePunct w:val="0"/>
              <w:bidi w:val="0"/>
              <w:snapToGrid w:val="0"/>
              <w:spacing w:before="120" w:after="120" w:line="360" w:lineRule="auto"/>
              <w:textAlignment w:val="auto"/>
              <w:outlineLvl w:val="0"/>
              <w:rPr>
                <w:rFonts w:hint="default"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规格型号：</w:t>
            </w:r>
          </w:p>
          <w:tbl>
            <w:tblPr>
              <w:tblStyle w:val="18"/>
              <w:tblpPr w:leftFromText="180" w:rightFromText="180" w:vertAnchor="text" w:horzAnchor="page" w:tblpXSpec="center" w:tblpY="439"/>
              <w:tblOverlap w:val="never"/>
              <w:tblW w:w="5779" w:type="dxa"/>
              <w:jc w:val="center"/>
              <w:tblLayout w:type="autofit"/>
              <w:tblCellMar>
                <w:top w:w="0" w:type="dxa"/>
                <w:left w:w="108" w:type="dxa"/>
                <w:bottom w:w="0" w:type="dxa"/>
                <w:right w:w="108" w:type="dxa"/>
              </w:tblCellMar>
            </w:tblPr>
            <w:tblGrid>
              <w:gridCol w:w="578"/>
              <w:gridCol w:w="2106"/>
              <w:gridCol w:w="1079"/>
              <w:gridCol w:w="2016"/>
            </w:tblGrid>
            <w:tr>
              <w:tblPrEx>
                <w:tblCellMar>
                  <w:top w:w="0" w:type="dxa"/>
                  <w:left w:w="108" w:type="dxa"/>
                  <w:bottom w:w="0" w:type="dxa"/>
                  <w:right w:w="108" w:type="dxa"/>
                </w:tblCellMar>
              </w:tblPrEx>
              <w:trPr>
                <w:trHeight w:val="741"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序号</w:t>
                  </w:r>
                </w:p>
              </w:tc>
              <w:tc>
                <w:tcPr>
                  <w:tcW w:w="196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物资名称规格型号</w:t>
                  </w:r>
                </w:p>
              </w:tc>
              <w:tc>
                <w:tcPr>
                  <w:tcW w:w="114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default"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数量（单位TO)</w:t>
                  </w:r>
                </w:p>
              </w:tc>
              <w:tc>
                <w:tcPr>
                  <w:tcW w:w="206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备注</w:t>
                  </w:r>
                </w:p>
              </w:tc>
            </w:tr>
            <w:tr>
              <w:tblPrEx>
                <w:tblCellMar>
                  <w:top w:w="0" w:type="dxa"/>
                  <w:left w:w="108" w:type="dxa"/>
                  <w:bottom w:w="0" w:type="dxa"/>
                  <w:right w:w="108" w:type="dxa"/>
                </w:tblCellMar>
              </w:tblPrEx>
              <w:trPr>
                <w:trHeight w:val="916" w:hRule="atLeast"/>
                <w:jc w:val="center"/>
              </w:trPr>
              <w:tc>
                <w:tcPr>
                  <w:tcW w:w="60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w:t>
                  </w:r>
                </w:p>
              </w:tc>
              <w:tc>
                <w:tcPr>
                  <w:tcW w:w="19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钢板\PL10\Q235B\GB/T 3274</w:t>
                  </w:r>
                </w:p>
              </w:tc>
              <w:tc>
                <w:tcPr>
                  <w:tcW w:w="114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0.71</w:t>
                  </w:r>
                </w:p>
              </w:tc>
              <w:tc>
                <w:tcPr>
                  <w:tcW w:w="206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9㎡×1张，裸材供货</w:t>
                  </w:r>
                </w:p>
              </w:tc>
            </w:tr>
            <w:tr>
              <w:tblPrEx>
                <w:tblCellMar>
                  <w:top w:w="0" w:type="dxa"/>
                  <w:left w:w="108" w:type="dxa"/>
                  <w:bottom w:w="0" w:type="dxa"/>
                  <w:right w:w="108" w:type="dxa"/>
                </w:tblCellMar>
              </w:tblPrEx>
              <w:trPr>
                <w:trHeight w:val="90" w:hRule="atLeast"/>
                <w:jc w:val="center"/>
              </w:trPr>
              <w:tc>
                <w:tcPr>
                  <w:tcW w:w="60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2</w:t>
                  </w:r>
                </w:p>
              </w:tc>
              <w:tc>
                <w:tcPr>
                  <w:tcW w:w="19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钢板\PL10\S31803\ASTM A240</w:t>
                  </w:r>
                </w:p>
              </w:tc>
              <w:tc>
                <w:tcPr>
                  <w:tcW w:w="114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0.71</w:t>
                  </w:r>
                </w:p>
              </w:tc>
              <w:tc>
                <w:tcPr>
                  <w:tcW w:w="206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9㎡×1张，裸材供货</w:t>
                  </w:r>
                </w:p>
              </w:tc>
            </w:tr>
            <w:tr>
              <w:tblPrEx>
                <w:tblCellMar>
                  <w:top w:w="0" w:type="dxa"/>
                  <w:left w:w="108" w:type="dxa"/>
                  <w:bottom w:w="0" w:type="dxa"/>
                  <w:right w:w="108" w:type="dxa"/>
                </w:tblCellMar>
              </w:tblPrEx>
              <w:trPr>
                <w:trHeight w:val="916" w:hRule="atLeast"/>
                <w:jc w:val="center"/>
              </w:trPr>
              <w:tc>
                <w:tcPr>
                  <w:tcW w:w="60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3</w:t>
                  </w:r>
                </w:p>
              </w:tc>
              <w:tc>
                <w:tcPr>
                  <w:tcW w:w="19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钢板\PL12\A36\ASTM A36</w:t>
                  </w:r>
                </w:p>
              </w:tc>
              <w:tc>
                <w:tcPr>
                  <w:tcW w:w="114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0.85</w:t>
                  </w:r>
                </w:p>
              </w:tc>
              <w:tc>
                <w:tcPr>
                  <w:tcW w:w="206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9㎡×1张，裸材供货</w:t>
                  </w:r>
                </w:p>
              </w:tc>
            </w:tr>
            <w:tr>
              <w:tblPrEx>
                <w:tblCellMar>
                  <w:top w:w="0" w:type="dxa"/>
                  <w:left w:w="108" w:type="dxa"/>
                  <w:bottom w:w="0" w:type="dxa"/>
                  <w:right w:w="108" w:type="dxa"/>
                </w:tblCellMar>
              </w:tblPrEx>
              <w:trPr>
                <w:trHeight w:val="1086"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4</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钢板\PL12\Q235B\GB/T 3274</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0.85</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9㎡×1张，裸材供货</w:t>
                  </w:r>
                </w:p>
              </w:tc>
            </w:tr>
            <w:tr>
              <w:trPr>
                <w:trHeight w:val="1086"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5</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钢板\PL12\S31803\ASTM A240</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0.85</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9㎡×1张，裸材供货</w:t>
                  </w:r>
                </w:p>
              </w:tc>
            </w:tr>
            <w:tr>
              <w:tblPrEx>
                <w:tblCellMar>
                  <w:top w:w="0" w:type="dxa"/>
                  <w:left w:w="108" w:type="dxa"/>
                  <w:bottom w:w="0" w:type="dxa"/>
                  <w:right w:w="108" w:type="dxa"/>
                </w:tblCellMar>
              </w:tblPrEx>
              <w:trPr>
                <w:trHeight w:val="947"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6</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钢板\PL12\S31803\NACE MR0175\ASTM A240</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0.85</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9㎡×1张，裸材供货</w:t>
                  </w:r>
                </w:p>
              </w:tc>
            </w:tr>
            <w:tr>
              <w:tblPrEx>
                <w:tblCellMar>
                  <w:top w:w="0" w:type="dxa"/>
                  <w:left w:w="108" w:type="dxa"/>
                  <w:bottom w:w="0" w:type="dxa"/>
                  <w:right w:w="108" w:type="dxa"/>
                </w:tblCellMar>
              </w:tblPrEx>
              <w:trPr>
                <w:trHeight w:val="822"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7</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钢板\PL15\S31803\ASTM A240</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1.06</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9㎡×1张，裸材供货</w:t>
                  </w:r>
                </w:p>
              </w:tc>
            </w:tr>
            <w:tr>
              <w:tblPrEx>
                <w:tblCellMar>
                  <w:top w:w="0" w:type="dxa"/>
                  <w:left w:w="108" w:type="dxa"/>
                  <w:bottom w:w="0" w:type="dxa"/>
                  <w:right w:w="108" w:type="dxa"/>
                </w:tblCellMar>
              </w:tblPrEx>
              <w:trPr>
                <w:trHeight w:val="909"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8</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钢板\PL2\316L\ASTM A240</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0.15</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9㎡×1张，裸材供货</w:t>
                  </w:r>
                </w:p>
              </w:tc>
            </w:tr>
            <w:tr>
              <w:tblPrEx>
                <w:tblCellMar>
                  <w:top w:w="0" w:type="dxa"/>
                  <w:left w:w="108" w:type="dxa"/>
                  <w:bottom w:w="0" w:type="dxa"/>
                  <w:right w:w="108" w:type="dxa"/>
                </w:tblCellMar>
              </w:tblPrEx>
              <w:trPr>
                <w:trHeight w:val="1034"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9</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钢板\PL20\Q235B\GB/T 3274</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1.42</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9㎡×1张，裸材供货</w:t>
                  </w:r>
                </w:p>
              </w:tc>
            </w:tr>
            <w:tr>
              <w:tblPrEx>
                <w:tblCellMar>
                  <w:top w:w="0" w:type="dxa"/>
                  <w:left w:w="108" w:type="dxa"/>
                  <w:bottom w:w="0" w:type="dxa"/>
                  <w:right w:w="108" w:type="dxa"/>
                </w:tblCellMar>
              </w:tblPrEx>
              <w:trPr>
                <w:trHeight w:val="1134"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10</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钢板\PL3\316L\ASTM A240</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0.22</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9㎡×1张，裸材供货</w:t>
                  </w:r>
                </w:p>
              </w:tc>
            </w:tr>
            <w:tr>
              <w:tblPrEx>
                <w:tblCellMar>
                  <w:top w:w="0" w:type="dxa"/>
                  <w:left w:w="108" w:type="dxa"/>
                  <w:bottom w:w="0" w:type="dxa"/>
                  <w:right w:w="108" w:type="dxa"/>
                </w:tblCellMar>
              </w:tblPrEx>
              <w:trPr>
                <w:trHeight w:val="663"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11</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钢板\PL6\A36\ASTM A36</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0.43</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9㎡×1张，裸材供货</w:t>
                  </w:r>
                </w:p>
              </w:tc>
            </w:tr>
            <w:tr>
              <w:tblPrEx>
                <w:tblCellMar>
                  <w:top w:w="0" w:type="dxa"/>
                  <w:left w:w="108" w:type="dxa"/>
                  <w:bottom w:w="0" w:type="dxa"/>
                  <w:right w:w="108" w:type="dxa"/>
                </w:tblCellMar>
              </w:tblPrEx>
              <w:trPr>
                <w:trHeight w:val="910"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12</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钢板\PL6\Q235B\GB/T 3274</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0.43</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9㎡×1张，裸材供货</w:t>
                  </w:r>
                </w:p>
              </w:tc>
            </w:tr>
            <w:tr>
              <w:trPr>
                <w:trHeight w:val="822"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13</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钢板\PL6\S31803\ASTM A240</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0.43</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9㎡×1张，裸材供货</w:t>
                  </w:r>
                </w:p>
              </w:tc>
            </w:tr>
            <w:tr>
              <w:tblPrEx>
                <w:tblCellMar>
                  <w:top w:w="0" w:type="dxa"/>
                  <w:left w:w="108" w:type="dxa"/>
                  <w:bottom w:w="0" w:type="dxa"/>
                  <w:right w:w="108" w:type="dxa"/>
                </w:tblCellMar>
              </w:tblPrEx>
              <w:trPr>
                <w:trHeight w:val="922"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14</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钢板\PL8\Q235B\GB/T 3274</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1.14</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9㎡×2张，裸材供货</w:t>
                  </w:r>
                </w:p>
              </w:tc>
            </w:tr>
            <w:tr>
              <w:tblPrEx>
                <w:tblCellMar>
                  <w:top w:w="0" w:type="dxa"/>
                  <w:left w:w="108" w:type="dxa"/>
                  <w:bottom w:w="0" w:type="dxa"/>
                  <w:right w:w="108" w:type="dxa"/>
                </w:tblCellMar>
              </w:tblPrEx>
              <w:trPr>
                <w:trHeight w:val="760"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15</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钢板\PL8\S31803\ASTM A240</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0.57</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9㎡×1张，裸材供货</w:t>
                  </w:r>
                </w:p>
              </w:tc>
            </w:tr>
            <w:tr>
              <w:tblPrEx>
                <w:tblCellMar>
                  <w:top w:w="0" w:type="dxa"/>
                  <w:left w:w="108" w:type="dxa"/>
                  <w:bottom w:w="0" w:type="dxa"/>
                  <w:right w:w="108" w:type="dxa"/>
                </w:tblCellMar>
              </w:tblPrEx>
              <w:trPr>
                <w:trHeight w:val="975"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16</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钢板\PL8\S31803\NACE MR0175\ASTM A240</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0.57</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9㎡×1张，裸材供货</w:t>
                  </w:r>
                </w:p>
              </w:tc>
            </w:tr>
            <w:tr>
              <w:trPr>
                <w:trHeight w:val="1272"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17</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钢格板\G325/30/50\Q235B\不经处理\YB/T 4001.1</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1.2</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1400mmx800mm，1块</w:t>
                  </w:r>
                </w:p>
              </w:tc>
            </w:tr>
            <w:tr>
              <w:tblPrEx>
                <w:tblCellMar>
                  <w:top w:w="0" w:type="dxa"/>
                  <w:left w:w="108" w:type="dxa"/>
                  <w:bottom w:w="0" w:type="dxa"/>
                  <w:right w:w="108" w:type="dxa"/>
                </w:tblCellMar>
              </w:tblPrEx>
              <w:trPr>
                <w:trHeight w:val="1037"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18</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花纹钢板\CH.PL6\Q235B\GB/T 33974</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7.21</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9㎡×17张，裸材供货</w:t>
                  </w:r>
                </w:p>
              </w:tc>
            </w:tr>
            <w:tr>
              <w:tblPrEx>
                <w:tblCellMar>
                  <w:top w:w="0" w:type="dxa"/>
                  <w:left w:w="108" w:type="dxa"/>
                  <w:bottom w:w="0" w:type="dxa"/>
                  <w:right w:w="108" w:type="dxa"/>
                </w:tblCellMar>
              </w:tblPrEx>
              <w:trPr>
                <w:trHeight w:val="1607"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19</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无缝钢管\NPS3/4 XXS\B\NACE MR0175\ASTM A106</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0.03</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裸材，正偏差0-5%,提供材质证书，合格证书,6米/根，共6米，1根</w:t>
                  </w:r>
                </w:p>
              </w:tc>
            </w:tr>
            <w:tr>
              <w:tblPrEx>
                <w:tblCellMar>
                  <w:top w:w="0" w:type="dxa"/>
                  <w:left w:w="108" w:type="dxa"/>
                  <w:bottom w:w="0" w:type="dxa"/>
                  <w:right w:w="108" w:type="dxa"/>
                </w:tblCellMar>
              </w:tblPrEx>
              <w:trPr>
                <w:trHeight w:val="1607"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20</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bottom"/>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无缝钢管\NPS1 1/2 XXS\PE\B\NACE MR0175\ASTM A106</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drawing>
                      <wp:anchor distT="0" distB="0" distL="114300" distR="114300" simplePos="0" relativeHeight="251661312" behindDoc="0" locked="0" layoutInCell="1" allowOverlap="1">
                        <wp:simplePos x="0" y="0"/>
                        <wp:positionH relativeFrom="column">
                          <wp:posOffset>0</wp:posOffset>
                        </wp:positionH>
                        <wp:positionV relativeFrom="paragraph">
                          <wp:posOffset>0</wp:posOffset>
                        </wp:positionV>
                        <wp:extent cx="768985" cy="689610"/>
                        <wp:effectExtent l="0" t="0" r="0" b="0"/>
                        <wp:wrapNone/>
                        <wp:docPr id="26" name="图片_142"/>
                        <wp:cNvGraphicFramePr/>
                        <a:graphic xmlns:a="http://schemas.openxmlformats.org/drawingml/2006/main">
                          <a:graphicData uri="http://schemas.openxmlformats.org/drawingml/2006/picture">
                            <pic:pic xmlns:pic="http://schemas.openxmlformats.org/drawingml/2006/picture">
                              <pic:nvPicPr>
                                <pic:cNvPr id="26" name="图片_142"/>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仿宋" w:hAnsi="仿宋" w:eastAsia="仿宋" w:cs="仿宋"/>
                      <w:color w:val="auto"/>
                      <w:kern w:val="0"/>
                      <w:sz w:val="21"/>
                      <w:szCs w:val="21"/>
                      <w:highlight w:val="none"/>
                      <w:lang w:val="en-US" w:eastAsia="zh-CN" w:bidi="ar-SA"/>
                    </w:rPr>
                    <w:drawing>
                      <wp:anchor distT="0" distB="0" distL="114300" distR="114300" simplePos="0" relativeHeight="251662336" behindDoc="0" locked="0" layoutInCell="1" allowOverlap="1">
                        <wp:simplePos x="0" y="0"/>
                        <wp:positionH relativeFrom="column">
                          <wp:posOffset>0</wp:posOffset>
                        </wp:positionH>
                        <wp:positionV relativeFrom="paragraph">
                          <wp:posOffset>0</wp:posOffset>
                        </wp:positionV>
                        <wp:extent cx="741680" cy="689610"/>
                        <wp:effectExtent l="0" t="0" r="0" b="0"/>
                        <wp:wrapNone/>
                        <wp:docPr id="27" name="图片_144"/>
                        <wp:cNvGraphicFramePr/>
                        <a:graphic xmlns:a="http://schemas.openxmlformats.org/drawingml/2006/main">
                          <a:graphicData uri="http://schemas.openxmlformats.org/drawingml/2006/picture">
                            <pic:pic xmlns:pic="http://schemas.openxmlformats.org/drawingml/2006/picture">
                              <pic:nvPicPr>
                                <pic:cNvPr id="27" name="图片_144"/>
                                <pic:cNvPicPr/>
                              </pic:nvPicPr>
                              <pic:blipFill>
                                <a:blip r:embed="rId6"/>
                                <a:stretch>
                                  <a:fillRect/>
                                </a:stretch>
                              </pic:blipFill>
                              <pic:spPr>
                                <a:xfrm>
                                  <a:off x="0" y="0"/>
                                  <a:ext cx="741680" cy="689610"/>
                                </a:xfrm>
                                <a:prstGeom prst="rect">
                                  <a:avLst/>
                                </a:prstGeom>
                                <a:noFill/>
                                <a:ln>
                                  <a:noFill/>
                                </a:ln>
                              </pic:spPr>
                            </pic:pic>
                          </a:graphicData>
                        </a:graphic>
                      </wp:anchor>
                    </w:drawing>
                  </w:r>
                  <w:r>
                    <w:rPr>
                      <w:rFonts w:hint="eastAsia" w:ascii="仿宋" w:hAnsi="仿宋" w:eastAsia="仿宋" w:cs="仿宋"/>
                      <w:color w:val="auto"/>
                      <w:kern w:val="0"/>
                      <w:sz w:val="21"/>
                      <w:szCs w:val="21"/>
                      <w:highlight w:val="none"/>
                      <w:lang w:val="en-US" w:eastAsia="zh-CN" w:bidi="ar-SA"/>
                    </w:rPr>
                    <w:drawing>
                      <wp:anchor distT="0" distB="0" distL="114300" distR="114300" simplePos="0" relativeHeight="251663360" behindDoc="0" locked="0" layoutInCell="1" allowOverlap="1">
                        <wp:simplePos x="0" y="0"/>
                        <wp:positionH relativeFrom="column">
                          <wp:posOffset>0</wp:posOffset>
                        </wp:positionH>
                        <wp:positionV relativeFrom="paragraph">
                          <wp:posOffset>0</wp:posOffset>
                        </wp:positionV>
                        <wp:extent cx="768985" cy="689610"/>
                        <wp:effectExtent l="0" t="0" r="0" b="0"/>
                        <wp:wrapNone/>
                        <wp:docPr id="28" name="图片_148"/>
                        <wp:cNvGraphicFramePr/>
                        <a:graphic xmlns:a="http://schemas.openxmlformats.org/drawingml/2006/main">
                          <a:graphicData uri="http://schemas.openxmlformats.org/drawingml/2006/picture">
                            <pic:pic xmlns:pic="http://schemas.openxmlformats.org/drawingml/2006/picture">
                              <pic:nvPicPr>
                                <pic:cNvPr id="28" name="图片_148"/>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仿宋" w:hAnsi="仿宋" w:eastAsia="仿宋" w:cs="仿宋"/>
                      <w:color w:val="auto"/>
                      <w:kern w:val="0"/>
                      <w:sz w:val="21"/>
                      <w:szCs w:val="21"/>
                      <w:highlight w:val="none"/>
                      <w:lang w:val="en-US" w:eastAsia="zh-CN" w:bidi="ar-SA"/>
                    </w:rPr>
                    <w:drawing>
                      <wp:anchor distT="0" distB="0" distL="114300" distR="114300" simplePos="0" relativeHeight="251664384" behindDoc="0" locked="0" layoutInCell="1" allowOverlap="1">
                        <wp:simplePos x="0" y="0"/>
                        <wp:positionH relativeFrom="column">
                          <wp:posOffset>0</wp:posOffset>
                        </wp:positionH>
                        <wp:positionV relativeFrom="paragraph">
                          <wp:posOffset>0</wp:posOffset>
                        </wp:positionV>
                        <wp:extent cx="768985" cy="689610"/>
                        <wp:effectExtent l="0" t="0" r="0" b="0"/>
                        <wp:wrapNone/>
                        <wp:docPr id="29" name="图片_142_SpCnt_1"/>
                        <wp:cNvGraphicFramePr/>
                        <a:graphic xmlns:a="http://schemas.openxmlformats.org/drawingml/2006/main">
                          <a:graphicData uri="http://schemas.openxmlformats.org/drawingml/2006/picture">
                            <pic:pic xmlns:pic="http://schemas.openxmlformats.org/drawingml/2006/picture">
                              <pic:nvPicPr>
                                <pic:cNvPr id="29" name="图片_142_SpCnt_1"/>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仿宋" w:hAnsi="仿宋" w:eastAsia="仿宋" w:cs="仿宋"/>
                      <w:color w:val="auto"/>
                      <w:kern w:val="0"/>
                      <w:sz w:val="21"/>
                      <w:szCs w:val="21"/>
                      <w:highlight w:val="none"/>
                      <w:lang w:val="en-US" w:eastAsia="zh-CN" w:bidi="ar-SA"/>
                    </w:rP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768985" cy="689610"/>
                        <wp:effectExtent l="0" t="0" r="0" b="0"/>
                        <wp:wrapNone/>
                        <wp:docPr id="30" name="图片_155"/>
                        <wp:cNvGraphicFramePr/>
                        <a:graphic xmlns:a="http://schemas.openxmlformats.org/drawingml/2006/main">
                          <a:graphicData uri="http://schemas.openxmlformats.org/drawingml/2006/picture">
                            <pic:pic xmlns:pic="http://schemas.openxmlformats.org/drawingml/2006/picture">
                              <pic:nvPicPr>
                                <pic:cNvPr id="30" name="图片_155"/>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仿宋" w:hAnsi="仿宋" w:eastAsia="仿宋" w:cs="仿宋"/>
                      <w:color w:val="auto"/>
                      <w:kern w:val="0"/>
                      <w:sz w:val="21"/>
                      <w:szCs w:val="21"/>
                      <w:highlight w:val="none"/>
                      <w:lang w:val="en-US" w:eastAsia="zh-CN" w:bidi="ar-SA"/>
                    </w:rPr>
                    <w:drawing>
                      <wp:anchor distT="0" distB="0" distL="114300" distR="114300" simplePos="0" relativeHeight="251666432" behindDoc="0" locked="0" layoutInCell="1" allowOverlap="1">
                        <wp:simplePos x="0" y="0"/>
                        <wp:positionH relativeFrom="column">
                          <wp:posOffset>0</wp:posOffset>
                        </wp:positionH>
                        <wp:positionV relativeFrom="paragraph">
                          <wp:posOffset>0</wp:posOffset>
                        </wp:positionV>
                        <wp:extent cx="768985" cy="689610"/>
                        <wp:effectExtent l="0" t="0" r="0" b="0"/>
                        <wp:wrapNone/>
                        <wp:docPr id="31" name="图片_154"/>
                        <wp:cNvGraphicFramePr/>
                        <a:graphic xmlns:a="http://schemas.openxmlformats.org/drawingml/2006/main">
                          <a:graphicData uri="http://schemas.openxmlformats.org/drawingml/2006/picture">
                            <pic:pic xmlns:pic="http://schemas.openxmlformats.org/drawingml/2006/picture">
                              <pic:nvPicPr>
                                <pic:cNvPr id="31" name="图片_154"/>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仿宋" w:hAnsi="仿宋" w:eastAsia="仿宋" w:cs="仿宋"/>
                      <w:color w:val="auto"/>
                      <w:kern w:val="0"/>
                      <w:sz w:val="21"/>
                      <w:szCs w:val="21"/>
                      <w:highlight w:val="none"/>
                      <w:lang w:val="en-US" w:eastAsia="zh-CN" w:bidi="ar-SA"/>
                    </w:rPr>
                    <w:drawing>
                      <wp:anchor distT="0" distB="0" distL="114300" distR="114300" simplePos="0" relativeHeight="251667456" behindDoc="0" locked="0" layoutInCell="1" allowOverlap="1">
                        <wp:simplePos x="0" y="0"/>
                        <wp:positionH relativeFrom="column">
                          <wp:posOffset>0</wp:posOffset>
                        </wp:positionH>
                        <wp:positionV relativeFrom="paragraph">
                          <wp:posOffset>0</wp:posOffset>
                        </wp:positionV>
                        <wp:extent cx="768985" cy="689610"/>
                        <wp:effectExtent l="0" t="0" r="0" b="0"/>
                        <wp:wrapNone/>
                        <wp:docPr id="32" name="图片_153"/>
                        <wp:cNvGraphicFramePr/>
                        <a:graphic xmlns:a="http://schemas.openxmlformats.org/drawingml/2006/main">
                          <a:graphicData uri="http://schemas.openxmlformats.org/drawingml/2006/picture">
                            <pic:pic xmlns:pic="http://schemas.openxmlformats.org/drawingml/2006/picture">
                              <pic:nvPicPr>
                                <pic:cNvPr id="32" name="图片_153"/>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仿宋" w:hAnsi="仿宋" w:eastAsia="仿宋" w:cs="仿宋"/>
                      <w:color w:val="auto"/>
                      <w:kern w:val="0"/>
                      <w:sz w:val="21"/>
                      <w:szCs w:val="21"/>
                      <w:highlight w:val="none"/>
                      <w:lang w:val="en-US" w:eastAsia="zh-CN" w:bidi="ar-SA"/>
                    </w:rPr>
                    <w:drawing>
                      <wp:anchor distT="0" distB="0" distL="114300" distR="114300" simplePos="0" relativeHeight="251668480" behindDoc="0" locked="0" layoutInCell="1" allowOverlap="1">
                        <wp:simplePos x="0" y="0"/>
                        <wp:positionH relativeFrom="column">
                          <wp:posOffset>0</wp:posOffset>
                        </wp:positionH>
                        <wp:positionV relativeFrom="paragraph">
                          <wp:posOffset>0</wp:posOffset>
                        </wp:positionV>
                        <wp:extent cx="768985" cy="689610"/>
                        <wp:effectExtent l="0" t="0" r="0" b="0"/>
                        <wp:wrapNone/>
                        <wp:docPr id="33" name="图片_152"/>
                        <wp:cNvGraphicFramePr/>
                        <a:graphic xmlns:a="http://schemas.openxmlformats.org/drawingml/2006/main">
                          <a:graphicData uri="http://schemas.openxmlformats.org/drawingml/2006/picture">
                            <pic:pic xmlns:pic="http://schemas.openxmlformats.org/drawingml/2006/picture">
                              <pic:nvPicPr>
                                <pic:cNvPr id="33" name="图片_152"/>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仿宋" w:hAnsi="仿宋" w:eastAsia="仿宋" w:cs="仿宋"/>
                      <w:color w:val="auto"/>
                      <w:kern w:val="0"/>
                      <w:sz w:val="21"/>
                      <w:szCs w:val="21"/>
                      <w:highlight w:val="none"/>
                      <w:lang w:val="en-US" w:eastAsia="zh-CN" w:bidi="ar-SA"/>
                    </w:rPr>
                    <w:drawing>
                      <wp:anchor distT="0" distB="0" distL="114300" distR="114300" simplePos="0" relativeHeight="251669504" behindDoc="0" locked="0" layoutInCell="1" allowOverlap="1">
                        <wp:simplePos x="0" y="0"/>
                        <wp:positionH relativeFrom="column">
                          <wp:posOffset>0</wp:posOffset>
                        </wp:positionH>
                        <wp:positionV relativeFrom="paragraph">
                          <wp:posOffset>0</wp:posOffset>
                        </wp:positionV>
                        <wp:extent cx="768985" cy="689610"/>
                        <wp:effectExtent l="0" t="0" r="0" b="0"/>
                        <wp:wrapNone/>
                        <wp:docPr id="34" name="图片_151"/>
                        <wp:cNvGraphicFramePr/>
                        <a:graphic xmlns:a="http://schemas.openxmlformats.org/drawingml/2006/main">
                          <a:graphicData uri="http://schemas.openxmlformats.org/drawingml/2006/picture">
                            <pic:pic xmlns:pic="http://schemas.openxmlformats.org/drawingml/2006/picture">
                              <pic:nvPicPr>
                                <pic:cNvPr id="34" name="图片_151"/>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仿宋" w:hAnsi="仿宋" w:eastAsia="仿宋" w:cs="仿宋"/>
                      <w:color w:val="auto"/>
                      <w:kern w:val="0"/>
                      <w:sz w:val="21"/>
                      <w:szCs w:val="21"/>
                      <w:highlight w:val="none"/>
                      <w:lang w:val="en-US" w:eastAsia="zh-CN" w:bidi="ar-SA"/>
                    </w:rPr>
                    <w:drawing>
                      <wp:anchor distT="0" distB="0" distL="114300" distR="114300" simplePos="0" relativeHeight="251670528" behindDoc="0" locked="0" layoutInCell="1" allowOverlap="1">
                        <wp:simplePos x="0" y="0"/>
                        <wp:positionH relativeFrom="column">
                          <wp:posOffset>0</wp:posOffset>
                        </wp:positionH>
                        <wp:positionV relativeFrom="paragraph">
                          <wp:posOffset>0</wp:posOffset>
                        </wp:positionV>
                        <wp:extent cx="768985" cy="689610"/>
                        <wp:effectExtent l="0" t="0" r="0" b="0"/>
                        <wp:wrapNone/>
                        <wp:docPr id="35" name="图片_150"/>
                        <wp:cNvGraphicFramePr/>
                        <a:graphic xmlns:a="http://schemas.openxmlformats.org/drawingml/2006/main">
                          <a:graphicData uri="http://schemas.openxmlformats.org/drawingml/2006/picture">
                            <pic:pic xmlns:pic="http://schemas.openxmlformats.org/drawingml/2006/picture">
                              <pic:nvPicPr>
                                <pic:cNvPr id="35" name="图片_150"/>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仿宋" w:hAnsi="仿宋" w:eastAsia="仿宋" w:cs="仿宋"/>
                      <w:color w:val="auto"/>
                      <w:kern w:val="0"/>
                      <w:sz w:val="21"/>
                      <w:szCs w:val="21"/>
                      <w:highlight w:val="none"/>
                      <w:lang w:val="en-US" w:eastAsia="zh-CN" w:bidi="ar-SA"/>
                    </w:rPr>
                    <w:drawing>
                      <wp:anchor distT="0" distB="0" distL="114300" distR="114300" simplePos="0" relativeHeight="251671552" behindDoc="0" locked="0" layoutInCell="1" allowOverlap="1">
                        <wp:simplePos x="0" y="0"/>
                        <wp:positionH relativeFrom="column">
                          <wp:posOffset>0</wp:posOffset>
                        </wp:positionH>
                        <wp:positionV relativeFrom="paragraph">
                          <wp:posOffset>0</wp:posOffset>
                        </wp:positionV>
                        <wp:extent cx="768985" cy="689610"/>
                        <wp:effectExtent l="0" t="0" r="0" b="0"/>
                        <wp:wrapNone/>
                        <wp:docPr id="36" name="图片_149"/>
                        <wp:cNvGraphicFramePr/>
                        <a:graphic xmlns:a="http://schemas.openxmlformats.org/drawingml/2006/main">
                          <a:graphicData uri="http://schemas.openxmlformats.org/drawingml/2006/picture">
                            <pic:pic xmlns:pic="http://schemas.openxmlformats.org/drawingml/2006/picture">
                              <pic:nvPicPr>
                                <pic:cNvPr id="36" name="图片_149"/>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仿宋" w:hAnsi="仿宋" w:eastAsia="仿宋" w:cs="仿宋"/>
                      <w:color w:val="auto"/>
                      <w:kern w:val="0"/>
                      <w:sz w:val="21"/>
                      <w:szCs w:val="21"/>
                      <w:highlight w:val="none"/>
                      <w:lang w:val="en-US" w:eastAsia="zh-CN" w:bidi="ar-SA"/>
                    </w:rPr>
                    <w:drawing>
                      <wp:anchor distT="0" distB="0" distL="114300" distR="114300" simplePos="0" relativeHeight="251672576" behindDoc="0" locked="0" layoutInCell="1" allowOverlap="1">
                        <wp:simplePos x="0" y="0"/>
                        <wp:positionH relativeFrom="column">
                          <wp:posOffset>0</wp:posOffset>
                        </wp:positionH>
                        <wp:positionV relativeFrom="paragraph">
                          <wp:posOffset>0</wp:posOffset>
                        </wp:positionV>
                        <wp:extent cx="768985" cy="689610"/>
                        <wp:effectExtent l="0" t="0" r="0" b="0"/>
                        <wp:wrapNone/>
                        <wp:docPr id="37" name="图片_148_SpCnt_1"/>
                        <wp:cNvGraphicFramePr/>
                        <a:graphic xmlns:a="http://schemas.openxmlformats.org/drawingml/2006/main">
                          <a:graphicData uri="http://schemas.openxmlformats.org/drawingml/2006/picture">
                            <pic:pic xmlns:pic="http://schemas.openxmlformats.org/drawingml/2006/picture">
                              <pic:nvPicPr>
                                <pic:cNvPr id="37" name="图片_148_SpCnt_1"/>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仿宋" w:hAnsi="仿宋" w:eastAsia="仿宋" w:cs="仿宋"/>
                      <w:color w:val="auto"/>
                      <w:kern w:val="0"/>
                      <w:sz w:val="21"/>
                      <w:szCs w:val="21"/>
                      <w:highlight w:val="none"/>
                      <w:lang w:val="en-US" w:eastAsia="zh-CN" w:bidi="ar-SA"/>
                    </w:rPr>
                    <w:drawing>
                      <wp:anchor distT="0" distB="0" distL="114300" distR="114300" simplePos="0" relativeHeight="251673600" behindDoc="0" locked="0" layoutInCell="1" allowOverlap="1">
                        <wp:simplePos x="0" y="0"/>
                        <wp:positionH relativeFrom="column">
                          <wp:posOffset>0</wp:posOffset>
                        </wp:positionH>
                        <wp:positionV relativeFrom="paragraph">
                          <wp:posOffset>0</wp:posOffset>
                        </wp:positionV>
                        <wp:extent cx="768985" cy="689610"/>
                        <wp:effectExtent l="0" t="0" r="0" b="0"/>
                        <wp:wrapNone/>
                        <wp:docPr id="38" name="图片_147"/>
                        <wp:cNvGraphicFramePr/>
                        <a:graphic xmlns:a="http://schemas.openxmlformats.org/drawingml/2006/main">
                          <a:graphicData uri="http://schemas.openxmlformats.org/drawingml/2006/picture">
                            <pic:pic xmlns:pic="http://schemas.openxmlformats.org/drawingml/2006/picture">
                              <pic:nvPicPr>
                                <pic:cNvPr id="38" name="图片_147"/>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仿宋" w:hAnsi="仿宋" w:eastAsia="仿宋" w:cs="仿宋"/>
                      <w:color w:val="auto"/>
                      <w:kern w:val="0"/>
                      <w:sz w:val="21"/>
                      <w:szCs w:val="21"/>
                      <w:highlight w:val="none"/>
                      <w:lang w:val="en-US" w:eastAsia="zh-CN" w:bidi="ar-SA"/>
                    </w:rPr>
                    <w:drawing>
                      <wp:anchor distT="0" distB="0" distL="114300" distR="114300" simplePos="0" relativeHeight="251674624" behindDoc="0" locked="0" layoutInCell="1" allowOverlap="1">
                        <wp:simplePos x="0" y="0"/>
                        <wp:positionH relativeFrom="column">
                          <wp:posOffset>0</wp:posOffset>
                        </wp:positionH>
                        <wp:positionV relativeFrom="paragraph">
                          <wp:posOffset>0</wp:posOffset>
                        </wp:positionV>
                        <wp:extent cx="768985" cy="689610"/>
                        <wp:effectExtent l="0" t="0" r="0" b="0"/>
                        <wp:wrapNone/>
                        <wp:docPr id="39" name="图片_146"/>
                        <wp:cNvGraphicFramePr/>
                        <a:graphic xmlns:a="http://schemas.openxmlformats.org/drawingml/2006/main">
                          <a:graphicData uri="http://schemas.openxmlformats.org/drawingml/2006/picture">
                            <pic:pic xmlns:pic="http://schemas.openxmlformats.org/drawingml/2006/picture">
                              <pic:nvPicPr>
                                <pic:cNvPr id="39" name="图片_146"/>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仿宋" w:hAnsi="仿宋" w:eastAsia="仿宋" w:cs="仿宋"/>
                      <w:color w:val="auto"/>
                      <w:kern w:val="0"/>
                      <w:sz w:val="21"/>
                      <w:szCs w:val="21"/>
                      <w:highlight w:val="none"/>
                      <w:lang w:val="en-US" w:eastAsia="zh-CN" w:bidi="ar-SA"/>
                    </w:rPr>
                    <w:drawing>
                      <wp:anchor distT="0" distB="0" distL="114300" distR="114300" simplePos="0" relativeHeight="251675648" behindDoc="0" locked="0" layoutInCell="1" allowOverlap="1">
                        <wp:simplePos x="0" y="0"/>
                        <wp:positionH relativeFrom="column">
                          <wp:posOffset>0</wp:posOffset>
                        </wp:positionH>
                        <wp:positionV relativeFrom="paragraph">
                          <wp:posOffset>0</wp:posOffset>
                        </wp:positionV>
                        <wp:extent cx="741680" cy="689610"/>
                        <wp:effectExtent l="0" t="0" r="0" b="0"/>
                        <wp:wrapNone/>
                        <wp:docPr id="40" name="图片_145"/>
                        <wp:cNvGraphicFramePr/>
                        <a:graphic xmlns:a="http://schemas.openxmlformats.org/drawingml/2006/main">
                          <a:graphicData uri="http://schemas.openxmlformats.org/drawingml/2006/picture">
                            <pic:pic xmlns:pic="http://schemas.openxmlformats.org/drawingml/2006/picture">
                              <pic:nvPicPr>
                                <pic:cNvPr id="40" name="图片_145"/>
                                <pic:cNvPicPr/>
                              </pic:nvPicPr>
                              <pic:blipFill>
                                <a:blip r:embed="rId6"/>
                                <a:stretch>
                                  <a:fillRect/>
                                </a:stretch>
                              </pic:blipFill>
                              <pic:spPr>
                                <a:xfrm>
                                  <a:off x="0" y="0"/>
                                  <a:ext cx="741680" cy="689610"/>
                                </a:xfrm>
                                <a:prstGeom prst="rect">
                                  <a:avLst/>
                                </a:prstGeom>
                                <a:noFill/>
                                <a:ln>
                                  <a:noFill/>
                                </a:ln>
                              </pic:spPr>
                            </pic:pic>
                          </a:graphicData>
                        </a:graphic>
                      </wp:anchor>
                    </w:drawing>
                  </w:r>
                  <w:r>
                    <w:rPr>
                      <w:rFonts w:hint="eastAsia" w:ascii="仿宋" w:hAnsi="仿宋" w:eastAsia="仿宋" w:cs="仿宋"/>
                      <w:color w:val="auto"/>
                      <w:kern w:val="0"/>
                      <w:sz w:val="21"/>
                      <w:szCs w:val="21"/>
                      <w:highlight w:val="none"/>
                      <w:lang w:val="en-US" w:eastAsia="zh-CN" w:bidi="ar-SA"/>
                    </w:rPr>
                    <w:drawing>
                      <wp:anchor distT="0" distB="0" distL="114300" distR="114300" simplePos="0" relativeHeight="251676672" behindDoc="0" locked="0" layoutInCell="1" allowOverlap="1">
                        <wp:simplePos x="0" y="0"/>
                        <wp:positionH relativeFrom="column">
                          <wp:posOffset>0</wp:posOffset>
                        </wp:positionH>
                        <wp:positionV relativeFrom="paragraph">
                          <wp:posOffset>0</wp:posOffset>
                        </wp:positionV>
                        <wp:extent cx="741680" cy="689610"/>
                        <wp:effectExtent l="0" t="0" r="0" b="0"/>
                        <wp:wrapNone/>
                        <wp:docPr id="41" name="图片_144_SpCnt_1"/>
                        <wp:cNvGraphicFramePr/>
                        <a:graphic xmlns:a="http://schemas.openxmlformats.org/drawingml/2006/main">
                          <a:graphicData uri="http://schemas.openxmlformats.org/drawingml/2006/picture">
                            <pic:pic xmlns:pic="http://schemas.openxmlformats.org/drawingml/2006/picture">
                              <pic:nvPicPr>
                                <pic:cNvPr id="41" name="图片_144_SpCnt_1"/>
                                <pic:cNvPicPr/>
                              </pic:nvPicPr>
                              <pic:blipFill>
                                <a:blip r:embed="rId6"/>
                                <a:stretch>
                                  <a:fillRect/>
                                </a:stretch>
                              </pic:blipFill>
                              <pic:spPr>
                                <a:xfrm>
                                  <a:off x="0" y="0"/>
                                  <a:ext cx="741680" cy="689610"/>
                                </a:xfrm>
                                <a:prstGeom prst="rect">
                                  <a:avLst/>
                                </a:prstGeom>
                                <a:noFill/>
                                <a:ln>
                                  <a:noFill/>
                                </a:ln>
                              </pic:spPr>
                            </pic:pic>
                          </a:graphicData>
                        </a:graphic>
                      </wp:anchor>
                    </w:drawing>
                  </w:r>
                  <w:r>
                    <w:rPr>
                      <w:rFonts w:hint="eastAsia" w:ascii="仿宋" w:hAnsi="仿宋" w:eastAsia="仿宋" w:cs="仿宋"/>
                      <w:color w:val="auto"/>
                      <w:kern w:val="0"/>
                      <w:sz w:val="21"/>
                      <w:szCs w:val="21"/>
                      <w:highlight w:val="none"/>
                      <w:lang w:val="en-US" w:eastAsia="zh-CN" w:bidi="ar-SA"/>
                    </w:rPr>
                    <w:drawing>
                      <wp:anchor distT="0" distB="0" distL="114300" distR="114300" simplePos="0" relativeHeight="251677696" behindDoc="0" locked="0" layoutInCell="1" allowOverlap="1">
                        <wp:simplePos x="0" y="0"/>
                        <wp:positionH relativeFrom="column">
                          <wp:posOffset>0</wp:posOffset>
                        </wp:positionH>
                        <wp:positionV relativeFrom="paragraph">
                          <wp:posOffset>0</wp:posOffset>
                        </wp:positionV>
                        <wp:extent cx="768985" cy="689610"/>
                        <wp:effectExtent l="0" t="0" r="0" b="0"/>
                        <wp:wrapNone/>
                        <wp:docPr id="42" name="图片_155_SpCnt_1"/>
                        <wp:cNvGraphicFramePr/>
                        <a:graphic xmlns:a="http://schemas.openxmlformats.org/drawingml/2006/main">
                          <a:graphicData uri="http://schemas.openxmlformats.org/drawingml/2006/picture">
                            <pic:pic xmlns:pic="http://schemas.openxmlformats.org/drawingml/2006/picture">
                              <pic:nvPicPr>
                                <pic:cNvPr id="42" name="图片_155_SpCnt_1"/>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仿宋" w:hAnsi="仿宋" w:eastAsia="仿宋" w:cs="仿宋"/>
                      <w:color w:val="auto"/>
                      <w:kern w:val="0"/>
                      <w:sz w:val="21"/>
                      <w:szCs w:val="21"/>
                      <w:highlight w:val="none"/>
                      <w:lang w:val="en-US" w:eastAsia="zh-CN" w:bidi="ar-SA"/>
                    </w:rPr>
                    <w:drawing>
                      <wp:anchor distT="0" distB="0" distL="114300" distR="114300" simplePos="0" relativeHeight="251678720" behindDoc="0" locked="0" layoutInCell="1" allowOverlap="1">
                        <wp:simplePos x="0" y="0"/>
                        <wp:positionH relativeFrom="column">
                          <wp:posOffset>0</wp:posOffset>
                        </wp:positionH>
                        <wp:positionV relativeFrom="paragraph">
                          <wp:posOffset>0</wp:posOffset>
                        </wp:positionV>
                        <wp:extent cx="768985" cy="689610"/>
                        <wp:effectExtent l="0" t="0" r="0" b="0"/>
                        <wp:wrapNone/>
                        <wp:docPr id="43" name="图片_143"/>
                        <wp:cNvGraphicFramePr/>
                        <a:graphic xmlns:a="http://schemas.openxmlformats.org/drawingml/2006/main">
                          <a:graphicData uri="http://schemas.openxmlformats.org/drawingml/2006/picture">
                            <pic:pic xmlns:pic="http://schemas.openxmlformats.org/drawingml/2006/picture">
                              <pic:nvPicPr>
                                <pic:cNvPr id="43" name="图片_143"/>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仿宋" w:hAnsi="仿宋" w:eastAsia="仿宋" w:cs="仿宋"/>
                      <w:color w:val="auto"/>
                      <w:kern w:val="0"/>
                      <w:sz w:val="21"/>
                      <w:szCs w:val="21"/>
                      <w:highlight w:val="none"/>
                      <w:lang w:val="en-US" w:eastAsia="zh-CN" w:bidi="ar-SA"/>
                    </w:rPr>
                    <w:drawing>
                      <wp:anchor distT="0" distB="0" distL="114300" distR="114300" simplePos="0" relativeHeight="251679744" behindDoc="0" locked="0" layoutInCell="1" allowOverlap="1">
                        <wp:simplePos x="0" y="0"/>
                        <wp:positionH relativeFrom="column">
                          <wp:posOffset>0</wp:posOffset>
                        </wp:positionH>
                        <wp:positionV relativeFrom="paragraph">
                          <wp:posOffset>0</wp:posOffset>
                        </wp:positionV>
                        <wp:extent cx="768985" cy="689610"/>
                        <wp:effectExtent l="0" t="0" r="0" b="0"/>
                        <wp:wrapNone/>
                        <wp:docPr id="44" name="图片_154_SpCnt_1"/>
                        <wp:cNvGraphicFramePr/>
                        <a:graphic xmlns:a="http://schemas.openxmlformats.org/drawingml/2006/main">
                          <a:graphicData uri="http://schemas.openxmlformats.org/drawingml/2006/picture">
                            <pic:pic xmlns:pic="http://schemas.openxmlformats.org/drawingml/2006/picture">
                              <pic:nvPicPr>
                                <pic:cNvPr id="44" name="图片_154_SpCnt_1"/>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仿宋" w:hAnsi="仿宋" w:eastAsia="仿宋" w:cs="仿宋"/>
                      <w:color w:val="auto"/>
                      <w:kern w:val="0"/>
                      <w:sz w:val="21"/>
                      <w:szCs w:val="21"/>
                      <w:highlight w:val="none"/>
                      <w:lang w:val="en-US" w:eastAsia="zh-CN" w:bidi="ar-SA"/>
                    </w:rPr>
                    <w:drawing>
                      <wp:anchor distT="0" distB="0" distL="114300" distR="114300" simplePos="0" relativeHeight="251680768" behindDoc="0" locked="0" layoutInCell="1" allowOverlap="1">
                        <wp:simplePos x="0" y="0"/>
                        <wp:positionH relativeFrom="column">
                          <wp:posOffset>0</wp:posOffset>
                        </wp:positionH>
                        <wp:positionV relativeFrom="paragraph">
                          <wp:posOffset>0</wp:posOffset>
                        </wp:positionV>
                        <wp:extent cx="768985" cy="689610"/>
                        <wp:effectExtent l="0" t="0" r="0" b="0"/>
                        <wp:wrapNone/>
                        <wp:docPr id="45" name="图片_153_SpCnt_1"/>
                        <wp:cNvGraphicFramePr/>
                        <a:graphic xmlns:a="http://schemas.openxmlformats.org/drawingml/2006/main">
                          <a:graphicData uri="http://schemas.openxmlformats.org/drawingml/2006/picture">
                            <pic:pic xmlns:pic="http://schemas.openxmlformats.org/drawingml/2006/picture">
                              <pic:nvPicPr>
                                <pic:cNvPr id="45" name="图片_153_SpCnt_1"/>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仿宋" w:hAnsi="仿宋" w:eastAsia="仿宋" w:cs="仿宋"/>
                      <w:color w:val="auto"/>
                      <w:kern w:val="0"/>
                      <w:sz w:val="21"/>
                      <w:szCs w:val="21"/>
                      <w:highlight w:val="none"/>
                      <w:lang w:val="en-US" w:eastAsia="zh-CN" w:bidi="ar-SA"/>
                    </w:rPr>
                    <w:drawing>
                      <wp:anchor distT="0" distB="0" distL="114300" distR="114300" simplePos="0" relativeHeight="251681792" behindDoc="0" locked="0" layoutInCell="1" allowOverlap="1">
                        <wp:simplePos x="0" y="0"/>
                        <wp:positionH relativeFrom="column">
                          <wp:posOffset>0</wp:posOffset>
                        </wp:positionH>
                        <wp:positionV relativeFrom="paragraph">
                          <wp:posOffset>0</wp:posOffset>
                        </wp:positionV>
                        <wp:extent cx="768985" cy="689610"/>
                        <wp:effectExtent l="0" t="0" r="0" b="0"/>
                        <wp:wrapNone/>
                        <wp:docPr id="46" name="图片_152_SpCnt_1"/>
                        <wp:cNvGraphicFramePr/>
                        <a:graphic xmlns:a="http://schemas.openxmlformats.org/drawingml/2006/main">
                          <a:graphicData uri="http://schemas.openxmlformats.org/drawingml/2006/picture">
                            <pic:pic xmlns:pic="http://schemas.openxmlformats.org/drawingml/2006/picture">
                              <pic:nvPicPr>
                                <pic:cNvPr id="46" name="图片_152_SpCnt_1"/>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仿宋" w:hAnsi="仿宋" w:eastAsia="仿宋" w:cs="仿宋"/>
                      <w:color w:val="auto"/>
                      <w:kern w:val="0"/>
                      <w:sz w:val="21"/>
                      <w:szCs w:val="21"/>
                      <w:highlight w:val="none"/>
                      <w:lang w:val="en-US" w:eastAsia="zh-CN" w:bidi="ar-SA"/>
                    </w:rPr>
                    <w:drawing>
                      <wp:anchor distT="0" distB="0" distL="114300" distR="114300" simplePos="0" relativeHeight="251682816" behindDoc="0" locked="0" layoutInCell="1" allowOverlap="1">
                        <wp:simplePos x="0" y="0"/>
                        <wp:positionH relativeFrom="column">
                          <wp:posOffset>0</wp:posOffset>
                        </wp:positionH>
                        <wp:positionV relativeFrom="paragraph">
                          <wp:posOffset>0</wp:posOffset>
                        </wp:positionV>
                        <wp:extent cx="768985" cy="689610"/>
                        <wp:effectExtent l="0" t="0" r="0" b="0"/>
                        <wp:wrapNone/>
                        <wp:docPr id="47" name="图片_151_SpCnt_1"/>
                        <wp:cNvGraphicFramePr/>
                        <a:graphic xmlns:a="http://schemas.openxmlformats.org/drawingml/2006/main">
                          <a:graphicData uri="http://schemas.openxmlformats.org/drawingml/2006/picture">
                            <pic:pic xmlns:pic="http://schemas.openxmlformats.org/drawingml/2006/picture">
                              <pic:nvPicPr>
                                <pic:cNvPr id="47" name="图片_151_SpCnt_1"/>
                                <pic:cNvPicPr/>
                              </pic:nvPicPr>
                              <pic:blipFill>
                                <a:blip r:embed="rId6"/>
                                <a:stretch>
                                  <a:fillRect/>
                                </a:stretch>
                              </pic:blipFill>
                              <pic:spPr>
                                <a:xfrm>
                                  <a:off x="0" y="0"/>
                                  <a:ext cx="768985" cy="689610"/>
                                </a:xfrm>
                                <a:prstGeom prst="rect">
                                  <a:avLst/>
                                </a:prstGeom>
                                <a:noFill/>
                                <a:ln>
                                  <a:noFill/>
                                </a:ln>
                              </pic:spPr>
                            </pic:pic>
                          </a:graphicData>
                        </a:graphic>
                      </wp:anchor>
                    </w:drawing>
                  </w:r>
                </w:p>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p>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768985" cy="689610"/>
                        <wp:effectExtent l="0" t="0" r="0" b="0"/>
                        <wp:wrapNone/>
                        <wp:docPr id="48" name="图片_149_SpCnt_1"/>
                        <wp:cNvGraphicFramePr/>
                        <a:graphic xmlns:a="http://schemas.openxmlformats.org/drawingml/2006/main">
                          <a:graphicData uri="http://schemas.openxmlformats.org/drawingml/2006/picture">
                            <pic:pic xmlns:pic="http://schemas.openxmlformats.org/drawingml/2006/picture">
                              <pic:nvPicPr>
                                <pic:cNvPr id="48" name="图片_149_SpCnt_1"/>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仿宋" w:hAnsi="仿宋" w:eastAsia="仿宋" w:cs="仿宋"/>
                      <w:color w:val="auto"/>
                      <w:kern w:val="0"/>
                      <w:sz w:val="21"/>
                      <w:szCs w:val="21"/>
                      <w:highlight w:val="none"/>
                      <w:lang w:val="en-US" w:eastAsia="zh-CN" w:bidi="ar-SA"/>
                    </w:rPr>
                    <w:t>0.06</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裸材，正偏差0-5%,提供材质证书，合格证书,6米/根，共6米，1根</w:t>
                  </w:r>
                </w:p>
              </w:tc>
            </w:tr>
            <w:tr>
              <w:tblPrEx>
                <w:tblCellMar>
                  <w:top w:w="0" w:type="dxa"/>
                  <w:left w:w="108" w:type="dxa"/>
                  <w:bottom w:w="0" w:type="dxa"/>
                  <w:right w:w="108" w:type="dxa"/>
                </w:tblCellMar>
              </w:tblPrEx>
              <w:trPr>
                <w:trHeight w:val="1607"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21</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无缝钢管\NPS6 SCH160\B\NACE MR0175\ASTM A106</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0.41</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裸材，正偏差0-5%,提供材质证书，合格证书,6米/根，共6米，1根</w:t>
                  </w:r>
                </w:p>
              </w:tc>
            </w:tr>
            <w:tr>
              <w:trPr>
                <w:trHeight w:val="1607"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22</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无缝钢管\NPS8 SCH140\B\NACE MR0175\ASTM A106</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1.21</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裸材，正偏差0-5%,提供材质证书，合格证书,6米/根，共12米，2根</w:t>
                  </w:r>
                </w:p>
              </w:tc>
            </w:tr>
            <w:tr>
              <w:tblPrEx>
                <w:tblCellMar>
                  <w:top w:w="0" w:type="dxa"/>
                  <w:left w:w="108" w:type="dxa"/>
                  <w:bottom w:w="0" w:type="dxa"/>
                  <w:right w:w="108" w:type="dxa"/>
                </w:tblCellMar>
              </w:tblPrEx>
              <w:trPr>
                <w:trHeight w:val="1607"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23</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无缝钢管\NPS18 SCH120\BE\B\NACE MR0175\ASTM A106</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8.73</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裸材，正偏差0-5%,提供材质证书，合格证书,6米/根，共24米，4根</w:t>
                  </w:r>
                </w:p>
              </w:tc>
            </w:tr>
            <w:tr>
              <w:tblPrEx>
                <w:tblCellMar>
                  <w:top w:w="0" w:type="dxa"/>
                  <w:left w:w="108" w:type="dxa"/>
                  <w:bottom w:w="0" w:type="dxa"/>
                  <w:right w:w="108" w:type="dxa"/>
                </w:tblCellMar>
              </w:tblPrEx>
              <w:trPr>
                <w:trHeight w:val="1607"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24</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钢板\PL10\Q235B\GB/T 3274</w:t>
                  </w:r>
                </w:p>
              </w:tc>
              <w:tc>
                <w:tcPr>
                  <w:tcW w:w="114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0.8</w:t>
                  </w:r>
                </w:p>
              </w:tc>
              <w:tc>
                <w:tcPr>
                  <w:tcW w:w="206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2000×5000，裸材，正偏差0-5%,1张，提供材质证书，合格证书。</w:t>
                  </w:r>
                </w:p>
              </w:tc>
            </w:tr>
          </w:tbl>
          <w:p>
            <w:pPr>
              <w:keepNext w:val="0"/>
              <w:keepLines w:val="0"/>
              <w:widowControl/>
              <w:suppressLineNumbers w:val="0"/>
              <w:ind w:firstLine="420" w:firstLineChars="200"/>
              <w:jc w:val="left"/>
              <w:textAlignment w:val="center"/>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★采购普通结构钢（50mm及以下的Q235A～ D和Q345A～E产品），钢板的生产厂家必须为优选供应商（鞍钢、宝钢、首钢、南京钢铁、华菱湘潭钢、新钢、山东钢铁、江苏沙钢）所生产的产品，如投标时使用其他厂家产品，则视为技术评议不合格。</w:t>
            </w:r>
          </w:p>
          <w:p>
            <w:pPr>
              <w:pStyle w:val="50"/>
              <w:keepNext w:val="0"/>
              <w:keepLines w:val="0"/>
              <w:pageBreakBefore w:val="0"/>
              <w:numPr>
                <w:ilvl w:val="0"/>
                <w:numId w:val="4"/>
              </w:numPr>
              <w:kinsoku/>
              <w:wordWrap/>
              <w:overflowPunct/>
              <w:topLinePunct w:val="0"/>
              <w:bidi w:val="0"/>
              <w:snapToGrid w:val="0"/>
              <w:spacing w:before="120" w:after="120" w:line="360" w:lineRule="auto"/>
              <w:ind w:left="0" w:leftChars="0" w:firstLine="0" w:firstLineChars="0"/>
              <w:textAlignment w:val="auto"/>
              <w:outlineLvl w:val="0"/>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引用技术标准：</w:t>
            </w:r>
          </w:p>
          <w:p>
            <w:pPr>
              <w:numPr>
                <w:ilvl w:val="0"/>
                <w:numId w:val="0"/>
              </w:numPr>
              <w:tabs>
                <w:tab w:val="left" w:pos="0"/>
              </w:tabs>
              <w:ind w:leftChars="0"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（1）钢板【部分引用CGBZ034-ZB-2023《钢板及钢带（普通碳钢）》中5.3钢板要求、5.5检验要求】</w:t>
            </w:r>
          </w:p>
          <w:p>
            <w:pPr>
              <w:numPr>
                <w:ilvl w:val="0"/>
                <w:numId w:val="0"/>
              </w:numPr>
              <w:tabs>
                <w:tab w:val="left" w:pos="0"/>
              </w:tabs>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以下为引用标准中所列重要参数:</w:t>
            </w:r>
          </w:p>
          <w:p>
            <w:pPr>
              <w:numPr>
                <w:ilvl w:val="0"/>
                <w:numId w:val="0"/>
              </w:numPr>
              <w:tabs>
                <w:tab w:val="left" w:pos="0"/>
              </w:tabs>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1、钢板要求：</w:t>
            </w:r>
          </w:p>
          <w:p>
            <w:pPr>
              <w:numPr>
                <w:ilvl w:val="0"/>
                <w:numId w:val="0"/>
              </w:numPr>
              <w:tabs>
                <w:tab w:val="left" w:pos="0"/>
              </w:tabs>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本技术要求对碳当量和Pcm 的技术数据规定进行了说明，具体说明如下：</w:t>
            </w:r>
          </w:p>
          <w:p>
            <w:pPr>
              <w:numPr>
                <w:ilvl w:val="0"/>
                <w:numId w:val="0"/>
              </w:numPr>
              <w:tabs>
                <w:tab w:val="left" w:pos="0"/>
              </w:tabs>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屈服强度为235-280Mpa 的钢材的碳当量应小于或等于0.4%（熔炼分析）；</w:t>
            </w:r>
          </w:p>
          <w:p>
            <w:pPr>
              <w:numPr>
                <w:ilvl w:val="0"/>
                <w:numId w:val="0"/>
              </w:numPr>
              <w:tabs>
                <w:tab w:val="left" w:pos="0"/>
              </w:tabs>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碳当量计算确定如下：</w:t>
            </w:r>
          </w:p>
          <w:p>
            <w:pPr>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 xml:space="preserve"> </w:t>
            </w:r>
            <w:r>
              <w:rPr>
                <w:rFonts w:hint="eastAsia" w:ascii="仿宋" w:hAnsi="仿宋" w:eastAsia="仿宋" w:cs="仿宋"/>
                <w:color w:val="auto"/>
                <w:kern w:val="0"/>
                <w:sz w:val="21"/>
                <w:szCs w:val="21"/>
                <w:highlight w:val="none"/>
                <w:lang w:val="en-US" w:eastAsia="zh-CN" w:bidi="ar-SA"/>
              </w:rPr>
              <w:object>
                <v:shape id="_x0000_i1025" o:spt="75" type="#_x0000_t75" style="height:32.25pt;width:201pt;" o:ole="t" filled="f" o:preferrelative="t" stroked="f" coordsize="21600,21600">
                  <v:path/>
                  <v:fill on="f" focussize="0,0"/>
                  <v:stroke on="f" joinstyle="miter"/>
                  <v:imagedata r:id="rId8" o:title=""/>
                  <o:lock v:ext="edit" aspectratio="t"/>
                  <w10:wrap type="none"/>
                  <w10:anchorlock/>
                </v:shape>
                <o:OLEObject Type="Embed" ProgID="Equation.2" ShapeID="_x0000_i1025" DrawAspect="Content" ObjectID="_1468075725" r:id="rId7">
                  <o:LockedField>false</o:LockedField>
                </o:OLEObject>
              </w:object>
            </w:r>
          </w:p>
          <w:p>
            <w:pPr>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Pcm 计算确定如下：</w:t>
            </w:r>
          </w:p>
          <w:p>
            <w:pPr>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object>
                <v:shape id="_x0000_i1026" o:spt="75" type="#_x0000_t75" style="height:32.25pt;width:252.75pt;" o:ole="t" filled="f" o:preferrelative="t" stroked="f" coordsize="21600,21600">
                  <v:path/>
                  <v:fill on="f" focussize="0,0"/>
                  <v:stroke on="f" joinstyle="miter"/>
                  <v:imagedata r:id="rId10" o:title=""/>
                  <o:lock v:ext="edit" aspectratio="t"/>
                  <w10:wrap type="none"/>
                  <w10:anchorlock/>
                </v:shape>
                <o:OLEObject Type="Embed" ProgID="Equation.3" ShapeID="_x0000_i1026" DrawAspect="Content" ObjectID="_1468075726" r:id="rId9">
                  <o:LockedField>false</o:LockedField>
                </o:OLEObject>
              </w:object>
            </w:r>
          </w:p>
          <w:p>
            <w:pPr>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2、检验要求：</w:t>
            </w:r>
          </w:p>
          <w:p>
            <w:pPr>
              <w:numPr>
                <w:ilvl w:val="0"/>
                <w:numId w:val="0"/>
              </w:numPr>
              <w:tabs>
                <w:tab w:val="left" w:pos="0"/>
              </w:tabs>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1）化学成分：满足5.3.1-（1）项要求及相关材料标准。</w:t>
            </w:r>
          </w:p>
          <w:p>
            <w:pPr>
              <w:numPr>
                <w:ilvl w:val="0"/>
                <w:numId w:val="0"/>
              </w:numPr>
              <w:tabs>
                <w:tab w:val="left" w:pos="0"/>
              </w:tabs>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2）表面质量、尺寸、厚度和外形检验：</w:t>
            </w:r>
          </w:p>
          <w:p>
            <w:pPr>
              <w:numPr>
                <w:ilvl w:val="0"/>
                <w:numId w:val="0"/>
              </w:numPr>
              <w:tabs>
                <w:tab w:val="left" w:pos="0"/>
              </w:tabs>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a、表面质量：钢板表面不允许有气泡、结疤、裂纹、折叠、夹杂和压入氧化铁皮，钢板不得有分层；钢板表面允许有不妨碍检查表面缺陷的薄层氧化铁皮、铁锈、由于压入氧化铁皮和轧辊所造成的不明显的粗糙、网纹、划痕及其他局部缺陷，但其深度不得大于负偏差之半，且应保证钢板的最小厚度；钢板表面缺陷允许修磨清理，但应保证钢板的最小厚度，清理处应平滑无棱角</w:t>
            </w:r>
          </w:p>
          <w:p>
            <w:pPr>
              <w:numPr>
                <w:ilvl w:val="0"/>
                <w:numId w:val="0"/>
              </w:numPr>
              <w:tabs>
                <w:tab w:val="left" w:pos="0"/>
              </w:tabs>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b、★钢材尺寸：</w:t>
            </w:r>
          </w:p>
          <w:p>
            <w:pPr>
              <w:ind w:firstLine="42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钢板的尺寸误差：板的长度：+50mm,-0mm；板的宽度：+50mm,-0mm；钢板订货的公称宽度为10mm或50mm倍数的尺寸，公称长度为50mm或100mm倍数的尺。</w:t>
            </w:r>
          </w:p>
          <w:p>
            <w:pPr>
              <w:numPr>
                <w:ilvl w:val="0"/>
                <w:numId w:val="0"/>
              </w:numPr>
              <w:tabs>
                <w:tab w:val="left" w:pos="0"/>
              </w:tabs>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c、★钢板厚度：</w:t>
            </w:r>
          </w:p>
          <w:p>
            <w:pPr>
              <w:ind w:firstLine="42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测厚位置：板首、板中、板尾，每个位置包括两边和中间各3个点，板边的测量点距边不得小于25毫米（切边）或40毫米（不切边）；有打磨位置；</w:t>
            </w:r>
          </w:p>
          <w:p>
            <w:pPr>
              <w:numPr>
                <w:ilvl w:val="0"/>
                <w:numId w:val="0"/>
              </w:numPr>
              <w:tabs>
                <w:tab w:val="left" w:pos="0"/>
              </w:tabs>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d、钢板外形：满足GB/T 709-2006的要求。</w:t>
            </w:r>
          </w:p>
          <w:p>
            <w:pPr>
              <w:numPr>
                <w:ilvl w:val="0"/>
                <w:numId w:val="0"/>
              </w:numPr>
              <w:spacing w:line="360" w:lineRule="auto"/>
              <w:ind w:left="440" w:leftChars="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（2）无缝钢管【部分引用《CGBZ036-ZB-2023-无缝钢管（普通碳钢、不锈钢和双相不锈钢）》中5、技术要求】</w:t>
            </w:r>
          </w:p>
          <w:p>
            <w:pPr>
              <w:numPr>
                <w:ilvl w:val="0"/>
                <w:numId w:val="0"/>
              </w:numPr>
              <w:tabs>
                <w:tab w:val="left" w:pos="0"/>
              </w:tabs>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以下为引用标准中所列重要参数:</w:t>
            </w:r>
          </w:p>
          <w:p>
            <w:pPr>
              <w:numPr>
                <w:ilvl w:val="0"/>
                <w:numId w:val="0"/>
              </w:numPr>
              <w:tabs>
                <w:tab w:val="left" w:pos="0"/>
              </w:tabs>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1、产品描述包括产品名称、型号、材质等，碳钢无缝钢管须满足ASME A106标准要求，不锈钢无缝钢管须满足ASME A312标准要求，常用级别为TP316。双相不锈钢管须满足ASME A790标准要求，常用标号为S31803和S32205。</w:t>
            </w:r>
          </w:p>
          <w:p>
            <w:pPr>
              <w:numPr>
                <w:ilvl w:val="0"/>
                <w:numId w:val="0"/>
              </w:numPr>
              <w:tabs>
                <w:tab w:val="left" w:pos="0"/>
              </w:tabs>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2、物理、化学性能指标如密度、硬度、屈服强度等，碳钢无缝钢管须满足ASME A106标准要求，不锈钢无缝钢管须满足ASME A312标准要求。双相不锈钢管须满足ASME A790标准要求。</w:t>
            </w:r>
          </w:p>
          <w:p>
            <w:pPr>
              <w:numPr>
                <w:ilvl w:val="0"/>
                <w:numId w:val="0"/>
              </w:numPr>
              <w:tabs>
                <w:tab w:val="left" w:pos="0"/>
              </w:tabs>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3、★规格壁厚、尺寸、外形、重量、允许偏差，碳钢无缝钢管须满足ASME B36.10和ASME B16.25标准要求，不锈钢和双相不锈钢无缝钢管须满足ASME B36.19标准要求。</w:t>
            </w:r>
          </w:p>
          <w:p>
            <w:pPr>
              <w:numPr>
                <w:ilvl w:val="0"/>
                <w:numId w:val="0"/>
              </w:numPr>
              <w:tabs>
                <w:tab w:val="left" w:pos="0"/>
              </w:tabs>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4、镀锌管道均应按照ASTM A123 Gr.85标准进行热浸镀锌，并进行100%检查，以确保内部通道未被堵塞或阻塞。</w:t>
            </w:r>
          </w:p>
          <w:p>
            <w:pPr>
              <w:numPr>
                <w:ilvl w:val="0"/>
                <w:numId w:val="0"/>
              </w:numPr>
              <w:tabs>
                <w:tab w:val="left" w:pos="0"/>
              </w:tabs>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5、不锈钢管应经过退火和酸洗处理。</w:t>
            </w:r>
          </w:p>
          <w:p>
            <w:pPr>
              <w:numPr>
                <w:ilvl w:val="0"/>
                <w:numId w:val="0"/>
              </w:numPr>
              <w:tabs>
                <w:tab w:val="left" w:pos="0"/>
              </w:tabs>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6、不允许使用冷胀管。</w:t>
            </w:r>
          </w:p>
          <w:p>
            <w:pPr>
              <w:numPr>
                <w:ilvl w:val="0"/>
                <w:numId w:val="0"/>
              </w:numPr>
              <w:tabs>
                <w:tab w:val="left" w:pos="0"/>
              </w:tabs>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7、不允许使用接头。</w:t>
            </w:r>
          </w:p>
          <w:p>
            <w:pPr>
              <w:numPr>
                <w:ilvl w:val="0"/>
                <w:numId w:val="0"/>
              </w:numPr>
              <w:tabs>
                <w:tab w:val="left" w:pos="0"/>
              </w:tabs>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8、无缝钢管需进行水压试验。</w:t>
            </w:r>
          </w:p>
          <w:p>
            <w:pPr>
              <w:numPr>
                <w:ilvl w:val="0"/>
                <w:numId w:val="0"/>
              </w:numPr>
              <w:tabs>
                <w:tab w:val="left" w:pos="0"/>
              </w:tabs>
              <w:ind w:firstLine="420" w:firstLineChars="200"/>
              <w:jc w:val="left"/>
              <w:rPr>
                <w:rFonts w:hint="eastAsia" w:ascii="仿宋" w:hAnsi="仿宋" w:eastAsia="仿宋" w:cs="仿宋"/>
                <w:color w:val="auto"/>
                <w:kern w:val="0"/>
                <w:sz w:val="21"/>
                <w:szCs w:val="21"/>
                <w:highlight w:val="none"/>
                <w:lang w:val="en-US" w:eastAsia="zh-CN" w:bidi="ar-SA"/>
              </w:rPr>
            </w:pPr>
            <w:r>
              <w:rPr>
                <w:rFonts w:hint="eastAsia" w:ascii="仿宋" w:hAnsi="仿宋" w:eastAsia="仿宋" w:cs="仿宋"/>
                <w:color w:val="auto"/>
                <w:kern w:val="0"/>
                <w:sz w:val="21"/>
                <w:szCs w:val="21"/>
                <w:highlight w:val="none"/>
                <w:lang w:val="en-US" w:eastAsia="zh-CN" w:bidi="ar-SA"/>
              </w:rPr>
              <w:t>9、不允许使用焊接管替代无缝管。</w:t>
            </w:r>
          </w:p>
          <w:p>
            <w:pPr>
              <w:pStyle w:val="3"/>
              <w:ind w:left="0" w:leftChars="0" w:firstLine="0" w:firstLineChars="0"/>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pPr>
          </w:p>
        </w:tc>
      </w:tr>
      <w:tr>
        <w:tblPrEx>
          <w:tblCellMar>
            <w:top w:w="0" w:type="dxa"/>
            <w:left w:w="0" w:type="dxa"/>
            <w:bottom w:w="0" w:type="dxa"/>
            <w:right w:w="0" w:type="dxa"/>
          </w:tblCellMar>
        </w:tblPrEx>
        <w:trPr>
          <w:trHeight w:val="454" w:hRule="atLeast"/>
        </w:trPr>
        <w:tc>
          <w:tcPr>
            <w:tcW w:w="287" w:type="pct"/>
            <w:vMerge w:val="continue"/>
            <w:tcBorders>
              <w:left w:val="single" w:color="auto" w:sz="4" w:space="0"/>
              <w:right w:val="single" w:color="auto" w:sz="4"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p>
        </w:tc>
        <w:tc>
          <w:tcPr>
            <w:tcW w:w="262" w:type="pct"/>
            <w:vMerge w:val="continue"/>
            <w:tcBorders>
              <w:left w:val="single" w:color="auto" w:sz="4" w:space="0"/>
              <w:right w:val="single" w:color="auto" w:sz="4" w:space="0"/>
            </w:tcBorders>
            <w:textDirection w:val="tbRlV"/>
            <w:vAlign w:val="center"/>
          </w:tcPr>
          <w:p>
            <w:pPr>
              <w:pStyle w:val="4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53"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一般技术参数</w:t>
            </w:r>
          </w:p>
        </w:tc>
        <w:tc>
          <w:tcPr>
            <w:tcW w:w="3196" w:type="pct"/>
            <w:tcBorders>
              <w:top w:val="single" w:color="000000" w:sz="4" w:space="0"/>
              <w:left w:val="single" w:color="auto" w:sz="4" w:space="0"/>
              <w:bottom w:val="single" w:color="000000" w:sz="4" w:space="0"/>
              <w:right w:val="single" w:color="000000" w:sz="4" w:space="0"/>
            </w:tcBorders>
            <w:vAlign w:val="center"/>
          </w:tcPr>
          <w:p>
            <w:pPr>
              <w:pStyle w:val="3"/>
              <w:ind w:left="0" w:leftChars="0" w:firstLine="0" w:firstLineChars="0"/>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见附件2第五条。</w:t>
            </w:r>
          </w:p>
        </w:tc>
      </w:tr>
      <w:tr>
        <w:tblPrEx>
          <w:tblCellMar>
            <w:top w:w="0" w:type="dxa"/>
            <w:left w:w="0" w:type="dxa"/>
            <w:bottom w:w="0" w:type="dxa"/>
            <w:right w:w="0" w:type="dxa"/>
          </w:tblCellMar>
        </w:tblPrEx>
        <w:trPr>
          <w:trHeight w:val="454" w:hRule="atLeast"/>
        </w:trPr>
        <w:tc>
          <w:tcPr>
            <w:tcW w:w="287" w:type="pct"/>
            <w:vMerge w:val="continue"/>
            <w:tcBorders>
              <w:left w:val="single" w:color="auto" w:sz="4" w:space="0"/>
              <w:right w:val="single" w:color="auto" w:sz="4"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p>
        </w:tc>
        <w:tc>
          <w:tcPr>
            <w:tcW w:w="262" w:type="pct"/>
            <w:vMerge w:val="continue"/>
            <w:tcBorders>
              <w:left w:val="single" w:color="auto" w:sz="4" w:space="0"/>
              <w:right w:val="single" w:color="auto" w:sz="4" w:space="0"/>
            </w:tcBorders>
            <w:textDirection w:val="tbRlV"/>
            <w:vAlign w:val="center"/>
          </w:tcPr>
          <w:p>
            <w:pPr>
              <w:pStyle w:val="4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53"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交货/服务地址</w:t>
            </w:r>
          </w:p>
        </w:tc>
        <w:tc>
          <w:tcPr>
            <w:tcW w:w="3196" w:type="pct"/>
            <w:tcBorders>
              <w:top w:val="single" w:color="000000" w:sz="4" w:space="0"/>
              <w:left w:val="single" w:color="auto" w:sz="4" w:space="0"/>
              <w:bottom w:val="single" w:color="000000" w:sz="4" w:space="0"/>
              <w:right w:val="single" w:color="000000" w:sz="4" w:space="0"/>
            </w:tcBorders>
            <w:vAlign w:val="center"/>
          </w:tcPr>
          <w:p>
            <w:pPr>
              <w:pStyle w:val="3"/>
              <w:ind w:left="0" w:leftChars="0" w:firstLine="0" w:firstLineChars="0"/>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天津市塘沽区渤海石油路688号设施中心三号码头料场。</w:t>
            </w:r>
          </w:p>
        </w:tc>
      </w:tr>
      <w:tr>
        <w:tblPrEx>
          <w:tblCellMar>
            <w:top w:w="0" w:type="dxa"/>
            <w:left w:w="0" w:type="dxa"/>
            <w:bottom w:w="0" w:type="dxa"/>
            <w:right w:w="0" w:type="dxa"/>
          </w:tblCellMar>
        </w:tblPrEx>
        <w:trPr>
          <w:trHeight w:val="454" w:hRule="atLeast"/>
        </w:trPr>
        <w:tc>
          <w:tcPr>
            <w:tcW w:w="287" w:type="pct"/>
            <w:vMerge w:val="continue"/>
            <w:tcBorders>
              <w:left w:val="single" w:color="auto" w:sz="4" w:space="0"/>
              <w:right w:val="single" w:color="auto" w:sz="4"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p>
        </w:tc>
        <w:tc>
          <w:tcPr>
            <w:tcW w:w="262" w:type="pct"/>
            <w:vMerge w:val="continue"/>
            <w:tcBorders>
              <w:left w:val="single" w:color="auto" w:sz="4" w:space="0"/>
              <w:right w:val="single" w:color="auto" w:sz="4" w:space="0"/>
            </w:tcBorders>
            <w:textDirection w:val="tbRlV"/>
            <w:vAlign w:val="center"/>
          </w:tcPr>
          <w:p>
            <w:pPr>
              <w:pStyle w:val="4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53" w:type="pct"/>
            <w:tcBorders>
              <w:top w:val="single" w:color="auto" w:sz="4" w:space="0"/>
              <w:left w:val="single" w:color="auto" w:sz="4" w:space="0"/>
              <w:bottom w:val="single" w:color="auto" w:sz="4" w:space="0"/>
              <w:right w:val="single" w:color="auto" w:sz="4" w:space="0"/>
            </w:tcBorders>
            <w:vAlign w:val="center"/>
          </w:tcPr>
          <w:p>
            <w:pPr>
              <w:widowControl/>
              <w:ind w:right="11"/>
              <w:jc w:val="center"/>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交货期/服务期限</w:t>
            </w:r>
          </w:p>
        </w:tc>
        <w:tc>
          <w:tcPr>
            <w:tcW w:w="3196" w:type="pct"/>
            <w:tcBorders>
              <w:top w:val="single" w:color="000000" w:sz="4" w:space="0"/>
              <w:left w:val="single" w:color="auto" w:sz="4" w:space="0"/>
              <w:bottom w:val="single" w:color="000000" w:sz="4" w:space="0"/>
              <w:right w:val="single" w:color="000000" w:sz="4" w:space="0"/>
            </w:tcBorders>
            <w:vAlign w:val="center"/>
          </w:tcPr>
          <w:p>
            <w:pPr>
              <w:pStyle w:val="3"/>
              <w:ind w:left="0" w:leftChars="0" w:firstLine="0" w:firstLineChars="0"/>
              <w:rPr>
                <w:rFonts w:hint="default"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合同签订后45天内供货。</w:t>
            </w:r>
          </w:p>
        </w:tc>
      </w:tr>
      <w:tr>
        <w:tblPrEx>
          <w:tblCellMar>
            <w:top w:w="0" w:type="dxa"/>
            <w:left w:w="0" w:type="dxa"/>
            <w:bottom w:w="0" w:type="dxa"/>
            <w:right w:w="0" w:type="dxa"/>
          </w:tblCellMar>
        </w:tblPrEx>
        <w:trPr>
          <w:trHeight w:val="454" w:hRule="atLeast"/>
        </w:trPr>
        <w:tc>
          <w:tcPr>
            <w:tcW w:w="287" w:type="pct"/>
            <w:vMerge w:val="continue"/>
            <w:tcBorders>
              <w:top w:val="single" w:color="000000" w:sz="6" w:space="0"/>
              <w:left w:val="single" w:color="auto" w:sz="4" w:space="0"/>
              <w:bottom w:val="single" w:color="000000" w:sz="6" w:space="0"/>
              <w:right w:val="single" w:color="auto" w:sz="4" w:space="0"/>
            </w:tcBorders>
            <w:vAlign w:val="center"/>
          </w:tcPr>
          <w:p>
            <w:pPr>
              <w:widowControl/>
              <w:rPr>
                <w:rFonts w:hint="eastAsia" w:ascii="仿宋" w:hAnsi="仿宋" w:eastAsia="仿宋" w:cs="仿宋"/>
                <w:bCs/>
                <w:color w:val="000000" w:themeColor="text1"/>
                <w:kern w:val="0"/>
                <w:sz w:val="21"/>
                <w:szCs w:val="21"/>
                <w:highlight w:val="none"/>
                <w14:textFill>
                  <w14:solidFill>
                    <w14:schemeClr w14:val="tx1"/>
                  </w14:solidFill>
                </w14:textFill>
              </w:rPr>
            </w:pPr>
          </w:p>
        </w:tc>
        <w:tc>
          <w:tcPr>
            <w:tcW w:w="262" w:type="pct"/>
            <w:vMerge w:val="continue"/>
            <w:tcBorders>
              <w:top w:val="single" w:color="000000" w:sz="6" w:space="0"/>
              <w:left w:val="single" w:color="auto" w:sz="4" w:space="0"/>
              <w:bottom w:val="single" w:color="000000" w:sz="6" w:space="0"/>
              <w:right w:val="single" w:color="auto" w:sz="4" w:space="0"/>
            </w:tcBorders>
            <w:vAlign w:val="center"/>
          </w:tcPr>
          <w:p>
            <w:pPr>
              <w:pStyle w:val="40"/>
              <w:spacing w:line="300" w:lineRule="exact"/>
              <w:ind w:left="113" w:right="113"/>
              <w:jc w:val="center"/>
              <w:rPr>
                <w:rFonts w:hint="eastAsia" w:ascii="仿宋" w:hAnsi="仿宋" w:eastAsia="仿宋" w:cs="仿宋"/>
                <w:bCs/>
                <w:color w:val="000000" w:themeColor="text1"/>
                <w:sz w:val="21"/>
                <w:szCs w:val="21"/>
                <w:highlight w:val="none"/>
                <w:lang w:eastAsia="zh-CN"/>
                <w14:textFill>
                  <w14:solidFill>
                    <w14:schemeClr w14:val="tx1"/>
                  </w14:solidFill>
                </w14:textFill>
              </w:rPr>
            </w:pPr>
          </w:p>
        </w:tc>
        <w:tc>
          <w:tcPr>
            <w:tcW w:w="1253" w:type="pct"/>
            <w:tcBorders>
              <w:top w:val="single" w:color="auto" w:sz="4" w:space="0"/>
              <w:left w:val="single" w:color="auto" w:sz="4" w:space="0"/>
              <w:bottom w:val="single" w:color="auto" w:sz="4" w:space="0"/>
              <w:right w:val="single" w:color="auto" w:sz="4" w:space="0"/>
            </w:tcBorders>
            <w:vAlign w:val="center"/>
          </w:tcPr>
          <w:p>
            <w:pPr>
              <w:widowControl/>
              <w:ind w:right="11" w:rightChars="0"/>
              <w:jc w:val="center"/>
              <w:rPr>
                <w:rFonts w:hint="eastAsia" w:ascii="仿宋" w:hAnsi="仿宋" w:eastAsia="仿宋" w:cs="仿宋"/>
                <w:bCs/>
                <w:color w:val="000000" w:themeColor="text1"/>
                <w:kern w:val="0"/>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w:t>
            </w:r>
            <w:r>
              <w:rPr>
                <w:rFonts w:hint="eastAsia" w:ascii="仿宋" w:hAnsi="仿宋" w:eastAsia="仿宋" w:cs="仿宋"/>
                <w:bCs/>
                <w:color w:val="000000" w:themeColor="text1"/>
                <w:kern w:val="0"/>
                <w:sz w:val="21"/>
                <w:szCs w:val="21"/>
                <w:highlight w:val="none"/>
                <w14:textFill>
                  <w14:solidFill>
                    <w14:schemeClr w14:val="tx1"/>
                  </w14:solidFill>
                </w14:textFill>
              </w:rPr>
              <w:t>技术偏离要求</w:t>
            </w:r>
          </w:p>
        </w:tc>
        <w:tc>
          <w:tcPr>
            <w:tcW w:w="3196" w:type="pct"/>
            <w:tcBorders>
              <w:top w:val="single" w:color="000000" w:sz="4" w:space="0"/>
              <w:left w:val="single" w:color="auto" w:sz="4" w:space="0"/>
              <w:bottom w:val="single" w:color="000000" w:sz="4" w:space="0"/>
              <w:right w:val="single" w:color="000000" w:sz="4" w:space="0"/>
            </w:tcBorders>
            <w:vAlign w:val="center"/>
          </w:tcPr>
          <w:p>
            <w:pPr>
              <w:pStyle w:val="40"/>
              <w:jc w:val="left"/>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1、一般技术指标偏离超过**项，则评议不合格。</w:t>
            </w:r>
          </w:p>
          <w:p>
            <w:pPr>
              <w:jc w:val="left"/>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2、标注“★”号的条款为关键条款，对这些关键条款的任何偏离将导致应答文件被拒绝。</w:t>
            </w:r>
          </w:p>
          <w:p>
            <w:pPr>
              <w:pStyle w:val="3"/>
              <w:ind w:left="0" w:leftChars="0" w:firstLine="0" w:firstLineChars="0"/>
              <w:rPr>
                <w:rFonts w:hint="eastAsia" w:ascii="仿宋" w:hAnsi="仿宋" w:eastAsia="仿宋" w:cs="仿宋"/>
                <w:bCs/>
                <w:color w:val="000000" w:themeColor="text1"/>
                <w:kern w:val="0"/>
                <w:sz w:val="21"/>
                <w:szCs w:val="21"/>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3.对于一般条款，提供了技术偏离表且明确无偏离，如无要求提供支持材料，则视为合格。</w:t>
            </w:r>
          </w:p>
        </w:tc>
      </w:tr>
      <w:tr>
        <w:tblPrEx>
          <w:tblCellMar>
            <w:top w:w="0" w:type="dxa"/>
            <w:left w:w="0" w:type="dxa"/>
            <w:bottom w:w="0" w:type="dxa"/>
            <w:right w:w="0" w:type="dxa"/>
          </w:tblCellMar>
        </w:tblPrEx>
        <w:trPr>
          <w:trHeight w:val="2401" w:hRule="atLeast"/>
        </w:trPr>
        <w:tc>
          <w:tcPr>
            <w:tcW w:w="287" w:type="pct"/>
            <w:tcBorders>
              <w:top w:val="single" w:color="000000" w:sz="6" w:space="0"/>
              <w:left w:val="single" w:color="auto" w:sz="4" w:space="0"/>
              <w:bottom w:val="single" w:color="auto" w:sz="4" w:space="0"/>
              <w:right w:val="single" w:color="auto" w:sz="4"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3</w:t>
            </w:r>
          </w:p>
        </w:tc>
        <w:tc>
          <w:tcPr>
            <w:tcW w:w="262" w:type="pct"/>
            <w:tcBorders>
              <w:top w:val="single" w:color="000000" w:sz="6" w:space="0"/>
              <w:left w:val="single" w:color="auto" w:sz="4" w:space="0"/>
              <w:bottom w:val="single" w:color="auto" w:sz="4" w:space="0"/>
              <w:right w:val="single" w:color="auto" w:sz="4" w:space="0"/>
            </w:tcBorders>
            <w:vAlign w:val="center"/>
          </w:tcPr>
          <w:p>
            <w:pPr>
              <w:pStyle w:val="4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价</w:t>
            </w:r>
          </w:p>
          <w:p>
            <w:pPr>
              <w:pStyle w:val="4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格</w:t>
            </w:r>
          </w:p>
          <w:p>
            <w:pPr>
              <w:pStyle w:val="40"/>
              <w:spacing w:line="300" w:lineRule="exact"/>
              <w:jc w:val="center"/>
              <w:rPr>
                <w:rFonts w:hint="eastAsia"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标</w:t>
            </w:r>
          </w:p>
          <w:p>
            <w:pPr>
              <w:pStyle w:val="40"/>
              <w:spacing w:line="300" w:lineRule="exact"/>
              <w:jc w:val="center"/>
              <w:rPr>
                <w:rFonts w:hint="default" w:ascii="仿宋" w:hAnsi="仿宋" w:eastAsia="仿宋" w:cs="仿宋"/>
                <w:bCs/>
                <w:color w:val="000000" w:themeColor="text1"/>
                <w:sz w:val="21"/>
                <w:szCs w:val="21"/>
                <w:highlight w:val="none"/>
                <w:lang w:val="en-US" w:eastAsia="zh-CN"/>
                <w14:textFill>
                  <w14:solidFill>
                    <w14:schemeClr w14:val="tx1"/>
                  </w14:solidFill>
                </w14:textFill>
              </w:rPr>
            </w:pPr>
            <w:r>
              <w:rPr>
                <w:rFonts w:hint="eastAsia" w:ascii="仿宋" w:hAnsi="仿宋" w:eastAsia="仿宋" w:cs="仿宋"/>
                <w:bCs/>
                <w:color w:val="000000" w:themeColor="text1"/>
                <w:sz w:val="21"/>
                <w:szCs w:val="21"/>
                <w:highlight w:val="none"/>
                <w:lang w:val="en-US" w:eastAsia="zh-CN"/>
                <w14:textFill>
                  <w14:solidFill>
                    <w14:schemeClr w14:val="tx1"/>
                  </w14:solidFill>
                </w14:textFill>
              </w:rPr>
              <w:t>准</w:t>
            </w:r>
          </w:p>
        </w:tc>
        <w:tc>
          <w:tcPr>
            <w:tcW w:w="1253" w:type="pct"/>
            <w:tcBorders>
              <w:top w:val="single" w:color="000000" w:sz="4" w:space="0"/>
              <w:left w:val="nil"/>
              <w:bottom w:val="single" w:color="000000" w:sz="4" w:space="0"/>
              <w:right w:val="single" w:color="000000" w:sz="4" w:space="0"/>
            </w:tcBorders>
            <w:vAlign w:val="center"/>
          </w:tcPr>
          <w:p>
            <w:pPr>
              <w:widowControl/>
              <w:ind w:right="11" w:rightChars="0"/>
              <w:jc w:val="center"/>
              <w:rPr>
                <w:rFonts w:hint="default" w:ascii="仿宋" w:hAnsi="仿宋" w:eastAsia="仿宋" w:cs="仿宋"/>
                <w:bCs/>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auto"/>
                <w:sz w:val="21"/>
                <w:szCs w:val="21"/>
                <w:highlight w:val="none"/>
                <w:lang w:val="en-US" w:eastAsia="zh-CN"/>
              </w:rPr>
              <w:t>★</w:t>
            </w:r>
            <w:r>
              <w:rPr>
                <w:rFonts w:hint="eastAsia" w:ascii="仿宋" w:hAnsi="仿宋" w:eastAsia="仿宋" w:cs="仿宋"/>
                <w:bCs/>
                <w:color w:val="auto"/>
                <w:kern w:val="0"/>
                <w:sz w:val="21"/>
                <w:szCs w:val="21"/>
                <w:highlight w:val="none"/>
                <w:lang w:val="en-US" w:eastAsia="zh-CN"/>
              </w:rPr>
              <w:t>价格评议（结合2.0）</w:t>
            </w:r>
          </w:p>
        </w:tc>
        <w:tc>
          <w:tcPr>
            <w:tcW w:w="3196" w:type="pct"/>
            <w:tcBorders>
              <w:top w:val="single" w:color="000000" w:sz="4" w:space="0"/>
              <w:left w:val="single" w:color="auto" w:sz="4" w:space="0"/>
              <w:bottom w:val="single" w:color="000000" w:sz="4" w:space="0"/>
              <w:right w:val="single" w:color="000000" w:sz="4" w:space="0"/>
            </w:tcBorders>
            <w:vAlign w:val="center"/>
          </w:tcPr>
          <w:p>
            <w:pPr>
              <w:jc w:val="left"/>
              <w:rPr>
                <w:rFonts w:hint="eastAsia" w:ascii="仿宋" w:hAnsi="仿宋" w:eastAsia="仿宋" w:cs="仿宋"/>
                <w:color w:val="auto"/>
                <w:kern w:val="2"/>
                <w:sz w:val="21"/>
                <w:szCs w:val="21"/>
                <w:highlight w:val="none"/>
                <w:lang w:val="en-US" w:eastAsia="zh-CN" w:bidi="ar"/>
              </w:rPr>
            </w:pPr>
            <w:r>
              <w:rPr>
                <w:rFonts w:hint="eastAsia" w:ascii="仿宋" w:hAnsi="仿宋" w:eastAsia="仿宋" w:cs="仿宋"/>
                <w:b/>
                <w:bCs/>
                <w:color w:val="auto"/>
                <w:kern w:val="2"/>
                <w:sz w:val="21"/>
                <w:szCs w:val="21"/>
                <w:highlight w:val="none"/>
                <w:lang w:eastAsia="zh-CN" w:bidi="ar"/>
              </w:rPr>
              <w:t>经评审的价格（不含税）计算方法：经评审的价格（不含税）=</w:t>
            </w:r>
            <w:r>
              <w:rPr>
                <w:rFonts w:hint="eastAsia" w:ascii="仿宋" w:hAnsi="仿宋" w:eastAsia="仿宋" w:cs="仿宋"/>
                <w:b/>
                <w:bCs/>
                <w:color w:val="auto"/>
                <w:kern w:val="2"/>
                <w:sz w:val="21"/>
                <w:szCs w:val="21"/>
                <w:highlight w:val="none"/>
                <w:lang w:val="en-US" w:eastAsia="zh-CN" w:bidi="ar"/>
              </w:rPr>
              <w:t>应答人</w:t>
            </w:r>
            <w:r>
              <w:rPr>
                <w:rFonts w:hint="eastAsia" w:ascii="仿宋" w:hAnsi="仿宋" w:eastAsia="仿宋" w:cs="仿宋"/>
                <w:b/>
                <w:bCs/>
                <w:color w:val="auto"/>
                <w:kern w:val="2"/>
                <w:sz w:val="21"/>
                <w:szCs w:val="21"/>
                <w:highlight w:val="none"/>
                <w:lang w:eastAsia="zh-CN" w:bidi="ar"/>
              </w:rPr>
              <w:t>报价（不含税）+报价算术修正；</w:t>
            </w:r>
          </w:p>
          <w:p>
            <w:pPr>
              <w:jc w:val="left"/>
              <w:rPr>
                <w:rFonts w:hint="default" w:ascii="仿宋" w:hAnsi="仿宋" w:eastAsia="仿宋" w:cs="仿宋"/>
                <w:color w:val="C00000"/>
                <w:kern w:val="2"/>
                <w:sz w:val="21"/>
                <w:szCs w:val="21"/>
                <w:highlight w:val="none"/>
                <w:lang w:val="en-US" w:eastAsia="zh-CN" w:bidi="ar"/>
              </w:rPr>
            </w:pPr>
            <w:r>
              <w:rPr>
                <w:rFonts w:hint="eastAsia" w:ascii="仿宋" w:hAnsi="仿宋" w:eastAsia="仿宋" w:cs="仿宋"/>
                <w:color w:val="auto"/>
                <w:kern w:val="2"/>
                <w:sz w:val="21"/>
                <w:szCs w:val="21"/>
                <w:highlight w:val="none"/>
                <w:lang w:val="en-US" w:eastAsia="zh-CN" w:bidi="ar"/>
              </w:rPr>
              <w:t>（1）应答人应进行系统报价，同时提供上传报价单，如缺少上传报价单或未进行系统报价均视为评议不合格。</w:t>
            </w:r>
          </w:p>
          <w:p>
            <w:pPr>
              <w:jc w:val="left"/>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
              </w:rPr>
              <w:t>(2)系统中报价与系统中上传报价单应保持一致；当系统报价与上传价格明细文件不一致的，以“系统中</w:t>
            </w:r>
            <w:r>
              <w:rPr>
                <w:rFonts w:hint="eastAsia" w:ascii="仿宋" w:hAnsi="仿宋" w:eastAsia="仿宋" w:cs="仿宋"/>
                <w:color w:val="auto"/>
                <w:kern w:val="2"/>
                <w:sz w:val="21"/>
                <w:szCs w:val="21"/>
                <w:highlight w:val="yellow"/>
                <w:lang w:val="en-US" w:eastAsia="zh-CN" w:bidi="ar"/>
              </w:rPr>
              <w:t>上传</w:t>
            </w:r>
            <w:r>
              <w:rPr>
                <w:rFonts w:hint="eastAsia" w:ascii="仿宋" w:hAnsi="仿宋" w:eastAsia="仿宋" w:cs="仿宋"/>
                <w:color w:val="auto"/>
                <w:kern w:val="2"/>
                <w:sz w:val="21"/>
                <w:szCs w:val="21"/>
                <w:highlight w:val="none"/>
                <w:lang w:val="en-US" w:eastAsia="zh-CN" w:bidi="ar"/>
              </w:rPr>
              <w:t>价格明细文件”为准，如该文件出现计算错误，按如下算术修正方式修正</w:t>
            </w:r>
            <w:r>
              <w:rPr>
                <w:rFonts w:hint="eastAsia" w:ascii="仿宋" w:hAnsi="仿宋" w:eastAsia="仿宋" w:cs="仿宋"/>
                <w:color w:val="auto"/>
                <w:kern w:val="2"/>
                <w:sz w:val="21"/>
                <w:szCs w:val="21"/>
                <w:highlight w:val="none"/>
                <w:lang w:val="en-US" w:eastAsia="zh-CN" w:bidi="ar-SA"/>
              </w:rPr>
              <w:t>。</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1)大写金额和小写金额不一致的，以大写金额为准；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2)单价金额小数点或者百分比有明显错位的，修改单价；</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 xml:space="preserve">3)总价金额与按单价汇总金额不一致的，以单价金额计算结果为准。 </w:t>
            </w:r>
          </w:p>
          <w:p>
            <w:pPr>
              <w:spacing w:line="240" w:lineRule="auto"/>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color w:val="auto"/>
                <w:kern w:val="2"/>
                <w:sz w:val="21"/>
                <w:szCs w:val="21"/>
                <w:highlight w:val="none"/>
                <w:lang w:val="en-US" w:eastAsia="zh-CN" w:bidi="ar-SA"/>
              </w:rPr>
              <w:t>同时出现两种以上不一致的，按照前款规定的顺序修正，即按照上述1）至3）项的顺序，逐项进行修正。询比评审小组应请应答人澄清确认修正后的报价,应答人不确认、否认或不回复的,其报价文件无效。</w:t>
            </w:r>
          </w:p>
          <w:p>
            <w:pPr>
              <w:rPr>
                <w:rFonts w:hint="eastAsia" w:ascii="仿宋" w:hAnsi="仿宋" w:eastAsia="仿宋" w:cs="仿宋"/>
                <w:color w:val="auto"/>
                <w:kern w:val="2"/>
                <w:szCs w:val="21"/>
                <w:highlight w:val="none"/>
              </w:rPr>
            </w:pPr>
            <w:r>
              <w:rPr>
                <w:rFonts w:hint="eastAsia" w:ascii="仿宋" w:hAnsi="仿宋" w:eastAsia="仿宋" w:cs="仿宋"/>
                <w:color w:val="auto"/>
                <w:kern w:val="2"/>
                <w:sz w:val="21"/>
                <w:szCs w:val="21"/>
                <w:highlight w:val="none"/>
                <w:lang w:val="en-US" w:eastAsia="zh-CN" w:bidi="ar"/>
              </w:rPr>
              <w:t>（2）</w:t>
            </w:r>
            <w:r>
              <w:rPr>
                <w:rFonts w:hint="eastAsia" w:ascii="仿宋" w:hAnsi="仿宋" w:eastAsia="仿宋" w:cs="仿宋"/>
                <w:color w:val="auto"/>
                <w:kern w:val="2"/>
                <w:szCs w:val="21"/>
                <w:highlight w:val="none"/>
              </w:rPr>
              <w:t>对于总价合同，“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报价中存在缺漏项的，则视为缺漏项价格已包含在其</w:t>
            </w:r>
            <w:r>
              <w:rPr>
                <w:rFonts w:hint="eastAsia" w:ascii="仿宋" w:hAnsi="仿宋" w:eastAsia="仿宋" w:cs="仿宋"/>
                <w:color w:val="auto"/>
                <w:kern w:val="2"/>
                <w:szCs w:val="21"/>
                <w:highlight w:val="none"/>
                <w:lang w:eastAsia="zh-CN"/>
              </w:rPr>
              <w:t>应答</w:t>
            </w:r>
            <w:r>
              <w:rPr>
                <w:rFonts w:hint="eastAsia" w:ascii="仿宋" w:hAnsi="仿宋" w:eastAsia="仿宋" w:cs="仿宋"/>
                <w:color w:val="auto"/>
                <w:kern w:val="2"/>
                <w:szCs w:val="21"/>
                <w:highlight w:val="none"/>
              </w:rPr>
              <w:t>报价之中，并要求</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人书面澄清确认，</w:t>
            </w:r>
            <w:r>
              <w:rPr>
                <w:rFonts w:hint="eastAsia" w:ascii="仿宋" w:hAnsi="仿宋" w:eastAsia="仿宋" w:cs="仿宋"/>
                <w:color w:val="auto"/>
                <w:kern w:val="2"/>
                <w:szCs w:val="21"/>
                <w:highlight w:val="none"/>
                <w:lang w:eastAsia="zh-CN"/>
              </w:rPr>
              <w:t>应答人</w:t>
            </w:r>
            <w:r>
              <w:rPr>
                <w:rFonts w:hint="eastAsia" w:ascii="仿宋" w:hAnsi="仿宋" w:eastAsia="仿宋" w:cs="仿宋"/>
                <w:color w:val="auto"/>
                <w:kern w:val="2"/>
                <w:szCs w:val="21"/>
                <w:highlight w:val="none"/>
              </w:rPr>
              <w:t>不按规定回复澄清确认或确认缺漏项价格不包含在</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报价中的，</w:t>
            </w:r>
            <w:r>
              <w:rPr>
                <w:rFonts w:hint="eastAsia" w:ascii="仿宋" w:hAnsi="仿宋" w:eastAsia="仿宋" w:cs="仿宋"/>
                <w:color w:val="auto"/>
                <w:kern w:val="2"/>
                <w:szCs w:val="21"/>
                <w:highlight w:val="none"/>
                <w:lang w:val="en-US" w:eastAsia="zh-CN"/>
              </w:rPr>
              <w:t>询比评审小组</w:t>
            </w:r>
            <w:r>
              <w:rPr>
                <w:rFonts w:hint="eastAsia" w:ascii="仿宋" w:hAnsi="仿宋" w:eastAsia="仿宋" w:cs="仿宋"/>
                <w:color w:val="auto"/>
                <w:kern w:val="2"/>
                <w:szCs w:val="21"/>
                <w:highlight w:val="none"/>
              </w:rPr>
              <w:t>应当否决其</w:t>
            </w:r>
            <w:r>
              <w:rPr>
                <w:rFonts w:hint="eastAsia" w:ascii="仿宋" w:hAnsi="仿宋" w:eastAsia="仿宋" w:cs="仿宋"/>
                <w:color w:val="auto"/>
                <w:kern w:val="2"/>
                <w:szCs w:val="21"/>
                <w:highlight w:val="none"/>
                <w:lang w:val="en-US" w:eastAsia="zh-CN"/>
              </w:rPr>
              <w:t>应答文件</w:t>
            </w:r>
            <w:r>
              <w:rPr>
                <w:rFonts w:hint="eastAsia" w:ascii="仿宋" w:hAnsi="仿宋" w:eastAsia="仿宋" w:cs="仿宋"/>
                <w:color w:val="auto"/>
                <w:kern w:val="2"/>
                <w:szCs w:val="21"/>
                <w:highlight w:val="none"/>
              </w:rPr>
              <w:t>”；</w:t>
            </w:r>
          </w:p>
          <w:p>
            <w:pPr>
              <w:ind w:left="0" w:leftChars="0"/>
              <w:jc w:val="both"/>
              <w:rPr>
                <w:rFonts w:hint="eastAsia" w:ascii="仿宋" w:hAnsi="仿宋" w:eastAsia="仿宋" w:cs="仿宋"/>
                <w:bCs/>
                <w:color w:val="000000" w:themeColor="text1"/>
                <w:kern w:val="0"/>
                <w:sz w:val="21"/>
                <w:szCs w:val="21"/>
                <w:highlight w:val="none"/>
                <w:lang w:val="en-US" w:eastAsia="zh-CN" w:bidi="ar-SA"/>
                <w14:textFill>
                  <w14:solidFill>
                    <w14:schemeClr w14:val="tx1"/>
                  </w14:solidFill>
                </w14:textFill>
              </w:rPr>
            </w:pPr>
            <w:r>
              <w:rPr>
                <w:rFonts w:hint="eastAsia" w:ascii="仿宋" w:hAnsi="仿宋" w:eastAsia="仿宋" w:cs="仿宋"/>
                <w:color w:val="auto"/>
                <w:kern w:val="2"/>
                <w:szCs w:val="21"/>
                <w:highlight w:val="none"/>
              </w:rPr>
              <w:t>对于协议类合同，“</w:t>
            </w:r>
            <w:r>
              <w:rPr>
                <w:rFonts w:hint="eastAsia" w:ascii="仿宋" w:hAnsi="仿宋" w:eastAsia="仿宋" w:cs="仿宋"/>
                <w:color w:val="auto"/>
                <w:kern w:val="2"/>
                <w:szCs w:val="21"/>
                <w:highlight w:val="none"/>
                <w:lang w:val="en-US" w:eastAsia="zh-CN"/>
              </w:rPr>
              <w:t>应答</w:t>
            </w:r>
            <w:r>
              <w:rPr>
                <w:rFonts w:hint="eastAsia" w:ascii="仿宋" w:hAnsi="仿宋" w:eastAsia="仿宋" w:cs="仿宋"/>
                <w:color w:val="auto"/>
                <w:kern w:val="2"/>
                <w:szCs w:val="21"/>
                <w:highlight w:val="none"/>
              </w:rPr>
              <w:t>报价不允许缺漏项，否则将导致</w:t>
            </w:r>
            <w:r>
              <w:rPr>
                <w:rFonts w:hint="eastAsia" w:ascii="仿宋" w:hAnsi="仿宋" w:eastAsia="仿宋" w:cs="仿宋"/>
                <w:color w:val="auto"/>
                <w:kern w:val="2"/>
                <w:szCs w:val="21"/>
                <w:highlight w:val="none"/>
                <w:lang w:val="en-US" w:eastAsia="zh-CN"/>
              </w:rPr>
              <w:t>应答报价</w:t>
            </w:r>
            <w:r>
              <w:rPr>
                <w:rFonts w:hint="eastAsia" w:ascii="仿宋" w:hAnsi="仿宋" w:eastAsia="仿宋" w:cs="仿宋"/>
                <w:color w:val="auto"/>
                <w:kern w:val="2"/>
                <w:szCs w:val="21"/>
                <w:highlight w:val="none"/>
              </w:rPr>
              <w:t>被否决”</w:t>
            </w:r>
          </w:p>
        </w:tc>
      </w:tr>
    </w:tbl>
    <w:p>
      <w:pPr>
        <w:rPr>
          <w:rFonts w:hint="eastAsia"/>
          <w:lang w:val="en-US" w:eastAsia="zh-CN"/>
        </w:rPr>
      </w:pPr>
    </w:p>
    <w:p>
      <w:pPr>
        <w:shd w:val="clear" w:color="000000" w:fill="auto"/>
        <w:adjustRightInd w:val="0"/>
        <w:snapToGrid w:val="0"/>
        <w:spacing w:line="240" w:lineRule="auto"/>
        <w:jc w:val="left"/>
        <w:rPr>
          <w:rFonts w:hint="eastAsia" w:ascii="黑体" w:hAnsi="黑体" w:eastAsia="黑体"/>
          <w:sz w:val="24"/>
          <w:szCs w:val="24"/>
          <w:lang w:val="en-US" w:eastAsia="zh-CN"/>
        </w:rPr>
      </w:pPr>
      <w:bookmarkStart w:id="2" w:name="_Toc256000016"/>
      <w:r>
        <w:rPr>
          <w:rFonts w:hint="eastAsia" w:ascii="黑体" w:hAnsi="黑体" w:eastAsia="黑体"/>
          <w:sz w:val="24"/>
          <w:szCs w:val="24"/>
          <w:lang w:val="en-US" w:eastAsia="zh-CN"/>
        </w:rPr>
        <w:t>1.评审方法</w:t>
      </w:r>
      <w:bookmarkEnd w:id="2"/>
    </w:p>
    <w:p>
      <w:pPr>
        <w:adjustRightInd w:val="0"/>
        <w:snapToGrid w:val="0"/>
        <w:spacing w:line="360" w:lineRule="auto"/>
        <w:ind w:firstLine="420" w:firstLineChars="200"/>
        <w:rPr>
          <w:rFonts w:ascii="宋体" w:hAnsi="宋体" w:eastAsia="宋体" w:cs="微软雅黑"/>
          <w:sz w:val="21"/>
          <w:szCs w:val="21"/>
          <w:lang w:eastAsia="zh-CN"/>
        </w:rPr>
      </w:pPr>
      <w:r>
        <w:rPr>
          <w:rFonts w:ascii="宋体" w:hAnsi="宋体" w:eastAsia="宋体" w:cs="微软雅黑"/>
          <w:sz w:val="21"/>
          <w:szCs w:val="21"/>
          <w:lang w:eastAsia="zh-CN"/>
        </w:rPr>
        <w:t>本次采用</w:t>
      </w:r>
      <w:r>
        <w:rPr>
          <w:rFonts w:hint="eastAsia" w:ascii="宋体" w:hAnsi="宋体" w:eastAsia="宋体" w:cs="微软雅黑"/>
          <w:sz w:val="21"/>
          <w:szCs w:val="21"/>
          <w:lang w:eastAsia="zh-CN"/>
        </w:rPr>
        <w:t>经评审的最低价法</w:t>
      </w:r>
      <w:r>
        <w:rPr>
          <w:rFonts w:ascii="宋体" w:hAnsi="宋体" w:eastAsia="宋体" w:cs="微软雅黑"/>
          <w:sz w:val="21"/>
          <w:szCs w:val="21"/>
          <w:lang w:eastAsia="zh-CN"/>
        </w:rPr>
        <w:t>。</w:t>
      </w:r>
      <w:r>
        <w:rPr>
          <w:rFonts w:hint="eastAsia" w:ascii="宋体" w:hAnsi="宋体" w:eastAsia="宋体" w:cs="微软雅黑"/>
          <w:sz w:val="21"/>
          <w:szCs w:val="21"/>
          <w:lang w:eastAsia="zh-CN"/>
        </w:rPr>
        <w:t>本次采用响应询比文件要求且经评审的价格最低原则。如经评审的价格存在两家应答人一致的情形，可按照付款条件、交货期、质保期、注册资金等优先顺序确定成交供应商</w:t>
      </w:r>
      <w:r>
        <w:rPr>
          <w:rFonts w:ascii="宋体" w:hAnsi="宋体" w:eastAsia="宋体" w:cs="微软雅黑"/>
          <w:sz w:val="21"/>
          <w:szCs w:val="21"/>
          <w:lang w:eastAsia="zh-CN"/>
        </w:rPr>
        <w:t>。</w:t>
      </w:r>
    </w:p>
    <w:p>
      <w:pPr>
        <w:adjustRightInd w:val="0"/>
        <w:snapToGrid w:val="0"/>
        <w:spacing w:line="360" w:lineRule="auto"/>
        <w:ind w:firstLine="420" w:firstLineChars="200"/>
        <w:rPr>
          <w:rFonts w:ascii="宋体" w:hAnsi="宋体" w:eastAsia="宋体" w:cs="微软雅黑"/>
          <w:strike/>
          <w:dstrike w:val="0"/>
          <w:sz w:val="21"/>
          <w:szCs w:val="21"/>
          <w:lang w:val="en-US" w:eastAsia="zh-CN"/>
        </w:rPr>
      </w:pPr>
      <w:r>
        <w:rPr>
          <w:rFonts w:hint="eastAsia" w:ascii="宋体" w:hAnsi="宋体" w:eastAsia="宋体" w:cs="微软雅黑"/>
          <w:sz w:val="21"/>
          <w:szCs w:val="21"/>
          <w:lang w:val="en-US" w:eastAsia="zh-CN"/>
        </w:rPr>
        <w:t>如果“评审办法前附表”中加注“★”重要条款与询比文件其它部分内容不一致，以“评审办法前附表”为准。“评审办法前附表”中未加注“★”的一般条款跟询比文件其它部分的一般条款不一致，以“评审办法前附表”为准。</w:t>
      </w:r>
    </w:p>
    <w:p>
      <w:pPr>
        <w:shd w:val="clear" w:color="000000" w:fill="auto"/>
        <w:adjustRightInd w:val="0"/>
        <w:snapToGrid w:val="0"/>
        <w:spacing w:line="240" w:lineRule="auto"/>
        <w:jc w:val="left"/>
        <w:rPr>
          <w:rFonts w:hint="eastAsia" w:ascii="黑体" w:hAnsi="黑体" w:eastAsia="黑体"/>
          <w:sz w:val="24"/>
          <w:szCs w:val="24"/>
          <w:lang w:val="en-US" w:eastAsia="en-US"/>
        </w:rPr>
      </w:pPr>
      <w:r>
        <w:rPr>
          <w:rFonts w:hint="eastAsia" w:ascii="黑体" w:hAnsi="黑体" w:eastAsia="黑体"/>
          <w:sz w:val="24"/>
          <w:szCs w:val="24"/>
          <w:lang w:val="en-US" w:eastAsia="en-US"/>
        </w:rPr>
        <w:t>2. 评审标准</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2.1 初步评审标准</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2.1.1 形式评审标准：见</w:t>
      </w:r>
      <w:r>
        <w:rPr>
          <w:rFonts w:hint="eastAsia" w:ascii="宋体" w:hAnsi="宋体" w:eastAsia="宋体" w:cs="微软雅黑"/>
          <w:sz w:val="21"/>
          <w:szCs w:val="21"/>
          <w:lang w:val="en-US" w:eastAsia="zh-CN"/>
        </w:rPr>
        <w:t>评审办法前附表</w:t>
      </w:r>
      <w:r>
        <w:rPr>
          <w:rFonts w:hint="eastAsia" w:ascii="宋体" w:hAnsi="宋体" w:eastAsia="宋体" w:cs="微软雅黑"/>
          <w:sz w:val="21"/>
          <w:szCs w:val="21"/>
          <w:lang w:val="en-US" w:eastAsia="en-US"/>
        </w:rPr>
        <w:t>。</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2.1.2 资格评审标准：见</w:t>
      </w:r>
      <w:r>
        <w:rPr>
          <w:rFonts w:hint="eastAsia" w:ascii="宋体" w:hAnsi="宋体" w:eastAsia="宋体" w:cs="微软雅黑"/>
          <w:sz w:val="21"/>
          <w:szCs w:val="21"/>
          <w:lang w:val="en-US" w:eastAsia="zh-CN"/>
        </w:rPr>
        <w:t>评审办法前附表</w:t>
      </w:r>
      <w:r>
        <w:rPr>
          <w:rFonts w:hint="eastAsia" w:ascii="宋体" w:hAnsi="宋体" w:eastAsia="宋体" w:cs="微软雅黑"/>
          <w:sz w:val="21"/>
          <w:szCs w:val="21"/>
          <w:lang w:val="en-US" w:eastAsia="en-US"/>
        </w:rPr>
        <w:t>。</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2.1.3 响应性评审标准：见</w:t>
      </w:r>
      <w:r>
        <w:rPr>
          <w:rFonts w:hint="eastAsia" w:ascii="宋体" w:hAnsi="宋体" w:eastAsia="宋体" w:cs="微软雅黑"/>
          <w:sz w:val="21"/>
          <w:szCs w:val="21"/>
          <w:lang w:val="en-US" w:eastAsia="zh-CN"/>
        </w:rPr>
        <w:t>评审办法前附表</w:t>
      </w:r>
      <w:r>
        <w:rPr>
          <w:rFonts w:hint="eastAsia" w:ascii="宋体" w:hAnsi="宋体" w:eastAsia="宋体" w:cs="微软雅黑"/>
          <w:sz w:val="21"/>
          <w:szCs w:val="21"/>
          <w:lang w:val="en-US" w:eastAsia="en-US"/>
        </w:rPr>
        <w:t>。</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2.2 详细评审标准</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详细评审标准：见</w:t>
      </w:r>
      <w:r>
        <w:rPr>
          <w:rFonts w:hint="eastAsia" w:ascii="宋体" w:hAnsi="宋体" w:eastAsia="宋体" w:cs="微软雅黑"/>
          <w:sz w:val="21"/>
          <w:szCs w:val="21"/>
          <w:lang w:val="en-US" w:eastAsia="zh-CN"/>
        </w:rPr>
        <w:t>评审办法前附表</w:t>
      </w:r>
      <w:r>
        <w:rPr>
          <w:rFonts w:hint="eastAsia" w:ascii="宋体" w:hAnsi="宋体" w:eastAsia="宋体" w:cs="微软雅黑"/>
          <w:sz w:val="21"/>
          <w:szCs w:val="21"/>
          <w:lang w:val="en-US" w:eastAsia="en-US"/>
        </w:rPr>
        <w:t>。</w:t>
      </w:r>
    </w:p>
    <w:p>
      <w:pPr>
        <w:shd w:val="clear" w:color="000000" w:fill="auto"/>
        <w:adjustRightInd w:val="0"/>
        <w:snapToGrid w:val="0"/>
        <w:spacing w:line="240" w:lineRule="auto"/>
        <w:jc w:val="left"/>
        <w:rPr>
          <w:rFonts w:hint="eastAsia" w:ascii="黑体" w:hAnsi="黑体" w:eastAsia="黑体"/>
          <w:sz w:val="24"/>
          <w:szCs w:val="24"/>
          <w:lang w:val="en-US" w:eastAsia="en-US"/>
        </w:rPr>
      </w:pPr>
      <w:r>
        <w:rPr>
          <w:rFonts w:hint="eastAsia" w:ascii="黑体" w:hAnsi="黑体" w:eastAsia="黑体"/>
          <w:sz w:val="24"/>
          <w:szCs w:val="24"/>
          <w:lang w:val="en-US" w:eastAsia="en-US"/>
        </w:rPr>
        <w:t>3. 评审程序</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3.1 初步评审</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 xml:space="preserve">3.1.1 </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可以要求</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提交有关证明和证件的原件，以便核验。</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依据标准对</w:t>
      </w:r>
      <w:r>
        <w:rPr>
          <w:rFonts w:hint="eastAsia" w:ascii="宋体" w:hAnsi="宋体" w:eastAsia="宋体" w:cs="微软雅黑"/>
          <w:sz w:val="21"/>
          <w:szCs w:val="21"/>
          <w:lang w:val="en-US" w:eastAsia="zh-CN"/>
        </w:rPr>
        <w:t>应答文件</w:t>
      </w:r>
      <w:r>
        <w:rPr>
          <w:rFonts w:hint="eastAsia" w:ascii="宋体" w:hAnsi="宋体" w:eastAsia="宋体" w:cs="微软雅黑"/>
          <w:sz w:val="21"/>
          <w:szCs w:val="21"/>
          <w:lang w:val="en-US" w:eastAsia="en-US"/>
        </w:rPr>
        <w:t>进行初步评审。有一项不符合评审标准的，</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应当否决其</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 xml:space="preserve">3.1.2 </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有以下情形之一的，</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应当否决其</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（1）</w:t>
      </w:r>
      <w:r>
        <w:rPr>
          <w:rFonts w:hint="eastAsia" w:ascii="宋体" w:hAnsi="宋体" w:eastAsia="宋体" w:cs="微软雅黑"/>
          <w:sz w:val="21"/>
          <w:szCs w:val="21"/>
          <w:lang w:val="en-US" w:eastAsia="zh-CN"/>
        </w:rPr>
        <w:t>应答文件</w:t>
      </w:r>
      <w:r>
        <w:rPr>
          <w:rFonts w:hint="eastAsia" w:ascii="宋体" w:hAnsi="宋体" w:eastAsia="宋体" w:cs="微软雅黑"/>
          <w:sz w:val="21"/>
          <w:szCs w:val="21"/>
          <w:lang w:val="en-US" w:eastAsia="en-US"/>
        </w:rPr>
        <w:t>没有对</w:t>
      </w:r>
      <w:r>
        <w:rPr>
          <w:rFonts w:hint="eastAsia" w:ascii="宋体" w:hAnsi="宋体" w:eastAsia="宋体" w:cs="微软雅黑"/>
          <w:sz w:val="21"/>
          <w:szCs w:val="21"/>
          <w:lang w:val="en-US" w:eastAsia="zh-CN"/>
        </w:rPr>
        <w:t>询比文件</w:t>
      </w:r>
      <w:r>
        <w:rPr>
          <w:rFonts w:hint="eastAsia" w:ascii="宋体" w:hAnsi="宋体" w:eastAsia="宋体" w:cs="微软雅黑"/>
          <w:sz w:val="21"/>
          <w:szCs w:val="21"/>
          <w:lang w:val="en-US" w:eastAsia="en-US"/>
        </w:rPr>
        <w:t>的实质性要求和条件作出响应.或者对</w:t>
      </w:r>
      <w:r>
        <w:rPr>
          <w:rFonts w:hint="eastAsia" w:ascii="宋体" w:hAnsi="宋体" w:eastAsia="宋体" w:cs="微软雅黑"/>
          <w:sz w:val="21"/>
          <w:szCs w:val="21"/>
          <w:lang w:val="en-US" w:eastAsia="zh-CN"/>
        </w:rPr>
        <w:t>询比文件</w:t>
      </w:r>
      <w:r>
        <w:rPr>
          <w:rFonts w:hint="eastAsia" w:ascii="宋体" w:hAnsi="宋体" w:eastAsia="宋体" w:cs="微软雅黑"/>
          <w:sz w:val="21"/>
          <w:szCs w:val="21"/>
          <w:lang w:val="en-US" w:eastAsia="en-US"/>
        </w:rPr>
        <w:t xml:space="preserve">的偏差超出 </w:t>
      </w:r>
      <w:r>
        <w:rPr>
          <w:rFonts w:hint="eastAsia" w:ascii="宋体" w:hAnsi="宋体" w:eastAsia="宋体" w:cs="微软雅黑"/>
          <w:sz w:val="21"/>
          <w:szCs w:val="21"/>
          <w:lang w:val="en-US" w:eastAsia="zh-CN"/>
        </w:rPr>
        <w:t>询比文件</w:t>
      </w:r>
      <w:r>
        <w:rPr>
          <w:rFonts w:hint="eastAsia" w:ascii="宋体" w:hAnsi="宋体" w:eastAsia="宋体" w:cs="微软雅黑"/>
          <w:sz w:val="21"/>
          <w:szCs w:val="21"/>
          <w:lang w:val="en-US" w:eastAsia="en-US"/>
        </w:rPr>
        <w:t>规定的偏差范围或最高项数；</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（2）有串通</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、弄虚作假、行贿等违法行为。</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 xml:space="preserve">3.1.3 </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报价有算术错误及其他错误的，</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按上述算术修正原则要求</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对</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报价进行修正，并要求</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书面澄清确认。</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拒不澄清确认的，</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应当否决其</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（1）</w:t>
      </w:r>
      <w:r>
        <w:rPr>
          <w:rFonts w:hint="eastAsia" w:ascii="宋体" w:hAnsi="宋体" w:eastAsia="宋体" w:cs="微软雅黑"/>
          <w:sz w:val="21"/>
          <w:szCs w:val="21"/>
          <w:lang w:val="en-US" w:eastAsia="zh-CN"/>
        </w:rPr>
        <w:t>应答文件</w:t>
      </w:r>
      <w:r>
        <w:rPr>
          <w:rFonts w:hint="eastAsia" w:ascii="宋体" w:hAnsi="宋体" w:eastAsia="宋体" w:cs="微软雅黑"/>
          <w:sz w:val="21"/>
          <w:szCs w:val="21"/>
          <w:lang w:val="en-US" w:eastAsia="en-US"/>
        </w:rPr>
        <w:t>中的大写金额与小写金额不一致的，以大写金额为准；</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（2）总价金额与单价金额不一致的，以单价金额为准，但单价金额小数点有明显错误的除外；</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（3）</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报价为各分项报价金额之和，</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报价与分项报价的合价不一致的，应以各分项合价累计数为准，修正</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报价；</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（4）如果分项报价中存在缺漏项，则视为缺漏项价格已包含在其他分项报价之中。</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3.2 详细评审</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 xml:space="preserve">3.2.1 </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按本章规定的评标价格调整方法进行必要的价格调整，并编制“价格比较表”。</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 xml:space="preserve">3.2.2 </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发现</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的报价明显低于其他</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报价，使得其</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报价可能低于其成本的，应当要求该</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作出书面说明并提供相应的证明材料。</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不能合理说明或者不能 提供相应证明材料的，由</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认定该</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以低于成本报价竞标，并否决其</w:t>
      </w:r>
      <w:r>
        <w:rPr>
          <w:rFonts w:hint="eastAsia" w:ascii="宋体" w:hAnsi="宋体" w:eastAsia="宋体" w:cs="微软雅黑"/>
          <w:sz w:val="21"/>
          <w:szCs w:val="21"/>
          <w:lang w:val="en-US" w:eastAsia="zh-CN"/>
        </w:rPr>
        <w:t>应答</w:t>
      </w:r>
      <w:r>
        <w:rPr>
          <w:rFonts w:hint="eastAsia" w:ascii="宋体" w:hAnsi="宋体" w:eastAsia="宋体" w:cs="微软雅黑"/>
          <w:sz w:val="21"/>
          <w:szCs w:val="21"/>
          <w:lang w:val="en-US" w:eastAsia="en-US"/>
        </w:rPr>
        <w:t>。</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 xml:space="preserve">3.3 </w:t>
      </w:r>
      <w:r>
        <w:rPr>
          <w:rFonts w:hint="eastAsia" w:ascii="宋体" w:hAnsi="宋体" w:eastAsia="宋体" w:cs="微软雅黑"/>
          <w:sz w:val="21"/>
          <w:szCs w:val="21"/>
          <w:lang w:val="en-US" w:eastAsia="zh-CN"/>
        </w:rPr>
        <w:t>应答文件</w:t>
      </w:r>
      <w:r>
        <w:rPr>
          <w:rFonts w:hint="eastAsia" w:ascii="宋体" w:hAnsi="宋体" w:eastAsia="宋体" w:cs="微软雅黑"/>
          <w:sz w:val="21"/>
          <w:szCs w:val="21"/>
          <w:lang w:val="en-US" w:eastAsia="en-US"/>
        </w:rPr>
        <w:t>的澄清</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3.3.1 在评标过程中，</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可以书面形式要求</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对</w:t>
      </w:r>
      <w:r>
        <w:rPr>
          <w:rFonts w:hint="eastAsia" w:ascii="宋体" w:hAnsi="宋体" w:eastAsia="宋体" w:cs="微软雅黑"/>
          <w:sz w:val="21"/>
          <w:szCs w:val="21"/>
          <w:lang w:val="en-US" w:eastAsia="zh-CN"/>
        </w:rPr>
        <w:t>应答文件</w:t>
      </w:r>
      <w:r>
        <w:rPr>
          <w:rFonts w:hint="eastAsia" w:ascii="宋体" w:hAnsi="宋体" w:eastAsia="宋体" w:cs="微软雅黑"/>
          <w:sz w:val="21"/>
          <w:szCs w:val="21"/>
          <w:lang w:val="en-US" w:eastAsia="en-US"/>
        </w:rPr>
        <w:t>中含义不明确、对同 类问题表述不一致或者有明显文字和计算错误的内容作必要的澄清、说明或补正。澄清、说明 或补正应以书面方式进行。</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不接受</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主动提出的澄清、说明或补正。</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3.3.2 澄清、说明或补正不得超出</w:t>
      </w:r>
      <w:r>
        <w:rPr>
          <w:rFonts w:hint="eastAsia" w:ascii="宋体" w:hAnsi="宋体" w:eastAsia="宋体" w:cs="微软雅黑"/>
          <w:sz w:val="21"/>
          <w:szCs w:val="21"/>
          <w:lang w:val="en-US" w:eastAsia="zh-CN"/>
        </w:rPr>
        <w:t>应答文件</w:t>
      </w:r>
      <w:r>
        <w:rPr>
          <w:rFonts w:hint="eastAsia" w:ascii="宋体" w:hAnsi="宋体" w:eastAsia="宋体" w:cs="微软雅黑"/>
          <w:sz w:val="21"/>
          <w:szCs w:val="21"/>
          <w:lang w:val="en-US" w:eastAsia="en-US"/>
        </w:rPr>
        <w:t>的范围且不得改变</w:t>
      </w:r>
      <w:r>
        <w:rPr>
          <w:rFonts w:hint="eastAsia" w:ascii="宋体" w:hAnsi="宋体" w:eastAsia="宋体" w:cs="微软雅黑"/>
          <w:sz w:val="21"/>
          <w:szCs w:val="21"/>
          <w:lang w:val="en-US" w:eastAsia="zh-CN"/>
        </w:rPr>
        <w:t>应答文件</w:t>
      </w:r>
      <w:r>
        <w:rPr>
          <w:rFonts w:hint="eastAsia" w:ascii="宋体" w:hAnsi="宋体" w:eastAsia="宋体" w:cs="微软雅黑"/>
          <w:sz w:val="21"/>
          <w:szCs w:val="21"/>
          <w:lang w:val="en-US" w:eastAsia="en-US"/>
        </w:rPr>
        <w:t>的实质性内容，并构 成</w:t>
      </w:r>
      <w:r>
        <w:rPr>
          <w:rFonts w:hint="eastAsia" w:ascii="宋体" w:hAnsi="宋体" w:eastAsia="宋体" w:cs="微软雅黑"/>
          <w:sz w:val="21"/>
          <w:szCs w:val="21"/>
          <w:lang w:val="en-US" w:eastAsia="zh-CN"/>
        </w:rPr>
        <w:t>应答文件</w:t>
      </w:r>
      <w:r>
        <w:rPr>
          <w:rFonts w:hint="eastAsia" w:ascii="宋体" w:hAnsi="宋体" w:eastAsia="宋体" w:cs="微软雅黑"/>
          <w:sz w:val="21"/>
          <w:szCs w:val="21"/>
          <w:lang w:val="en-US" w:eastAsia="en-US"/>
        </w:rPr>
        <w:t>的组成部分。</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 xml:space="preserve">3.3.3 </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对</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提交的澄清、说明或补正有疑问的，可以要求</w:t>
      </w:r>
      <w:r>
        <w:rPr>
          <w:rFonts w:hint="eastAsia" w:ascii="宋体" w:hAnsi="宋体" w:eastAsia="宋体" w:cs="微软雅黑"/>
          <w:sz w:val="21"/>
          <w:szCs w:val="21"/>
          <w:lang w:val="en-US" w:eastAsia="zh-CN"/>
        </w:rPr>
        <w:t>应答人</w:t>
      </w:r>
      <w:r>
        <w:rPr>
          <w:rFonts w:hint="eastAsia" w:ascii="宋体" w:hAnsi="宋体" w:eastAsia="宋体" w:cs="微软雅黑"/>
          <w:sz w:val="21"/>
          <w:szCs w:val="21"/>
          <w:lang w:val="en-US" w:eastAsia="en-US"/>
        </w:rPr>
        <w:t>进一步澄清、 说明或补正，直至满足</w:t>
      </w:r>
      <w:r>
        <w:rPr>
          <w:rFonts w:hint="eastAsia" w:ascii="宋体" w:hAnsi="宋体" w:eastAsia="宋体" w:cs="微软雅黑"/>
          <w:sz w:val="21"/>
          <w:szCs w:val="21"/>
          <w:lang w:val="en-US" w:eastAsia="zh-CN"/>
        </w:rPr>
        <w:t>评审委员会</w:t>
      </w:r>
      <w:r>
        <w:rPr>
          <w:rFonts w:hint="eastAsia" w:ascii="宋体" w:hAnsi="宋体" w:eastAsia="宋体" w:cs="微软雅黑"/>
          <w:sz w:val="21"/>
          <w:szCs w:val="21"/>
          <w:lang w:val="en-US" w:eastAsia="en-US"/>
        </w:rPr>
        <w:t>的要求。</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3.4 评标结果</w:t>
      </w:r>
    </w:p>
    <w:p>
      <w:pPr>
        <w:adjustRightInd w:val="0"/>
        <w:snapToGrid w:val="0"/>
        <w:spacing w:line="360" w:lineRule="auto"/>
        <w:ind w:firstLine="420" w:firstLineChars="200"/>
        <w:rPr>
          <w:rFonts w:hint="eastAsia" w:ascii="宋体" w:hAnsi="宋体" w:eastAsia="宋体" w:cs="微软雅黑"/>
          <w:sz w:val="21"/>
          <w:szCs w:val="21"/>
          <w:lang w:val="en-US" w:eastAsia="en-US"/>
        </w:rPr>
      </w:pPr>
      <w:r>
        <w:rPr>
          <w:rFonts w:hint="eastAsia" w:ascii="宋体" w:hAnsi="宋体" w:eastAsia="宋体" w:cs="微软雅黑"/>
          <w:sz w:val="21"/>
          <w:szCs w:val="21"/>
          <w:lang w:val="en-US" w:eastAsia="en-US"/>
        </w:rPr>
        <w:t>3.4.1 评审委员会按照经评审的价格由低到高的顺序推荐成交候选人，并标明排序。</w:t>
      </w:r>
    </w:p>
    <w:p>
      <w:pPr>
        <w:adjustRightInd w:val="0"/>
        <w:snapToGrid w:val="0"/>
        <w:spacing w:line="360" w:lineRule="auto"/>
        <w:ind w:firstLine="420" w:firstLineChars="200"/>
        <w:rPr>
          <w:rFonts w:hint="eastAsia" w:ascii="宋体" w:hAnsi="宋体" w:eastAsia="宋体" w:cs="微软雅黑"/>
          <w:sz w:val="21"/>
          <w:szCs w:val="21"/>
          <w:lang w:val="en-US" w:eastAsia="zh-CN"/>
        </w:rPr>
      </w:pPr>
      <w:r>
        <w:rPr>
          <w:rFonts w:hint="eastAsia" w:ascii="宋体" w:hAnsi="宋体" w:eastAsia="宋体" w:cs="微软雅黑"/>
          <w:sz w:val="21"/>
          <w:szCs w:val="21"/>
          <w:lang w:val="en-US" w:eastAsia="en-US"/>
        </w:rPr>
        <w:t>3.4.2  评审委员会完成评审后，应当提交书面评审报告和成交候选人名单。</w:t>
      </w:r>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pStyle w:val="3"/>
        <w:rPr>
          <w:rFonts w:hint="eastAsia" w:ascii="黑体" w:hAnsi="黑体" w:eastAsia="黑体"/>
          <w:b/>
          <w:bCs/>
          <w:color w:val="000000" w:themeColor="text1"/>
          <w:sz w:val="24"/>
          <w:szCs w:val="24"/>
          <w:highlight w:val="none"/>
          <w14:textFill>
            <w14:solidFill>
              <w14:schemeClr w14:val="tx1"/>
            </w14:solidFill>
          </w14:textFill>
        </w:rPr>
      </w:pPr>
    </w:p>
    <w:p>
      <w:pPr>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pStyle w:val="3"/>
        <w:rPr>
          <w:rFonts w:hint="eastAsia" w:ascii="黑体" w:hAnsi="黑体" w:eastAsia="黑体"/>
          <w:b/>
          <w:bCs/>
          <w:color w:val="000000" w:themeColor="text1"/>
          <w:sz w:val="24"/>
          <w:szCs w:val="24"/>
          <w:highlight w:val="none"/>
          <w14:textFill>
            <w14:solidFill>
              <w14:schemeClr w14:val="tx1"/>
            </w14:solidFill>
          </w14:textFill>
        </w:rPr>
      </w:pPr>
    </w:p>
    <w:p>
      <w:pPr>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pStyle w:val="3"/>
        <w:rPr>
          <w:rFonts w:hint="eastAsia" w:ascii="黑体" w:hAnsi="黑体" w:eastAsia="黑体"/>
          <w:b/>
          <w:bCs/>
          <w:color w:val="000000" w:themeColor="text1"/>
          <w:sz w:val="24"/>
          <w:szCs w:val="24"/>
          <w:highlight w:val="none"/>
          <w14:textFill>
            <w14:solidFill>
              <w14:schemeClr w14:val="tx1"/>
            </w14:solidFill>
          </w14:textFill>
        </w:rPr>
      </w:pPr>
    </w:p>
    <w:p>
      <w:pPr>
        <w:rPr>
          <w:rFonts w:hint="eastAsia" w:ascii="黑体" w:hAnsi="黑体" w:eastAsia="黑体"/>
          <w:b/>
          <w:bCs/>
          <w:color w:val="000000" w:themeColor="text1"/>
          <w:sz w:val="24"/>
          <w:szCs w:val="24"/>
          <w:highlight w:val="none"/>
          <w14:textFill>
            <w14:solidFill>
              <w14:schemeClr w14:val="tx1"/>
            </w14:solidFill>
          </w14:textFill>
        </w:rPr>
      </w:pPr>
    </w:p>
    <w:p>
      <w:pPr>
        <w:pStyle w:val="2"/>
        <w:rPr>
          <w:rFonts w:hint="eastAsia" w:ascii="黑体" w:hAnsi="黑体" w:eastAsia="黑体"/>
          <w:b/>
          <w:bCs/>
          <w:color w:val="000000" w:themeColor="text1"/>
          <w:sz w:val="24"/>
          <w:szCs w:val="24"/>
          <w:highlight w:val="none"/>
          <w14:textFill>
            <w14:solidFill>
              <w14:schemeClr w14:val="tx1"/>
            </w14:solidFill>
          </w14:textFill>
        </w:rPr>
      </w:pPr>
    </w:p>
    <w:p>
      <w:pPr>
        <w:pStyle w:val="3"/>
        <w:rPr>
          <w:rFonts w:hint="eastAsia" w:ascii="黑体" w:hAnsi="黑体" w:eastAsia="黑体"/>
          <w:b/>
          <w:bCs/>
          <w:color w:val="000000" w:themeColor="text1"/>
          <w:sz w:val="24"/>
          <w:szCs w:val="24"/>
          <w:highlight w:val="none"/>
          <w14:textFill>
            <w14:solidFill>
              <w14:schemeClr w14:val="tx1"/>
            </w14:solidFill>
          </w14:textFill>
        </w:rPr>
      </w:pPr>
    </w:p>
    <w:p>
      <w:pPr>
        <w:rPr>
          <w:rFonts w:hint="eastAsia" w:ascii="黑体" w:hAnsi="黑体" w:eastAsia="黑体"/>
          <w:b/>
          <w:bCs/>
          <w:color w:val="000000" w:themeColor="text1"/>
          <w:sz w:val="24"/>
          <w:szCs w:val="24"/>
          <w:highlight w:val="none"/>
          <w14:textFill>
            <w14:solidFill>
              <w14:schemeClr w14:val="tx1"/>
            </w14:solidFill>
          </w14:textFill>
        </w:rPr>
      </w:pPr>
    </w:p>
    <w:p>
      <w:pPr>
        <w:pStyle w:val="3"/>
        <w:ind w:left="0" w:leftChars="0" w:firstLine="0" w:firstLineChars="0"/>
        <w:rPr>
          <w:rFonts w:hint="eastAsia" w:ascii="黑体" w:hAnsi="黑体" w:eastAsia="黑体"/>
          <w:b/>
          <w:bCs/>
          <w:color w:val="000000" w:themeColor="text1"/>
          <w:sz w:val="24"/>
          <w:szCs w:val="24"/>
          <w:highlight w:val="none"/>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ascii="黑体" w:hAnsi="黑体" w:eastAsia="黑体"/>
          <w:b/>
          <w:bCs/>
          <w:color w:val="000000" w:themeColor="text1"/>
          <w:sz w:val="24"/>
          <w:szCs w:val="24"/>
          <w:highlight w:val="none"/>
          <w14:textFill>
            <w14:solidFill>
              <w14:schemeClr w14:val="tx1"/>
            </w14:solidFill>
          </w14:textFill>
        </w:rPr>
        <w:t>2</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r>
        <w:rPr>
          <w:rFonts w:ascii="黑体" w:hAnsi="黑体" w:eastAsia="黑体"/>
          <w:b/>
          <w:bCs/>
          <w:color w:val="000000" w:themeColor="text1"/>
          <w:sz w:val="24"/>
          <w:szCs w:val="24"/>
          <w:highlight w:val="none"/>
          <w14:textFill>
            <w14:solidFill>
              <w14:schemeClr w14:val="tx1"/>
            </w14:solidFill>
          </w14:textFill>
        </w:rPr>
        <w:t>采</w:t>
      </w:r>
      <w:r>
        <w:rPr>
          <w:rFonts w:hint="eastAsia" w:ascii="黑体" w:hAnsi="黑体" w:eastAsia="黑体"/>
          <w:b/>
          <w:bCs/>
          <w:color w:val="000000" w:themeColor="text1"/>
          <w:sz w:val="24"/>
          <w:szCs w:val="24"/>
          <w:highlight w:val="none"/>
          <w:lang w:val="en-US" w:eastAsia="zh-CN"/>
          <w14:textFill>
            <w14:solidFill>
              <w14:schemeClr w14:val="tx1"/>
            </w14:solidFill>
          </w14:textFill>
        </w:rPr>
        <w:t>购</w:t>
      </w:r>
      <w:r>
        <w:rPr>
          <w:rFonts w:hint="eastAsia" w:ascii="黑体" w:hAnsi="黑体" w:eastAsia="黑体"/>
          <w:b/>
          <w:bCs/>
          <w:color w:val="000000" w:themeColor="text1"/>
          <w:sz w:val="24"/>
          <w:szCs w:val="24"/>
          <w:highlight w:val="none"/>
          <w14:textFill>
            <w14:solidFill>
              <w14:schemeClr w14:val="tx1"/>
            </w14:solidFill>
          </w14:textFill>
        </w:rPr>
        <w:t>内容及</w:t>
      </w:r>
      <w:r>
        <w:rPr>
          <w:rFonts w:ascii="黑体" w:hAnsi="黑体" w:eastAsia="黑体"/>
          <w:b/>
          <w:bCs/>
          <w:color w:val="000000" w:themeColor="text1"/>
          <w:sz w:val="24"/>
          <w:szCs w:val="24"/>
          <w:highlight w:val="none"/>
          <w14:textFill>
            <w14:solidFill>
              <w14:schemeClr w14:val="tx1"/>
            </w14:solidFill>
          </w14:textFill>
        </w:rPr>
        <w:t>技术要求</w:t>
      </w:r>
    </w:p>
    <w:p>
      <w:pPr>
        <w:rPr>
          <w:rFonts w:ascii="黑体" w:hAnsi="黑体" w:eastAsia="黑体"/>
          <w:color w:val="000000" w:themeColor="text1"/>
          <w:sz w:val="24"/>
          <w:szCs w:val="24"/>
          <w:highlight w:val="none"/>
          <w14:textFill>
            <w14:solidFill>
              <w14:schemeClr w14:val="tx1"/>
            </w14:solidFill>
          </w14:textFill>
        </w:rPr>
      </w:pPr>
    </w:p>
    <w:p>
      <w:pPr>
        <w:pStyle w:val="50"/>
        <w:numPr>
          <w:ilvl w:val="0"/>
          <w:numId w:val="5"/>
        </w:numPr>
        <w:spacing w:before="120" w:after="120"/>
        <w:outlineLvl w:val="0"/>
        <w:rPr>
          <w:rFonts w:hint="eastAsia" w:ascii="宋体" w:hAnsi="宋体" w:eastAsia="宋体" w:cs="宋体"/>
          <w:b w:val="0"/>
          <w:bCs/>
          <w:color w:val="auto"/>
          <w:sz w:val="21"/>
          <w:szCs w:val="21"/>
          <w:lang w:val="en-US" w:eastAsia="zh-CN"/>
        </w:rPr>
      </w:pPr>
      <w:r>
        <w:rPr>
          <w:rFonts w:hint="eastAsia" w:ascii="宋体" w:hAnsi="宋体" w:eastAsia="宋体" w:cs="宋体"/>
          <w:b w:val="0"/>
          <w:bCs/>
          <w:color w:val="auto"/>
          <w:sz w:val="21"/>
          <w:szCs w:val="21"/>
          <w:lang w:val="en-US" w:eastAsia="zh-CN"/>
        </w:rPr>
        <w:t>需求概况</w:t>
      </w:r>
    </w:p>
    <w:p>
      <w:pPr>
        <w:pStyle w:val="9"/>
        <w:keepNext w:val="0"/>
        <w:keepLines w:val="0"/>
        <w:pageBreakBefore w:val="0"/>
        <w:numPr>
          <w:ilvl w:val="0"/>
          <w:numId w:val="6"/>
        </w:numPr>
        <w:kinsoku/>
        <w:wordWrap/>
        <w:overflowPunct/>
        <w:topLinePunct w:val="0"/>
        <w:bidi w:val="0"/>
        <w:snapToGrid w:val="0"/>
        <w:spacing w:line="360" w:lineRule="auto"/>
        <w:ind w:left="0" w:leftChars="0" w:right="122" w:firstLine="0" w:firstLineChars="0"/>
        <w:textAlignment w:val="auto"/>
        <w:rPr>
          <w:rFonts w:hint="eastAsia" w:ascii="宋体" w:hAnsi="宋体" w:eastAsia="宋体" w:cs="宋体"/>
          <w:b w:val="0"/>
          <w:bCs/>
          <w:color w:val="auto"/>
          <w:kern w:val="0"/>
          <w:sz w:val="21"/>
          <w:szCs w:val="21"/>
          <w:lang w:val="en-US" w:eastAsia="zh-CN" w:bidi="ar-SA"/>
        </w:rPr>
      </w:pPr>
      <w:r>
        <w:rPr>
          <w:rFonts w:hint="eastAsia" w:ascii="宋体" w:hAnsi="宋体" w:eastAsia="宋体" w:cs="宋体"/>
          <w:b w:val="0"/>
          <w:bCs/>
          <w:color w:val="auto"/>
          <w:kern w:val="0"/>
          <w:sz w:val="21"/>
          <w:szCs w:val="21"/>
          <w:lang w:val="en-US" w:eastAsia="zh-CN" w:bidi="ar-SA"/>
        </w:rPr>
        <w:t>装备公司钢板等24项采购项目。</w:t>
      </w:r>
    </w:p>
    <w:p>
      <w:pPr>
        <w:pStyle w:val="50"/>
        <w:keepNext w:val="0"/>
        <w:keepLines w:val="0"/>
        <w:pageBreakBefore w:val="0"/>
        <w:kinsoku/>
        <w:wordWrap/>
        <w:overflowPunct/>
        <w:topLinePunct w:val="0"/>
        <w:bidi w:val="0"/>
        <w:snapToGrid w:val="0"/>
        <w:spacing w:before="120" w:after="120" w:line="360" w:lineRule="auto"/>
        <w:jc w:val="left"/>
        <w:textAlignment w:val="auto"/>
        <w:outlineLvl w:val="0"/>
        <w:rPr>
          <w:rFonts w:hint="eastAsia" w:ascii="宋体" w:hAnsi="宋体" w:eastAsia="宋体" w:cs="宋体"/>
          <w:b w:val="0"/>
          <w:bCs/>
          <w:i w:val="0"/>
          <w:iCs w:val="0"/>
          <w:color w:val="auto"/>
          <w:sz w:val="21"/>
          <w:szCs w:val="21"/>
        </w:rPr>
      </w:pPr>
      <w:r>
        <w:rPr>
          <w:rFonts w:hint="eastAsia" w:ascii="宋体" w:hAnsi="宋体" w:eastAsia="宋体" w:cs="宋体"/>
          <w:b w:val="0"/>
          <w:bCs/>
          <w:i w:val="0"/>
          <w:iCs w:val="0"/>
          <w:color w:val="auto"/>
          <w:sz w:val="21"/>
          <w:szCs w:val="21"/>
        </w:rPr>
        <w:t>二、需求一览表</w:t>
      </w:r>
    </w:p>
    <w:tbl>
      <w:tblPr>
        <w:tblStyle w:val="18"/>
        <w:tblpPr w:leftFromText="180" w:rightFromText="180" w:vertAnchor="text" w:horzAnchor="page" w:tblpX="1798" w:tblpY="1044"/>
        <w:tblOverlap w:val="never"/>
        <w:tblW w:w="8540" w:type="dxa"/>
        <w:jc w:val="center"/>
        <w:tblLayout w:type="fixed"/>
        <w:tblCellMar>
          <w:top w:w="0" w:type="dxa"/>
          <w:left w:w="108" w:type="dxa"/>
          <w:bottom w:w="0" w:type="dxa"/>
          <w:right w:w="108" w:type="dxa"/>
        </w:tblCellMar>
      </w:tblPr>
      <w:tblGrid>
        <w:gridCol w:w="602"/>
        <w:gridCol w:w="988"/>
        <w:gridCol w:w="1963"/>
        <w:gridCol w:w="670"/>
        <w:gridCol w:w="703"/>
        <w:gridCol w:w="1088"/>
        <w:gridCol w:w="1387"/>
        <w:gridCol w:w="1139"/>
      </w:tblGrid>
      <w:tr>
        <w:tblPrEx>
          <w:tblCellMar>
            <w:top w:w="0" w:type="dxa"/>
            <w:left w:w="108" w:type="dxa"/>
            <w:bottom w:w="0" w:type="dxa"/>
            <w:right w:w="108" w:type="dxa"/>
          </w:tblCellMar>
        </w:tblPrEx>
        <w:trPr>
          <w:trHeight w:val="741"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both"/>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序号</w:t>
            </w:r>
          </w:p>
        </w:tc>
        <w:tc>
          <w:tcPr>
            <w:tcW w:w="98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物资名称</w:t>
            </w:r>
          </w:p>
        </w:tc>
        <w:tc>
          <w:tcPr>
            <w:tcW w:w="196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规格型号</w:t>
            </w:r>
          </w:p>
        </w:tc>
        <w:tc>
          <w:tcPr>
            <w:tcW w:w="670"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数量</w:t>
            </w:r>
          </w:p>
        </w:tc>
        <w:tc>
          <w:tcPr>
            <w:tcW w:w="703"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单位</w:t>
            </w:r>
          </w:p>
        </w:tc>
        <w:tc>
          <w:tcPr>
            <w:tcW w:w="1088"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交货期</w:t>
            </w:r>
          </w:p>
        </w:tc>
        <w:tc>
          <w:tcPr>
            <w:tcW w:w="1387"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备注</w:t>
            </w:r>
          </w:p>
        </w:tc>
        <w:tc>
          <w:tcPr>
            <w:tcW w:w="1139" w:type="dxa"/>
            <w:tcBorders>
              <w:top w:val="single" w:color="auto" w:sz="4" w:space="0"/>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项目号</w:t>
            </w:r>
          </w:p>
        </w:tc>
      </w:tr>
      <w:tr>
        <w:tblPrEx>
          <w:tblCellMar>
            <w:top w:w="0" w:type="dxa"/>
            <w:left w:w="108" w:type="dxa"/>
            <w:bottom w:w="0" w:type="dxa"/>
            <w:right w:w="108" w:type="dxa"/>
          </w:tblCellMar>
        </w:tblPrEx>
        <w:trPr>
          <w:trHeight w:val="916" w:hRule="atLeast"/>
          <w:jc w:val="center"/>
        </w:trPr>
        <w:tc>
          <w:tcPr>
            <w:tcW w:w="60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kern w:val="0"/>
                <w:sz w:val="18"/>
                <w:szCs w:val="18"/>
                <w:lang w:val="en-US" w:eastAsia="zh-CN"/>
              </w:rPr>
            </w:pPr>
            <w:r>
              <w:rPr>
                <w:rFonts w:hint="eastAsia" w:ascii="宋体" w:hAnsi="宋体" w:eastAsia="宋体" w:cs="宋体"/>
                <w:b w:val="0"/>
                <w:bCs/>
                <w:i w:val="0"/>
                <w:iCs w:val="0"/>
                <w:color w:val="000000"/>
                <w:kern w:val="0"/>
                <w:sz w:val="18"/>
                <w:szCs w:val="18"/>
                <w:u w:val="none"/>
                <w:lang w:val="en-US" w:eastAsia="zh-CN" w:bidi="ar"/>
              </w:rPr>
              <w:t>1</w:t>
            </w:r>
          </w:p>
        </w:tc>
        <w:tc>
          <w:tcPr>
            <w:tcW w:w="988"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kern w:val="0"/>
                <w:sz w:val="18"/>
                <w:szCs w:val="18"/>
                <w:lang w:val="en-US" w:eastAsia="zh-CN"/>
              </w:rPr>
            </w:pPr>
            <w:r>
              <w:rPr>
                <w:rFonts w:hint="eastAsia" w:ascii="宋体" w:hAnsi="宋体" w:eastAsia="宋体" w:cs="宋体"/>
                <w:b w:val="0"/>
                <w:bCs/>
                <w:i w:val="0"/>
                <w:iCs w:val="0"/>
                <w:color w:val="000000"/>
                <w:kern w:val="0"/>
                <w:sz w:val="18"/>
                <w:szCs w:val="18"/>
                <w:u w:val="none"/>
                <w:lang w:val="en-US" w:eastAsia="zh-CN" w:bidi="ar"/>
              </w:rPr>
              <w:t>钢板</w:t>
            </w:r>
          </w:p>
        </w:tc>
        <w:tc>
          <w:tcPr>
            <w:tcW w:w="19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kern w:val="0"/>
                <w:sz w:val="18"/>
                <w:szCs w:val="18"/>
                <w:lang w:val="en-US" w:eastAsia="zh-CN"/>
              </w:rPr>
            </w:pPr>
            <w:r>
              <w:rPr>
                <w:rFonts w:hint="eastAsia" w:ascii="宋体" w:hAnsi="宋体" w:eastAsia="宋体" w:cs="宋体"/>
                <w:b w:val="0"/>
                <w:bCs/>
                <w:i w:val="0"/>
                <w:iCs w:val="0"/>
                <w:color w:val="000000"/>
                <w:kern w:val="0"/>
                <w:sz w:val="18"/>
                <w:szCs w:val="18"/>
                <w:u w:val="none"/>
                <w:lang w:val="en-US" w:eastAsia="zh-CN" w:bidi="ar"/>
              </w:rPr>
              <w:t>钢板\PL10\Q235B\GB/T 3274</w:t>
            </w:r>
          </w:p>
        </w:tc>
        <w:tc>
          <w:tcPr>
            <w:tcW w:w="67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kern w:val="0"/>
                <w:sz w:val="18"/>
                <w:szCs w:val="18"/>
                <w:lang w:val="en-US" w:eastAsia="zh-CN"/>
              </w:rPr>
            </w:pPr>
            <w:r>
              <w:rPr>
                <w:rFonts w:hint="eastAsia" w:ascii="宋体" w:hAnsi="宋体" w:eastAsia="宋体" w:cs="宋体"/>
                <w:b w:val="0"/>
                <w:bCs/>
                <w:i w:val="0"/>
                <w:iCs w:val="0"/>
                <w:color w:val="000000"/>
                <w:kern w:val="0"/>
                <w:sz w:val="18"/>
                <w:szCs w:val="18"/>
                <w:u w:val="none"/>
                <w:lang w:val="en-US" w:eastAsia="zh-CN" w:bidi="ar"/>
              </w:rPr>
              <w:t>0.71</w:t>
            </w:r>
          </w:p>
        </w:tc>
        <w:tc>
          <w:tcPr>
            <w:tcW w:w="70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kern w:val="0"/>
                <w:sz w:val="18"/>
                <w:szCs w:val="18"/>
                <w:lang w:val="en-US" w:eastAsia="zh-CN"/>
              </w:rPr>
            </w:pPr>
            <w:r>
              <w:rPr>
                <w:rFonts w:hint="eastAsia" w:ascii="宋体" w:hAnsi="宋体" w:eastAsia="宋体" w:cs="宋体"/>
                <w:b w:val="0"/>
                <w:bCs/>
                <w:i w:val="0"/>
                <w:iCs w:val="0"/>
                <w:color w:val="000000"/>
                <w:kern w:val="0"/>
                <w:sz w:val="18"/>
                <w:szCs w:val="18"/>
                <w:u w:val="none"/>
                <w:lang w:val="en-US" w:eastAsia="zh-CN" w:bidi="ar"/>
              </w:rPr>
              <w:t>TO</w:t>
            </w:r>
          </w:p>
        </w:tc>
        <w:tc>
          <w:tcPr>
            <w:tcW w:w="1088"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kern w:val="0"/>
                <w:sz w:val="18"/>
                <w:szCs w:val="18"/>
                <w:lang w:val="en-US" w:eastAsia="zh-CN"/>
              </w:rPr>
            </w:pPr>
            <w:r>
              <w:rPr>
                <w:rFonts w:hint="eastAsia" w:ascii="宋体" w:hAnsi="宋体" w:eastAsia="宋体" w:cs="宋体"/>
                <w:b w:val="0"/>
                <w:bCs/>
                <w:i w:val="0"/>
                <w:iCs w:val="0"/>
                <w:color w:val="000000"/>
                <w:kern w:val="0"/>
                <w:sz w:val="18"/>
                <w:szCs w:val="18"/>
                <w:u w:val="none"/>
                <w:lang w:val="en-US" w:eastAsia="zh-CN" w:bidi="ar"/>
              </w:rPr>
              <w:t>合同签订后45天</w:t>
            </w:r>
          </w:p>
        </w:tc>
        <w:tc>
          <w:tcPr>
            <w:tcW w:w="138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kern w:val="0"/>
                <w:sz w:val="18"/>
                <w:szCs w:val="18"/>
                <w:lang w:val="en-US" w:eastAsia="zh-CN"/>
              </w:rPr>
            </w:pPr>
            <w:r>
              <w:rPr>
                <w:rFonts w:hint="eastAsia" w:ascii="宋体" w:hAnsi="宋体" w:eastAsia="宋体" w:cs="宋体"/>
                <w:b w:val="0"/>
                <w:bCs/>
                <w:i w:val="0"/>
                <w:iCs w:val="0"/>
                <w:color w:val="000000"/>
                <w:kern w:val="0"/>
                <w:sz w:val="18"/>
                <w:szCs w:val="18"/>
                <w:u w:val="none"/>
                <w:lang w:val="en-US" w:eastAsia="zh-CN" w:bidi="ar"/>
              </w:rPr>
              <w:t>9㎡×1张，裸材供货</w:t>
            </w:r>
          </w:p>
        </w:tc>
        <w:tc>
          <w:tcPr>
            <w:tcW w:w="1139"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24051-11</w:t>
            </w:r>
          </w:p>
        </w:tc>
      </w:tr>
      <w:tr>
        <w:tblPrEx>
          <w:tblCellMar>
            <w:top w:w="0" w:type="dxa"/>
            <w:left w:w="108" w:type="dxa"/>
            <w:bottom w:w="0" w:type="dxa"/>
            <w:right w:w="108" w:type="dxa"/>
          </w:tblCellMar>
        </w:tblPrEx>
        <w:trPr>
          <w:trHeight w:val="90" w:hRule="atLeast"/>
          <w:jc w:val="center"/>
        </w:trPr>
        <w:tc>
          <w:tcPr>
            <w:tcW w:w="60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kern w:val="0"/>
                <w:sz w:val="18"/>
                <w:szCs w:val="18"/>
                <w:lang w:val="en-US" w:eastAsia="zh-CN"/>
              </w:rPr>
            </w:pPr>
            <w:r>
              <w:rPr>
                <w:rFonts w:hint="eastAsia" w:ascii="宋体" w:hAnsi="宋体" w:eastAsia="宋体" w:cs="宋体"/>
                <w:b w:val="0"/>
                <w:bCs/>
                <w:i w:val="0"/>
                <w:iCs w:val="0"/>
                <w:color w:val="000000"/>
                <w:kern w:val="0"/>
                <w:sz w:val="18"/>
                <w:szCs w:val="18"/>
                <w:u w:val="none"/>
                <w:lang w:val="en-US" w:eastAsia="zh-CN" w:bidi="ar"/>
              </w:rPr>
              <w:t>2</w:t>
            </w:r>
          </w:p>
        </w:tc>
        <w:tc>
          <w:tcPr>
            <w:tcW w:w="988"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kern w:val="0"/>
                <w:sz w:val="18"/>
                <w:szCs w:val="18"/>
                <w:lang w:val="en-US" w:eastAsia="zh-CN"/>
              </w:rPr>
            </w:pPr>
            <w:r>
              <w:rPr>
                <w:rFonts w:hint="eastAsia" w:ascii="宋体" w:hAnsi="宋体" w:eastAsia="宋体" w:cs="宋体"/>
                <w:b w:val="0"/>
                <w:bCs/>
                <w:i w:val="0"/>
                <w:iCs w:val="0"/>
                <w:color w:val="000000"/>
                <w:kern w:val="0"/>
                <w:sz w:val="18"/>
                <w:szCs w:val="18"/>
                <w:u w:val="none"/>
                <w:lang w:val="en-US" w:eastAsia="zh-CN" w:bidi="ar"/>
              </w:rPr>
              <w:t>钢板</w:t>
            </w:r>
          </w:p>
        </w:tc>
        <w:tc>
          <w:tcPr>
            <w:tcW w:w="19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kern w:val="0"/>
                <w:sz w:val="18"/>
                <w:szCs w:val="18"/>
                <w:lang w:val="en-US" w:eastAsia="zh-CN"/>
              </w:rPr>
            </w:pPr>
            <w:r>
              <w:rPr>
                <w:rFonts w:hint="eastAsia" w:ascii="宋体" w:hAnsi="宋体" w:eastAsia="宋体" w:cs="宋体"/>
                <w:b w:val="0"/>
                <w:bCs/>
                <w:i w:val="0"/>
                <w:iCs w:val="0"/>
                <w:color w:val="000000"/>
                <w:kern w:val="0"/>
                <w:sz w:val="18"/>
                <w:szCs w:val="18"/>
                <w:u w:val="none"/>
                <w:lang w:val="en-US" w:eastAsia="zh-CN" w:bidi="ar"/>
              </w:rPr>
              <w:t>钢板\PL10\S31803\ASTM A240</w:t>
            </w:r>
          </w:p>
        </w:tc>
        <w:tc>
          <w:tcPr>
            <w:tcW w:w="67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kern w:val="0"/>
                <w:sz w:val="18"/>
                <w:szCs w:val="18"/>
                <w:lang w:val="en-US" w:eastAsia="zh-CN"/>
              </w:rPr>
            </w:pPr>
            <w:r>
              <w:rPr>
                <w:rFonts w:hint="eastAsia" w:ascii="宋体" w:hAnsi="宋体" w:eastAsia="宋体" w:cs="宋体"/>
                <w:b w:val="0"/>
                <w:bCs/>
                <w:i w:val="0"/>
                <w:iCs w:val="0"/>
                <w:color w:val="000000"/>
                <w:kern w:val="0"/>
                <w:sz w:val="18"/>
                <w:szCs w:val="18"/>
                <w:u w:val="none"/>
                <w:lang w:val="en-US" w:eastAsia="zh-CN" w:bidi="ar"/>
              </w:rPr>
              <w:t>0.71</w:t>
            </w:r>
          </w:p>
        </w:tc>
        <w:tc>
          <w:tcPr>
            <w:tcW w:w="70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kern w:val="0"/>
                <w:sz w:val="18"/>
                <w:szCs w:val="18"/>
                <w:lang w:val="en-US" w:eastAsia="zh-CN"/>
              </w:rPr>
            </w:pPr>
            <w:r>
              <w:rPr>
                <w:rFonts w:hint="eastAsia" w:ascii="宋体" w:hAnsi="宋体" w:eastAsia="宋体" w:cs="宋体"/>
                <w:b w:val="0"/>
                <w:bCs/>
                <w:i w:val="0"/>
                <w:iCs w:val="0"/>
                <w:color w:val="000000"/>
                <w:kern w:val="0"/>
                <w:sz w:val="18"/>
                <w:szCs w:val="18"/>
                <w:u w:val="none"/>
                <w:lang w:val="en-US" w:eastAsia="zh-CN" w:bidi="ar"/>
              </w:rPr>
              <w:t>TO</w:t>
            </w:r>
          </w:p>
        </w:tc>
        <w:tc>
          <w:tcPr>
            <w:tcW w:w="1088"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kern w:val="0"/>
                <w:sz w:val="18"/>
                <w:szCs w:val="18"/>
                <w:lang w:val="en-US" w:eastAsia="zh-CN"/>
              </w:rPr>
            </w:pPr>
            <w:r>
              <w:rPr>
                <w:rFonts w:hint="eastAsia" w:ascii="宋体" w:hAnsi="宋体" w:eastAsia="宋体" w:cs="宋体"/>
                <w:b w:val="0"/>
                <w:bCs/>
                <w:i w:val="0"/>
                <w:iCs w:val="0"/>
                <w:color w:val="000000"/>
                <w:kern w:val="0"/>
                <w:sz w:val="18"/>
                <w:szCs w:val="18"/>
                <w:u w:val="none"/>
                <w:lang w:val="en-US" w:eastAsia="zh-CN" w:bidi="ar"/>
              </w:rPr>
              <w:t>合同签订后45天</w:t>
            </w:r>
          </w:p>
        </w:tc>
        <w:tc>
          <w:tcPr>
            <w:tcW w:w="138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kern w:val="0"/>
                <w:sz w:val="18"/>
                <w:szCs w:val="18"/>
                <w:lang w:val="en-US" w:eastAsia="zh-CN"/>
              </w:rPr>
            </w:pPr>
            <w:r>
              <w:rPr>
                <w:rFonts w:hint="eastAsia" w:ascii="宋体" w:hAnsi="宋体" w:eastAsia="宋体" w:cs="宋体"/>
                <w:b w:val="0"/>
                <w:bCs/>
                <w:i w:val="0"/>
                <w:iCs w:val="0"/>
                <w:color w:val="000000"/>
                <w:kern w:val="0"/>
                <w:sz w:val="18"/>
                <w:szCs w:val="18"/>
                <w:u w:val="none"/>
                <w:lang w:val="en-US" w:eastAsia="zh-CN" w:bidi="ar"/>
              </w:rPr>
              <w:t>9㎡×1张，裸材供货</w:t>
            </w:r>
          </w:p>
        </w:tc>
        <w:tc>
          <w:tcPr>
            <w:tcW w:w="1139"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24051-11</w:t>
            </w:r>
          </w:p>
        </w:tc>
      </w:tr>
      <w:tr>
        <w:tblPrEx>
          <w:tblCellMar>
            <w:top w:w="0" w:type="dxa"/>
            <w:left w:w="108" w:type="dxa"/>
            <w:bottom w:w="0" w:type="dxa"/>
            <w:right w:w="108" w:type="dxa"/>
          </w:tblCellMar>
        </w:tblPrEx>
        <w:trPr>
          <w:trHeight w:val="916" w:hRule="atLeast"/>
          <w:jc w:val="center"/>
        </w:trPr>
        <w:tc>
          <w:tcPr>
            <w:tcW w:w="602" w:type="dxa"/>
            <w:tcBorders>
              <w:top w:val="nil"/>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kern w:val="0"/>
                <w:sz w:val="18"/>
                <w:szCs w:val="18"/>
                <w:lang w:val="en-US" w:eastAsia="zh-CN"/>
              </w:rPr>
            </w:pPr>
            <w:r>
              <w:rPr>
                <w:rFonts w:hint="eastAsia" w:ascii="宋体" w:hAnsi="宋体" w:eastAsia="宋体" w:cs="宋体"/>
                <w:b w:val="0"/>
                <w:bCs/>
                <w:i w:val="0"/>
                <w:iCs w:val="0"/>
                <w:color w:val="000000"/>
                <w:kern w:val="0"/>
                <w:sz w:val="18"/>
                <w:szCs w:val="18"/>
                <w:u w:val="none"/>
                <w:lang w:val="en-US" w:eastAsia="zh-CN" w:bidi="ar"/>
              </w:rPr>
              <w:t>3</w:t>
            </w:r>
          </w:p>
        </w:tc>
        <w:tc>
          <w:tcPr>
            <w:tcW w:w="988"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kern w:val="0"/>
                <w:sz w:val="18"/>
                <w:szCs w:val="18"/>
                <w:lang w:val="en-US" w:eastAsia="zh-CN"/>
              </w:rPr>
            </w:pPr>
            <w:r>
              <w:rPr>
                <w:rFonts w:hint="eastAsia" w:ascii="宋体" w:hAnsi="宋体" w:eastAsia="宋体" w:cs="宋体"/>
                <w:b w:val="0"/>
                <w:bCs/>
                <w:i w:val="0"/>
                <w:iCs w:val="0"/>
                <w:color w:val="000000"/>
                <w:kern w:val="0"/>
                <w:sz w:val="18"/>
                <w:szCs w:val="18"/>
                <w:u w:val="none"/>
                <w:lang w:val="en-US" w:eastAsia="zh-CN" w:bidi="ar"/>
              </w:rPr>
              <w:t>钢板</w:t>
            </w:r>
          </w:p>
        </w:tc>
        <w:tc>
          <w:tcPr>
            <w:tcW w:w="196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kern w:val="0"/>
                <w:sz w:val="18"/>
                <w:szCs w:val="18"/>
                <w:lang w:val="en-US" w:eastAsia="zh-CN"/>
              </w:rPr>
            </w:pPr>
            <w:r>
              <w:rPr>
                <w:rFonts w:hint="eastAsia" w:ascii="宋体" w:hAnsi="宋体" w:eastAsia="宋体" w:cs="宋体"/>
                <w:b w:val="0"/>
                <w:bCs/>
                <w:i w:val="0"/>
                <w:iCs w:val="0"/>
                <w:color w:val="000000"/>
                <w:kern w:val="0"/>
                <w:sz w:val="18"/>
                <w:szCs w:val="18"/>
                <w:u w:val="none"/>
                <w:lang w:val="en-US" w:eastAsia="zh-CN" w:bidi="ar"/>
              </w:rPr>
              <w:t>钢板\PL12\A36\ASTM A36</w:t>
            </w:r>
          </w:p>
        </w:tc>
        <w:tc>
          <w:tcPr>
            <w:tcW w:w="670"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kern w:val="0"/>
                <w:sz w:val="18"/>
                <w:szCs w:val="18"/>
                <w:lang w:val="en-US" w:eastAsia="zh-CN"/>
              </w:rPr>
            </w:pPr>
            <w:r>
              <w:rPr>
                <w:rFonts w:hint="eastAsia" w:ascii="宋体" w:hAnsi="宋体" w:eastAsia="宋体" w:cs="宋体"/>
                <w:b w:val="0"/>
                <w:bCs/>
                <w:i w:val="0"/>
                <w:iCs w:val="0"/>
                <w:color w:val="000000"/>
                <w:kern w:val="0"/>
                <w:sz w:val="18"/>
                <w:szCs w:val="18"/>
                <w:u w:val="none"/>
                <w:lang w:val="en-US" w:eastAsia="zh-CN" w:bidi="ar"/>
              </w:rPr>
              <w:t>0.85</w:t>
            </w:r>
          </w:p>
        </w:tc>
        <w:tc>
          <w:tcPr>
            <w:tcW w:w="703"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kern w:val="0"/>
                <w:sz w:val="18"/>
                <w:szCs w:val="18"/>
                <w:lang w:val="en-US" w:eastAsia="zh-CN"/>
              </w:rPr>
            </w:pPr>
            <w:r>
              <w:rPr>
                <w:rFonts w:hint="eastAsia" w:ascii="宋体" w:hAnsi="宋体" w:eastAsia="宋体" w:cs="宋体"/>
                <w:b w:val="0"/>
                <w:bCs/>
                <w:i w:val="0"/>
                <w:iCs w:val="0"/>
                <w:color w:val="000000"/>
                <w:kern w:val="0"/>
                <w:sz w:val="18"/>
                <w:szCs w:val="18"/>
                <w:u w:val="none"/>
                <w:lang w:val="en-US" w:eastAsia="zh-CN" w:bidi="ar"/>
              </w:rPr>
              <w:t>TO</w:t>
            </w:r>
          </w:p>
        </w:tc>
        <w:tc>
          <w:tcPr>
            <w:tcW w:w="1088"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kern w:val="0"/>
                <w:sz w:val="18"/>
                <w:szCs w:val="18"/>
                <w:lang w:val="en-US" w:eastAsia="zh-CN"/>
              </w:rPr>
            </w:pPr>
            <w:r>
              <w:rPr>
                <w:rFonts w:hint="eastAsia" w:ascii="宋体" w:hAnsi="宋体" w:eastAsia="宋体" w:cs="宋体"/>
                <w:b w:val="0"/>
                <w:bCs/>
                <w:i w:val="0"/>
                <w:iCs w:val="0"/>
                <w:color w:val="000000"/>
                <w:kern w:val="0"/>
                <w:sz w:val="18"/>
                <w:szCs w:val="18"/>
                <w:u w:val="none"/>
                <w:lang w:val="en-US" w:eastAsia="zh-CN" w:bidi="ar"/>
              </w:rPr>
              <w:t>合同签订后45天</w:t>
            </w:r>
          </w:p>
        </w:tc>
        <w:tc>
          <w:tcPr>
            <w:tcW w:w="1387"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kern w:val="0"/>
                <w:sz w:val="18"/>
                <w:szCs w:val="18"/>
                <w:lang w:val="en-US" w:eastAsia="zh-CN"/>
              </w:rPr>
            </w:pPr>
            <w:r>
              <w:rPr>
                <w:rFonts w:hint="eastAsia" w:ascii="宋体" w:hAnsi="宋体" w:eastAsia="宋体" w:cs="宋体"/>
                <w:b w:val="0"/>
                <w:bCs/>
                <w:i w:val="0"/>
                <w:iCs w:val="0"/>
                <w:color w:val="000000"/>
                <w:kern w:val="0"/>
                <w:sz w:val="18"/>
                <w:szCs w:val="18"/>
                <w:u w:val="none"/>
                <w:lang w:val="en-US" w:eastAsia="zh-CN" w:bidi="ar"/>
              </w:rPr>
              <w:t>9㎡×1张，裸材供货</w:t>
            </w:r>
          </w:p>
        </w:tc>
        <w:tc>
          <w:tcPr>
            <w:tcW w:w="1139" w:type="dxa"/>
            <w:tcBorders>
              <w:top w:val="nil"/>
              <w:left w:val="nil"/>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24051-11</w:t>
            </w:r>
          </w:p>
        </w:tc>
      </w:tr>
      <w:tr>
        <w:tblPrEx>
          <w:tblCellMar>
            <w:top w:w="0" w:type="dxa"/>
            <w:left w:w="108" w:type="dxa"/>
            <w:bottom w:w="0" w:type="dxa"/>
            <w:right w:w="108" w:type="dxa"/>
          </w:tblCellMar>
        </w:tblPrEx>
        <w:trPr>
          <w:trHeight w:val="1086"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kern w:val="0"/>
                <w:sz w:val="18"/>
                <w:szCs w:val="18"/>
                <w:lang w:val="en-US" w:eastAsia="zh-CN"/>
              </w:rPr>
            </w:pPr>
            <w:r>
              <w:rPr>
                <w:rFonts w:hint="eastAsia" w:ascii="宋体" w:hAnsi="宋体" w:eastAsia="宋体" w:cs="宋体"/>
                <w:b w:val="0"/>
                <w:bCs/>
                <w:i w:val="0"/>
                <w:iCs w:val="0"/>
                <w:color w:val="000000"/>
                <w:kern w:val="0"/>
                <w:sz w:val="18"/>
                <w:szCs w:val="18"/>
                <w:u w:val="none"/>
                <w:lang w:val="en-US" w:eastAsia="zh-CN" w:bidi="ar"/>
              </w:rPr>
              <w:t>4</w:t>
            </w: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kern w:val="0"/>
                <w:sz w:val="18"/>
                <w:szCs w:val="18"/>
                <w:lang w:val="en-US" w:eastAsia="zh-CN"/>
              </w:rPr>
            </w:pPr>
            <w:r>
              <w:rPr>
                <w:rFonts w:hint="eastAsia" w:ascii="宋体" w:hAnsi="宋体" w:eastAsia="宋体" w:cs="宋体"/>
                <w:b w:val="0"/>
                <w:bCs/>
                <w:i w:val="0"/>
                <w:iCs w:val="0"/>
                <w:color w:val="000000"/>
                <w:kern w:val="0"/>
                <w:sz w:val="18"/>
                <w:szCs w:val="18"/>
                <w:u w:val="none"/>
                <w:lang w:val="en-US" w:eastAsia="zh-CN" w:bidi="ar"/>
              </w:rPr>
              <w:t>钢板</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kern w:val="0"/>
                <w:sz w:val="18"/>
                <w:szCs w:val="18"/>
                <w:lang w:val="en-US" w:eastAsia="zh-CN"/>
              </w:rPr>
            </w:pPr>
            <w:r>
              <w:rPr>
                <w:rFonts w:hint="eastAsia" w:ascii="宋体" w:hAnsi="宋体" w:eastAsia="宋体" w:cs="宋体"/>
                <w:b w:val="0"/>
                <w:bCs/>
                <w:i w:val="0"/>
                <w:iCs w:val="0"/>
                <w:color w:val="000000"/>
                <w:kern w:val="0"/>
                <w:sz w:val="18"/>
                <w:szCs w:val="18"/>
                <w:u w:val="none"/>
                <w:lang w:val="en-US" w:eastAsia="zh-CN" w:bidi="ar"/>
              </w:rPr>
              <w:t>钢板\PL12\Q235B\GB/T 3274</w:t>
            </w:r>
          </w:p>
        </w:tc>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kern w:val="0"/>
                <w:sz w:val="18"/>
                <w:szCs w:val="18"/>
                <w:lang w:val="en-US" w:eastAsia="zh-CN"/>
              </w:rPr>
            </w:pPr>
            <w:r>
              <w:rPr>
                <w:rFonts w:hint="eastAsia" w:ascii="宋体" w:hAnsi="宋体" w:eastAsia="宋体" w:cs="宋体"/>
                <w:b w:val="0"/>
                <w:bCs/>
                <w:i w:val="0"/>
                <w:iCs w:val="0"/>
                <w:color w:val="000000"/>
                <w:kern w:val="0"/>
                <w:sz w:val="18"/>
                <w:szCs w:val="18"/>
                <w:u w:val="none"/>
                <w:lang w:val="en-US" w:eastAsia="zh-CN" w:bidi="ar"/>
              </w:rPr>
              <w:t>0.85</w:t>
            </w: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kern w:val="0"/>
                <w:sz w:val="18"/>
                <w:szCs w:val="18"/>
                <w:lang w:val="en-US" w:eastAsia="zh-CN"/>
              </w:rPr>
            </w:pPr>
            <w:r>
              <w:rPr>
                <w:rFonts w:hint="eastAsia" w:ascii="宋体" w:hAnsi="宋体" w:eastAsia="宋体" w:cs="宋体"/>
                <w:b w:val="0"/>
                <w:bCs/>
                <w:i w:val="0"/>
                <w:iCs w:val="0"/>
                <w:color w:val="000000"/>
                <w:kern w:val="0"/>
                <w:sz w:val="18"/>
                <w:szCs w:val="18"/>
                <w:u w:val="none"/>
                <w:lang w:val="en-US" w:eastAsia="zh-CN" w:bidi="ar"/>
              </w:rPr>
              <w:t>TO</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kern w:val="0"/>
                <w:sz w:val="18"/>
                <w:szCs w:val="18"/>
                <w:lang w:val="en-US" w:eastAsia="zh-CN"/>
              </w:rPr>
            </w:pPr>
            <w:r>
              <w:rPr>
                <w:rFonts w:hint="eastAsia" w:ascii="宋体" w:hAnsi="宋体" w:eastAsia="宋体" w:cs="宋体"/>
                <w:b w:val="0"/>
                <w:bCs/>
                <w:i w:val="0"/>
                <w:iCs w:val="0"/>
                <w:color w:val="000000"/>
                <w:kern w:val="0"/>
                <w:sz w:val="18"/>
                <w:szCs w:val="18"/>
                <w:u w:val="none"/>
                <w:lang w:val="en-US" w:eastAsia="zh-CN" w:bidi="ar"/>
              </w:rPr>
              <w:t>合同签订后45天</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kern w:val="0"/>
                <w:sz w:val="18"/>
                <w:szCs w:val="18"/>
                <w:lang w:val="en-US" w:eastAsia="zh-CN"/>
              </w:rPr>
            </w:pPr>
            <w:r>
              <w:rPr>
                <w:rFonts w:hint="eastAsia" w:ascii="宋体" w:hAnsi="宋体" w:eastAsia="宋体" w:cs="宋体"/>
                <w:b w:val="0"/>
                <w:bCs/>
                <w:i w:val="0"/>
                <w:iCs w:val="0"/>
                <w:color w:val="000000"/>
                <w:kern w:val="0"/>
                <w:sz w:val="18"/>
                <w:szCs w:val="18"/>
                <w:u w:val="none"/>
                <w:lang w:val="en-US" w:eastAsia="zh-CN" w:bidi="ar"/>
              </w:rPr>
              <w:t>9㎡×1张，裸材供货</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24051-11</w:t>
            </w:r>
          </w:p>
        </w:tc>
      </w:tr>
      <w:tr>
        <w:tblPrEx>
          <w:tblCellMar>
            <w:top w:w="0" w:type="dxa"/>
            <w:left w:w="108" w:type="dxa"/>
            <w:bottom w:w="0" w:type="dxa"/>
            <w:right w:w="108" w:type="dxa"/>
          </w:tblCellMar>
        </w:tblPrEx>
        <w:trPr>
          <w:trHeight w:val="1086"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5</w:t>
            </w: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钢板</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钢板\PL12\S31803\ASTM A240</w:t>
            </w:r>
          </w:p>
        </w:tc>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0.85</w:t>
            </w: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TO</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合同签订后45天</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9㎡×1张，裸材供货</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24051-11</w:t>
            </w:r>
          </w:p>
        </w:tc>
      </w:tr>
      <w:tr>
        <w:tblPrEx>
          <w:tblCellMar>
            <w:top w:w="0" w:type="dxa"/>
            <w:left w:w="108" w:type="dxa"/>
            <w:bottom w:w="0" w:type="dxa"/>
            <w:right w:w="108" w:type="dxa"/>
          </w:tblCellMar>
        </w:tblPrEx>
        <w:trPr>
          <w:trHeight w:val="947"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6</w:t>
            </w: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钢板</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钢板\PL12\S31803\NACE MR0175\ASTM A240</w:t>
            </w:r>
          </w:p>
        </w:tc>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0.85</w:t>
            </w: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TO</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合同签订后45天</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9㎡×1张，裸材供货</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24051-11</w:t>
            </w:r>
          </w:p>
        </w:tc>
      </w:tr>
      <w:tr>
        <w:tblPrEx>
          <w:tblCellMar>
            <w:top w:w="0" w:type="dxa"/>
            <w:left w:w="108" w:type="dxa"/>
            <w:bottom w:w="0" w:type="dxa"/>
            <w:right w:w="108" w:type="dxa"/>
          </w:tblCellMar>
        </w:tblPrEx>
        <w:trPr>
          <w:trHeight w:val="822"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7</w:t>
            </w: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钢板</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钢板\PL15\S31803\ASTM A240</w:t>
            </w:r>
          </w:p>
        </w:tc>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1.06</w:t>
            </w: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TO</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合同签订后45天</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9㎡×1张，裸材供货</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24051-11</w:t>
            </w:r>
          </w:p>
        </w:tc>
      </w:tr>
      <w:tr>
        <w:tblPrEx>
          <w:tblCellMar>
            <w:top w:w="0" w:type="dxa"/>
            <w:left w:w="108" w:type="dxa"/>
            <w:bottom w:w="0" w:type="dxa"/>
            <w:right w:w="108" w:type="dxa"/>
          </w:tblCellMar>
        </w:tblPrEx>
        <w:trPr>
          <w:trHeight w:val="909"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8</w:t>
            </w: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钢板</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钢板\PL2\316L\ASTM A240</w:t>
            </w:r>
          </w:p>
        </w:tc>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0.15</w:t>
            </w: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TO</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合同签订后45天</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9㎡×1张，裸材供货</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24051-11</w:t>
            </w:r>
          </w:p>
        </w:tc>
      </w:tr>
      <w:tr>
        <w:tblPrEx>
          <w:tblCellMar>
            <w:top w:w="0" w:type="dxa"/>
            <w:left w:w="108" w:type="dxa"/>
            <w:bottom w:w="0" w:type="dxa"/>
            <w:right w:w="108" w:type="dxa"/>
          </w:tblCellMar>
        </w:tblPrEx>
        <w:trPr>
          <w:trHeight w:val="1034"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9</w:t>
            </w: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钢板</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钢板\PL20\Q235B\GB/T 3274</w:t>
            </w:r>
          </w:p>
        </w:tc>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1.42</w:t>
            </w: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TO</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合同签订后45天</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9㎡×1张，裸材供货</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24051-11</w:t>
            </w:r>
          </w:p>
        </w:tc>
      </w:tr>
      <w:tr>
        <w:tblPrEx>
          <w:tblCellMar>
            <w:top w:w="0" w:type="dxa"/>
            <w:left w:w="108" w:type="dxa"/>
            <w:bottom w:w="0" w:type="dxa"/>
            <w:right w:w="108" w:type="dxa"/>
          </w:tblCellMar>
        </w:tblPrEx>
        <w:trPr>
          <w:trHeight w:val="1134"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10</w:t>
            </w: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钢板</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钢板\PL3\316L\ASTM A240</w:t>
            </w:r>
          </w:p>
        </w:tc>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0.22</w:t>
            </w: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TO</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合同签订后45天</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9㎡×1张，裸材供货</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24051-11</w:t>
            </w:r>
          </w:p>
        </w:tc>
      </w:tr>
      <w:tr>
        <w:tblPrEx>
          <w:tblCellMar>
            <w:top w:w="0" w:type="dxa"/>
            <w:left w:w="108" w:type="dxa"/>
            <w:bottom w:w="0" w:type="dxa"/>
            <w:right w:w="108" w:type="dxa"/>
          </w:tblCellMar>
        </w:tblPrEx>
        <w:trPr>
          <w:trHeight w:val="663"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11</w:t>
            </w: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钢板</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钢板\PL6\A36\ASTM A36</w:t>
            </w:r>
          </w:p>
        </w:tc>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0.43</w:t>
            </w: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TO</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合同签订后45天</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9㎡×1张，裸材供货</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24051-11</w:t>
            </w:r>
          </w:p>
        </w:tc>
      </w:tr>
      <w:tr>
        <w:tblPrEx>
          <w:tblCellMar>
            <w:top w:w="0" w:type="dxa"/>
            <w:left w:w="108" w:type="dxa"/>
            <w:bottom w:w="0" w:type="dxa"/>
            <w:right w:w="108" w:type="dxa"/>
          </w:tblCellMar>
        </w:tblPrEx>
        <w:trPr>
          <w:trHeight w:val="910"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12</w:t>
            </w: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钢板</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钢板\PL6\Q235B\GB/T 3274</w:t>
            </w:r>
          </w:p>
        </w:tc>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0.43</w:t>
            </w: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TO</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合同签订后45天</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9㎡×1张，裸材供货</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24051-11</w:t>
            </w:r>
          </w:p>
        </w:tc>
      </w:tr>
      <w:tr>
        <w:tblPrEx>
          <w:tblCellMar>
            <w:top w:w="0" w:type="dxa"/>
            <w:left w:w="108" w:type="dxa"/>
            <w:bottom w:w="0" w:type="dxa"/>
            <w:right w:w="108" w:type="dxa"/>
          </w:tblCellMar>
        </w:tblPrEx>
        <w:trPr>
          <w:trHeight w:val="822"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13</w:t>
            </w: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钢板</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钢板\PL6\S31803\ASTM A240</w:t>
            </w:r>
          </w:p>
        </w:tc>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0.43</w:t>
            </w: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TO</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合同签订后45天</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9㎡×1张，裸材供货</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24051-11</w:t>
            </w:r>
          </w:p>
        </w:tc>
      </w:tr>
      <w:tr>
        <w:tblPrEx>
          <w:tblCellMar>
            <w:top w:w="0" w:type="dxa"/>
            <w:left w:w="108" w:type="dxa"/>
            <w:bottom w:w="0" w:type="dxa"/>
            <w:right w:w="108" w:type="dxa"/>
          </w:tblCellMar>
        </w:tblPrEx>
        <w:trPr>
          <w:trHeight w:val="922"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14</w:t>
            </w: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钢板</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钢板\PL8\Q235B\GB/T 3274</w:t>
            </w:r>
          </w:p>
        </w:tc>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1.14</w:t>
            </w: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TO</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合同签订后45天</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9㎡×2张，裸材供货</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24051-11</w:t>
            </w:r>
          </w:p>
        </w:tc>
      </w:tr>
      <w:tr>
        <w:tblPrEx>
          <w:tblCellMar>
            <w:top w:w="0" w:type="dxa"/>
            <w:left w:w="108" w:type="dxa"/>
            <w:bottom w:w="0" w:type="dxa"/>
            <w:right w:w="108" w:type="dxa"/>
          </w:tblCellMar>
        </w:tblPrEx>
        <w:trPr>
          <w:trHeight w:val="760"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15</w:t>
            </w: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钢板</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钢板\PL8\S31803\ASTM A240</w:t>
            </w:r>
          </w:p>
        </w:tc>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0.57</w:t>
            </w: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TO</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合同签订后45天</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9㎡×1张，裸材供货</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24051-11</w:t>
            </w:r>
          </w:p>
        </w:tc>
      </w:tr>
      <w:tr>
        <w:tblPrEx>
          <w:tblCellMar>
            <w:top w:w="0" w:type="dxa"/>
            <w:left w:w="108" w:type="dxa"/>
            <w:bottom w:w="0" w:type="dxa"/>
            <w:right w:w="108" w:type="dxa"/>
          </w:tblCellMar>
        </w:tblPrEx>
        <w:trPr>
          <w:trHeight w:val="975"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16</w:t>
            </w: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钢板</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钢板\PL8\S31803\NACE MR0175\ASTM A240</w:t>
            </w:r>
          </w:p>
        </w:tc>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0.57</w:t>
            </w: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TO</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合同签订后45天</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9㎡×1张，裸材供货</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24051-11</w:t>
            </w:r>
          </w:p>
        </w:tc>
      </w:tr>
      <w:tr>
        <w:tblPrEx>
          <w:tblCellMar>
            <w:top w:w="0" w:type="dxa"/>
            <w:left w:w="108" w:type="dxa"/>
            <w:bottom w:w="0" w:type="dxa"/>
            <w:right w:w="108" w:type="dxa"/>
          </w:tblCellMar>
        </w:tblPrEx>
        <w:trPr>
          <w:trHeight w:val="1272"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17</w:t>
            </w: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钢格板</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钢格板\G325/30/50\Q235B\不经处理\YB/T 4001.1</w:t>
            </w:r>
          </w:p>
        </w:tc>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1.2</w:t>
            </w: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M2</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合同签订后45天</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1400mmx800mm，1块</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24051-11</w:t>
            </w:r>
          </w:p>
        </w:tc>
      </w:tr>
      <w:tr>
        <w:tblPrEx>
          <w:tblCellMar>
            <w:top w:w="0" w:type="dxa"/>
            <w:left w:w="108" w:type="dxa"/>
            <w:bottom w:w="0" w:type="dxa"/>
            <w:right w:w="108" w:type="dxa"/>
          </w:tblCellMar>
        </w:tblPrEx>
        <w:trPr>
          <w:trHeight w:val="1037"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18</w:t>
            </w: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花纹钢板</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花纹钢板\CH.PL6\Q235B\GB/T 33974</w:t>
            </w:r>
          </w:p>
        </w:tc>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7.21</w:t>
            </w: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TO</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合同签订后45天</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9㎡×17张，裸材供货</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24051-11</w:t>
            </w:r>
          </w:p>
        </w:tc>
      </w:tr>
      <w:tr>
        <w:tblPrEx>
          <w:tblCellMar>
            <w:top w:w="0" w:type="dxa"/>
            <w:left w:w="108" w:type="dxa"/>
            <w:bottom w:w="0" w:type="dxa"/>
            <w:right w:w="108" w:type="dxa"/>
          </w:tblCellMar>
        </w:tblPrEx>
        <w:trPr>
          <w:trHeight w:val="1607"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19</w:t>
            </w: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无缝钢管</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无缝钢管\NPS3/4 XXS\B\NACE MR0175\ASTM A106</w:t>
            </w:r>
          </w:p>
        </w:tc>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0.03</w:t>
            </w: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TO</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合同签订后45天</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裸材，正偏差0-5%,提供材质证书，合格证书,6米/根，共6米，1根</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25025</w:t>
            </w:r>
          </w:p>
        </w:tc>
      </w:tr>
      <w:tr>
        <w:tblPrEx>
          <w:tblCellMar>
            <w:top w:w="0" w:type="dxa"/>
            <w:left w:w="108" w:type="dxa"/>
            <w:bottom w:w="0" w:type="dxa"/>
            <w:right w:w="108" w:type="dxa"/>
          </w:tblCellMar>
        </w:tblPrEx>
        <w:trPr>
          <w:trHeight w:val="1607"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20</w:t>
            </w: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无缝钢管</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bottom"/>
              <w:rPr>
                <w:rFonts w:hint="eastAsia" w:ascii="宋体" w:hAnsi="宋体" w:eastAsia="宋体" w:cs="宋体"/>
                <w:b w:val="0"/>
                <w:bCs/>
                <w:i w:val="0"/>
                <w:iCs w:val="0"/>
                <w:color w:val="000000"/>
                <w:kern w:val="0"/>
                <w:sz w:val="18"/>
                <w:szCs w:val="18"/>
                <w:u w:val="none"/>
                <w:lang w:val="en-US" w:eastAsia="zh-CN" w:bidi="ar-SA"/>
              </w:rPr>
            </w:pPr>
            <w:r>
              <w:rPr>
                <w:rFonts w:hint="eastAsia" w:ascii="宋体" w:hAnsi="宋体" w:eastAsia="宋体" w:cs="宋体"/>
                <w:b w:val="0"/>
                <w:bCs/>
                <w:i w:val="0"/>
                <w:iCs w:val="0"/>
                <w:color w:val="000000"/>
                <w:kern w:val="0"/>
                <w:sz w:val="18"/>
                <w:szCs w:val="18"/>
                <w:u w:val="none"/>
                <w:lang w:val="en-US" w:eastAsia="zh-CN" w:bidi="ar"/>
              </w:rPr>
              <w:t>无缝钢管\NPS1 1/2 XXS\PE\B\NACE MR0175\ASTM A106</w:t>
            </w:r>
          </w:p>
        </w:tc>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684864" behindDoc="0" locked="0" layoutInCell="1" allowOverlap="1">
                  <wp:simplePos x="0" y="0"/>
                  <wp:positionH relativeFrom="column">
                    <wp:posOffset>0</wp:posOffset>
                  </wp:positionH>
                  <wp:positionV relativeFrom="paragraph">
                    <wp:posOffset>0</wp:posOffset>
                  </wp:positionV>
                  <wp:extent cx="768985" cy="689610"/>
                  <wp:effectExtent l="0" t="0" r="0" b="0"/>
                  <wp:wrapNone/>
                  <wp:docPr id="49" name="图片_142"/>
                  <wp:cNvGraphicFramePr/>
                  <a:graphic xmlns:a="http://schemas.openxmlformats.org/drawingml/2006/main">
                    <a:graphicData uri="http://schemas.openxmlformats.org/drawingml/2006/picture">
                      <pic:pic xmlns:pic="http://schemas.openxmlformats.org/drawingml/2006/picture">
                        <pic:nvPicPr>
                          <pic:cNvPr id="49" name="图片_142"/>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685888" behindDoc="0" locked="0" layoutInCell="1" allowOverlap="1">
                  <wp:simplePos x="0" y="0"/>
                  <wp:positionH relativeFrom="column">
                    <wp:posOffset>0</wp:posOffset>
                  </wp:positionH>
                  <wp:positionV relativeFrom="paragraph">
                    <wp:posOffset>0</wp:posOffset>
                  </wp:positionV>
                  <wp:extent cx="741680" cy="689610"/>
                  <wp:effectExtent l="0" t="0" r="0" b="0"/>
                  <wp:wrapNone/>
                  <wp:docPr id="50" name="图片_144"/>
                  <wp:cNvGraphicFramePr/>
                  <a:graphic xmlns:a="http://schemas.openxmlformats.org/drawingml/2006/main">
                    <a:graphicData uri="http://schemas.openxmlformats.org/drawingml/2006/picture">
                      <pic:pic xmlns:pic="http://schemas.openxmlformats.org/drawingml/2006/picture">
                        <pic:nvPicPr>
                          <pic:cNvPr id="50" name="图片_144"/>
                          <pic:cNvPicPr/>
                        </pic:nvPicPr>
                        <pic:blipFill>
                          <a:blip r:embed="rId6"/>
                          <a:stretch>
                            <a:fillRect/>
                          </a:stretch>
                        </pic:blipFill>
                        <pic:spPr>
                          <a:xfrm>
                            <a:off x="0" y="0"/>
                            <a:ext cx="741680"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686912" behindDoc="0" locked="0" layoutInCell="1" allowOverlap="1">
                  <wp:simplePos x="0" y="0"/>
                  <wp:positionH relativeFrom="column">
                    <wp:posOffset>0</wp:posOffset>
                  </wp:positionH>
                  <wp:positionV relativeFrom="paragraph">
                    <wp:posOffset>0</wp:posOffset>
                  </wp:positionV>
                  <wp:extent cx="768985" cy="689610"/>
                  <wp:effectExtent l="0" t="0" r="0" b="0"/>
                  <wp:wrapNone/>
                  <wp:docPr id="51" name="图片_148"/>
                  <wp:cNvGraphicFramePr/>
                  <a:graphic xmlns:a="http://schemas.openxmlformats.org/drawingml/2006/main">
                    <a:graphicData uri="http://schemas.openxmlformats.org/drawingml/2006/picture">
                      <pic:pic xmlns:pic="http://schemas.openxmlformats.org/drawingml/2006/picture">
                        <pic:nvPicPr>
                          <pic:cNvPr id="51" name="图片_148"/>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687936" behindDoc="0" locked="0" layoutInCell="1" allowOverlap="1">
                  <wp:simplePos x="0" y="0"/>
                  <wp:positionH relativeFrom="column">
                    <wp:posOffset>0</wp:posOffset>
                  </wp:positionH>
                  <wp:positionV relativeFrom="paragraph">
                    <wp:posOffset>0</wp:posOffset>
                  </wp:positionV>
                  <wp:extent cx="768985" cy="689610"/>
                  <wp:effectExtent l="0" t="0" r="0" b="0"/>
                  <wp:wrapNone/>
                  <wp:docPr id="52" name="图片_142_SpCnt_1"/>
                  <wp:cNvGraphicFramePr/>
                  <a:graphic xmlns:a="http://schemas.openxmlformats.org/drawingml/2006/main">
                    <a:graphicData uri="http://schemas.openxmlformats.org/drawingml/2006/picture">
                      <pic:pic xmlns:pic="http://schemas.openxmlformats.org/drawingml/2006/picture">
                        <pic:nvPicPr>
                          <pic:cNvPr id="52" name="图片_142_SpCnt_1"/>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688960" behindDoc="0" locked="0" layoutInCell="1" allowOverlap="1">
                  <wp:simplePos x="0" y="0"/>
                  <wp:positionH relativeFrom="column">
                    <wp:posOffset>0</wp:posOffset>
                  </wp:positionH>
                  <wp:positionV relativeFrom="paragraph">
                    <wp:posOffset>0</wp:posOffset>
                  </wp:positionV>
                  <wp:extent cx="768985" cy="689610"/>
                  <wp:effectExtent l="0" t="0" r="0" b="0"/>
                  <wp:wrapNone/>
                  <wp:docPr id="53" name="图片_155"/>
                  <wp:cNvGraphicFramePr/>
                  <a:graphic xmlns:a="http://schemas.openxmlformats.org/drawingml/2006/main">
                    <a:graphicData uri="http://schemas.openxmlformats.org/drawingml/2006/picture">
                      <pic:pic xmlns:pic="http://schemas.openxmlformats.org/drawingml/2006/picture">
                        <pic:nvPicPr>
                          <pic:cNvPr id="53" name="图片_155"/>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689984" behindDoc="0" locked="0" layoutInCell="1" allowOverlap="1">
                  <wp:simplePos x="0" y="0"/>
                  <wp:positionH relativeFrom="column">
                    <wp:posOffset>0</wp:posOffset>
                  </wp:positionH>
                  <wp:positionV relativeFrom="paragraph">
                    <wp:posOffset>0</wp:posOffset>
                  </wp:positionV>
                  <wp:extent cx="768985" cy="689610"/>
                  <wp:effectExtent l="0" t="0" r="0" b="0"/>
                  <wp:wrapNone/>
                  <wp:docPr id="54" name="图片_154"/>
                  <wp:cNvGraphicFramePr/>
                  <a:graphic xmlns:a="http://schemas.openxmlformats.org/drawingml/2006/main">
                    <a:graphicData uri="http://schemas.openxmlformats.org/drawingml/2006/picture">
                      <pic:pic xmlns:pic="http://schemas.openxmlformats.org/drawingml/2006/picture">
                        <pic:nvPicPr>
                          <pic:cNvPr id="54" name="图片_154"/>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691008" behindDoc="0" locked="0" layoutInCell="1" allowOverlap="1">
                  <wp:simplePos x="0" y="0"/>
                  <wp:positionH relativeFrom="column">
                    <wp:posOffset>0</wp:posOffset>
                  </wp:positionH>
                  <wp:positionV relativeFrom="paragraph">
                    <wp:posOffset>0</wp:posOffset>
                  </wp:positionV>
                  <wp:extent cx="768985" cy="689610"/>
                  <wp:effectExtent l="0" t="0" r="0" b="0"/>
                  <wp:wrapNone/>
                  <wp:docPr id="55" name="图片_153"/>
                  <wp:cNvGraphicFramePr/>
                  <a:graphic xmlns:a="http://schemas.openxmlformats.org/drawingml/2006/main">
                    <a:graphicData uri="http://schemas.openxmlformats.org/drawingml/2006/picture">
                      <pic:pic xmlns:pic="http://schemas.openxmlformats.org/drawingml/2006/picture">
                        <pic:nvPicPr>
                          <pic:cNvPr id="55" name="图片_153"/>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692032" behindDoc="0" locked="0" layoutInCell="1" allowOverlap="1">
                  <wp:simplePos x="0" y="0"/>
                  <wp:positionH relativeFrom="column">
                    <wp:posOffset>0</wp:posOffset>
                  </wp:positionH>
                  <wp:positionV relativeFrom="paragraph">
                    <wp:posOffset>0</wp:posOffset>
                  </wp:positionV>
                  <wp:extent cx="768985" cy="689610"/>
                  <wp:effectExtent l="0" t="0" r="0" b="0"/>
                  <wp:wrapNone/>
                  <wp:docPr id="56" name="图片_152"/>
                  <wp:cNvGraphicFramePr/>
                  <a:graphic xmlns:a="http://schemas.openxmlformats.org/drawingml/2006/main">
                    <a:graphicData uri="http://schemas.openxmlformats.org/drawingml/2006/picture">
                      <pic:pic xmlns:pic="http://schemas.openxmlformats.org/drawingml/2006/picture">
                        <pic:nvPicPr>
                          <pic:cNvPr id="56" name="图片_152"/>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693056" behindDoc="0" locked="0" layoutInCell="1" allowOverlap="1">
                  <wp:simplePos x="0" y="0"/>
                  <wp:positionH relativeFrom="column">
                    <wp:posOffset>0</wp:posOffset>
                  </wp:positionH>
                  <wp:positionV relativeFrom="paragraph">
                    <wp:posOffset>0</wp:posOffset>
                  </wp:positionV>
                  <wp:extent cx="768985" cy="689610"/>
                  <wp:effectExtent l="0" t="0" r="0" b="0"/>
                  <wp:wrapNone/>
                  <wp:docPr id="57" name="图片_151"/>
                  <wp:cNvGraphicFramePr/>
                  <a:graphic xmlns:a="http://schemas.openxmlformats.org/drawingml/2006/main">
                    <a:graphicData uri="http://schemas.openxmlformats.org/drawingml/2006/picture">
                      <pic:pic xmlns:pic="http://schemas.openxmlformats.org/drawingml/2006/picture">
                        <pic:nvPicPr>
                          <pic:cNvPr id="57" name="图片_151"/>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694080" behindDoc="0" locked="0" layoutInCell="1" allowOverlap="1">
                  <wp:simplePos x="0" y="0"/>
                  <wp:positionH relativeFrom="column">
                    <wp:posOffset>0</wp:posOffset>
                  </wp:positionH>
                  <wp:positionV relativeFrom="paragraph">
                    <wp:posOffset>0</wp:posOffset>
                  </wp:positionV>
                  <wp:extent cx="768985" cy="689610"/>
                  <wp:effectExtent l="0" t="0" r="0" b="0"/>
                  <wp:wrapNone/>
                  <wp:docPr id="58" name="图片_150"/>
                  <wp:cNvGraphicFramePr/>
                  <a:graphic xmlns:a="http://schemas.openxmlformats.org/drawingml/2006/main">
                    <a:graphicData uri="http://schemas.openxmlformats.org/drawingml/2006/picture">
                      <pic:pic xmlns:pic="http://schemas.openxmlformats.org/drawingml/2006/picture">
                        <pic:nvPicPr>
                          <pic:cNvPr id="58" name="图片_150"/>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695104" behindDoc="0" locked="0" layoutInCell="1" allowOverlap="1">
                  <wp:simplePos x="0" y="0"/>
                  <wp:positionH relativeFrom="column">
                    <wp:posOffset>0</wp:posOffset>
                  </wp:positionH>
                  <wp:positionV relativeFrom="paragraph">
                    <wp:posOffset>0</wp:posOffset>
                  </wp:positionV>
                  <wp:extent cx="768985" cy="689610"/>
                  <wp:effectExtent l="0" t="0" r="0" b="0"/>
                  <wp:wrapNone/>
                  <wp:docPr id="59" name="图片_149"/>
                  <wp:cNvGraphicFramePr/>
                  <a:graphic xmlns:a="http://schemas.openxmlformats.org/drawingml/2006/main">
                    <a:graphicData uri="http://schemas.openxmlformats.org/drawingml/2006/picture">
                      <pic:pic xmlns:pic="http://schemas.openxmlformats.org/drawingml/2006/picture">
                        <pic:nvPicPr>
                          <pic:cNvPr id="59" name="图片_149"/>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696128" behindDoc="0" locked="0" layoutInCell="1" allowOverlap="1">
                  <wp:simplePos x="0" y="0"/>
                  <wp:positionH relativeFrom="column">
                    <wp:posOffset>0</wp:posOffset>
                  </wp:positionH>
                  <wp:positionV relativeFrom="paragraph">
                    <wp:posOffset>0</wp:posOffset>
                  </wp:positionV>
                  <wp:extent cx="768985" cy="689610"/>
                  <wp:effectExtent l="0" t="0" r="0" b="0"/>
                  <wp:wrapNone/>
                  <wp:docPr id="60" name="图片_148_SpCnt_1"/>
                  <wp:cNvGraphicFramePr/>
                  <a:graphic xmlns:a="http://schemas.openxmlformats.org/drawingml/2006/main">
                    <a:graphicData uri="http://schemas.openxmlformats.org/drawingml/2006/picture">
                      <pic:pic xmlns:pic="http://schemas.openxmlformats.org/drawingml/2006/picture">
                        <pic:nvPicPr>
                          <pic:cNvPr id="60" name="图片_148_SpCnt_1"/>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697152" behindDoc="0" locked="0" layoutInCell="1" allowOverlap="1">
                  <wp:simplePos x="0" y="0"/>
                  <wp:positionH relativeFrom="column">
                    <wp:posOffset>0</wp:posOffset>
                  </wp:positionH>
                  <wp:positionV relativeFrom="paragraph">
                    <wp:posOffset>0</wp:posOffset>
                  </wp:positionV>
                  <wp:extent cx="768985" cy="689610"/>
                  <wp:effectExtent l="0" t="0" r="0" b="0"/>
                  <wp:wrapNone/>
                  <wp:docPr id="61" name="图片_147"/>
                  <wp:cNvGraphicFramePr/>
                  <a:graphic xmlns:a="http://schemas.openxmlformats.org/drawingml/2006/main">
                    <a:graphicData uri="http://schemas.openxmlformats.org/drawingml/2006/picture">
                      <pic:pic xmlns:pic="http://schemas.openxmlformats.org/drawingml/2006/picture">
                        <pic:nvPicPr>
                          <pic:cNvPr id="61" name="图片_147"/>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698176" behindDoc="0" locked="0" layoutInCell="1" allowOverlap="1">
                  <wp:simplePos x="0" y="0"/>
                  <wp:positionH relativeFrom="column">
                    <wp:posOffset>0</wp:posOffset>
                  </wp:positionH>
                  <wp:positionV relativeFrom="paragraph">
                    <wp:posOffset>0</wp:posOffset>
                  </wp:positionV>
                  <wp:extent cx="768985" cy="689610"/>
                  <wp:effectExtent l="0" t="0" r="0" b="0"/>
                  <wp:wrapNone/>
                  <wp:docPr id="62" name="图片_146"/>
                  <wp:cNvGraphicFramePr/>
                  <a:graphic xmlns:a="http://schemas.openxmlformats.org/drawingml/2006/main">
                    <a:graphicData uri="http://schemas.openxmlformats.org/drawingml/2006/picture">
                      <pic:pic xmlns:pic="http://schemas.openxmlformats.org/drawingml/2006/picture">
                        <pic:nvPicPr>
                          <pic:cNvPr id="62" name="图片_146"/>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699200" behindDoc="0" locked="0" layoutInCell="1" allowOverlap="1">
                  <wp:simplePos x="0" y="0"/>
                  <wp:positionH relativeFrom="column">
                    <wp:posOffset>0</wp:posOffset>
                  </wp:positionH>
                  <wp:positionV relativeFrom="paragraph">
                    <wp:posOffset>0</wp:posOffset>
                  </wp:positionV>
                  <wp:extent cx="741680" cy="689610"/>
                  <wp:effectExtent l="0" t="0" r="0" b="0"/>
                  <wp:wrapNone/>
                  <wp:docPr id="63" name="图片_145"/>
                  <wp:cNvGraphicFramePr/>
                  <a:graphic xmlns:a="http://schemas.openxmlformats.org/drawingml/2006/main">
                    <a:graphicData uri="http://schemas.openxmlformats.org/drawingml/2006/picture">
                      <pic:pic xmlns:pic="http://schemas.openxmlformats.org/drawingml/2006/picture">
                        <pic:nvPicPr>
                          <pic:cNvPr id="63" name="图片_145"/>
                          <pic:cNvPicPr/>
                        </pic:nvPicPr>
                        <pic:blipFill>
                          <a:blip r:embed="rId6"/>
                          <a:stretch>
                            <a:fillRect/>
                          </a:stretch>
                        </pic:blipFill>
                        <pic:spPr>
                          <a:xfrm>
                            <a:off x="0" y="0"/>
                            <a:ext cx="741680"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700224" behindDoc="0" locked="0" layoutInCell="1" allowOverlap="1">
                  <wp:simplePos x="0" y="0"/>
                  <wp:positionH relativeFrom="column">
                    <wp:posOffset>0</wp:posOffset>
                  </wp:positionH>
                  <wp:positionV relativeFrom="paragraph">
                    <wp:posOffset>0</wp:posOffset>
                  </wp:positionV>
                  <wp:extent cx="741680" cy="689610"/>
                  <wp:effectExtent l="0" t="0" r="0" b="0"/>
                  <wp:wrapNone/>
                  <wp:docPr id="64" name="图片_144_SpCnt_1"/>
                  <wp:cNvGraphicFramePr/>
                  <a:graphic xmlns:a="http://schemas.openxmlformats.org/drawingml/2006/main">
                    <a:graphicData uri="http://schemas.openxmlformats.org/drawingml/2006/picture">
                      <pic:pic xmlns:pic="http://schemas.openxmlformats.org/drawingml/2006/picture">
                        <pic:nvPicPr>
                          <pic:cNvPr id="64" name="图片_144_SpCnt_1"/>
                          <pic:cNvPicPr/>
                        </pic:nvPicPr>
                        <pic:blipFill>
                          <a:blip r:embed="rId6"/>
                          <a:stretch>
                            <a:fillRect/>
                          </a:stretch>
                        </pic:blipFill>
                        <pic:spPr>
                          <a:xfrm>
                            <a:off x="0" y="0"/>
                            <a:ext cx="741680"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701248" behindDoc="0" locked="0" layoutInCell="1" allowOverlap="1">
                  <wp:simplePos x="0" y="0"/>
                  <wp:positionH relativeFrom="column">
                    <wp:posOffset>0</wp:posOffset>
                  </wp:positionH>
                  <wp:positionV relativeFrom="paragraph">
                    <wp:posOffset>0</wp:posOffset>
                  </wp:positionV>
                  <wp:extent cx="768985" cy="689610"/>
                  <wp:effectExtent l="0" t="0" r="0" b="0"/>
                  <wp:wrapNone/>
                  <wp:docPr id="65" name="图片_155_SpCnt_1"/>
                  <wp:cNvGraphicFramePr/>
                  <a:graphic xmlns:a="http://schemas.openxmlformats.org/drawingml/2006/main">
                    <a:graphicData uri="http://schemas.openxmlformats.org/drawingml/2006/picture">
                      <pic:pic xmlns:pic="http://schemas.openxmlformats.org/drawingml/2006/picture">
                        <pic:nvPicPr>
                          <pic:cNvPr id="65" name="图片_155_SpCnt_1"/>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702272" behindDoc="0" locked="0" layoutInCell="1" allowOverlap="1">
                  <wp:simplePos x="0" y="0"/>
                  <wp:positionH relativeFrom="column">
                    <wp:posOffset>0</wp:posOffset>
                  </wp:positionH>
                  <wp:positionV relativeFrom="paragraph">
                    <wp:posOffset>0</wp:posOffset>
                  </wp:positionV>
                  <wp:extent cx="768985" cy="689610"/>
                  <wp:effectExtent l="0" t="0" r="0" b="0"/>
                  <wp:wrapNone/>
                  <wp:docPr id="66" name="图片_143"/>
                  <wp:cNvGraphicFramePr/>
                  <a:graphic xmlns:a="http://schemas.openxmlformats.org/drawingml/2006/main">
                    <a:graphicData uri="http://schemas.openxmlformats.org/drawingml/2006/picture">
                      <pic:pic xmlns:pic="http://schemas.openxmlformats.org/drawingml/2006/picture">
                        <pic:nvPicPr>
                          <pic:cNvPr id="66" name="图片_143"/>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703296" behindDoc="0" locked="0" layoutInCell="1" allowOverlap="1">
                  <wp:simplePos x="0" y="0"/>
                  <wp:positionH relativeFrom="column">
                    <wp:posOffset>0</wp:posOffset>
                  </wp:positionH>
                  <wp:positionV relativeFrom="paragraph">
                    <wp:posOffset>0</wp:posOffset>
                  </wp:positionV>
                  <wp:extent cx="768985" cy="689610"/>
                  <wp:effectExtent l="0" t="0" r="0" b="0"/>
                  <wp:wrapNone/>
                  <wp:docPr id="67" name="图片_154_SpCnt_1"/>
                  <wp:cNvGraphicFramePr/>
                  <a:graphic xmlns:a="http://schemas.openxmlformats.org/drawingml/2006/main">
                    <a:graphicData uri="http://schemas.openxmlformats.org/drawingml/2006/picture">
                      <pic:pic xmlns:pic="http://schemas.openxmlformats.org/drawingml/2006/picture">
                        <pic:nvPicPr>
                          <pic:cNvPr id="67" name="图片_154_SpCnt_1"/>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704320" behindDoc="0" locked="0" layoutInCell="1" allowOverlap="1">
                  <wp:simplePos x="0" y="0"/>
                  <wp:positionH relativeFrom="column">
                    <wp:posOffset>0</wp:posOffset>
                  </wp:positionH>
                  <wp:positionV relativeFrom="paragraph">
                    <wp:posOffset>0</wp:posOffset>
                  </wp:positionV>
                  <wp:extent cx="768985" cy="689610"/>
                  <wp:effectExtent l="0" t="0" r="0" b="0"/>
                  <wp:wrapNone/>
                  <wp:docPr id="68" name="图片_153_SpCnt_1"/>
                  <wp:cNvGraphicFramePr/>
                  <a:graphic xmlns:a="http://schemas.openxmlformats.org/drawingml/2006/main">
                    <a:graphicData uri="http://schemas.openxmlformats.org/drawingml/2006/picture">
                      <pic:pic xmlns:pic="http://schemas.openxmlformats.org/drawingml/2006/picture">
                        <pic:nvPicPr>
                          <pic:cNvPr id="68" name="图片_153_SpCnt_1"/>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705344" behindDoc="0" locked="0" layoutInCell="1" allowOverlap="1">
                  <wp:simplePos x="0" y="0"/>
                  <wp:positionH relativeFrom="column">
                    <wp:posOffset>0</wp:posOffset>
                  </wp:positionH>
                  <wp:positionV relativeFrom="paragraph">
                    <wp:posOffset>0</wp:posOffset>
                  </wp:positionV>
                  <wp:extent cx="768985" cy="689610"/>
                  <wp:effectExtent l="0" t="0" r="0" b="0"/>
                  <wp:wrapNone/>
                  <wp:docPr id="69" name="图片_152_SpCnt_1"/>
                  <wp:cNvGraphicFramePr/>
                  <a:graphic xmlns:a="http://schemas.openxmlformats.org/drawingml/2006/main">
                    <a:graphicData uri="http://schemas.openxmlformats.org/drawingml/2006/picture">
                      <pic:pic xmlns:pic="http://schemas.openxmlformats.org/drawingml/2006/picture">
                        <pic:nvPicPr>
                          <pic:cNvPr id="69" name="图片_152_SpCnt_1"/>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706368" behindDoc="0" locked="0" layoutInCell="1" allowOverlap="1">
                  <wp:simplePos x="0" y="0"/>
                  <wp:positionH relativeFrom="column">
                    <wp:posOffset>0</wp:posOffset>
                  </wp:positionH>
                  <wp:positionV relativeFrom="paragraph">
                    <wp:posOffset>0</wp:posOffset>
                  </wp:positionV>
                  <wp:extent cx="768985" cy="689610"/>
                  <wp:effectExtent l="0" t="0" r="0" b="0"/>
                  <wp:wrapNone/>
                  <wp:docPr id="70" name="图片_151_SpCnt_1"/>
                  <wp:cNvGraphicFramePr/>
                  <a:graphic xmlns:a="http://schemas.openxmlformats.org/drawingml/2006/main">
                    <a:graphicData uri="http://schemas.openxmlformats.org/drawingml/2006/picture">
                      <pic:pic xmlns:pic="http://schemas.openxmlformats.org/drawingml/2006/picture">
                        <pic:nvPicPr>
                          <pic:cNvPr id="70" name="图片_151_SpCnt_1"/>
                          <pic:cNvPicPr/>
                        </pic:nvPicPr>
                        <pic:blipFill>
                          <a:blip r:embed="rId6"/>
                          <a:stretch>
                            <a:fillRect/>
                          </a:stretch>
                        </pic:blipFill>
                        <pic:spPr>
                          <a:xfrm>
                            <a:off x="0" y="0"/>
                            <a:ext cx="768985" cy="689610"/>
                          </a:xfrm>
                          <a:prstGeom prst="rect">
                            <a:avLst/>
                          </a:prstGeom>
                          <a:noFill/>
                          <a:ln>
                            <a:noFill/>
                          </a:ln>
                        </pic:spPr>
                      </pic:pic>
                    </a:graphicData>
                  </a:graphic>
                </wp:anchor>
              </w:drawing>
            </w:r>
          </w:p>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p>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683840" behindDoc="0" locked="0" layoutInCell="1" allowOverlap="1">
                  <wp:simplePos x="0" y="0"/>
                  <wp:positionH relativeFrom="column">
                    <wp:posOffset>0</wp:posOffset>
                  </wp:positionH>
                  <wp:positionV relativeFrom="paragraph">
                    <wp:posOffset>0</wp:posOffset>
                  </wp:positionV>
                  <wp:extent cx="768985" cy="689610"/>
                  <wp:effectExtent l="0" t="0" r="0" b="0"/>
                  <wp:wrapNone/>
                  <wp:docPr id="71" name="图片_149_SpCnt_1"/>
                  <wp:cNvGraphicFramePr/>
                  <a:graphic xmlns:a="http://schemas.openxmlformats.org/drawingml/2006/main">
                    <a:graphicData uri="http://schemas.openxmlformats.org/drawingml/2006/picture">
                      <pic:pic xmlns:pic="http://schemas.openxmlformats.org/drawingml/2006/picture">
                        <pic:nvPicPr>
                          <pic:cNvPr id="71" name="图片_149_SpCnt_1"/>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t>0.06</w:t>
            </w: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TO</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合同签订后45天</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裸材，正偏差0-5%,提供材质证书，合格证书,6米/根，共6米，1根</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25025</w:t>
            </w:r>
          </w:p>
        </w:tc>
      </w:tr>
      <w:tr>
        <w:tblPrEx>
          <w:tblCellMar>
            <w:top w:w="0" w:type="dxa"/>
            <w:left w:w="108" w:type="dxa"/>
            <w:bottom w:w="0" w:type="dxa"/>
            <w:right w:w="108" w:type="dxa"/>
          </w:tblCellMar>
        </w:tblPrEx>
        <w:trPr>
          <w:trHeight w:val="1607"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21</w:t>
            </w: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无缝钢管</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无缝钢管\NPS6 SCH160\B\NACE MR0175\ASTM A106</w:t>
            </w:r>
          </w:p>
        </w:tc>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0.41</w:t>
            </w: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TO</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合同签订后45天</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裸材，正偏差0-5%,提供材质证书，合格证书,6米/根，共6米，1根</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25025</w:t>
            </w:r>
          </w:p>
        </w:tc>
      </w:tr>
      <w:tr>
        <w:tblPrEx>
          <w:tblCellMar>
            <w:top w:w="0" w:type="dxa"/>
            <w:left w:w="108" w:type="dxa"/>
            <w:bottom w:w="0" w:type="dxa"/>
            <w:right w:w="108" w:type="dxa"/>
          </w:tblCellMar>
        </w:tblPrEx>
        <w:trPr>
          <w:trHeight w:val="1607"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22</w:t>
            </w: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无缝钢管</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无缝钢管\NPS8 SCH140\B\NACE MR0175\ASTM A106</w:t>
            </w:r>
          </w:p>
        </w:tc>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1.21</w:t>
            </w: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TO</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合同签订后45天</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裸材，正偏差0-5%,提供材质证书，合格证书,6米/根，共12米，2根</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25025</w:t>
            </w:r>
          </w:p>
        </w:tc>
      </w:tr>
      <w:tr>
        <w:tblPrEx>
          <w:tblCellMar>
            <w:top w:w="0" w:type="dxa"/>
            <w:left w:w="108" w:type="dxa"/>
            <w:bottom w:w="0" w:type="dxa"/>
            <w:right w:w="108" w:type="dxa"/>
          </w:tblCellMar>
        </w:tblPrEx>
        <w:trPr>
          <w:trHeight w:val="1607"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23</w:t>
            </w: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无缝钢管</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无缝钢管\NPS18 SCH120\BE\B\NACE MR0175\ASTM A106</w:t>
            </w:r>
          </w:p>
        </w:tc>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8.73</w:t>
            </w: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TO</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合同签订后45天</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裸材，正偏差0-5%,提供材质证书，合格证书,6米/根，共24米，4根</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25025</w:t>
            </w:r>
          </w:p>
        </w:tc>
      </w:tr>
      <w:tr>
        <w:tblPrEx>
          <w:tblCellMar>
            <w:top w:w="0" w:type="dxa"/>
            <w:left w:w="108" w:type="dxa"/>
            <w:bottom w:w="0" w:type="dxa"/>
            <w:right w:w="108" w:type="dxa"/>
          </w:tblCellMar>
        </w:tblPrEx>
        <w:trPr>
          <w:trHeight w:val="1607" w:hRule="atLeast"/>
          <w:jc w:val="center"/>
        </w:trPr>
        <w:tc>
          <w:tcPr>
            <w:tcW w:w="60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24</w:t>
            </w:r>
          </w:p>
        </w:tc>
        <w:tc>
          <w:tcPr>
            <w:tcW w:w="9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钢板</w:t>
            </w:r>
          </w:p>
        </w:tc>
        <w:tc>
          <w:tcPr>
            <w:tcW w:w="196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钢板\PL10\Q235B\GB/T 3274</w:t>
            </w:r>
          </w:p>
        </w:tc>
        <w:tc>
          <w:tcPr>
            <w:tcW w:w="670"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0.8</w:t>
            </w:r>
          </w:p>
        </w:tc>
        <w:tc>
          <w:tcPr>
            <w:tcW w:w="70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TO</w:t>
            </w:r>
          </w:p>
        </w:tc>
        <w:tc>
          <w:tcPr>
            <w:tcW w:w="1088"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合同签订后45天</w:t>
            </w:r>
          </w:p>
        </w:tc>
        <w:tc>
          <w:tcPr>
            <w:tcW w:w="1387"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2000×5000，裸材，正偏差0-5%,1张，提供材质证书，合格证书。</w:t>
            </w:r>
          </w:p>
        </w:tc>
        <w:tc>
          <w:tcPr>
            <w:tcW w:w="113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t>25025</w:t>
            </w:r>
          </w:p>
        </w:tc>
      </w:tr>
    </w:tbl>
    <w:p>
      <w:pPr>
        <w:keepNext w:val="0"/>
        <w:keepLines w:val="0"/>
        <w:widowControl/>
        <w:suppressLineNumbers w:val="0"/>
        <w:ind w:firstLine="420" w:firstLineChars="200"/>
        <w:jc w:val="left"/>
        <w:textAlignment w:val="center"/>
        <w:rPr>
          <w:rFonts w:hint="eastAsia" w:ascii="宋体" w:hAnsi="宋体" w:eastAsia="宋体" w:cs="宋体"/>
          <w:b w:val="0"/>
          <w:bCs/>
          <w:i w:val="0"/>
          <w:iCs w:val="0"/>
          <w:color w:val="auto"/>
          <w:sz w:val="21"/>
          <w:szCs w:val="21"/>
        </w:rPr>
      </w:pPr>
      <w:r>
        <w:rPr>
          <w:rFonts w:hint="eastAsia" w:ascii="宋体" w:hAnsi="宋体" w:eastAsia="宋体" w:cs="宋体"/>
          <w:b w:val="0"/>
          <w:bCs/>
          <w:i w:val="0"/>
          <w:iCs w:val="0"/>
          <w:color w:val="auto"/>
          <w:sz w:val="21"/>
          <w:szCs w:val="21"/>
          <w:highlight w:val="none"/>
          <w:lang w:val="en-US" w:eastAsia="zh-CN"/>
        </w:rPr>
        <w:t>采购普通结构钢（50mm及以下的Q235A～ D和Q345A～E产品），钢板的生产厂家必须为优选供应商（鞍钢、宝钢、首钢、南京钢铁、华菱湘潭钢、新钢、山东钢铁、江苏沙钢）所生产的产品，如投标时使用其他厂家产品，则视为技术评议不合格。</w:t>
      </w:r>
    </w:p>
    <w:p>
      <w:pPr>
        <w:pStyle w:val="50"/>
        <w:keepNext w:val="0"/>
        <w:keepLines w:val="0"/>
        <w:pageBreakBefore w:val="0"/>
        <w:kinsoku/>
        <w:wordWrap/>
        <w:overflowPunct/>
        <w:topLinePunct w:val="0"/>
        <w:bidi w:val="0"/>
        <w:snapToGrid w:val="0"/>
        <w:spacing w:before="120" w:after="120" w:line="360" w:lineRule="auto"/>
        <w:jc w:val="left"/>
        <w:textAlignment w:val="auto"/>
        <w:outlineLvl w:val="0"/>
        <w:rPr>
          <w:rFonts w:hint="eastAsia" w:ascii="宋体" w:hAnsi="宋体" w:eastAsia="宋体" w:cs="宋体"/>
          <w:b w:val="0"/>
          <w:bCs/>
          <w:i w:val="0"/>
          <w:iCs w:val="0"/>
          <w:color w:val="auto"/>
          <w:sz w:val="21"/>
          <w:szCs w:val="21"/>
        </w:rPr>
      </w:pPr>
      <w:r>
        <w:rPr>
          <w:rFonts w:hint="eastAsia" w:ascii="宋体" w:hAnsi="宋体" w:eastAsia="宋体" w:cs="宋体"/>
          <w:b w:val="0"/>
          <w:bCs/>
          <w:i w:val="0"/>
          <w:iCs w:val="0"/>
          <w:color w:val="auto"/>
          <w:sz w:val="21"/>
          <w:szCs w:val="21"/>
        </w:rPr>
        <w:t>三、执行标准/规范（如有）</w:t>
      </w:r>
    </w:p>
    <w:p>
      <w:pPr>
        <w:pStyle w:val="9"/>
        <w:spacing w:line="257" w:lineRule="auto"/>
        <w:ind w:left="0" w:leftChars="0" w:right="122" w:firstLine="0" w:firstLineChars="0"/>
        <w:jc w:val="left"/>
        <w:rPr>
          <w:rFonts w:hint="eastAsia" w:ascii="宋体" w:hAnsi="宋体" w:eastAsia="宋体" w:cs="宋体"/>
          <w:b w:val="0"/>
          <w:bCs/>
          <w:i w:val="0"/>
          <w:iCs w:val="0"/>
          <w:color w:val="auto"/>
          <w:kern w:val="0"/>
          <w:sz w:val="21"/>
          <w:szCs w:val="21"/>
          <w:lang w:val="en-US" w:eastAsia="zh-CN" w:bidi="ar-SA"/>
        </w:rPr>
      </w:pPr>
      <w:r>
        <w:rPr>
          <w:rFonts w:hint="eastAsia" w:ascii="宋体" w:hAnsi="宋体" w:eastAsia="宋体" w:cs="宋体"/>
          <w:b w:val="0"/>
          <w:bCs/>
          <w:i w:val="0"/>
          <w:iCs w:val="0"/>
          <w:color w:val="auto"/>
          <w:kern w:val="0"/>
          <w:sz w:val="21"/>
          <w:szCs w:val="21"/>
          <w:lang w:val="en-US" w:eastAsia="zh-CN" w:bidi="ar-SA"/>
        </w:rPr>
        <w:t>CGBZ036-ZB-2023-无缝钢管（普通碳钢、不锈钢和双相不锈钢）</w:t>
      </w:r>
    </w:p>
    <w:p>
      <w:pPr>
        <w:pStyle w:val="9"/>
        <w:spacing w:line="257" w:lineRule="auto"/>
        <w:ind w:left="0" w:leftChars="0" w:right="122" w:firstLine="0" w:firstLineChars="0"/>
        <w:jc w:val="left"/>
        <w:rPr>
          <w:rFonts w:hint="eastAsia" w:ascii="宋体" w:hAnsi="宋体" w:eastAsia="宋体" w:cs="宋体"/>
          <w:b w:val="0"/>
          <w:bCs/>
          <w:i w:val="0"/>
          <w:iCs w:val="0"/>
          <w:color w:val="auto"/>
          <w:kern w:val="0"/>
          <w:sz w:val="21"/>
          <w:szCs w:val="21"/>
          <w:lang w:val="en-US" w:eastAsia="zh-CN" w:bidi="ar-SA"/>
        </w:rPr>
      </w:pPr>
      <w:r>
        <w:rPr>
          <w:rFonts w:hint="eastAsia" w:ascii="宋体" w:hAnsi="宋体" w:eastAsia="宋体" w:cs="宋体"/>
          <w:b w:val="0"/>
          <w:bCs/>
          <w:i w:val="0"/>
          <w:iCs w:val="0"/>
          <w:color w:val="auto"/>
          <w:sz w:val="21"/>
          <w:szCs w:val="21"/>
          <w:lang w:val="en-US" w:eastAsia="zh-CN"/>
        </w:rPr>
        <w:t>CGBZ034-ZB-2023《钢板及钢带（普通碳钢）》</w:t>
      </w:r>
    </w:p>
    <w:p>
      <w:pPr>
        <w:pStyle w:val="50"/>
        <w:spacing w:before="120" w:after="120"/>
        <w:jc w:val="left"/>
        <w:outlineLvl w:val="0"/>
        <w:rPr>
          <w:rFonts w:hint="eastAsia" w:ascii="宋体" w:hAnsi="宋体" w:eastAsia="宋体" w:cs="宋体"/>
          <w:b w:val="0"/>
          <w:bCs/>
          <w:i w:val="0"/>
          <w:iCs w:val="0"/>
          <w:color w:val="auto"/>
          <w:sz w:val="21"/>
          <w:szCs w:val="21"/>
        </w:rPr>
      </w:pPr>
      <w:r>
        <w:rPr>
          <w:rFonts w:hint="eastAsia" w:ascii="宋体" w:hAnsi="宋体" w:eastAsia="宋体" w:cs="宋体"/>
          <w:b w:val="0"/>
          <w:bCs/>
          <w:i w:val="0"/>
          <w:iCs w:val="0"/>
          <w:color w:val="auto"/>
          <w:sz w:val="21"/>
          <w:szCs w:val="21"/>
        </w:rPr>
        <w:t>四、设计/使用条件</w:t>
      </w:r>
    </w:p>
    <w:p>
      <w:pPr>
        <w:pStyle w:val="9"/>
        <w:spacing w:line="257" w:lineRule="auto"/>
        <w:ind w:left="0" w:leftChars="0" w:right="122" w:firstLine="0" w:firstLineChars="0"/>
        <w:jc w:val="left"/>
        <w:rPr>
          <w:rFonts w:hint="eastAsia" w:ascii="宋体" w:hAnsi="宋体" w:eastAsia="宋体" w:cs="宋体"/>
          <w:b w:val="0"/>
          <w:bCs/>
          <w:i w:val="0"/>
          <w:iCs w:val="0"/>
          <w:sz w:val="21"/>
          <w:szCs w:val="21"/>
          <w:lang w:eastAsia="zh-CN"/>
        </w:rPr>
      </w:pPr>
      <w:r>
        <w:rPr>
          <w:rFonts w:hint="eastAsia" w:ascii="宋体" w:hAnsi="宋体" w:eastAsia="宋体" w:cs="宋体"/>
          <w:b w:val="0"/>
          <w:bCs/>
          <w:i w:val="0"/>
          <w:iCs w:val="0"/>
          <w:sz w:val="21"/>
          <w:szCs w:val="21"/>
          <w:lang w:val="en-US" w:eastAsia="zh-CN"/>
        </w:rPr>
        <w:t>1、</w:t>
      </w:r>
      <w:r>
        <w:rPr>
          <w:rFonts w:hint="eastAsia" w:ascii="宋体" w:hAnsi="宋体" w:eastAsia="宋体" w:cs="宋体"/>
          <w:b w:val="0"/>
          <w:bCs/>
          <w:i w:val="0"/>
          <w:iCs w:val="0"/>
          <w:sz w:val="21"/>
          <w:szCs w:val="21"/>
          <w:lang w:eastAsia="zh-CN"/>
        </w:rPr>
        <w:t>到货/安装或使用地点：</w:t>
      </w:r>
      <w:r>
        <w:rPr>
          <w:rFonts w:hint="eastAsia" w:ascii="宋体" w:hAnsi="宋体" w:eastAsia="宋体" w:cs="宋体"/>
          <w:b w:val="0"/>
          <w:bCs/>
          <w:i w:val="0"/>
          <w:iCs w:val="0"/>
          <w:sz w:val="21"/>
          <w:szCs w:val="21"/>
          <w:lang w:val="en-US" w:eastAsia="zh-CN"/>
        </w:rPr>
        <w:t>海上石油平台</w:t>
      </w:r>
      <w:r>
        <w:rPr>
          <w:rFonts w:hint="eastAsia" w:ascii="宋体" w:hAnsi="宋体" w:eastAsia="宋体" w:cs="宋体"/>
          <w:b w:val="0"/>
          <w:bCs/>
          <w:i w:val="0"/>
          <w:iCs w:val="0"/>
          <w:sz w:val="21"/>
          <w:szCs w:val="21"/>
          <w:lang w:eastAsia="zh-CN"/>
        </w:rPr>
        <w:t>；</w:t>
      </w:r>
    </w:p>
    <w:p>
      <w:pPr>
        <w:pStyle w:val="9"/>
        <w:spacing w:line="257" w:lineRule="auto"/>
        <w:ind w:left="0" w:leftChars="0" w:right="122" w:firstLine="0" w:firstLineChars="0"/>
        <w:jc w:val="left"/>
        <w:rPr>
          <w:rFonts w:hint="eastAsia" w:ascii="宋体" w:hAnsi="宋体" w:eastAsia="宋体" w:cs="宋体"/>
          <w:b w:val="0"/>
          <w:bCs/>
          <w:i w:val="0"/>
          <w:iCs w:val="0"/>
          <w:sz w:val="21"/>
          <w:szCs w:val="21"/>
          <w:lang w:val="en-US" w:eastAsia="zh-CN"/>
        </w:rPr>
      </w:pPr>
      <w:r>
        <w:rPr>
          <w:rFonts w:hint="eastAsia" w:ascii="宋体" w:hAnsi="宋体" w:eastAsia="宋体" w:cs="宋体"/>
          <w:b w:val="0"/>
          <w:bCs/>
          <w:i w:val="0"/>
          <w:iCs w:val="0"/>
          <w:sz w:val="21"/>
          <w:szCs w:val="21"/>
          <w:lang w:val="en-US" w:eastAsia="zh-CN"/>
        </w:rPr>
        <w:t>2、</w:t>
      </w:r>
      <w:r>
        <w:rPr>
          <w:rFonts w:hint="eastAsia" w:ascii="宋体" w:hAnsi="宋体" w:eastAsia="宋体" w:cs="宋体"/>
          <w:b w:val="0"/>
          <w:bCs/>
          <w:i w:val="0"/>
          <w:iCs w:val="0"/>
          <w:sz w:val="21"/>
          <w:szCs w:val="21"/>
          <w:lang w:eastAsia="zh-CN"/>
        </w:rPr>
        <w:t>作业环境要求：潮湿、含盐的腐蚀性环境。</w:t>
      </w:r>
    </w:p>
    <w:p>
      <w:pPr>
        <w:pStyle w:val="50"/>
        <w:keepNext w:val="0"/>
        <w:keepLines w:val="0"/>
        <w:pageBreakBefore w:val="0"/>
        <w:kinsoku/>
        <w:wordWrap/>
        <w:overflowPunct/>
        <w:topLinePunct w:val="0"/>
        <w:bidi w:val="0"/>
        <w:snapToGrid w:val="0"/>
        <w:spacing w:before="120" w:after="120" w:line="360" w:lineRule="auto"/>
        <w:jc w:val="left"/>
        <w:textAlignment w:val="auto"/>
        <w:outlineLvl w:val="0"/>
        <w:rPr>
          <w:rFonts w:hint="eastAsia" w:ascii="宋体" w:hAnsi="宋体" w:eastAsia="宋体" w:cs="宋体"/>
          <w:b w:val="0"/>
          <w:bCs/>
          <w:i w:val="0"/>
          <w:iCs w:val="0"/>
          <w:color w:val="auto"/>
          <w:sz w:val="21"/>
          <w:szCs w:val="21"/>
        </w:rPr>
      </w:pPr>
      <w:r>
        <w:rPr>
          <w:rFonts w:hint="eastAsia" w:ascii="宋体" w:hAnsi="宋体" w:eastAsia="宋体" w:cs="宋体"/>
          <w:b w:val="0"/>
          <w:bCs/>
          <w:i w:val="0"/>
          <w:iCs w:val="0"/>
          <w:color w:val="auto"/>
          <w:sz w:val="21"/>
          <w:szCs w:val="21"/>
        </w:rPr>
        <w:t>五、技术要求</w:t>
      </w:r>
    </w:p>
    <w:p>
      <w:pPr>
        <w:numPr>
          <w:ilvl w:val="0"/>
          <w:numId w:val="0"/>
        </w:numPr>
        <w:tabs>
          <w:tab w:val="left" w:pos="0"/>
        </w:tabs>
        <w:ind w:leftChars="0" w:firstLine="428" w:firstLineChars="200"/>
        <w:jc w:val="left"/>
        <w:rPr>
          <w:rFonts w:hint="eastAsia" w:ascii="宋体" w:hAnsi="宋体" w:eastAsia="宋体" w:cs="宋体"/>
          <w:b w:val="0"/>
          <w:bCs/>
          <w:i w:val="0"/>
          <w:iCs w:val="0"/>
          <w:color w:val="auto"/>
          <w:kern w:val="0"/>
          <w:sz w:val="21"/>
          <w:szCs w:val="21"/>
          <w:lang w:val="en-US" w:eastAsia="zh-CN" w:bidi="ar-SA"/>
        </w:rPr>
      </w:pPr>
      <w:r>
        <w:rPr>
          <w:rFonts w:hint="eastAsia" w:ascii="宋体" w:hAnsi="宋体" w:eastAsia="宋体" w:cs="宋体"/>
          <w:b w:val="0"/>
          <w:bCs/>
          <w:i w:val="0"/>
          <w:iCs w:val="0"/>
          <w:color w:val="auto"/>
          <w:spacing w:val="2"/>
          <w:kern w:val="0"/>
          <w:sz w:val="21"/>
          <w:szCs w:val="21"/>
          <w:lang w:val="en-US" w:eastAsia="zh-CN" w:bidi="ar-SA"/>
        </w:rPr>
        <w:t>（1）、钢板【本技术要求</w:t>
      </w:r>
      <w:bookmarkStart w:id="3" w:name="_Toc420897937"/>
      <w:bookmarkStart w:id="4" w:name="_Toc421410490"/>
      <w:bookmarkStart w:id="5" w:name="_Toc421356555"/>
      <w:bookmarkStart w:id="6" w:name="_Toc66068982"/>
      <w:bookmarkStart w:id="7" w:name="_Toc228248136"/>
      <w:bookmarkStart w:id="8" w:name="_Toc66068842"/>
      <w:bookmarkStart w:id="9" w:name="_Toc421091833"/>
      <w:bookmarkStart w:id="10" w:name="_Toc469734363"/>
      <w:bookmarkStart w:id="11" w:name="_Toc421065689"/>
      <w:bookmarkStart w:id="12" w:name="_Toc421355140"/>
      <w:bookmarkStart w:id="13" w:name="_Toc421065124"/>
      <w:bookmarkStart w:id="14" w:name="_Toc70329386"/>
      <w:r>
        <w:rPr>
          <w:rFonts w:hint="eastAsia" w:ascii="宋体" w:hAnsi="宋体" w:eastAsia="宋体" w:cs="宋体"/>
          <w:b w:val="0"/>
          <w:bCs/>
          <w:i w:val="0"/>
          <w:iCs w:val="0"/>
          <w:color w:val="auto"/>
          <w:spacing w:val="2"/>
          <w:kern w:val="0"/>
          <w:sz w:val="21"/>
          <w:szCs w:val="21"/>
          <w:lang w:val="en-US" w:eastAsia="zh-CN" w:bidi="ar-SA"/>
        </w:rPr>
        <w:t>部分引用CGBZ034-ZB-2023《钢板及钢带（普通碳钢）》中</w:t>
      </w:r>
      <w:r>
        <w:rPr>
          <w:rFonts w:hint="eastAsia" w:ascii="宋体" w:hAnsi="宋体" w:eastAsia="宋体" w:cs="宋体"/>
          <w:b w:val="0"/>
          <w:bCs/>
          <w:i w:val="0"/>
          <w:iCs w:val="0"/>
          <w:color w:val="auto"/>
          <w:kern w:val="0"/>
          <w:sz w:val="21"/>
          <w:szCs w:val="21"/>
          <w:lang w:val="en-US" w:eastAsia="zh-CN" w:bidi="ar-SA"/>
        </w:rPr>
        <w:t>5.3钢板要求、5.5检验要求】</w:t>
      </w:r>
    </w:p>
    <w:p>
      <w:pPr>
        <w:numPr>
          <w:ilvl w:val="0"/>
          <w:numId w:val="0"/>
        </w:numPr>
        <w:tabs>
          <w:tab w:val="left" w:pos="0"/>
        </w:tabs>
        <w:ind w:firstLine="420" w:firstLineChars="200"/>
        <w:jc w:val="left"/>
        <w:rPr>
          <w:rFonts w:hint="eastAsia" w:ascii="宋体" w:hAnsi="宋体" w:eastAsia="宋体" w:cs="宋体"/>
          <w:b w:val="0"/>
          <w:bCs/>
          <w:i w:val="0"/>
          <w:iCs w:val="0"/>
          <w:color w:val="auto"/>
          <w:kern w:val="0"/>
          <w:sz w:val="21"/>
          <w:szCs w:val="21"/>
          <w:lang w:val="en-US" w:eastAsia="zh-CN" w:bidi="ar-SA"/>
        </w:rPr>
      </w:pPr>
      <w:r>
        <w:rPr>
          <w:rFonts w:hint="eastAsia" w:ascii="宋体" w:hAnsi="宋体" w:eastAsia="宋体" w:cs="宋体"/>
          <w:b w:val="0"/>
          <w:bCs/>
          <w:i w:val="0"/>
          <w:iCs w:val="0"/>
          <w:color w:val="auto"/>
          <w:kern w:val="0"/>
          <w:sz w:val="21"/>
          <w:szCs w:val="21"/>
          <w:lang w:val="en-US" w:eastAsia="zh-CN" w:bidi="ar-SA"/>
        </w:rPr>
        <w:t>以下为引用标准中所列重要参数，纳入评议范围:</w:t>
      </w:r>
    </w:p>
    <w:p>
      <w:pPr>
        <w:numPr>
          <w:ilvl w:val="0"/>
          <w:numId w:val="0"/>
        </w:numPr>
        <w:tabs>
          <w:tab w:val="left" w:pos="0"/>
        </w:tabs>
        <w:ind w:firstLine="420" w:firstLineChars="200"/>
        <w:jc w:val="left"/>
        <w:rPr>
          <w:rFonts w:hint="eastAsia" w:ascii="宋体" w:hAnsi="宋体" w:eastAsia="宋体" w:cs="宋体"/>
          <w:b w:val="0"/>
          <w:bCs/>
          <w:i w:val="0"/>
          <w:iCs w:val="0"/>
          <w:color w:val="auto"/>
          <w:kern w:val="0"/>
          <w:sz w:val="21"/>
          <w:szCs w:val="21"/>
          <w:lang w:val="en-US" w:eastAsia="zh-CN" w:bidi="ar-SA"/>
        </w:rPr>
      </w:pPr>
      <w:r>
        <w:rPr>
          <w:rFonts w:hint="eastAsia" w:ascii="宋体" w:hAnsi="宋体" w:eastAsia="宋体" w:cs="宋体"/>
          <w:b w:val="0"/>
          <w:bCs/>
          <w:i w:val="0"/>
          <w:iCs w:val="0"/>
          <w:color w:val="auto"/>
          <w:kern w:val="0"/>
          <w:sz w:val="21"/>
          <w:szCs w:val="21"/>
          <w:lang w:val="en-US" w:eastAsia="zh-CN" w:bidi="ar-SA"/>
        </w:rPr>
        <w:t>1、钢板要求：</w:t>
      </w:r>
    </w:p>
    <w:p>
      <w:pPr>
        <w:numPr>
          <w:ilvl w:val="0"/>
          <w:numId w:val="0"/>
        </w:numPr>
        <w:tabs>
          <w:tab w:val="left" w:pos="0"/>
        </w:tabs>
        <w:ind w:firstLine="420" w:firstLineChars="200"/>
        <w:jc w:val="left"/>
        <w:rPr>
          <w:rFonts w:hint="eastAsia" w:ascii="宋体" w:hAnsi="宋体" w:eastAsia="宋体" w:cs="宋体"/>
          <w:b w:val="0"/>
          <w:bCs/>
          <w:i w:val="0"/>
          <w:iCs w:val="0"/>
          <w:color w:val="auto"/>
          <w:kern w:val="0"/>
          <w:sz w:val="21"/>
          <w:szCs w:val="21"/>
          <w:lang w:val="en-US" w:eastAsia="zh-CN" w:bidi="ar-SA"/>
        </w:rPr>
      </w:pPr>
      <w:r>
        <w:rPr>
          <w:rFonts w:hint="eastAsia" w:ascii="宋体" w:hAnsi="宋体" w:eastAsia="宋体" w:cs="宋体"/>
          <w:b w:val="0"/>
          <w:bCs/>
          <w:i w:val="0"/>
          <w:iCs w:val="0"/>
          <w:color w:val="auto"/>
          <w:kern w:val="0"/>
          <w:sz w:val="21"/>
          <w:szCs w:val="21"/>
          <w:lang w:val="en-US" w:eastAsia="zh-CN" w:bidi="ar-SA"/>
        </w:rPr>
        <w:t>本技术要求对碳当量和Pcm 的技术数据规定进行了说明，具体说明如下：</w:t>
      </w:r>
    </w:p>
    <w:p>
      <w:pPr>
        <w:numPr>
          <w:ilvl w:val="0"/>
          <w:numId w:val="0"/>
        </w:numPr>
        <w:tabs>
          <w:tab w:val="left" w:pos="0"/>
        </w:tabs>
        <w:ind w:firstLine="420" w:firstLineChars="200"/>
        <w:jc w:val="left"/>
        <w:rPr>
          <w:rFonts w:hint="eastAsia" w:ascii="宋体" w:hAnsi="宋体" w:eastAsia="宋体" w:cs="宋体"/>
          <w:b w:val="0"/>
          <w:bCs/>
          <w:i w:val="0"/>
          <w:iCs w:val="0"/>
          <w:color w:val="auto"/>
          <w:kern w:val="0"/>
          <w:sz w:val="21"/>
          <w:szCs w:val="21"/>
          <w:lang w:val="en-US" w:eastAsia="zh-CN" w:bidi="ar-SA"/>
        </w:rPr>
      </w:pPr>
      <w:r>
        <w:rPr>
          <w:rFonts w:hint="eastAsia" w:ascii="宋体" w:hAnsi="宋体" w:eastAsia="宋体" w:cs="宋体"/>
          <w:b w:val="0"/>
          <w:bCs/>
          <w:i w:val="0"/>
          <w:iCs w:val="0"/>
          <w:color w:val="auto"/>
          <w:kern w:val="0"/>
          <w:sz w:val="21"/>
          <w:szCs w:val="21"/>
          <w:lang w:val="en-US" w:eastAsia="zh-CN" w:bidi="ar-SA"/>
        </w:rPr>
        <w:t>屈服强度为235-280Mpa 的钢材的碳当量应小于或等于0.4%（熔炼分析）；</w:t>
      </w:r>
    </w:p>
    <w:p>
      <w:pPr>
        <w:numPr>
          <w:ilvl w:val="0"/>
          <w:numId w:val="0"/>
        </w:numPr>
        <w:tabs>
          <w:tab w:val="left" w:pos="0"/>
        </w:tabs>
        <w:ind w:firstLine="420" w:firstLineChars="200"/>
        <w:jc w:val="left"/>
        <w:rPr>
          <w:rFonts w:hint="eastAsia" w:ascii="宋体" w:hAnsi="宋体" w:eastAsia="宋体" w:cs="宋体"/>
          <w:b w:val="0"/>
          <w:bCs/>
          <w:i w:val="0"/>
          <w:iCs w:val="0"/>
          <w:color w:val="auto"/>
          <w:kern w:val="0"/>
          <w:sz w:val="21"/>
          <w:szCs w:val="21"/>
          <w:lang w:val="en-US" w:eastAsia="zh-CN" w:bidi="ar-SA"/>
        </w:rPr>
      </w:pPr>
      <w:r>
        <w:rPr>
          <w:rFonts w:hint="eastAsia" w:ascii="宋体" w:hAnsi="宋体" w:eastAsia="宋体" w:cs="宋体"/>
          <w:b w:val="0"/>
          <w:bCs/>
          <w:i w:val="0"/>
          <w:iCs w:val="0"/>
          <w:color w:val="auto"/>
          <w:kern w:val="0"/>
          <w:sz w:val="21"/>
          <w:szCs w:val="21"/>
          <w:lang w:val="en-US" w:eastAsia="zh-CN" w:bidi="ar-SA"/>
        </w:rPr>
        <w:t>碳当量计算确定如下：</w:t>
      </w:r>
    </w:p>
    <w:p>
      <w:pPr>
        <w:ind w:firstLine="420" w:firstLineChars="200"/>
        <w:jc w:val="left"/>
        <w:rPr>
          <w:rFonts w:hint="eastAsia" w:ascii="宋体" w:hAnsi="宋体" w:eastAsia="宋体" w:cs="宋体"/>
          <w:b w:val="0"/>
          <w:bCs/>
          <w:i w:val="0"/>
          <w:iCs w:val="0"/>
          <w:color w:val="auto"/>
          <w:kern w:val="0"/>
          <w:sz w:val="21"/>
          <w:szCs w:val="21"/>
          <w:lang w:val="en-US" w:eastAsia="zh-CN" w:bidi="ar-SA"/>
        </w:rPr>
      </w:pPr>
      <w:r>
        <w:rPr>
          <w:rFonts w:hint="eastAsia" w:ascii="宋体" w:hAnsi="宋体" w:eastAsia="宋体" w:cs="宋体"/>
          <w:b w:val="0"/>
          <w:bCs/>
          <w:i w:val="0"/>
          <w:iCs w:val="0"/>
          <w:color w:val="auto"/>
          <w:kern w:val="0"/>
          <w:sz w:val="21"/>
          <w:szCs w:val="21"/>
          <w:lang w:val="en-US" w:eastAsia="zh-CN" w:bidi="ar-SA"/>
        </w:rPr>
        <w:t xml:space="preserve"> </w:t>
      </w:r>
      <w:r>
        <w:rPr>
          <w:rFonts w:hint="eastAsia" w:ascii="宋体" w:hAnsi="宋体" w:eastAsia="宋体" w:cs="宋体"/>
          <w:b w:val="0"/>
          <w:bCs/>
          <w:i w:val="0"/>
          <w:iCs w:val="0"/>
          <w:color w:val="auto"/>
          <w:kern w:val="0"/>
          <w:sz w:val="21"/>
          <w:szCs w:val="21"/>
          <w:lang w:val="en-US" w:eastAsia="zh-CN" w:bidi="ar-SA"/>
        </w:rPr>
        <w:object>
          <v:shape id="_x0000_i1027" o:spt="75" type="#_x0000_t75" style="height:32.25pt;width:201pt;" o:ole="t" filled="f" o:preferrelative="t" stroked="f" coordsize="21600,21600">
            <v:path/>
            <v:fill on="f" focussize="0,0"/>
            <v:stroke on="f" joinstyle="miter"/>
            <v:imagedata r:id="rId8" o:title=""/>
            <o:lock v:ext="edit" aspectratio="t"/>
            <w10:wrap type="none"/>
            <w10:anchorlock/>
          </v:shape>
          <o:OLEObject Type="Embed" ProgID="Equation.2" ShapeID="_x0000_i1027" DrawAspect="Content" ObjectID="_1468075727" r:id="rId11">
            <o:LockedField>false</o:LockedField>
          </o:OLEObject>
        </w:object>
      </w:r>
    </w:p>
    <w:p>
      <w:pPr>
        <w:ind w:firstLine="420" w:firstLineChars="200"/>
        <w:jc w:val="left"/>
        <w:rPr>
          <w:rFonts w:hint="eastAsia" w:ascii="宋体" w:hAnsi="宋体" w:eastAsia="宋体" w:cs="宋体"/>
          <w:b w:val="0"/>
          <w:bCs/>
          <w:i w:val="0"/>
          <w:iCs w:val="0"/>
          <w:color w:val="auto"/>
          <w:kern w:val="0"/>
          <w:sz w:val="21"/>
          <w:szCs w:val="21"/>
          <w:lang w:val="en-US" w:eastAsia="zh-CN" w:bidi="ar-SA"/>
        </w:rPr>
      </w:pPr>
      <w:r>
        <w:rPr>
          <w:rFonts w:hint="eastAsia" w:ascii="宋体" w:hAnsi="宋体" w:eastAsia="宋体" w:cs="宋体"/>
          <w:b w:val="0"/>
          <w:bCs/>
          <w:i w:val="0"/>
          <w:iCs w:val="0"/>
          <w:color w:val="auto"/>
          <w:kern w:val="0"/>
          <w:sz w:val="21"/>
          <w:szCs w:val="21"/>
          <w:lang w:val="en-US" w:eastAsia="zh-CN" w:bidi="ar-SA"/>
        </w:rPr>
        <w:t>Pcm 计算确定如下：</w:t>
      </w:r>
    </w:p>
    <w:p>
      <w:pPr>
        <w:ind w:firstLine="420" w:firstLineChars="200"/>
        <w:jc w:val="left"/>
        <w:rPr>
          <w:rFonts w:hint="eastAsia" w:ascii="宋体" w:hAnsi="宋体" w:eastAsia="宋体" w:cs="宋体"/>
          <w:b w:val="0"/>
          <w:bCs/>
          <w:i w:val="0"/>
          <w:iCs w:val="0"/>
          <w:color w:val="auto"/>
          <w:kern w:val="0"/>
          <w:sz w:val="21"/>
          <w:szCs w:val="21"/>
          <w:lang w:val="en-US" w:eastAsia="zh-CN" w:bidi="ar-SA"/>
        </w:rPr>
      </w:pPr>
      <w:r>
        <w:rPr>
          <w:rFonts w:hint="eastAsia" w:ascii="宋体" w:hAnsi="宋体" w:eastAsia="宋体" w:cs="宋体"/>
          <w:b w:val="0"/>
          <w:bCs/>
          <w:i w:val="0"/>
          <w:iCs w:val="0"/>
          <w:color w:val="auto"/>
          <w:kern w:val="0"/>
          <w:sz w:val="21"/>
          <w:szCs w:val="21"/>
          <w:lang w:val="en-US" w:eastAsia="zh-CN" w:bidi="ar-SA"/>
        </w:rPr>
        <w:object>
          <v:shape id="_x0000_i1028" o:spt="75" type="#_x0000_t75" style="height:32.25pt;width:252.75pt;" o:ole="t" filled="f" o:preferrelative="t" stroked="f" coordsize="21600,21600">
            <v:path/>
            <v:fill on="f" focussize="0,0"/>
            <v:stroke on="f" joinstyle="miter"/>
            <v:imagedata r:id="rId10" o:title=""/>
            <o:lock v:ext="edit" aspectratio="t"/>
            <w10:wrap type="none"/>
            <w10:anchorlock/>
          </v:shape>
          <o:OLEObject Type="Embed" ProgID="Equation.3" ShapeID="_x0000_i1028" DrawAspect="Content" ObjectID="_1468075728" r:id="rId12">
            <o:LockedField>false</o:LockedField>
          </o:OLEObject>
        </w:object>
      </w:r>
    </w:p>
    <w:p>
      <w:pPr>
        <w:ind w:firstLine="420" w:firstLineChars="200"/>
        <w:jc w:val="left"/>
        <w:rPr>
          <w:rFonts w:hint="eastAsia" w:ascii="宋体" w:hAnsi="宋体" w:eastAsia="宋体" w:cs="宋体"/>
          <w:b w:val="0"/>
          <w:bCs/>
          <w:i w:val="0"/>
          <w:iCs w:val="0"/>
          <w:sz w:val="21"/>
          <w:szCs w:val="21"/>
          <w:lang w:val="en-US" w:eastAsia="zh-CN"/>
        </w:rPr>
      </w:pPr>
      <w:r>
        <w:rPr>
          <w:rFonts w:hint="eastAsia" w:ascii="宋体" w:hAnsi="宋体" w:eastAsia="宋体" w:cs="宋体"/>
          <w:b w:val="0"/>
          <w:bCs/>
          <w:i w:val="0"/>
          <w:iCs w:val="0"/>
          <w:color w:val="auto"/>
          <w:kern w:val="0"/>
          <w:sz w:val="21"/>
          <w:szCs w:val="21"/>
          <w:lang w:val="en-US" w:eastAsia="zh-CN" w:bidi="ar-SA"/>
        </w:rPr>
        <w:t>2、</w:t>
      </w:r>
      <w:r>
        <w:rPr>
          <w:rFonts w:hint="eastAsia" w:ascii="宋体" w:hAnsi="宋体" w:eastAsia="宋体" w:cs="宋体"/>
          <w:b w:val="0"/>
          <w:bCs/>
          <w:i w:val="0"/>
          <w:iCs w:val="0"/>
          <w:kern w:val="0"/>
          <w:sz w:val="21"/>
          <w:szCs w:val="21"/>
          <w:lang w:val="en-US" w:eastAsia="zh-CN" w:bidi="ar-SA"/>
        </w:rPr>
        <w:t>检验要求：</w:t>
      </w:r>
    </w:p>
    <w:bookmarkEnd w:id="3"/>
    <w:bookmarkEnd w:id="4"/>
    <w:bookmarkEnd w:id="5"/>
    <w:bookmarkEnd w:id="6"/>
    <w:bookmarkEnd w:id="7"/>
    <w:bookmarkEnd w:id="8"/>
    <w:bookmarkEnd w:id="9"/>
    <w:bookmarkEnd w:id="10"/>
    <w:bookmarkEnd w:id="11"/>
    <w:bookmarkEnd w:id="12"/>
    <w:bookmarkEnd w:id="13"/>
    <w:bookmarkEnd w:id="14"/>
    <w:p>
      <w:pPr>
        <w:numPr>
          <w:ilvl w:val="0"/>
          <w:numId w:val="0"/>
        </w:numPr>
        <w:tabs>
          <w:tab w:val="left" w:pos="0"/>
        </w:tabs>
        <w:ind w:firstLine="420" w:firstLineChars="200"/>
        <w:jc w:val="left"/>
        <w:rPr>
          <w:rFonts w:hint="eastAsia" w:ascii="宋体" w:hAnsi="宋体" w:eastAsia="宋体" w:cs="宋体"/>
          <w:b w:val="0"/>
          <w:bCs/>
          <w:i w:val="0"/>
          <w:iCs w:val="0"/>
          <w:sz w:val="21"/>
          <w:szCs w:val="21"/>
          <w:lang w:val="en-US" w:eastAsia="zh-CN"/>
        </w:rPr>
      </w:pPr>
      <w:r>
        <w:rPr>
          <w:rFonts w:hint="eastAsia" w:ascii="宋体" w:hAnsi="宋体" w:eastAsia="宋体" w:cs="宋体"/>
          <w:b w:val="0"/>
          <w:bCs/>
          <w:i w:val="0"/>
          <w:iCs w:val="0"/>
          <w:sz w:val="21"/>
          <w:szCs w:val="21"/>
          <w:lang w:val="en-US" w:eastAsia="zh-CN"/>
        </w:rPr>
        <w:t>1）</w:t>
      </w:r>
      <w:r>
        <w:rPr>
          <w:rFonts w:hint="eastAsia" w:ascii="宋体" w:hAnsi="宋体" w:eastAsia="宋体" w:cs="宋体"/>
          <w:b w:val="0"/>
          <w:bCs/>
          <w:i w:val="0"/>
          <w:iCs w:val="0"/>
          <w:sz w:val="21"/>
          <w:szCs w:val="21"/>
        </w:rPr>
        <w:t>化学成分</w:t>
      </w:r>
      <w:r>
        <w:rPr>
          <w:rFonts w:hint="eastAsia" w:ascii="宋体" w:hAnsi="宋体" w:eastAsia="宋体" w:cs="宋体"/>
          <w:b w:val="0"/>
          <w:bCs/>
          <w:i w:val="0"/>
          <w:iCs w:val="0"/>
          <w:sz w:val="21"/>
          <w:szCs w:val="21"/>
          <w:lang w:eastAsia="zh-CN"/>
        </w:rPr>
        <w:t>：</w:t>
      </w:r>
      <w:r>
        <w:rPr>
          <w:rFonts w:hint="eastAsia" w:ascii="宋体" w:hAnsi="宋体" w:eastAsia="宋体" w:cs="宋体"/>
          <w:b w:val="0"/>
          <w:bCs/>
          <w:i w:val="0"/>
          <w:iCs w:val="0"/>
          <w:sz w:val="21"/>
          <w:szCs w:val="21"/>
        </w:rPr>
        <w:t>满足</w:t>
      </w:r>
      <w:r>
        <w:rPr>
          <w:rFonts w:hint="eastAsia" w:ascii="宋体" w:hAnsi="宋体" w:eastAsia="宋体" w:cs="宋体"/>
          <w:b w:val="0"/>
          <w:bCs/>
          <w:i w:val="0"/>
          <w:iCs w:val="0"/>
          <w:sz w:val="21"/>
          <w:szCs w:val="21"/>
          <w:lang w:val="en-US" w:eastAsia="zh-CN"/>
        </w:rPr>
        <w:t>5.3.1-（1）</w:t>
      </w:r>
      <w:r>
        <w:rPr>
          <w:rFonts w:hint="eastAsia" w:ascii="宋体" w:hAnsi="宋体" w:eastAsia="宋体" w:cs="宋体"/>
          <w:b w:val="0"/>
          <w:bCs/>
          <w:i w:val="0"/>
          <w:iCs w:val="0"/>
          <w:sz w:val="21"/>
          <w:szCs w:val="21"/>
        </w:rPr>
        <w:t>项要求及相关材料标准</w:t>
      </w:r>
      <w:r>
        <w:rPr>
          <w:rFonts w:hint="eastAsia" w:ascii="宋体" w:hAnsi="宋体" w:eastAsia="宋体" w:cs="宋体"/>
          <w:b w:val="0"/>
          <w:bCs/>
          <w:i w:val="0"/>
          <w:iCs w:val="0"/>
          <w:sz w:val="21"/>
          <w:szCs w:val="21"/>
          <w:lang w:eastAsia="zh-CN"/>
        </w:rPr>
        <w:t>。</w:t>
      </w:r>
    </w:p>
    <w:p>
      <w:pPr>
        <w:numPr>
          <w:ilvl w:val="0"/>
          <w:numId w:val="0"/>
        </w:numPr>
        <w:tabs>
          <w:tab w:val="left" w:pos="0"/>
        </w:tabs>
        <w:ind w:firstLine="420" w:firstLineChars="200"/>
        <w:jc w:val="left"/>
        <w:rPr>
          <w:rFonts w:hint="eastAsia" w:ascii="宋体" w:hAnsi="宋体" w:eastAsia="宋体" w:cs="宋体"/>
          <w:b w:val="0"/>
          <w:bCs/>
          <w:i w:val="0"/>
          <w:iCs w:val="0"/>
          <w:sz w:val="21"/>
          <w:szCs w:val="21"/>
          <w:lang w:eastAsia="zh-CN"/>
        </w:rPr>
      </w:pPr>
      <w:r>
        <w:rPr>
          <w:rFonts w:hint="eastAsia" w:ascii="宋体" w:hAnsi="宋体" w:eastAsia="宋体" w:cs="宋体"/>
          <w:b w:val="0"/>
          <w:bCs/>
          <w:i w:val="0"/>
          <w:iCs w:val="0"/>
          <w:sz w:val="21"/>
          <w:szCs w:val="21"/>
          <w:lang w:val="en-US" w:eastAsia="zh-CN"/>
        </w:rPr>
        <w:t>2）</w:t>
      </w:r>
      <w:r>
        <w:rPr>
          <w:rFonts w:hint="eastAsia" w:ascii="宋体" w:hAnsi="宋体" w:eastAsia="宋体" w:cs="宋体"/>
          <w:b w:val="0"/>
          <w:bCs/>
          <w:i w:val="0"/>
          <w:iCs w:val="0"/>
          <w:sz w:val="21"/>
          <w:szCs w:val="21"/>
        </w:rPr>
        <w:t>表面质量、尺寸、</w:t>
      </w:r>
      <w:r>
        <w:rPr>
          <w:rFonts w:hint="eastAsia" w:ascii="宋体" w:hAnsi="宋体" w:eastAsia="宋体" w:cs="宋体"/>
          <w:b w:val="0"/>
          <w:bCs/>
          <w:i w:val="0"/>
          <w:iCs w:val="0"/>
          <w:sz w:val="21"/>
          <w:szCs w:val="21"/>
          <w:lang w:val="en-US" w:eastAsia="zh-CN"/>
        </w:rPr>
        <w:t>厚度</w:t>
      </w:r>
      <w:r>
        <w:rPr>
          <w:rFonts w:hint="eastAsia" w:ascii="宋体" w:hAnsi="宋体" w:eastAsia="宋体" w:cs="宋体"/>
          <w:b w:val="0"/>
          <w:bCs/>
          <w:i w:val="0"/>
          <w:iCs w:val="0"/>
          <w:sz w:val="21"/>
          <w:szCs w:val="21"/>
        </w:rPr>
        <w:t>和外形检验</w:t>
      </w:r>
      <w:r>
        <w:rPr>
          <w:rFonts w:hint="eastAsia" w:ascii="宋体" w:hAnsi="宋体" w:eastAsia="宋体" w:cs="宋体"/>
          <w:b w:val="0"/>
          <w:bCs/>
          <w:i w:val="0"/>
          <w:iCs w:val="0"/>
          <w:sz w:val="21"/>
          <w:szCs w:val="21"/>
          <w:lang w:eastAsia="zh-CN"/>
        </w:rPr>
        <w:t>：</w:t>
      </w:r>
    </w:p>
    <w:p>
      <w:pPr>
        <w:numPr>
          <w:ilvl w:val="0"/>
          <w:numId w:val="0"/>
        </w:numPr>
        <w:tabs>
          <w:tab w:val="left" w:pos="0"/>
        </w:tabs>
        <w:ind w:firstLine="420" w:firstLineChars="200"/>
        <w:jc w:val="left"/>
        <w:rPr>
          <w:rFonts w:hint="eastAsia" w:ascii="宋体" w:hAnsi="宋体" w:eastAsia="宋体" w:cs="宋体"/>
          <w:b w:val="0"/>
          <w:bCs/>
          <w:i w:val="0"/>
          <w:iCs w:val="0"/>
          <w:sz w:val="21"/>
          <w:szCs w:val="21"/>
          <w:lang w:val="en-US" w:eastAsia="zh-CN"/>
        </w:rPr>
      </w:pPr>
      <w:r>
        <w:rPr>
          <w:rFonts w:hint="eastAsia" w:ascii="宋体" w:hAnsi="宋体" w:eastAsia="宋体" w:cs="宋体"/>
          <w:b w:val="0"/>
          <w:bCs/>
          <w:i w:val="0"/>
          <w:iCs w:val="0"/>
          <w:kern w:val="0"/>
          <w:sz w:val="21"/>
          <w:szCs w:val="21"/>
          <w:lang w:val="en-US" w:eastAsia="zh-CN"/>
        </w:rPr>
        <w:t>a、表</w:t>
      </w:r>
      <w:r>
        <w:rPr>
          <w:rFonts w:hint="eastAsia" w:ascii="宋体" w:hAnsi="宋体" w:eastAsia="宋体" w:cs="宋体"/>
          <w:b w:val="0"/>
          <w:bCs/>
          <w:i w:val="0"/>
          <w:iCs w:val="0"/>
          <w:kern w:val="0"/>
          <w:sz w:val="21"/>
          <w:szCs w:val="21"/>
        </w:rPr>
        <w:t>面质量</w:t>
      </w:r>
      <w:r>
        <w:rPr>
          <w:rFonts w:hint="eastAsia" w:ascii="宋体" w:hAnsi="宋体" w:eastAsia="宋体" w:cs="宋体"/>
          <w:b w:val="0"/>
          <w:bCs/>
          <w:i w:val="0"/>
          <w:iCs w:val="0"/>
          <w:kern w:val="0"/>
          <w:sz w:val="21"/>
          <w:szCs w:val="21"/>
          <w:lang w:eastAsia="zh-CN"/>
        </w:rPr>
        <w:t>：</w:t>
      </w:r>
      <w:r>
        <w:rPr>
          <w:rFonts w:hint="eastAsia" w:ascii="宋体" w:hAnsi="宋体" w:eastAsia="宋体" w:cs="宋体"/>
          <w:b w:val="0"/>
          <w:bCs/>
          <w:i w:val="0"/>
          <w:iCs w:val="0"/>
          <w:sz w:val="21"/>
          <w:szCs w:val="21"/>
        </w:rPr>
        <w:t>钢板表面不允许有气泡、结疤、裂纹、折叠、夹杂和压入氧化铁皮，钢板不得有分层；钢板表面允许有不妨碍检查表面缺陷的薄层氧化铁皮、铁锈、由于压入氧化铁皮和轧辊所造成的不明显的粗糙、网纹、划痕及其他局部缺陷，但其深度不得大于负偏差之半，且应保证钢板的最小厚度；钢板表面缺陷允许修磨清理，但应保证钢板的最小厚度，清理处应平滑无棱角</w:t>
      </w:r>
    </w:p>
    <w:p>
      <w:pPr>
        <w:numPr>
          <w:ilvl w:val="0"/>
          <w:numId w:val="0"/>
        </w:numPr>
        <w:tabs>
          <w:tab w:val="left" w:pos="0"/>
        </w:tabs>
        <w:ind w:firstLine="420" w:firstLineChars="200"/>
        <w:jc w:val="left"/>
        <w:rPr>
          <w:rFonts w:hint="eastAsia" w:ascii="宋体" w:hAnsi="宋体" w:eastAsia="宋体" w:cs="宋体"/>
          <w:b w:val="0"/>
          <w:bCs/>
          <w:i w:val="0"/>
          <w:iCs w:val="0"/>
          <w:sz w:val="21"/>
          <w:szCs w:val="21"/>
          <w:lang w:eastAsia="zh-CN"/>
        </w:rPr>
      </w:pPr>
      <w:r>
        <w:rPr>
          <w:rFonts w:hint="eastAsia" w:ascii="宋体" w:hAnsi="宋体" w:eastAsia="宋体" w:cs="宋体"/>
          <w:b w:val="0"/>
          <w:bCs/>
          <w:i w:val="0"/>
          <w:iCs w:val="0"/>
          <w:kern w:val="0"/>
          <w:sz w:val="21"/>
          <w:szCs w:val="21"/>
          <w:lang w:val="en-US" w:eastAsia="zh-CN"/>
        </w:rPr>
        <w:t>b、</w:t>
      </w:r>
      <w:r>
        <w:rPr>
          <w:rFonts w:hint="eastAsia" w:ascii="宋体" w:hAnsi="宋体" w:eastAsia="宋体" w:cs="宋体"/>
          <w:b w:val="0"/>
          <w:bCs/>
          <w:i w:val="0"/>
          <w:iCs w:val="0"/>
          <w:kern w:val="0"/>
          <w:sz w:val="21"/>
          <w:szCs w:val="21"/>
        </w:rPr>
        <w:t>钢材尺寸</w:t>
      </w:r>
      <w:r>
        <w:rPr>
          <w:rFonts w:hint="eastAsia" w:ascii="宋体" w:hAnsi="宋体" w:eastAsia="宋体" w:cs="宋体"/>
          <w:b w:val="0"/>
          <w:bCs/>
          <w:i w:val="0"/>
          <w:iCs w:val="0"/>
          <w:kern w:val="0"/>
          <w:sz w:val="21"/>
          <w:szCs w:val="21"/>
          <w:lang w:eastAsia="zh-CN"/>
        </w:rPr>
        <w:t>：</w:t>
      </w:r>
    </w:p>
    <w:p>
      <w:pPr>
        <w:ind w:firstLine="420"/>
        <w:jc w:val="left"/>
        <w:rPr>
          <w:rFonts w:hint="eastAsia" w:ascii="宋体" w:hAnsi="宋体" w:eastAsia="宋体" w:cs="宋体"/>
          <w:b w:val="0"/>
          <w:bCs/>
          <w:i w:val="0"/>
          <w:iCs w:val="0"/>
          <w:sz w:val="21"/>
          <w:szCs w:val="21"/>
          <w:lang w:eastAsia="zh-CN"/>
        </w:rPr>
      </w:pPr>
      <w:r>
        <w:rPr>
          <w:rFonts w:hint="eastAsia" w:ascii="宋体" w:hAnsi="宋体" w:eastAsia="宋体" w:cs="宋体"/>
          <w:b w:val="0"/>
          <w:bCs/>
          <w:i w:val="0"/>
          <w:iCs w:val="0"/>
          <w:sz w:val="21"/>
          <w:szCs w:val="21"/>
        </w:rPr>
        <w:t>钢板的尺寸误差：板的长度：+50mm,-0mm</w:t>
      </w:r>
      <w:r>
        <w:rPr>
          <w:rFonts w:hint="eastAsia" w:ascii="宋体" w:hAnsi="宋体" w:eastAsia="宋体" w:cs="宋体"/>
          <w:b w:val="0"/>
          <w:bCs/>
          <w:i w:val="0"/>
          <w:iCs w:val="0"/>
          <w:sz w:val="21"/>
          <w:szCs w:val="21"/>
          <w:lang w:eastAsia="zh-CN"/>
        </w:rPr>
        <w:t>；</w:t>
      </w:r>
      <w:r>
        <w:rPr>
          <w:rFonts w:hint="eastAsia" w:ascii="宋体" w:hAnsi="宋体" w:eastAsia="宋体" w:cs="宋体"/>
          <w:b w:val="0"/>
          <w:bCs/>
          <w:i w:val="0"/>
          <w:iCs w:val="0"/>
          <w:sz w:val="21"/>
          <w:szCs w:val="21"/>
        </w:rPr>
        <w:t>板的宽度：+50mm,-0mm</w:t>
      </w:r>
      <w:r>
        <w:rPr>
          <w:rFonts w:hint="eastAsia" w:ascii="宋体" w:hAnsi="宋体" w:eastAsia="宋体" w:cs="宋体"/>
          <w:b w:val="0"/>
          <w:bCs/>
          <w:i w:val="0"/>
          <w:iCs w:val="0"/>
          <w:sz w:val="21"/>
          <w:szCs w:val="21"/>
          <w:lang w:eastAsia="zh-CN"/>
        </w:rPr>
        <w:t>；</w:t>
      </w:r>
      <w:r>
        <w:rPr>
          <w:rFonts w:hint="eastAsia" w:ascii="宋体" w:hAnsi="宋体" w:eastAsia="宋体" w:cs="宋体"/>
          <w:b w:val="0"/>
          <w:bCs/>
          <w:i w:val="0"/>
          <w:iCs w:val="0"/>
          <w:sz w:val="21"/>
          <w:szCs w:val="21"/>
        </w:rPr>
        <w:t>钢板订货的公称宽度为10mm或50mm倍数的尺寸，公称长度为50mm或100mm倍数的尺</w:t>
      </w:r>
      <w:r>
        <w:rPr>
          <w:rFonts w:hint="eastAsia" w:ascii="宋体" w:hAnsi="宋体" w:eastAsia="宋体" w:cs="宋体"/>
          <w:b w:val="0"/>
          <w:bCs/>
          <w:i w:val="0"/>
          <w:iCs w:val="0"/>
          <w:sz w:val="21"/>
          <w:szCs w:val="21"/>
          <w:lang w:eastAsia="zh-CN"/>
        </w:rPr>
        <w:t>。</w:t>
      </w:r>
    </w:p>
    <w:p>
      <w:pPr>
        <w:numPr>
          <w:ilvl w:val="0"/>
          <w:numId w:val="0"/>
        </w:numPr>
        <w:tabs>
          <w:tab w:val="left" w:pos="0"/>
        </w:tabs>
        <w:ind w:firstLine="420" w:firstLineChars="200"/>
        <w:jc w:val="left"/>
        <w:rPr>
          <w:rFonts w:hint="eastAsia" w:ascii="宋体" w:hAnsi="宋体" w:eastAsia="宋体" w:cs="宋体"/>
          <w:b w:val="0"/>
          <w:bCs/>
          <w:i w:val="0"/>
          <w:iCs w:val="0"/>
          <w:sz w:val="21"/>
          <w:szCs w:val="21"/>
          <w:lang w:eastAsia="zh-CN"/>
        </w:rPr>
      </w:pPr>
      <w:r>
        <w:rPr>
          <w:rFonts w:hint="eastAsia" w:ascii="宋体" w:hAnsi="宋体" w:eastAsia="宋体" w:cs="宋体"/>
          <w:b w:val="0"/>
          <w:bCs/>
          <w:i w:val="0"/>
          <w:iCs w:val="0"/>
          <w:sz w:val="21"/>
          <w:szCs w:val="21"/>
          <w:lang w:val="en-US" w:eastAsia="zh-CN"/>
        </w:rPr>
        <w:t>c、钢板厚度：</w:t>
      </w:r>
    </w:p>
    <w:p>
      <w:pPr>
        <w:ind w:firstLine="420"/>
        <w:jc w:val="left"/>
        <w:rPr>
          <w:rFonts w:hint="eastAsia" w:ascii="宋体" w:hAnsi="宋体" w:eastAsia="宋体" w:cs="宋体"/>
          <w:b w:val="0"/>
          <w:bCs/>
          <w:i w:val="0"/>
          <w:iCs w:val="0"/>
          <w:sz w:val="21"/>
          <w:szCs w:val="21"/>
          <w:lang w:eastAsia="zh-CN"/>
        </w:rPr>
      </w:pPr>
      <w:r>
        <w:rPr>
          <w:rFonts w:hint="eastAsia" w:ascii="宋体" w:hAnsi="宋体" w:eastAsia="宋体" w:cs="宋体"/>
          <w:b w:val="0"/>
          <w:bCs/>
          <w:i w:val="0"/>
          <w:iCs w:val="0"/>
          <w:sz w:val="21"/>
          <w:szCs w:val="21"/>
        </w:rPr>
        <w:t>测厚位置：板首、板中、板尾，每个位置包括两边和中间各3个点，板边的测量点距边不得小于25毫米（切边）或40毫米（不切边）</w:t>
      </w:r>
      <w:r>
        <w:rPr>
          <w:rFonts w:hint="eastAsia" w:ascii="宋体" w:hAnsi="宋体" w:eastAsia="宋体" w:cs="宋体"/>
          <w:b w:val="0"/>
          <w:bCs/>
          <w:i w:val="0"/>
          <w:iCs w:val="0"/>
          <w:sz w:val="21"/>
          <w:szCs w:val="21"/>
          <w:lang w:eastAsia="zh-CN"/>
        </w:rPr>
        <w:t>；</w:t>
      </w:r>
      <w:r>
        <w:rPr>
          <w:rFonts w:hint="eastAsia" w:ascii="宋体" w:hAnsi="宋体" w:eastAsia="宋体" w:cs="宋体"/>
          <w:b w:val="0"/>
          <w:bCs/>
          <w:i w:val="0"/>
          <w:iCs w:val="0"/>
          <w:sz w:val="21"/>
          <w:szCs w:val="21"/>
        </w:rPr>
        <w:t>有打磨位置</w:t>
      </w:r>
      <w:r>
        <w:rPr>
          <w:rFonts w:hint="eastAsia" w:ascii="宋体" w:hAnsi="宋体" w:eastAsia="宋体" w:cs="宋体"/>
          <w:b w:val="0"/>
          <w:bCs/>
          <w:i w:val="0"/>
          <w:iCs w:val="0"/>
          <w:sz w:val="21"/>
          <w:szCs w:val="21"/>
          <w:lang w:eastAsia="zh-CN"/>
        </w:rPr>
        <w:t>；</w:t>
      </w:r>
    </w:p>
    <w:p>
      <w:pPr>
        <w:numPr>
          <w:ilvl w:val="0"/>
          <w:numId w:val="0"/>
        </w:numPr>
        <w:tabs>
          <w:tab w:val="left" w:pos="0"/>
        </w:tabs>
        <w:ind w:firstLine="420" w:firstLineChars="200"/>
        <w:jc w:val="left"/>
        <w:rPr>
          <w:rFonts w:hint="eastAsia" w:ascii="宋体" w:hAnsi="宋体" w:eastAsia="宋体" w:cs="宋体"/>
          <w:b w:val="0"/>
          <w:bCs/>
          <w:i w:val="0"/>
          <w:iCs w:val="0"/>
          <w:sz w:val="21"/>
          <w:szCs w:val="21"/>
          <w:lang w:eastAsia="zh-CN"/>
        </w:rPr>
      </w:pPr>
      <w:r>
        <w:rPr>
          <w:rFonts w:hint="eastAsia" w:ascii="宋体" w:hAnsi="宋体" w:eastAsia="宋体" w:cs="宋体"/>
          <w:b w:val="0"/>
          <w:bCs/>
          <w:i w:val="0"/>
          <w:iCs w:val="0"/>
          <w:sz w:val="21"/>
          <w:szCs w:val="21"/>
          <w:lang w:val="en-US" w:eastAsia="zh-CN"/>
        </w:rPr>
        <w:t>d、</w:t>
      </w:r>
      <w:r>
        <w:rPr>
          <w:rFonts w:hint="eastAsia" w:ascii="宋体" w:hAnsi="宋体" w:eastAsia="宋体" w:cs="宋体"/>
          <w:b w:val="0"/>
          <w:bCs/>
          <w:i w:val="0"/>
          <w:iCs w:val="0"/>
          <w:sz w:val="21"/>
          <w:szCs w:val="21"/>
        </w:rPr>
        <w:t>钢板外形</w:t>
      </w:r>
      <w:r>
        <w:rPr>
          <w:rFonts w:hint="eastAsia" w:ascii="宋体" w:hAnsi="宋体" w:eastAsia="宋体" w:cs="宋体"/>
          <w:b w:val="0"/>
          <w:bCs/>
          <w:i w:val="0"/>
          <w:iCs w:val="0"/>
          <w:sz w:val="21"/>
          <w:szCs w:val="21"/>
          <w:lang w:eastAsia="zh-CN"/>
        </w:rPr>
        <w:t>：</w:t>
      </w:r>
      <w:r>
        <w:rPr>
          <w:rFonts w:hint="eastAsia" w:ascii="宋体" w:hAnsi="宋体" w:eastAsia="宋体" w:cs="宋体"/>
          <w:b w:val="0"/>
          <w:bCs/>
          <w:i w:val="0"/>
          <w:iCs w:val="0"/>
          <w:sz w:val="21"/>
          <w:szCs w:val="21"/>
        </w:rPr>
        <w:t>满足GB/T 709-2006的要求</w:t>
      </w:r>
      <w:r>
        <w:rPr>
          <w:rFonts w:hint="eastAsia" w:ascii="宋体" w:hAnsi="宋体" w:eastAsia="宋体" w:cs="宋体"/>
          <w:b w:val="0"/>
          <w:bCs/>
          <w:i w:val="0"/>
          <w:iCs w:val="0"/>
          <w:sz w:val="21"/>
          <w:szCs w:val="21"/>
          <w:lang w:eastAsia="zh-CN"/>
        </w:rPr>
        <w:t>。</w:t>
      </w:r>
    </w:p>
    <w:p>
      <w:pPr>
        <w:numPr>
          <w:ilvl w:val="0"/>
          <w:numId w:val="0"/>
        </w:numPr>
        <w:tabs>
          <w:tab w:val="left" w:pos="0"/>
        </w:tabs>
        <w:ind w:firstLine="420" w:firstLineChars="200"/>
        <w:jc w:val="left"/>
        <w:rPr>
          <w:rFonts w:hint="eastAsia" w:ascii="宋体" w:hAnsi="宋体" w:eastAsia="宋体" w:cs="宋体"/>
          <w:b w:val="0"/>
          <w:bCs/>
          <w:i w:val="0"/>
          <w:iCs w:val="0"/>
          <w:sz w:val="21"/>
          <w:szCs w:val="21"/>
          <w:lang w:val="en-US" w:eastAsia="zh-CN"/>
        </w:rPr>
      </w:pPr>
      <w:r>
        <w:rPr>
          <w:rFonts w:hint="eastAsia" w:ascii="宋体" w:hAnsi="宋体" w:eastAsia="宋体" w:cs="宋体"/>
          <w:b w:val="0"/>
          <w:bCs/>
          <w:i w:val="0"/>
          <w:iCs w:val="0"/>
          <w:sz w:val="21"/>
          <w:szCs w:val="21"/>
          <w:lang w:val="en-US" w:eastAsia="zh-CN"/>
        </w:rPr>
        <w:t>【下述要求为对上述标准中参数的补充优化】：</w:t>
      </w:r>
    </w:p>
    <w:p>
      <w:pPr>
        <w:numPr>
          <w:ilvl w:val="0"/>
          <w:numId w:val="0"/>
        </w:numPr>
        <w:tabs>
          <w:tab w:val="left" w:pos="0"/>
        </w:tabs>
        <w:ind w:firstLine="420" w:firstLineChars="200"/>
        <w:jc w:val="left"/>
        <w:rPr>
          <w:rFonts w:hint="eastAsia" w:ascii="宋体" w:hAnsi="宋体" w:eastAsia="宋体" w:cs="宋体"/>
          <w:b w:val="0"/>
          <w:bCs/>
          <w:i w:val="0"/>
          <w:iCs w:val="0"/>
          <w:sz w:val="21"/>
          <w:szCs w:val="21"/>
          <w:lang w:val="en-US" w:eastAsia="zh-CN"/>
        </w:rPr>
      </w:pPr>
      <w:r>
        <w:rPr>
          <w:rFonts w:hint="eastAsia" w:ascii="宋体" w:hAnsi="宋体" w:eastAsia="宋体" w:cs="宋体"/>
          <w:b w:val="0"/>
          <w:bCs/>
          <w:i w:val="0"/>
          <w:iCs w:val="0"/>
          <w:sz w:val="21"/>
          <w:szCs w:val="21"/>
          <w:lang w:val="en-US" w:eastAsia="zh-CN"/>
        </w:rPr>
        <w:t>1、必须提供原版材质证书,证书复印件可与钢材同时到达，买方先使用复印件进行验收，但证书原件必须在钢材到达交货地点后一周内提供。</w:t>
      </w:r>
    </w:p>
    <w:p>
      <w:pPr>
        <w:numPr>
          <w:ilvl w:val="0"/>
          <w:numId w:val="0"/>
        </w:numPr>
        <w:tabs>
          <w:tab w:val="left" w:pos="0"/>
        </w:tabs>
        <w:ind w:firstLine="420" w:firstLineChars="200"/>
        <w:jc w:val="left"/>
        <w:rPr>
          <w:rFonts w:hint="eastAsia" w:ascii="宋体" w:hAnsi="宋体" w:eastAsia="宋体" w:cs="宋体"/>
          <w:b w:val="0"/>
          <w:bCs/>
          <w:i w:val="0"/>
          <w:iCs w:val="0"/>
          <w:sz w:val="21"/>
          <w:szCs w:val="21"/>
          <w:lang w:val="en-US" w:eastAsia="zh-CN"/>
        </w:rPr>
      </w:pPr>
      <w:r>
        <w:rPr>
          <w:rFonts w:hint="eastAsia" w:ascii="宋体" w:hAnsi="宋体" w:eastAsia="宋体" w:cs="宋体"/>
          <w:b w:val="0"/>
          <w:bCs/>
          <w:i w:val="0"/>
          <w:iCs w:val="0"/>
          <w:sz w:val="21"/>
          <w:szCs w:val="21"/>
          <w:lang w:val="en-US" w:eastAsia="zh-CN"/>
        </w:rPr>
        <w:t>2、投标商投标技术文件应说明钢材生产厂家。</w:t>
      </w:r>
    </w:p>
    <w:p>
      <w:pPr>
        <w:numPr>
          <w:ilvl w:val="0"/>
          <w:numId w:val="0"/>
        </w:numPr>
        <w:spacing w:line="360" w:lineRule="auto"/>
        <w:ind w:left="440" w:leftChars="0"/>
        <w:jc w:val="left"/>
        <w:rPr>
          <w:rFonts w:hint="eastAsia" w:ascii="宋体" w:hAnsi="宋体" w:eastAsia="宋体" w:cs="宋体"/>
          <w:b w:val="0"/>
          <w:bCs/>
          <w:i w:val="0"/>
          <w:iCs w:val="0"/>
          <w:sz w:val="21"/>
          <w:szCs w:val="21"/>
          <w:lang w:val="en-US" w:eastAsia="zh-CN"/>
        </w:rPr>
      </w:pPr>
      <w:r>
        <w:rPr>
          <w:rFonts w:hint="eastAsia" w:ascii="宋体" w:hAnsi="宋体" w:eastAsia="宋体" w:cs="宋体"/>
          <w:b w:val="0"/>
          <w:bCs/>
          <w:i w:val="0"/>
          <w:iCs w:val="0"/>
          <w:color w:val="auto"/>
          <w:spacing w:val="2"/>
          <w:kern w:val="0"/>
          <w:sz w:val="21"/>
          <w:szCs w:val="21"/>
          <w:lang w:val="en-US" w:eastAsia="zh-CN" w:bidi="ar-SA"/>
        </w:rPr>
        <w:t>（2）、无缝钢管【本技术要求部分引用《</w:t>
      </w:r>
      <w:r>
        <w:rPr>
          <w:rFonts w:hint="eastAsia" w:ascii="宋体" w:hAnsi="宋体" w:eastAsia="宋体" w:cs="宋体"/>
          <w:b w:val="0"/>
          <w:bCs/>
          <w:i w:val="0"/>
          <w:iCs w:val="0"/>
          <w:color w:val="auto"/>
          <w:kern w:val="0"/>
          <w:sz w:val="21"/>
          <w:szCs w:val="21"/>
          <w:lang w:val="en-US" w:eastAsia="zh-CN" w:bidi="ar-SA"/>
        </w:rPr>
        <w:t>CGBZ036-ZB-2023-无缝钢管（普通碳钢、不锈钢和双相</w:t>
      </w:r>
      <w:r>
        <w:rPr>
          <w:rFonts w:hint="eastAsia" w:ascii="宋体" w:hAnsi="宋体" w:eastAsia="宋体" w:cs="宋体"/>
          <w:b w:val="0"/>
          <w:bCs/>
          <w:i w:val="0"/>
          <w:iCs w:val="0"/>
          <w:sz w:val="21"/>
          <w:szCs w:val="21"/>
          <w:lang w:val="en-US" w:eastAsia="zh-CN"/>
        </w:rPr>
        <w:t>不锈钢）》中5、技术要求】</w:t>
      </w:r>
    </w:p>
    <w:p>
      <w:pPr>
        <w:numPr>
          <w:ilvl w:val="0"/>
          <w:numId w:val="0"/>
        </w:numPr>
        <w:tabs>
          <w:tab w:val="left" w:pos="0"/>
        </w:tabs>
        <w:ind w:firstLine="420" w:firstLineChars="200"/>
        <w:jc w:val="left"/>
        <w:rPr>
          <w:rFonts w:hint="eastAsia" w:ascii="宋体" w:hAnsi="宋体" w:eastAsia="宋体" w:cs="宋体"/>
          <w:b w:val="0"/>
          <w:bCs/>
          <w:i w:val="0"/>
          <w:iCs w:val="0"/>
          <w:sz w:val="21"/>
          <w:szCs w:val="21"/>
          <w:lang w:val="en-US" w:eastAsia="zh-CN"/>
        </w:rPr>
      </w:pPr>
      <w:r>
        <w:rPr>
          <w:rFonts w:hint="eastAsia" w:ascii="宋体" w:hAnsi="宋体" w:eastAsia="宋体" w:cs="宋体"/>
          <w:b w:val="0"/>
          <w:bCs/>
          <w:i w:val="0"/>
          <w:iCs w:val="0"/>
          <w:color w:val="auto"/>
          <w:kern w:val="0"/>
          <w:sz w:val="21"/>
          <w:szCs w:val="21"/>
          <w:lang w:val="en-US" w:eastAsia="zh-CN" w:bidi="ar-SA"/>
        </w:rPr>
        <w:t>以下为引用标准中所列重要参数，纳入评议范围:</w:t>
      </w:r>
    </w:p>
    <w:p>
      <w:pPr>
        <w:numPr>
          <w:ilvl w:val="0"/>
          <w:numId w:val="0"/>
        </w:numPr>
        <w:tabs>
          <w:tab w:val="left" w:pos="0"/>
        </w:tabs>
        <w:ind w:firstLine="420" w:firstLineChars="200"/>
        <w:jc w:val="left"/>
        <w:rPr>
          <w:rFonts w:hint="eastAsia" w:ascii="宋体" w:hAnsi="宋体" w:eastAsia="宋体" w:cs="宋体"/>
          <w:b w:val="0"/>
          <w:bCs/>
          <w:i w:val="0"/>
          <w:iCs w:val="0"/>
          <w:color w:val="auto"/>
          <w:kern w:val="0"/>
          <w:sz w:val="21"/>
          <w:szCs w:val="21"/>
          <w:lang w:val="en-US" w:eastAsia="zh-CN" w:bidi="ar-SA"/>
        </w:rPr>
      </w:pPr>
      <w:r>
        <w:rPr>
          <w:rFonts w:hint="eastAsia" w:ascii="宋体" w:hAnsi="宋体" w:eastAsia="宋体" w:cs="宋体"/>
          <w:b w:val="0"/>
          <w:bCs/>
          <w:i w:val="0"/>
          <w:iCs w:val="0"/>
          <w:color w:val="auto"/>
          <w:kern w:val="0"/>
          <w:sz w:val="21"/>
          <w:szCs w:val="21"/>
          <w:lang w:val="en-US" w:eastAsia="zh-CN" w:bidi="ar-SA"/>
        </w:rPr>
        <w:t>1、产品描述包括产品名称、型号、材质等，碳钢无缝钢管须满足ASME A106标准要求，不锈钢无缝钢管须满足ASME A312标准要求，常用级别为TP316。双相不锈钢管须满足ASME A790标准要求，常用标号为S31803和S32205。</w:t>
      </w:r>
    </w:p>
    <w:p>
      <w:pPr>
        <w:numPr>
          <w:ilvl w:val="0"/>
          <w:numId w:val="0"/>
        </w:numPr>
        <w:tabs>
          <w:tab w:val="left" w:pos="0"/>
        </w:tabs>
        <w:ind w:firstLine="420" w:firstLineChars="200"/>
        <w:jc w:val="left"/>
        <w:rPr>
          <w:rFonts w:hint="eastAsia" w:ascii="宋体" w:hAnsi="宋体" w:eastAsia="宋体" w:cs="宋体"/>
          <w:b w:val="0"/>
          <w:bCs/>
          <w:i w:val="0"/>
          <w:iCs w:val="0"/>
          <w:color w:val="auto"/>
          <w:kern w:val="0"/>
          <w:sz w:val="21"/>
          <w:szCs w:val="21"/>
          <w:lang w:val="en-US" w:eastAsia="zh-CN" w:bidi="ar-SA"/>
        </w:rPr>
      </w:pPr>
      <w:r>
        <w:rPr>
          <w:rFonts w:hint="eastAsia" w:ascii="宋体" w:hAnsi="宋体" w:eastAsia="宋体" w:cs="宋体"/>
          <w:b w:val="0"/>
          <w:bCs/>
          <w:i w:val="0"/>
          <w:iCs w:val="0"/>
          <w:color w:val="auto"/>
          <w:kern w:val="0"/>
          <w:sz w:val="21"/>
          <w:szCs w:val="21"/>
          <w:lang w:val="en-US" w:eastAsia="zh-CN" w:bidi="ar-SA"/>
        </w:rPr>
        <w:t>2、物理、化学性能指标如密度、硬度、屈服强度等，碳钢无缝钢管须满足ASME A106标准要求，不锈钢无缝钢管须满足ASME A312标准要求。双相不锈钢管须满足ASME A790标准要求。</w:t>
      </w:r>
    </w:p>
    <w:p>
      <w:pPr>
        <w:numPr>
          <w:ilvl w:val="0"/>
          <w:numId w:val="0"/>
        </w:numPr>
        <w:tabs>
          <w:tab w:val="left" w:pos="0"/>
        </w:tabs>
        <w:ind w:firstLine="420" w:firstLineChars="200"/>
        <w:jc w:val="left"/>
        <w:rPr>
          <w:rFonts w:hint="eastAsia" w:ascii="宋体" w:hAnsi="宋体" w:eastAsia="宋体" w:cs="宋体"/>
          <w:b w:val="0"/>
          <w:bCs/>
          <w:i w:val="0"/>
          <w:iCs w:val="0"/>
          <w:color w:val="auto"/>
          <w:kern w:val="0"/>
          <w:sz w:val="21"/>
          <w:szCs w:val="21"/>
          <w:lang w:val="en-US" w:eastAsia="zh-CN" w:bidi="ar-SA"/>
        </w:rPr>
      </w:pPr>
      <w:r>
        <w:rPr>
          <w:rFonts w:hint="eastAsia" w:ascii="宋体" w:hAnsi="宋体" w:eastAsia="宋体" w:cs="宋体"/>
          <w:b w:val="0"/>
          <w:bCs/>
          <w:i w:val="0"/>
          <w:iCs w:val="0"/>
          <w:color w:val="auto"/>
          <w:kern w:val="0"/>
          <w:sz w:val="21"/>
          <w:szCs w:val="21"/>
          <w:lang w:val="en-US" w:eastAsia="zh-CN" w:bidi="ar-SA"/>
        </w:rPr>
        <w:t>3、规格壁厚、尺寸、外形、重量、允许偏差，碳钢无缝钢管须满足ASME B36.10和ASME B16.25标准要求，不锈钢和双相不锈钢无缝钢管须满足ASME B36.19标准要求。</w:t>
      </w:r>
    </w:p>
    <w:p>
      <w:pPr>
        <w:numPr>
          <w:ilvl w:val="0"/>
          <w:numId w:val="0"/>
        </w:numPr>
        <w:tabs>
          <w:tab w:val="left" w:pos="0"/>
        </w:tabs>
        <w:ind w:firstLine="420" w:firstLineChars="200"/>
        <w:jc w:val="left"/>
        <w:rPr>
          <w:rFonts w:hint="eastAsia" w:ascii="宋体" w:hAnsi="宋体" w:eastAsia="宋体" w:cs="宋体"/>
          <w:b w:val="0"/>
          <w:bCs/>
          <w:i w:val="0"/>
          <w:iCs w:val="0"/>
          <w:color w:val="auto"/>
          <w:kern w:val="0"/>
          <w:sz w:val="21"/>
          <w:szCs w:val="21"/>
          <w:lang w:val="en-US" w:eastAsia="zh-CN" w:bidi="ar-SA"/>
        </w:rPr>
      </w:pPr>
      <w:r>
        <w:rPr>
          <w:rFonts w:hint="eastAsia" w:ascii="宋体" w:hAnsi="宋体" w:eastAsia="宋体" w:cs="宋体"/>
          <w:b w:val="0"/>
          <w:bCs/>
          <w:i w:val="0"/>
          <w:iCs w:val="0"/>
          <w:color w:val="auto"/>
          <w:kern w:val="0"/>
          <w:sz w:val="21"/>
          <w:szCs w:val="21"/>
          <w:lang w:val="en-US" w:eastAsia="zh-CN" w:bidi="ar-SA"/>
        </w:rPr>
        <w:t>4、镀锌管道均应按照ASTM A123 Gr.85标准进行热浸镀锌，并进行100%检查，以确保内部通道未被堵塞或阻塞。</w:t>
      </w:r>
    </w:p>
    <w:p>
      <w:pPr>
        <w:numPr>
          <w:ilvl w:val="0"/>
          <w:numId w:val="0"/>
        </w:numPr>
        <w:tabs>
          <w:tab w:val="left" w:pos="0"/>
        </w:tabs>
        <w:ind w:firstLine="420" w:firstLineChars="200"/>
        <w:jc w:val="left"/>
        <w:rPr>
          <w:rFonts w:hint="eastAsia" w:ascii="宋体" w:hAnsi="宋体" w:eastAsia="宋体" w:cs="宋体"/>
          <w:b w:val="0"/>
          <w:bCs/>
          <w:i w:val="0"/>
          <w:iCs w:val="0"/>
          <w:color w:val="auto"/>
          <w:kern w:val="0"/>
          <w:sz w:val="21"/>
          <w:szCs w:val="21"/>
          <w:lang w:val="en-US" w:eastAsia="zh-CN" w:bidi="ar-SA"/>
        </w:rPr>
      </w:pPr>
      <w:r>
        <w:rPr>
          <w:rFonts w:hint="eastAsia" w:ascii="宋体" w:hAnsi="宋体" w:eastAsia="宋体" w:cs="宋体"/>
          <w:b w:val="0"/>
          <w:bCs/>
          <w:i w:val="0"/>
          <w:iCs w:val="0"/>
          <w:color w:val="auto"/>
          <w:kern w:val="0"/>
          <w:sz w:val="21"/>
          <w:szCs w:val="21"/>
          <w:lang w:val="en-US" w:eastAsia="zh-CN" w:bidi="ar-SA"/>
        </w:rPr>
        <w:t>5、不锈钢管应经过退火和酸洗处理。</w:t>
      </w:r>
    </w:p>
    <w:p>
      <w:pPr>
        <w:numPr>
          <w:ilvl w:val="0"/>
          <w:numId w:val="0"/>
        </w:numPr>
        <w:tabs>
          <w:tab w:val="left" w:pos="0"/>
        </w:tabs>
        <w:ind w:firstLine="420" w:firstLineChars="200"/>
        <w:jc w:val="left"/>
        <w:rPr>
          <w:rFonts w:hint="eastAsia" w:ascii="宋体" w:hAnsi="宋体" w:eastAsia="宋体" w:cs="宋体"/>
          <w:b w:val="0"/>
          <w:bCs/>
          <w:i w:val="0"/>
          <w:iCs w:val="0"/>
          <w:color w:val="auto"/>
          <w:kern w:val="0"/>
          <w:sz w:val="21"/>
          <w:szCs w:val="21"/>
          <w:lang w:val="en-US" w:eastAsia="zh-CN" w:bidi="ar-SA"/>
        </w:rPr>
      </w:pPr>
      <w:r>
        <w:rPr>
          <w:rFonts w:hint="eastAsia" w:ascii="宋体" w:hAnsi="宋体" w:eastAsia="宋体" w:cs="宋体"/>
          <w:b w:val="0"/>
          <w:bCs/>
          <w:i w:val="0"/>
          <w:iCs w:val="0"/>
          <w:color w:val="auto"/>
          <w:kern w:val="0"/>
          <w:sz w:val="21"/>
          <w:szCs w:val="21"/>
          <w:lang w:val="en-US" w:eastAsia="zh-CN" w:bidi="ar-SA"/>
        </w:rPr>
        <w:t>6、不允许使用冷胀管。</w:t>
      </w:r>
    </w:p>
    <w:p>
      <w:pPr>
        <w:numPr>
          <w:ilvl w:val="0"/>
          <w:numId w:val="0"/>
        </w:numPr>
        <w:tabs>
          <w:tab w:val="left" w:pos="0"/>
        </w:tabs>
        <w:ind w:firstLine="420" w:firstLineChars="200"/>
        <w:jc w:val="left"/>
        <w:rPr>
          <w:rFonts w:hint="eastAsia" w:ascii="宋体" w:hAnsi="宋体" w:eastAsia="宋体" w:cs="宋体"/>
          <w:b w:val="0"/>
          <w:bCs/>
          <w:i w:val="0"/>
          <w:iCs w:val="0"/>
          <w:color w:val="auto"/>
          <w:kern w:val="0"/>
          <w:sz w:val="21"/>
          <w:szCs w:val="21"/>
          <w:lang w:val="en-US" w:eastAsia="zh-CN" w:bidi="ar-SA"/>
        </w:rPr>
      </w:pPr>
      <w:r>
        <w:rPr>
          <w:rFonts w:hint="eastAsia" w:ascii="宋体" w:hAnsi="宋体" w:eastAsia="宋体" w:cs="宋体"/>
          <w:b w:val="0"/>
          <w:bCs/>
          <w:i w:val="0"/>
          <w:iCs w:val="0"/>
          <w:color w:val="auto"/>
          <w:kern w:val="0"/>
          <w:sz w:val="21"/>
          <w:szCs w:val="21"/>
          <w:lang w:val="en-US" w:eastAsia="zh-CN" w:bidi="ar-SA"/>
        </w:rPr>
        <w:t>7、不允许使用接头。</w:t>
      </w:r>
    </w:p>
    <w:p>
      <w:pPr>
        <w:numPr>
          <w:ilvl w:val="0"/>
          <w:numId w:val="0"/>
        </w:numPr>
        <w:tabs>
          <w:tab w:val="left" w:pos="0"/>
        </w:tabs>
        <w:ind w:firstLine="420" w:firstLineChars="200"/>
        <w:jc w:val="left"/>
        <w:rPr>
          <w:rFonts w:hint="eastAsia" w:ascii="宋体" w:hAnsi="宋体" w:eastAsia="宋体" w:cs="宋体"/>
          <w:b w:val="0"/>
          <w:bCs/>
          <w:i w:val="0"/>
          <w:iCs w:val="0"/>
          <w:color w:val="auto"/>
          <w:kern w:val="0"/>
          <w:sz w:val="21"/>
          <w:szCs w:val="21"/>
          <w:lang w:val="en-US" w:eastAsia="zh-CN" w:bidi="ar-SA"/>
        </w:rPr>
      </w:pPr>
      <w:r>
        <w:rPr>
          <w:rFonts w:hint="eastAsia" w:ascii="宋体" w:hAnsi="宋体" w:eastAsia="宋体" w:cs="宋体"/>
          <w:b w:val="0"/>
          <w:bCs/>
          <w:i w:val="0"/>
          <w:iCs w:val="0"/>
          <w:color w:val="auto"/>
          <w:kern w:val="0"/>
          <w:sz w:val="21"/>
          <w:szCs w:val="21"/>
          <w:lang w:val="en-US" w:eastAsia="zh-CN" w:bidi="ar-SA"/>
        </w:rPr>
        <w:t>8、无缝钢管需进行水压试验。</w:t>
      </w:r>
    </w:p>
    <w:p>
      <w:pPr>
        <w:numPr>
          <w:ilvl w:val="0"/>
          <w:numId w:val="0"/>
        </w:numPr>
        <w:tabs>
          <w:tab w:val="left" w:pos="0"/>
        </w:tabs>
        <w:ind w:firstLine="420" w:firstLineChars="200"/>
        <w:jc w:val="left"/>
        <w:rPr>
          <w:rFonts w:hint="eastAsia" w:ascii="宋体" w:hAnsi="宋体" w:eastAsia="宋体" w:cs="宋体"/>
          <w:b w:val="0"/>
          <w:bCs/>
          <w:i w:val="0"/>
          <w:iCs w:val="0"/>
          <w:color w:val="auto"/>
          <w:kern w:val="0"/>
          <w:sz w:val="21"/>
          <w:szCs w:val="21"/>
          <w:lang w:val="en-US" w:eastAsia="zh-CN" w:bidi="ar-SA"/>
        </w:rPr>
      </w:pPr>
      <w:r>
        <w:rPr>
          <w:rFonts w:hint="eastAsia" w:ascii="宋体" w:hAnsi="宋体" w:eastAsia="宋体" w:cs="宋体"/>
          <w:b w:val="0"/>
          <w:bCs/>
          <w:i w:val="0"/>
          <w:iCs w:val="0"/>
          <w:color w:val="auto"/>
          <w:kern w:val="0"/>
          <w:sz w:val="21"/>
          <w:szCs w:val="21"/>
          <w:lang w:val="en-US" w:eastAsia="zh-CN" w:bidi="ar-SA"/>
        </w:rPr>
        <w:t>9、不允许使用焊接管替代无缝管。</w:t>
      </w:r>
    </w:p>
    <w:p>
      <w:pPr>
        <w:numPr>
          <w:ilvl w:val="0"/>
          <w:numId w:val="0"/>
        </w:numPr>
        <w:tabs>
          <w:tab w:val="left" w:pos="0"/>
        </w:tabs>
        <w:ind w:firstLine="420" w:firstLineChars="200"/>
        <w:jc w:val="left"/>
        <w:rPr>
          <w:rFonts w:hint="eastAsia" w:ascii="宋体" w:hAnsi="宋体" w:eastAsia="宋体" w:cs="宋体"/>
          <w:b w:val="0"/>
          <w:bCs/>
          <w:i w:val="0"/>
          <w:iCs w:val="0"/>
          <w:sz w:val="21"/>
          <w:szCs w:val="21"/>
          <w:lang w:eastAsia="zh-CN"/>
        </w:rPr>
      </w:pPr>
      <w:r>
        <w:rPr>
          <w:rFonts w:hint="eastAsia" w:ascii="宋体" w:hAnsi="宋体" w:eastAsia="宋体" w:cs="宋体"/>
          <w:b w:val="0"/>
          <w:bCs/>
          <w:i w:val="0"/>
          <w:iCs w:val="0"/>
          <w:sz w:val="21"/>
          <w:szCs w:val="21"/>
          <w:lang w:val="en-US" w:eastAsia="zh-CN"/>
        </w:rPr>
        <w:t>【下述要求为对上述标准中参数的补充优化】：</w:t>
      </w:r>
    </w:p>
    <w:p>
      <w:pPr>
        <w:numPr>
          <w:ilvl w:val="0"/>
          <w:numId w:val="0"/>
        </w:numPr>
        <w:tabs>
          <w:tab w:val="left" w:pos="0"/>
        </w:tabs>
        <w:ind w:firstLine="420" w:firstLineChars="200"/>
        <w:jc w:val="left"/>
        <w:rPr>
          <w:rFonts w:hint="eastAsia" w:ascii="宋体" w:hAnsi="宋体" w:eastAsia="宋体" w:cs="宋体"/>
          <w:b w:val="0"/>
          <w:bCs/>
          <w:i w:val="0"/>
          <w:iCs w:val="0"/>
          <w:sz w:val="21"/>
          <w:szCs w:val="21"/>
          <w:lang w:val="en-US" w:eastAsia="zh-CN"/>
        </w:rPr>
      </w:pPr>
      <w:r>
        <w:rPr>
          <w:rFonts w:hint="eastAsia" w:ascii="宋体" w:hAnsi="宋体" w:eastAsia="宋体" w:cs="宋体"/>
          <w:b w:val="0"/>
          <w:bCs/>
          <w:i w:val="0"/>
          <w:iCs w:val="0"/>
          <w:sz w:val="21"/>
          <w:szCs w:val="21"/>
          <w:lang w:val="en-US" w:eastAsia="zh-CN"/>
        </w:rPr>
        <w:t>1、碳钢无缝钢管补充技术要求：</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257" w:lineRule="auto"/>
        <w:ind w:left="420" w:leftChars="0" w:right="0" w:rightChars="0"/>
        <w:jc w:val="left"/>
        <w:textAlignment w:val="auto"/>
        <w:rPr>
          <w:rFonts w:hint="eastAsia" w:ascii="宋体" w:hAnsi="宋体" w:eastAsia="宋体" w:cs="宋体"/>
          <w:b w:val="0"/>
          <w:bCs/>
          <w:i w:val="0"/>
          <w:iCs w:val="0"/>
          <w:sz w:val="21"/>
          <w:szCs w:val="21"/>
          <w:lang w:val="en-US" w:eastAsia="zh-CN"/>
        </w:rPr>
      </w:pPr>
      <w:r>
        <w:rPr>
          <w:rFonts w:hint="eastAsia" w:ascii="宋体" w:hAnsi="宋体" w:eastAsia="宋体" w:cs="宋体"/>
          <w:b w:val="0"/>
          <w:bCs/>
          <w:i w:val="0"/>
          <w:iCs w:val="0"/>
          <w:sz w:val="21"/>
          <w:szCs w:val="21"/>
          <w:lang w:val="en-US" w:eastAsia="zh-CN"/>
        </w:rPr>
        <w:t>1）产品技术参数：标识，炉批号等有效信息清晰可见；</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257" w:lineRule="auto"/>
        <w:ind w:left="420" w:leftChars="0" w:right="0" w:rightChars="0"/>
        <w:jc w:val="left"/>
        <w:textAlignment w:val="auto"/>
        <w:rPr>
          <w:rFonts w:hint="eastAsia" w:ascii="宋体" w:hAnsi="宋体" w:eastAsia="宋体" w:cs="宋体"/>
          <w:b w:val="0"/>
          <w:bCs/>
          <w:i w:val="0"/>
          <w:iCs w:val="0"/>
          <w:sz w:val="21"/>
          <w:szCs w:val="21"/>
          <w:lang w:val="en-US" w:eastAsia="zh-CN"/>
        </w:rPr>
      </w:pPr>
      <w:r>
        <w:rPr>
          <w:rFonts w:hint="eastAsia" w:ascii="宋体" w:hAnsi="宋体" w:eastAsia="宋体" w:cs="宋体"/>
          <w:b w:val="0"/>
          <w:bCs/>
          <w:i w:val="0"/>
          <w:iCs w:val="0"/>
          <w:sz w:val="21"/>
          <w:szCs w:val="21"/>
          <w:lang w:val="en-US" w:eastAsia="zh-CN"/>
        </w:rPr>
        <w:t>2）制造要求：</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257" w:lineRule="auto"/>
        <w:ind w:right="0" w:rightChars="0" w:firstLine="420" w:firstLineChars="200"/>
        <w:jc w:val="left"/>
        <w:textAlignment w:val="auto"/>
        <w:rPr>
          <w:rFonts w:hint="eastAsia" w:ascii="宋体" w:hAnsi="宋体" w:eastAsia="宋体" w:cs="宋体"/>
          <w:b w:val="0"/>
          <w:bCs/>
          <w:i w:val="0"/>
          <w:iCs w:val="0"/>
          <w:sz w:val="21"/>
          <w:szCs w:val="21"/>
          <w:lang w:val="en-US" w:eastAsia="zh-CN"/>
        </w:rPr>
      </w:pPr>
      <w:r>
        <w:rPr>
          <w:rFonts w:hint="eastAsia" w:ascii="宋体" w:hAnsi="宋体" w:eastAsia="宋体" w:cs="宋体"/>
          <w:b w:val="0"/>
          <w:bCs/>
          <w:i w:val="0"/>
          <w:iCs w:val="0"/>
          <w:sz w:val="21"/>
          <w:szCs w:val="21"/>
          <w:lang w:val="en-US" w:eastAsia="zh-CN"/>
        </w:rPr>
        <w:t>a、管子的制造应当按照ASTM A106进行热加工后冷成形以获得要求的形状、尺寸和性质。</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257" w:lineRule="auto"/>
        <w:ind w:leftChars="200" w:right="0" w:rightChars="0"/>
        <w:jc w:val="left"/>
        <w:textAlignment w:val="auto"/>
        <w:rPr>
          <w:rFonts w:hint="eastAsia" w:ascii="宋体" w:hAnsi="宋体" w:eastAsia="宋体" w:cs="宋体"/>
          <w:b w:val="0"/>
          <w:bCs/>
          <w:i w:val="0"/>
          <w:iCs w:val="0"/>
          <w:sz w:val="21"/>
          <w:szCs w:val="21"/>
          <w:lang w:val="en-US" w:eastAsia="zh-CN"/>
        </w:rPr>
      </w:pPr>
      <w:r>
        <w:rPr>
          <w:rFonts w:hint="eastAsia" w:ascii="宋体" w:hAnsi="宋体" w:eastAsia="宋体" w:cs="宋体"/>
          <w:b w:val="0"/>
          <w:bCs/>
          <w:i w:val="0"/>
          <w:iCs w:val="0"/>
          <w:sz w:val="21"/>
          <w:szCs w:val="21"/>
          <w:lang w:val="en-US" w:eastAsia="zh-CN"/>
        </w:rPr>
        <w:t>b、制管厂应向招标方提供钢管的制造工艺并提供产品的质量控制手册。</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257" w:lineRule="auto"/>
        <w:ind w:leftChars="200" w:right="0" w:rightChars="0"/>
        <w:jc w:val="left"/>
        <w:textAlignment w:val="auto"/>
        <w:rPr>
          <w:rFonts w:hint="eastAsia" w:ascii="宋体" w:hAnsi="宋体" w:eastAsia="宋体" w:cs="宋体"/>
          <w:b w:val="0"/>
          <w:bCs/>
          <w:i w:val="0"/>
          <w:iCs w:val="0"/>
          <w:sz w:val="21"/>
          <w:szCs w:val="21"/>
          <w:lang w:val="en-US" w:eastAsia="zh-CN"/>
        </w:rPr>
      </w:pPr>
      <w:r>
        <w:rPr>
          <w:rFonts w:hint="eastAsia" w:ascii="宋体" w:hAnsi="宋体" w:eastAsia="宋体" w:cs="宋体"/>
          <w:b w:val="0"/>
          <w:bCs/>
          <w:i w:val="0"/>
          <w:iCs w:val="0"/>
          <w:sz w:val="21"/>
          <w:szCs w:val="21"/>
          <w:lang w:val="en-US" w:eastAsia="zh-CN"/>
        </w:rPr>
        <w:t>c、冷扩不允许大于5%的纤维应变。</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257" w:lineRule="auto"/>
        <w:ind w:right="0" w:rightChars="0" w:firstLine="420" w:firstLineChars="200"/>
        <w:jc w:val="left"/>
        <w:textAlignment w:val="auto"/>
        <w:rPr>
          <w:rFonts w:hint="eastAsia" w:ascii="宋体" w:hAnsi="宋体" w:eastAsia="宋体" w:cs="宋体"/>
          <w:b w:val="0"/>
          <w:bCs/>
          <w:i w:val="0"/>
          <w:iCs w:val="0"/>
          <w:sz w:val="21"/>
          <w:szCs w:val="21"/>
          <w:lang w:val="en-US" w:eastAsia="zh-CN"/>
        </w:rPr>
      </w:pPr>
      <w:r>
        <w:rPr>
          <w:rFonts w:hint="eastAsia" w:ascii="宋体" w:hAnsi="宋体" w:eastAsia="宋体" w:cs="宋体"/>
          <w:b w:val="0"/>
          <w:bCs/>
          <w:i w:val="0"/>
          <w:iCs w:val="0"/>
          <w:sz w:val="21"/>
          <w:szCs w:val="21"/>
          <w:lang w:val="en-US" w:eastAsia="zh-CN"/>
        </w:rPr>
        <w:t>3）交货状态：钢管的包装、标志和质量证明书应符合规定，无缝钢管\NPS14 SCH140\B\ASTM A106提供第三方检验机构（BV、DNV、CCS或ABS）颁发的B类证书。</w:t>
      </w:r>
    </w:p>
    <w:p>
      <w:pPr>
        <w:pStyle w:val="9"/>
        <w:keepNext w:val="0"/>
        <w:keepLines w:val="0"/>
        <w:pageBreakBefore w:val="0"/>
        <w:widowControl w:val="0"/>
        <w:numPr>
          <w:ilvl w:val="0"/>
          <w:numId w:val="0"/>
        </w:numPr>
        <w:kinsoku/>
        <w:wordWrap/>
        <w:overflowPunct/>
        <w:topLinePunct w:val="0"/>
        <w:autoSpaceDE/>
        <w:autoSpaceDN/>
        <w:bidi w:val="0"/>
        <w:adjustRightInd/>
        <w:snapToGrid/>
        <w:spacing w:line="257" w:lineRule="auto"/>
        <w:ind w:right="0" w:rightChars="0" w:firstLine="420" w:firstLineChars="200"/>
        <w:jc w:val="left"/>
        <w:textAlignment w:val="auto"/>
        <w:rPr>
          <w:rFonts w:hint="eastAsia" w:ascii="宋体" w:hAnsi="宋体" w:eastAsia="宋体" w:cs="宋体"/>
          <w:b w:val="0"/>
          <w:bCs/>
          <w:i w:val="0"/>
          <w:iCs w:val="0"/>
          <w:color w:val="000000"/>
          <w:sz w:val="21"/>
          <w:szCs w:val="21"/>
          <w:lang w:val="en-US" w:eastAsia="zh-CN"/>
        </w:rPr>
      </w:pPr>
      <w:r>
        <w:rPr>
          <w:rFonts w:hint="eastAsia" w:ascii="宋体" w:hAnsi="宋体" w:eastAsia="宋体" w:cs="宋体"/>
          <w:b w:val="0"/>
          <w:bCs/>
          <w:i w:val="0"/>
          <w:iCs w:val="0"/>
          <w:sz w:val="21"/>
          <w:szCs w:val="21"/>
          <w:lang w:val="en-US" w:eastAsia="zh-CN"/>
        </w:rPr>
        <w:t>4）钢管的尺寸误差：</w:t>
      </w:r>
      <w:r>
        <w:rPr>
          <w:rFonts w:hint="eastAsia" w:ascii="宋体" w:hAnsi="宋体" w:eastAsia="宋体" w:cs="宋体"/>
          <w:b w:val="0"/>
          <w:bCs/>
          <w:i w:val="0"/>
          <w:iCs w:val="0"/>
          <w:kern w:val="0"/>
          <w:sz w:val="21"/>
          <w:szCs w:val="21"/>
          <w:lang w:val="en-US" w:eastAsia="zh-CN" w:bidi="ar-SA"/>
        </w:rPr>
        <w:t>钢管壁厚误差按ASTM A106规定的较高级精度要求，即钢管壁厚的误差不得超过规定壁厚的0~+5%。</w:t>
      </w:r>
    </w:p>
    <w:p>
      <w:pPr>
        <w:pStyle w:val="9"/>
        <w:numPr>
          <w:ilvl w:val="0"/>
          <w:numId w:val="7"/>
        </w:numPr>
        <w:spacing w:line="257" w:lineRule="auto"/>
        <w:ind w:right="122"/>
        <w:jc w:val="left"/>
        <w:rPr>
          <w:rFonts w:hint="eastAsia" w:ascii="宋体" w:hAnsi="宋体" w:eastAsia="宋体" w:cs="宋体"/>
          <w:b w:val="0"/>
          <w:bCs/>
          <w:i w:val="0"/>
          <w:iCs w:val="0"/>
          <w:color w:val="000000"/>
          <w:sz w:val="21"/>
          <w:szCs w:val="21"/>
          <w:lang w:eastAsia="zh-CN"/>
        </w:rPr>
      </w:pPr>
      <w:r>
        <w:rPr>
          <w:rFonts w:hint="eastAsia" w:ascii="宋体" w:hAnsi="宋体" w:eastAsia="宋体" w:cs="宋体"/>
          <w:b w:val="0"/>
          <w:bCs/>
          <w:i w:val="0"/>
          <w:iCs w:val="0"/>
          <w:color w:val="000000"/>
          <w:sz w:val="21"/>
          <w:szCs w:val="21"/>
          <w:lang w:eastAsia="zh-CN"/>
        </w:rPr>
        <w:t>每批货物都需要随货提供相关证书，必要时招标方到厂进行现场见证试验和检测过程；除非另有说明，无缝钢管长度为定尺6米/根。</w:t>
      </w:r>
    </w:p>
    <w:p>
      <w:pPr>
        <w:pStyle w:val="2"/>
        <w:jc w:val="left"/>
        <w:rPr>
          <w:rFonts w:hint="eastAsia" w:ascii="宋体" w:hAnsi="宋体" w:eastAsia="宋体" w:cs="宋体"/>
          <w:b w:val="0"/>
          <w:bCs/>
          <w:i w:val="0"/>
          <w:iCs w:val="0"/>
          <w:sz w:val="21"/>
          <w:szCs w:val="21"/>
          <w:lang w:eastAsia="zh-CN"/>
        </w:rPr>
      </w:pPr>
    </w:p>
    <w:p>
      <w:pPr>
        <w:pStyle w:val="50"/>
        <w:spacing w:before="120" w:after="120"/>
        <w:jc w:val="left"/>
        <w:outlineLvl w:val="0"/>
        <w:rPr>
          <w:rFonts w:hint="eastAsia" w:ascii="宋体" w:hAnsi="宋体" w:eastAsia="宋体" w:cs="宋体"/>
          <w:b w:val="0"/>
          <w:bCs/>
          <w:i w:val="0"/>
          <w:iCs w:val="0"/>
          <w:color w:val="auto"/>
          <w:sz w:val="21"/>
          <w:szCs w:val="21"/>
        </w:rPr>
      </w:pPr>
      <w:r>
        <w:rPr>
          <w:rFonts w:hint="eastAsia" w:ascii="宋体" w:hAnsi="宋体" w:eastAsia="宋体" w:cs="宋体"/>
          <w:b w:val="0"/>
          <w:bCs/>
          <w:i w:val="0"/>
          <w:iCs w:val="0"/>
          <w:color w:val="auto"/>
          <w:sz w:val="21"/>
          <w:szCs w:val="21"/>
        </w:rPr>
        <w:t>六、检测和试验</w:t>
      </w:r>
    </w:p>
    <w:p>
      <w:pPr>
        <w:pStyle w:val="9"/>
        <w:keepNext w:val="0"/>
        <w:keepLines w:val="0"/>
        <w:pageBreakBefore w:val="0"/>
        <w:kinsoku/>
        <w:wordWrap/>
        <w:overflowPunct/>
        <w:topLinePunct w:val="0"/>
        <w:bidi w:val="0"/>
        <w:snapToGrid w:val="0"/>
        <w:spacing w:line="360" w:lineRule="auto"/>
        <w:ind w:left="220" w:leftChars="0" w:right="122" w:firstLine="420"/>
        <w:jc w:val="left"/>
        <w:textAlignment w:val="auto"/>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1、业主及其代表有权检验和试验部分或全部货物，以确认货物是否符合合同规定；并按本技术标准等约定实施检验和试验。约定不明的，以业主指定的地点与检验、试验方法为准。</w:t>
      </w:r>
    </w:p>
    <w:p>
      <w:pPr>
        <w:pStyle w:val="9"/>
        <w:keepNext w:val="0"/>
        <w:keepLines w:val="0"/>
        <w:pageBreakBefore w:val="0"/>
        <w:kinsoku/>
        <w:wordWrap/>
        <w:overflowPunct/>
        <w:topLinePunct w:val="0"/>
        <w:bidi w:val="0"/>
        <w:snapToGrid w:val="0"/>
        <w:spacing w:line="360" w:lineRule="auto"/>
        <w:ind w:left="220" w:leftChars="0" w:right="122" w:firstLine="420"/>
        <w:jc w:val="left"/>
        <w:textAlignment w:val="auto"/>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2、经检验和试验，在第十条约定的质量保证期内,若发现货物质量、规格、性质不符合本技术标准的规定，或缺少随货装箱单据以及验收的装箱清单、产品检验合格证、规范等必要的技术资料，业主有权以书面形式要求更换质量合格的货物、要求赔偿或索要技术资料，且所有费用（包括但不限于验收费、装卸费及资料邮寄费等）均由供应商负担。</w:t>
      </w:r>
    </w:p>
    <w:p>
      <w:pPr>
        <w:pStyle w:val="9"/>
        <w:keepNext w:val="0"/>
        <w:keepLines w:val="0"/>
        <w:pageBreakBefore w:val="0"/>
        <w:kinsoku/>
        <w:wordWrap/>
        <w:overflowPunct/>
        <w:topLinePunct w:val="0"/>
        <w:bidi w:val="0"/>
        <w:snapToGrid w:val="0"/>
        <w:spacing w:line="360" w:lineRule="auto"/>
        <w:ind w:left="220" w:leftChars="0" w:right="122" w:firstLine="420"/>
        <w:jc w:val="left"/>
        <w:textAlignment w:val="auto"/>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3、无论在任何地方进行检验和试验，供应商应免费提供图纸、生产数据、所需专用设施和必要的协助。</w:t>
      </w:r>
    </w:p>
    <w:p>
      <w:pPr>
        <w:pStyle w:val="9"/>
        <w:keepNext w:val="0"/>
        <w:keepLines w:val="0"/>
        <w:pageBreakBefore w:val="0"/>
        <w:kinsoku/>
        <w:wordWrap/>
        <w:overflowPunct/>
        <w:topLinePunct w:val="0"/>
        <w:bidi w:val="0"/>
        <w:snapToGrid w:val="0"/>
        <w:spacing w:line="360" w:lineRule="auto"/>
        <w:ind w:left="220" w:leftChars="0" w:right="122" w:firstLine="420"/>
        <w:jc w:val="left"/>
        <w:textAlignment w:val="auto"/>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4、经检验和试验，如货物与本技术标准不符时，业主可拒收；供应商应免费进行更换或替换，以达到技术要求。</w:t>
      </w:r>
    </w:p>
    <w:p>
      <w:pPr>
        <w:pStyle w:val="9"/>
        <w:keepNext w:val="0"/>
        <w:keepLines w:val="0"/>
        <w:pageBreakBefore w:val="0"/>
        <w:kinsoku/>
        <w:wordWrap/>
        <w:overflowPunct/>
        <w:topLinePunct w:val="0"/>
        <w:bidi w:val="0"/>
        <w:snapToGrid w:val="0"/>
        <w:spacing w:line="360" w:lineRule="auto"/>
        <w:ind w:left="220" w:leftChars="0" w:right="122" w:firstLine="420"/>
        <w:jc w:val="left"/>
        <w:textAlignment w:val="auto"/>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5、在发运前经业主及其代表检验、试验所通过的货物，到货后业主仍有权检验和试验，按条款3执行。</w:t>
      </w:r>
    </w:p>
    <w:p>
      <w:pPr>
        <w:pStyle w:val="9"/>
        <w:keepNext w:val="0"/>
        <w:keepLines w:val="0"/>
        <w:pageBreakBefore w:val="0"/>
        <w:kinsoku/>
        <w:wordWrap/>
        <w:overflowPunct/>
        <w:topLinePunct w:val="0"/>
        <w:bidi w:val="0"/>
        <w:snapToGrid w:val="0"/>
        <w:spacing w:line="360" w:lineRule="auto"/>
        <w:ind w:left="220" w:leftChars="0" w:right="122" w:firstLine="420"/>
        <w:jc w:val="left"/>
        <w:textAlignment w:val="auto"/>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6、钢材在制造厂制造期间，供应商应以书面形式提前10个自然天通知业主有关钢材的检验日期和检验范围，如业主代表逾期未通知供应商是否参加检验和试验，则供应商可自行其检验试验。</w:t>
      </w:r>
    </w:p>
    <w:p>
      <w:pPr>
        <w:pStyle w:val="9"/>
        <w:keepNext w:val="0"/>
        <w:keepLines w:val="0"/>
        <w:pageBreakBefore w:val="0"/>
        <w:kinsoku/>
        <w:wordWrap/>
        <w:overflowPunct/>
        <w:topLinePunct w:val="0"/>
        <w:bidi w:val="0"/>
        <w:snapToGrid w:val="0"/>
        <w:spacing w:line="360" w:lineRule="auto"/>
        <w:ind w:left="220" w:leftChars="0" w:right="122" w:firstLine="420"/>
        <w:jc w:val="left"/>
        <w:textAlignment w:val="auto"/>
        <w:rPr>
          <w:rFonts w:hint="eastAsia" w:ascii="宋体" w:hAnsi="宋体" w:eastAsia="宋体" w:cs="宋体"/>
          <w:b w:val="0"/>
          <w:bCs/>
          <w:i w:val="0"/>
          <w:iCs w:val="0"/>
          <w:color w:val="auto"/>
          <w:sz w:val="21"/>
          <w:szCs w:val="21"/>
          <w:highlight w:val="none"/>
          <w:lang w:val="en-US" w:eastAsia="zh-CN"/>
        </w:rPr>
      </w:pPr>
      <w:r>
        <w:rPr>
          <w:rFonts w:hint="eastAsia" w:ascii="宋体" w:hAnsi="宋体" w:eastAsia="宋体" w:cs="宋体"/>
          <w:b w:val="0"/>
          <w:bCs/>
          <w:i w:val="0"/>
          <w:iCs w:val="0"/>
          <w:color w:val="auto"/>
          <w:sz w:val="21"/>
          <w:szCs w:val="21"/>
          <w:highlight w:val="none"/>
          <w:lang w:val="en-US" w:eastAsia="zh-CN"/>
        </w:rPr>
        <w:t>7、虽有本第六条之规定,但不免除供应商履行合同规定的质量保证和其它义务。</w:t>
      </w:r>
    </w:p>
    <w:p>
      <w:pPr>
        <w:pStyle w:val="50"/>
        <w:spacing w:before="120" w:after="120"/>
        <w:jc w:val="left"/>
        <w:outlineLvl w:val="0"/>
        <w:rPr>
          <w:rFonts w:hint="eastAsia" w:ascii="宋体" w:hAnsi="宋体" w:eastAsia="宋体" w:cs="宋体"/>
          <w:b w:val="0"/>
          <w:bCs/>
          <w:i w:val="0"/>
          <w:iCs w:val="0"/>
          <w:color w:val="auto"/>
          <w:sz w:val="21"/>
          <w:szCs w:val="21"/>
        </w:rPr>
      </w:pPr>
      <w:r>
        <w:rPr>
          <w:rFonts w:hint="eastAsia" w:ascii="宋体" w:hAnsi="宋体" w:eastAsia="宋体" w:cs="宋体"/>
          <w:b w:val="0"/>
          <w:bCs/>
          <w:i w:val="0"/>
          <w:iCs w:val="0"/>
          <w:color w:val="auto"/>
          <w:sz w:val="21"/>
          <w:szCs w:val="21"/>
          <w:lang w:val="en-US" w:eastAsia="zh-CN"/>
        </w:rPr>
        <w:t>七</w:t>
      </w:r>
      <w:r>
        <w:rPr>
          <w:rFonts w:hint="eastAsia" w:ascii="宋体" w:hAnsi="宋体" w:eastAsia="宋体" w:cs="宋体"/>
          <w:b w:val="0"/>
          <w:bCs/>
          <w:i w:val="0"/>
          <w:iCs w:val="0"/>
          <w:color w:val="auto"/>
          <w:sz w:val="21"/>
          <w:szCs w:val="21"/>
        </w:rPr>
        <w:t>、标识、包装、运输和存储</w:t>
      </w:r>
    </w:p>
    <w:p>
      <w:pPr>
        <w:pStyle w:val="5"/>
        <w:jc w:val="left"/>
        <w:rPr>
          <w:rFonts w:hint="eastAsia" w:ascii="宋体" w:hAnsi="宋体" w:eastAsia="宋体" w:cs="宋体"/>
          <w:b w:val="0"/>
          <w:bCs/>
          <w:i w:val="0"/>
          <w:iCs w:val="0"/>
          <w:sz w:val="21"/>
          <w:szCs w:val="21"/>
        </w:rPr>
      </w:pPr>
      <w:bookmarkStart w:id="15" w:name="_Toc69912689"/>
      <w:r>
        <w:rPr>
          <w:rFonts w:hint="eastAsia" w:ascii="宋体" w:hAnsi="宋体" w:eastAsia="宋体" w:cs="宋体"/>
          <w:b w:val="0"/>
          <w:bCs/>
          <w:i w:val="0"/>
          <w:iCs w:val="0"/>
          <w:sz w:val="21"/>
          <w:szCs w:val="21"/>
        </w:rPr>
        <w:t>1. 产品标识</w:t>
      </w:r>
      <w:bookmarkEnd w:id="15"/>
    </w:p>
    <w:p>
      <w:pPr>
        <w:spacing w:line="360" w:lineRule="auto"/>
        <w:ind w:firstLine="420" w:firstLineChars="200"/>
        <w:jc w:val="left"/>
        <w:rPr>
          <w:rFonts w:hint="eastAsia" w:ascii="宋体" w:hAnsi="宋体" w:eastAsia="宋体" w:cs="宋体"/>
          <w:b w:val="0"/>
          <w:bCs/>
          <w:i w:val="0"/>
          <w:iCs w:val="0"/>
          <w:sz w:val="21"/>
          <w:szCs w:val="21"/>
          <w:lang w:eastAsia="zh-CN"/>
        </w:rPr>
      </w:pPr>
      <w:r>
        <w:rPr>
          <w:rFonts w:hint="eastAsia" w:ascii="宋体" w:hAnsi="宋体" w:eastAsia="宋体" w:cs="宋体"/>
          <w:b w:val="0"/>
          <w:bCs/>
          <w:i w:val="0"/>
          <w:iCs w:val="0"/>
          <w:sz w:val="21"/>
          <w:szCs w:val="21"/>
          <w:lang w:eastAsia="zh-CN"/>
        </w:rPr>
        <w:t>包含但不限于以下内容：</w:t>
      </w:r>
    </w:p>
    <w:p>
      <w:pPr>
        <w:spacing w:line="360" w:lineRule="auto"/>
        <w:ind w:firstLine="420" w:firstLineChars="200"/>
        <w:jc w:val="left"/>
        <w:rPr>
          <w:rFonts w:hint="eastAsia" w:ascii="宋体" w:hAnsi="宋体" w:eastAsia="宋体" w:cs="宋体"/>
          <w:b w:val="0"/>
          <w:bCs/>
          <w:i w:val="0"/>
          <w:iCs w:val="0"/>
          <w:sz w:val="21"/>
          <w:szCs w:val="21"/>
          <w:lang w:eastAsia="zh-CN"/>
        </w:rPr>
      </w:pPr>
      <w:r>
        <w:rPr>
          <w:rFonts w:hint="eastAsia" w:ascii="宋体" w:hAnsi="宋体" w:eastAsia="宋体" w:cs="宋体"/>
          <w:b w:val="0"/>
          <w:bCs/>
          <w:i w:val="0"/>
          <w:iCs w:val="0"/>
          <w:sz w:val="21"/>
          <w:szCs w:val="21"/>
          <w:lang w:eastAsia="zh-CN"/>
        </w:rPr>
        <w:t>除管以外的其它钢材：材料的分类、钢材级别和炉号应借助鲜明的颜色用模板漆印在钢材上。</w:t>
      </w:r>
    </w:p>
    <w:p>
      <w:pPr>
        <w:ind w:firstLine="420" w:firstLineChars="200"/>
        <w:jc w:val="left"/>
        <w:rPr>
          <w:rFonts w:hint="eastAsia" w:ascii="宋体" w:hAnsi="宋体" w:eastAsia="宋体" w:cs="宋体"/>
          <w:b w:val="0"/>
          <w:bCs/>
          <w:i w:val="0"/>
          <w:iCs w:val="0"/>
          <w:sz w:val="21"/>
          <w:szCs w:val="21"/>
          <w:lang w:eastAsia="zh-CN"/>
        </w:rPr>
      </w:pPr>
      <w:r>
        <w:rPr>
          <w:rFonts w:hint="eastAsia" w:ascii="宋体" w:hAnsi="宋体" w:eastAsia="宋体" w:cs="宋体"/>
          <w:b w:val="0"/>
          <w:bCs/>
          <w:i w:val="0"/>
          <w:iCs w:val="0"/>
          <w:sz w:val="21"/>
          <w:szCs w:val="21"/>
          <w:lang w:eastAsia="zh-CN"/>
        </w:rPr>
        <w:t>材料的标识应符合GB/T 247或GB/T 2101的要求。</w:t>
      </w:r>
    </w:p>
    <w:p>
      <w:pPr>
        <w:ind w:firstLine="420" w:firstLineChars="200"/>
        <w:jc w:val="left"/>
        <w:rPr>
          <w:rFonts w:hint="eastAsia" w:ascii="宋体" w:hAnsi="宋体" w:eastAsia="宋体" w:cs="宋体"/>
          <w:b w:val="0"/>
          <w:bCs/>
          <w:i w:val="0"/>
          <w:iCs w:val="0"/>
          <w:sz w:val="21"/>
          <w:szCs w:val="21"/>
          <w:lang w:eastAsia="zh-CN"/>
        </w:rPr>
      </w:pPr>
      <w:r>
        <w:rPr>
          <w:rFonts w:hint="eastAsia" w:ascii="宋体" w:hAnsi="宋体" w:eastAsia="宋体" w:cs="宋体"/>
          <w:b w:val="0"/>
          <w:bCs/>
          <w:i w:val="0"/>
          <w:iCs w:val="0"/>
          <w:sz w:val="21"/>
          <w:szCs w:val="21"/>
          <w:lang w:eastAsia="zh-CN"/>
        </w:rPr>
        <w:t>如果需要喷砂防腐，则需要在喷漆完成后按照以上要求进行标识标记。</w:t>
      </w:r>
    </w:p>
    <w:p>
      <w:pPr>
        <w:pStyle w:val="9"/>
        <w:spacing w:line="257" w:lineRule="auto"/>
        <w:ind w:right="122"/>
        <w:jc w:val="left"/>
        <w:rPr>
          <w:rFonts w:hint="eastAsia" w:ascii="宋体" w:hAnsi="宋体" w:eastAsia="宋体" w:cs="宋体"/>
          <w:b w:val="0"/>
          <w:bCs/>
          <w:i w:val="0"/>
          <w:iCs w:val="0"/>
          <w:sz w:val="21"/>
          <w:szCs w:val="21"/>
          <w:lang w:eastAsia="zh-CN"/>
        </w:rPr>
      </w:pPr>
      <w:r>
        <w:rPr>
          <w:rFonts w:hint="eastAsia" w:ascii="宋体" w:hAnsi="宋体" w:eastAsia="宋体" w:cs="宋体"/>
          <w:b w:val="0"/>
          <w:bCs/>
          <w:i w:val="0"/>
          <w:iCs w:val="0"/>
          <w:sz w:val="21"/>
          <w:szCs w:val="21"/>
          <w:lang w:eastAsia="zh-CN"/>
        </w:rPr>
        <w:t>材料的标记应在板的宽度方向上并距板边100mm的位置清楚地标记出来。</w:t>
      </w:r>
    </w:p>
    <w:p>
      <w:pPr>
        <w:pStyle w:val="5"/>
        <w:jc w:val="left"/>
        <w:rPr>
          <w:rFonts w:hint="eastAsia" w:ascii="宋体" w:hAnsi="宋体" w:eastAsia="宋体" w:cs="宋体"/>
          <w:b w:val="0"/>
          <w:bCs/>
          <w:i w:val="0"/>
          <w:iCs w:val="0"/>
          <w:sz w:val="21"/>
          <w:szCs w:val="21"/>
        </w:rPr>
      </w:pPr>
      <w:bookmarkStart w:id="16" w:name="_Toc69912690"/>
      <w:r>
        <w:rPr>
          <w:rFonts w:hint="eastAsia" w:ascii="宋体" w:hAnsi="宋体" w:eastAsia="宋体" w:cs="宋体"/>
          <w:b w:val="0"/>
          <w:bCs/>
          <w:i w:val="0"/>
          <w:iCs w:val="0"/>
          <w:sz w:val="21"/>
          <w:szCs w:val="21"/>
        </w:rPr>
        <w:t>2. 产品包装</w:t>
      </w:r>
      <w:bookmarkEnd w:id="16"/>
    </w:p>
    <w:p>
      <w:pPr>
        <w:pStyle w:val="9"/>
        <w:numPr>
          <w:ilvl w:val="0"/>
          <w:numId w:val="0"/>
        </w:numPr>
        <w:spacing w:line="257" w:lineRule="auto"/>
        <w:ind w:right="122" w:rightChars="0" w:firstLine="420" w:firstLineChars="200"/>
        <w:jc w:val="left"/>
        <w:rPr>
          <w:rFonts w:hint="eastAsia" w:ascii="宋体" w:hAnsi="宋体" w:eastAsia="宋体" w:cs="宋体"/>
          <w:b w:val="0"/>
          <w:bCs/>
          <w:i w:val="0"/>
          <w:iCs w:val="0"/>
          <w:sz w:val="21"/>
          <w:szCs w:val="21"/>
          <w:lang w:eastAsia="zh-CN"/>
        </w:rPr>
      </w:pPr>
      <w:r>
        <w:rPr>
          <w:rFonts w:hint="eastAsia" w:ascii="宋体" w:hAnsi="宋体" w:eastAsia="宋体" w:cs="宋体"/>
          <w:b w:val="0"/>
          <w:bCs/>
          <w:i w:val="0"/>
          <w:iCs w:val="0"/>
          <w:sz w:val="21"/>
          <w:szCs w:val="21"/>
          <w:lang w:eastAsia="zh-CN"/>
        </w:rPr>
        <w:t>根据招标方提供的详细清单将材质及尺寸、壁厚不同应分开包装，每种规格需要捆扎固定，便于吊装作业，单捆重量不超5吨；</w:t>
      </w:r>
    </w:p>
    <w:p>
      <w:pPr>
        <w:pStyle w:val="5"/>
        <w:jc w:val="left"/>
        <w:rPr>
          <w:rFonts w:hint="eastAsia" w:ascii="宋体" w:hAnsi="宋体" w:eastAsia="宋体" w:cs="宋体"/>
          <w:b w:val="0"/>
          <w:bCs/>
          <w:i w:val="0"/>
          <w:iCs w:val="0"/>
          <w:sz w:val="21"/>
          <w:szCs w:val="21"/>
        </w:rPr>
      </w:pPr>
      <w:bookmarkStart w:id="17" w:name="_Toc69912691"/>
      <w:r>
        <w:rPr>
          <w:rFonts w:hint="eastAsia" w:ascii="宋体" w:hAnsi="宋体" w:eastAsia="宋体" w:cs="宋体"/>
          <w:b w:val="0"/>
          <w:bCs/>
          <w:i w:val="0"/>
          <w:iCs w:val="0"/>
          <w:sz w:val="21"/>
          <w:szCs w:val="21"/>
        </w:rPr>
        <w:t>3. 产品运输</w:t>
      </w:r>
      <w:bookmarkEnd w:id="17"/>
    </w:p>
    <w:p>
      <w:pPr>
        <w:pStyle w:val="9"/>
        <w:numPr>
          <w:ilvl w:val="0"/>
          <w:numId w:val="8"/>
        </w:numPr>
        <w:spacing w:line="257" w:lineRule="auto"/>
        <w:ind w:right="122" w:firstLineChars="0"/>
        <w:jc w:val="left"/>
        <w:rPr>
          <w:rFonts w:hint="eastAsia" w:ascii="宋体" w:hAnsi="宋体" w:eastAsia="宋体" w:cs="宋体"/>
          <w:b w:val="0"/>
          <w:bCs/>
          <w:i w:val="0"/>
          <w:iCs w:val="0"/>
          <w:sz w:val="21"/>
          <w:szCs w:val="21"/>
          <w:lang w:eastAsia="zh-CN"/>
        </w:rPr>
      </w:pPr>
      <w:r>
        <w:rPr>
          <w:rFonts w:hint="eastAsia" w:ascii="宋体" w:hAnsi="宋体" w:eastAsia="宋体" w:cs="宋体"/>
          <w:b w:val="0"/>
          <w:bCs/>
          <w:i w:val="0"/>
          <w:iCs w:val="0"/>
          <w:sz w:val="21"/>
          <w:szCs w:val="21"/>
          <w:lang w:eastAsia="zh-CN"/>
        </w:rPr>
        <w:t>产品运输方式：汽运</w:t>
      </w:r>
    </w:p>
    <w:p>
      <w:pPr>
        <w:pStyle w:val="35"/>
        <w:numPr>
          <w:ilvl w:val="0"/>
          <w:numId w:val="8"/>
        </w:numPr>
        <w:spacing w:line="360" w:lineRule="auto"/>
        <w:ind w:firstLineChars="0"/>
        <w:jc w:val="left"/>
        <w:rPr>
          <w:rFonts w:hint="eastAsia" w:ascii="宋体" w:hAnsi="宋体" w:eastAsia="宋体" w:cs="宋体"/>
          <w:b w:val="0"/>
          <w:bCs/>
          <w:i w:val="0"/>
          <w:iCs w:val="0"/>
          <w:sz w:val="21"/>
          <w:szCs w:val="21"/>
          <w:lang w:eastAsia="zh-CN"/>
        </w:rPr>
      </w:pPr>
      <w:r>
        <w:rPr>
          <w:rFonts w:hint="eastAsia" w:ascii="宋体" w:hAnsi="宋体" w:eastAsia="宋体" w:cs="宋体"/>
          <w:b w:val="0"/>
          <w:bCs/>
          <w:i w:val="0"/>
          <w:iCs w:val="0"/>
          <w:sz w:val="21"/>
          <w:szCs w:val="21"/>
          <w:lang w:eastAsia="zh-CN"/>
        </w:rPr>
        <w:t>若无特殊要求或特殊标明，所有未标注材料均需要表面进行喷砂，喷砂等级：Sa2.5；结构管线等喷砂涂环氧富锌底漆,干膜厚度60-75微米。材料要求裸材验货，验收合格后接到招标方允许方可喷砂防腐。具体要求需要与招标方相关专业工程师联系。</w:t>
      </w:r>
    </w:p>
    <w:p>
      <w:pPr>
        <w:pStyle w:val="35"/>
        <w:numPr>
          <w:ilvl w:val="0"/>
          <w:numId w:val="8"/>
        </w:numPr>
        <w:spacing w:line="257" w:lineRule="auto"/>
        <w:ind w:right="122" w:firstLineChars="0"/>
        <w:jc w:val="left"/>
        <w:rPr>
          <w:rFonts w:hint="eastAsia" w:ascii="宋体" w:hAnsi="宋体" w:eastAsia="宋体" w:cs="宋体"/>
          <w:b w:val="0"/>
          <w:bCs/>
          <w:i w:val="0"/>
          <w:iCs w:val="0"/>
          <w:sz w:val="21"/>
          <w:szCs w:val="21"/>
          <w:lang w:eastAsia="zh-CN"/>
        </w:rPr>
      </w:pPr>
      <w:r>
        <w:rPr>
          <w:rFonts w:hint="eastAsia" w:ascii="宋体" w:hAnsi="宋体" w:eastAsia="宋体" w:cs="宋体"/>
          <w:b w:val="0"/>
          <w:bCs/>
          <w:i w:val="0"/>
          <w:iCs w:val="0"/>
          <w:sz w:val="21"/>
          <w:szCs w:val="21"/>
          <w:lang w:eastAsia="zh-CN"/>
        </w:rPr>
        <w:t>投标方有物料存放场地，送货前物料在投标方场地保存。供货时间为招标方提供详细供货料单后7-10天内验收裸材，并在验收合格后5天内喷砂防腐完成并送到招标方指定场地。如果遇到天气、检查、限制施工等不能卸货的情况，车辆需押车。投标方与运输公司必须配合，不得有异议。</w:t>
      </w:r>
    </w:p>
    <w:p>
      <w:pPr>
        <w:pStyle w:val="5"/>
        <w:jc w:val="left"/>
        <w:rPr>
          <w:rFonts w:hint="eastAsia" w:ascii="宋体" w:hAnsi="宋体" w:eastAsia="宋体" w:cs="宋体"/>
          <w:b w:val="0"/>
          <w:bCs/>
          <w:i w:val="0"/>
          <w:iCs w:val="0"/>
          <w:sz w:val="21"/>
          <w:szCs w:val="21"/>
        </w:rPr>
      </w:pPr>
      <w:bookmarkStart w:id="18" w:name="_Toc69912692"/>
      <w:r>
        <w:rPr>
          <w:rFonts w:hint="eastAsia" w:ascii="宋体" w:hAnsi="宋体" w:eastAsia="宋体" w:cs="宋体"/>
          <w:b w:val="0"/>
          <w:bCs/>
          <w:i w:val="0"/>
          <w:iCs w:val="0"/>
          <w:sz w:val="21"/>
          <w:szCs w:val="21"/>
        </w:rPr>
        <w:t>4. 产品存储</w:t>
      </w:r>
      <w:bookmarkEnd w:id="18"/>
    </w:p>
    <w:p>
      <w:pPr>
        <w:pStyle w:val="9"/>
        <w:spacing w:line="257" w:lineRule="auto"/>
        <w:ind w:left="0" w:leftChars="0" w:right="122" w:firstLine="420" w:firstLineChars="200"/>
        <w:jc w:val="left"/>
        <w:rPr>
          <w:rFonts w:hint="eastAsia" w:ascii="宋体" w:hAnsi="宋体" w:eastAsia="宋体" w:cs="宋体"/>
          <w:b w:val="0"/>
          <w:bCs/>
          <w:i w:val="0"/>
          <w:iCs w:val="0"/>
          <w:sz w:val="21"/>
          <w:szCs w:val="21"/>
          <w:lang w:eastAsia="zh-CN"/>
        </w:rPr>
      </w:pPr>
      <w:r>
        <w:rPr>
          <w:rFonts w:hint="eastAsia" w:ascii="宋体" w:hAnsi="宋体" w:eastAsia="宋体" w:cs="宋体"/>
          <w:b w:val="0"/>
          <w:bCs/>
          <w:i w:val="0"/>
          <w:iCs w:val="0"/>
          <w:sz w:val="21"/>
          <w:szCs w:val="21"/>
          <w:lang w:eastAsia="zh-CN"/>
        </w:rPr>
        <w:t>产品在交货前需在投标方场地存储，存储时间不超过4个月。其存储环境要求防潮，防尘、严禁接触地面。</w:t>
      </w:r>
    </w:p>
    <w:p>
      <w:pPr>
        <w:pStyle w:val="50"/>
        <w:spacing w:before="120" w:after="120"/>
        <w:jc w:val="left"/>
        <w:outlineLvl w:val="0"/>
        <w:rPr>
          <w:rFonts w:hint="eastAsia" w:ascii="宋体" w:hAnsi="宋体" w:eastAsia="宋体" w:cs="宋体"/>
          <w:b w:val="0"/>
          <w:bCs/>
          <w:i w:val="0"/>
          <w:iCs w:val="0"/>
          <w:color w:val="auto"/>
          <w:sz w:val="21"/>
          <w:szCs w:val="21"/>
        </w:rPr>
      </w:pPr>
      <w:r>
        <w:rPr>
          <w:rFonts w:hint="eastAsia" w:ascii="宋体" w:hAnsi="宋体" w:eastAsia="宋体" w:cs="宋体"/>
          <w:b w:val="0"/>
          <w:bCs/>
          <w:i w:val="0"/>
          <w:iCs w:val="0"/>
          <w:color w:val="auto"/>
          <w:sz w:val="21"/>
          <w:szCs w:val="21"/>
          <w:lang w:val="en-US" w:eastAsia="zh-CN"/>
        </w:rPr>
        <w:t>八</w:t>
      </w:r>
      <w:r>
        <w:rPr>
          <w:rFonts w:hint="eastAsia" w:ascii="宋体" w:hAnsi="宋体" w:eastAsia="宋体" w:cs="宋体"/>
          <w:b w:val="0"/>
          <w:bCs/>
          <w:i w:val="0"/>
          <w:iCs w:val="0"/>
          <w:color w:val="auto"/>
          <w:sz w:val="21"/>
          <w:szCs w:val="21"/>
        </w:rPr>
        <w:t>、质量保证</w:t>
      </w:r>
    </w:p>
    <w:p>
      <w:pPr>
        <w:pStyle w:val="9"/>
        <w:numPr>
          <w:ilvl w:val="0"/>
          <w:numId w:val="0"/>
        </w:numPr>
        <w:spacing w:line="257" w:lineRule="auto"/>
        <w:ind w:right="122" w:rightChars="0"/>
        <w:jc w:val="left"/>
        <w:rPr>
          <w:rFonts w:hint="eastAsia" w:ascii="宋体" w:hAnsi="宋体" w:eastAsia="宋体" w:cs="宋体"/>
          <w:b w:val="0"/>
          <w:bCs/>
          <w:i w:val="0"/>
          <w:iCs w:val="0"/>
          <w:sz w:val="21"/>
          <w:szCs w:val="21"/>
          <w:lang w:eastAsia="zh-CN"/>
        </w:rPr>
      </w:pPr>
      <w:r>
        <w:rPr>
          <w:rFonts w:hint="eastAsia" w:ascii="宋体" w:hAnsi="宋体" w:eastAsia="宋体" w:cs="宋体"/>
          <w:b w:val="0"/>
          <w:bCs/>
          <w:i w:val="0"/>
          <w:iCs w:val="0"/>
          <w:sz w:val="21"/>
          <w:szCs w:val="21"/>
          <w:lang w:eastAsia="zh-CN"/>
        </w:rPr>
        <w:t>1、到货验收不合格，无条件退换货，保修期内出现产品质量问题厂家负责处理；</w:t>
      </w:r>
    </w:p>
    <w:p>
      <w:pPr>
        <w:pStyle w:val="9"/>
        <w:numPr>
          <w:ilvl w:val="0"/>
          <w:numId w:val="0"/>
        </w:numPr>
        <w:spacing w:line="257" w:lineRule="auto"/>
        <w:ind w:right="122" w:rightChars="0"/>
        <w:jc w:val="left"/>
        <w:rPr>
          <w:rFonts w:hint="eastAsia" w:ascii="宋体" w:hAnsi="宋体" w:eastAsia="宋体" w:cs="宋体"/>
          <w:b w:val="0"/>
          <w:bCs/>
          <w:i w:val="0"/>
          <w:iCs w:val="0"/>
          <w:sz w:val="21"/>
          <w:szCs w:val="21"/>
          <w:lang w:eastAsia="zh-CN"/>
        </w:rPr>
      </w:pPr>
      <w:r>
        <w:rPr>
          <w:rFonts w:hint="eastAsia" w:ascii="宋体" w:hAnsi="宋体" w:eastAsia="宋体" w:cs="宋体"/>
          <w:b w:val="0"/>
          <w:bCs/>
          <w:i w:val="0"/>
          <w:iCs w:val="0"/>
          <w:sz w:val="21"/>
          <w:szCs w:val="21"/>
          <w:lang w:eastAsia="zh-CN"/>
        </w:rPr>
        <w:t>2、产品质保期为货物验收合格之日起12个月；</w:t>
      </w:r>
    </w:p>
    <w:p>
      <w:pPr>
        <w:pStyle w:val="9"/>
        <w:numPr>
          <w:ilvl w:val="0"/>
          <w:numId w:val="0"/>
        </w:numPr>
        <w:spacing w:line="257" w:lineRule="auto"/>
        <w:ind w:right="122" w:rightChars="0"/>
        <w:jc w:val="left"/>
        <w:rPr>
          <w:rFonts w:hint="eastAsia" w:ascii="宋体" w:hAnsi="宋体" w:eastAsia="宋体" w:cs="宋体"/>
          <w:b w:val="0"/>
          <w:bCs/>
          <w:i w:val="0"/>
          <w:iCs w:val="0"/>
          <w:sz w:val="21"/>
          <w:szCs w:val="21"/>
          <w:lang w:val="en-US" w:eastAsia="zh-CN"/>
        </w:rPr>
      </w:pPr>
      <w:r>
        <w:rPr>
          <w:rFonts w:hint="eastAsia" w:ascii="宋体" w:hAnsi="宋体" w:eastAsia="宋体" w:cs="宋体"/>
          <w:b w:val="0"/>
          <w:bCs/>
          <w:i w:val="0"/>
          <w:iCs w:val="0"/>
          <w:sz w:val="21"/>
          <w:szCs w:val="21"/>
          <w:lang w:val="en-US" w:eastAsia="zh-CN"/>
        </w:rPr>
        <w:t>3、</w:t>
      </w:r>
      <w:r>
        <w:rPr>
          <w:rFonts w:hint="eastAsia" w:ascii="宋体" w:hAnsi="宋体" w:eastAsia="宋体" w:cs="宋体"/>
          <w:b w:val="0"/>
          <w:bCs/>
          <w:i w:val="0"/>
          <w:iCs w:val="0"/>
          <w:sz w:val="21"/>
          <w:szCs w:val="21"/>
          <w:lang w:eastAsia="zh-CN"/>
        </w:rPr>
        <w:t>送货时必须带有相关证书</w:t>
      </w:r>
      <w:r>
        <w:rPr>
          <w:rFonts w:hint="eastAsia" w:ascii="宋体" w:hAnsi="宋体" w:eastAsia="宋体" w:cs="宋体"/>
          <w:b w:val="0"/>
          <w:bCs/>
          <w:i w:val="0"/>
          <w:iCs w:val="0"/>
          <w:sz w:val="21"/>
          <w:szCs w:val="21"/>
          <w:lang w:val="en-US" w:eastAsia="zh-CN"/>
        </w:rPr>
        <w:t>(包括但不限于</w:t>
      </w:r>
      <w:r>
        <w:rPr>
          <w:rFonts w:hint="eastAsia" w:ascii="宋体" w:hAnsi="宋体" w:eastAsia="宋体" w:cs="宋体"/>
          <w:b w:val="0"/>
          <w:bCs/>
          <w:i w:val="0"/>
          <w:iCs w:val="0"/>
          <w:sz w:val="21"/>
          <w:szCs w:val="21"/>
          <w:lang w:eastAsia="zh-CN"/>
        </w:rPr>
        <w:t>产品合格证书、材质证书（</w:t>
      </w:r>
      <w:r>
        <w:rPr>
          <w:rFonts w:hint="eastAsia" w:ascii="宋体" w:hAnsi="宋体" w:eastAsia="宋体" w:cs="宋体"/>
          <w:b w:val="0"/>
          <w:bCs/>
          <w:i w:val="0"/>
          <w:iCs w:val="0"/>
          <w:sz w:val="21"/>
          <w:szCs w:val="21"/>
          <w:lang w:val="en-US" w:eastAsia="zh-CN"/>
        </w:rPr>
        <w:t>均</w:t>
      </w:r>
      <w:r>
        <w:rPr>
          <w:rFonts w:hint="eastAsia" w:ascii="宋体" w:hAnsi="宋体" w:eastAsia="宋体" w:cs="宋体"/>
          <w:b w:val="0"/>
          <w:bCs/>
          <w:i w:val="0"/>
          <w:iCs w:val="0"/>
          <w:sz w:val="21"/>
          <w:szCs w:val="21"/>
          <w:lang w:eastAsia="zh-CN"/>
        </w:rPr>
        <w:t>加盖供货商公章 原件）。</w:t>
      </w:r>
    </w:p>
    <w:p>
      <w:pPr>
        <w:pStyle w:val="2"/>
        <w:rPr>
          <w:rFonts w:hint="eastAsia"/>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pStyle w:val="35"/>
        <w:keepNext w:val="0"/>
        <w:keepLines w:val="0"/>
        <w:pageBreakBefore w:val="0"/>
        <w:widowControl w:val="0"/>
        <w:numPr>
          <w:ilvl w:val="0"/>
          <w:numId w:val="0"/>
        </w:numPr>
        <w:kinsoku/>
        <w:wordWrap/>
        <w:overflowPunct/>
        <w:topLinePunct w:val="0"/>
        <w:autoSpaceDE/>
        <w:autoSpaceDN/>
        <w:bidi w:val="0"/>
        <w:adjustRightInd/>
        <w:snapToGrid/>
        <w:spacing w:line="380" w:lineRule="exact"/>
        <w:jc w:val="left"/>
        <w:textAlignment w:val="auto"/>
        <w:outlineLvl w:val="9"/>
        <w:rPr>
          <w:rFonts w:hint="eastAsia" w:asciiTheme="minorEastAsia" w:hAnsiTheme="minorEastAsia" w:eastAsiaTheme="minorEastAsia"/>
          <w:color w:val="000000" w:themeColor="text1"/>
          <w:sz w:val="21"/>
          <w:szCs w:val="21"/>
          <w:highlight w:val="none"/>
          <w14:textFill>
            <w14:solidFill>
              <w14:schemeClr w14:val="tx1"/>
            </w14:solidFill>
          </w14:textFill>
        </w:rPr>
      </w:pPr>
    </w:p>
    <w:p>
      <w:pPr>
        <w:keepNext w:val="0"/>
        <w:keepLines w:val="0"/>
        <w:pageBreakBefore w:val="0"/>
        <w:widowControl/>
        <w:kinsoku/>
        <w:wordWrap/>
        <w:overflowPunct/>
        <w:topLinePunct w:val="0"/>
        <w:autoSpaceDE/>
        <w:autoSpaceDN/>
        <w:bidi w:val="0"/>
        <w:adjustRightInd/>
        <w:snapToGrid/>
        <w:textAlignment w:val="auto"/>
        <w:outlineLvl w:val="9"/>
        <w:rPr>
          <w:rFonts w:ascii="黑体" w:hAnsi="黑体" w:eastAsia="黑体"/>
          <w:b/>
          <w:bCs/>
          <w:color w:val="000000" w:themeColor="text1"/>
          <w:sz w:val="24"/>
          <w:szCs w:val="24"/>
          <w:highlight w:val="none"/>
          <w14:textFill>
            <w14:solidFill>
              <w14:schemeClr w14:val="tx1"/>
            </w14:solidFill>
          </w14:textFill>
        </w:rPr>
      </w:pPr>
      <w:r>
        <w:rPr>
          <w:rFonts w:hint="eastAsia" w:ascii="黑体" w:hAnsi="黑体" w:eastAsia="黑体"/>
          <w:b/>
          <w:bCs/>
          <w:color w:val="000000" w:themeColor="text1"/>
          <w:sz w:val="24"/>
          <w:szCs w:val="24"/>
          <w:highlight w:val="none"/>
          <w14:textFill>
            <w14:solidFill>
              <w14:schemeClr w14:val="tx1"/>
            </w14:solidFill>
          </w14:textFill>
        </w:rPr>
        <w:t>附件</w:t>
      </w: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3： </w:t>
      </w:r>
      <w:r>
        <w:rPr>
          <w:rFonts w:hint="eastAsia" w:ascii="黑体" w:hAnsi="黑体" w:eastAsia="黑体"/>
          <w:b/>
          <w:bCs/>
          <w:color w:val="000000" w:themeColor="text1"/>
          <w:sz w:val="24"/>
          <w:szCs w:val="24"/>
          <w:highlight w:val="none"/>
          <w14:textFill>
            <w14:solidFill>
              <w14:schemeClr w14:val="tx1"/>
            </w14:solidFill>
          </w14:textFill>
        </w:rPr>
        <w:t>合同</w:t>
      </w:r>
      <w:r>
        <w:rPr>
          <w:rFonts w:ascii="黑体" w:hAnsi="黑体" w:eastAsia="黑体"/>
          <w:b/>
          <w:bCs/>
          <w:color w:val="000000" w:themeColor="text1"/>
          <w:sz w:val="24"/>
          <w:szCs w:val="24"/>
          <w:highlight w:val="none"/>
          <w14:textFill>
            <w14:solidFill>
              <w14:schemeClr w14:val="tx1"/>
            </w14:solidFill>
          </w14:textFill>
        </w:rPr>
        <w:t>文本</w:t>
      </w:r>
    </w:p>
    <w:p>
      <w:pPr>
        <w:spacing w:before="72" w:beforeLines="30" w:after="72" w:afterLines="30"/>
        <w:jc w:val="center"/>
        <w:rPr>
          <w:rFonts w:hAnsi="宋体"/>
          <w:b/>
          <w:bCs/>
          <w:sz w:val="36"/>
          <w:szCs w:val="36"/>
          <w:highlight w:val="none"/>
        </w:rPr>
      </w:pPr>
      <w:r>
        <w:rPr>
          <w:szCs w:val="21"/>
          <w:highlight w:val="none"/>
          <w:u w:val="single"/>
        </w:rPr>
        <w:t xml:space="preserve">           </w:t>
      </w:r>
      <w:r>
        <w:rPr>
          <w:rFonts w:hint="eastAsia" w:hAnsi="宋体"/>
          <w:b/>
          <w:bCs/>
          <w:sz w:val="36"/>
          <w:szCs w:val="36"/>
          <w:highlight w:val="none"/>
        </w:rPr>
        <w:t>货物买卖合同</w:t>
      </w:r>
    </w:p>
    <w:p>
      <w:pPr>
        <w:spacing w:after="100" w:afterAutospacing="1"/>
        <w:jc w:val="center"/>
        <w:rPr>
          <w:rFonts w:hAnsi="宋体"/>
          <w:bCs/>
          <w:szCs w:val="21"/>
          <w:highlight w:val="none"/>
          <w:u w:val="single"/>
        </w:rPr>
      </w:pPr>
      <w:r>
        <w:rPr>
          <w:rFonts w:hint="eastAsia" w:hAnsi="宋体"/>
          <w:bCs/>
          <w:sz w:val="24"/>
          <w:highlight w:val="none"/>
        </w:rPr>
        <w:t xml:space="preserve">                                      </w:t>
      </w:r>
      <w:r>
        <w:rPr>
          <w:rFonts w:hint="eastAsia" w:hAnsi="宋体"/>
          <w:bCs/>
          <w:szCs w:val="21"/>
          <w:highlight w:val="none"/>
        </w:rPr>
        <w:t>合同编号：</w:t>
      </w:r>
      <w:r>
        <w:rPr>
          <w:szCs w:val="21"/>
          <w:highlight w:val="none"/>
          <w:u w:val="single"/>
        </w:rPr>
        <w:t xml:space="preserve">                           </w:t>
      </w:r>
      <w:r>
        <w:rPr>
          <w:rFonts w:hint="eastAsia" w:hAnsi="宋体"/>
          <w:bCs/>
          <w:szCs w:val="21"/>
          <w:highlight w:val="none"/>
          <w:u w:val="single"/>
        </w:rPr>
        <w:t xml:space="preserve">         </w:t>
      </w:r>
    </w:p>
    <w:p>
      <w:pPr>
        <w:pStyle w:val="14"/>
        <w:spacing w:before="72" w:beforeLines="30" w:after="72" w:afterLines="30"/>
        <w:rPr>
          <w:sz w:val="24"/>
          <w:highlight w:val="none"/>
        </w:rPr>
      </w:pPr>
      <w:r>
        <w:rPr>
          <w:rFonts w:hint="eastAsia"/>
          <w:sz w:val="24"/>
          <w:highlight w:val="none"/>
        </w:rPr>
        <w:t>本货物买卖合同（以下称“合同”或“本合同”）由以下双方于【</w:t>
      </w:r>
      <w:r>
        <w:rPr>
          <w:rFonts w:hint="eastAsia"/>
          <w:i/>
          <w:sz w:val="24"/>
          <w:highlight w:val="none"/>
        </w:rPr>
        <w:t>填入签订日期</w:t>
      </w:r>
      <w:r>
        <w:rPr>
          <w:rFonts w:hint="eastAsia"/>
          <w:sz w:val="24"/>
          <w:highlight w:val="none"/>
        </w:rPr>
        <w:t>】在【</w:t>
      </w:r>
      <w:r>
        <w:rPr>
          <w:rFonts w:hint="eastAsia"/>
          <w:i/>
          <w:sz w:val="24"/>
          <w:highlight w:val="none"/>
        </w:rPr>
        <w:t>填入签订地点</w:t>
      </w:r>
      <w:r>
        <w:rPr>
          <w:rFonts w:hint="eastAsia"/>
          <w:sz w:val="24"/>
          <w:highlight w:val="none"/>
        </w:rPr>
        <w:t>】签署。</w:t>
      </w:r>
    </w:p>
    <w:p>
      <w:pPr>
        <w:tabs>
          <w:tab w:val="left" w:pos="3060"/>
        </w:tabs>
        <w:spacing w:before="72" w:beforeLines="30" w:after="72" w:afterLines="30" w:line="360" w:lineRule="auto"/>
        <w:ind w:firstLine="426" w:firstLineChars="177"/>
        <w:rPr>
          <w:sz w:val="24"/>
          <w:highlight w:val="none"/>
        </w:rPr>
      </w:pPr>
      <w:r>
        <w:rPr>
          <w:rFonts w:hint="eastAsia"/>
          <w:b/>
          <w:sz w:val="24"/>
          <w:highlight w:val="none"/>
        </w:rPr>
        <w:t>买</w:t>
      </w:r>
      <w:r>
        <w:rPr>
          <w:b/>
          <w:sz w:val="24"/>
          <w:highlight w:val="none"/>
        </w:rPr>
        <w:t xml:space="preserve">  </w:t>
      </w:r>
      <w:r>
        <w:rPr>
          <w:rFonts w:hint="eastAsia"/>
          <w:b/>
          <w:sz w:val="24"/>
          <w:highlight w:val="none"/>
        </w:rPr>
        <w:t>方：</w:t>
      </w:r>
      <w:r>
        <w:rPr>
          <w:sz w:val="24"/>
          <w:highlight w:val="none"/>
          <w:u w:val="single"/>
        </w:rPr>
        <w:t xml:space="preserve">                         </w:t>
      </w:r>
      <w:r>
        <w:rPr>
          <w:rFonts w:hint="eastAsia"/>
          <w:sz w:val="24"/>
          <w:highlight w:val="none"/>
        </w:rPr>
        <w:t xml:space="preserve">   </w:t>
      </w:r>
      <w:r>
        <w:rPr>
          <w:rFonts w:hint="eastAsia"/>
          <w:b/>
          <w:sz w:val="24"/>
          <w:highlight w:val="none"/>
        </w:rPr>
        <w:t>卖</w:t>
      </w:r>
      <w:r>
        <w:rPr>
          <w:b/>
          <w:sz w:val="24"/>
          <w:highlight w:val="none"/>
        </w:rPr>
        <w:t xml:space="preserve">  </w:t>
      </w:r>
      <w:r>
        <w:rPr>
          <w:rFonts w:hint="eastAsia"/>
          <w:b/>
          <w:sz w:val="24"/>
          <w:highlight w:val="none"/>
        </w:rPr>
        <w:t>方：</w:t>
      </w:r>
      <w:bookmarkStart w:id="19" w:name="OLE_LINK2"/>
      <w:bookmarkStart w:id="20" w:name="OLE_LINK1"/>
      <w:r>
        <w:rPr>
          <w:sz w:val="24"/>
          <w:highlight w:val="none"/>
          <w:u w:val="single"/>
        </w:rPr>
        <w:t xml:space="preserve">                           </w:t>
      </w:r>
      <w:bookmarkEnd w:id="19"/>
      <w:bookmarkEnd w:id="20"/>
    </w:p>
    <w:p>
      <w:pPr>
        <w:tabs>
          <w:tab w:val="left" w:pos="3060"/>
        </w:tabs>
        <w:spacing w:before="72" w:beforeLines="30" w:after="72" w:afterLines="30" w:line="360" w:lineRule="auto"/>
        <w:ind w:firstLine="422" w:firstLineChars="176"/>
        <w:rPr>
          <w:sz w:val="24"/>
          <w:highlight w:val="none"/>
          <w:u w:val="single"/>
        </w:rPr>
      </w:pPr>
      <w:r>
        <w:rPr>
          <w:rFonts w:hint="eastAsia"/>
          <w:sz w:val="24"/>
          <w:highlight w:val="none"/>
        </w:rPr>
        <w:t>注册地址：</w:t>
      </w:r>
      <w:r>
        <w:rPr>
          <w:rFonts w:hint="eastAsia"/>
          <w:sz w:val="24"/>
          <w:highlight w:val="none"/>
          <w:u w:val="single"/>
        </w:rPr>
        <w:t xml:space="preserve">                       </w:t>
      </w:r>
      <w:r>
        <w:rPr>
          <w:rFonts w:hint="eastAsia"/>
          <w:sz w:val="24"/>
          <w:highlight w:val="none"/>
        </w:rPr>
        <w:t xml:space="preserve">   注册地址：</w:t>
      </w:r>
      <w:r>
        <w:rPr>
          <w:sz w:val="24"/>
          <w:highlight w:val="none"/>
          <w:u w:val="single"/>
        </w:rPr>
        <w:t xml:space="preserve">                         </w:t>
      </w:r>
    </w:p>
    <w:p>
      <w:pPr>
        <w:pStyle w:val="14"/>
        <w:spacing w:before="72" w:beforeLines="30" w:after="72" w:afterLines="30"/>
        <w:rPr>
          <w:sz w:val="24"/>
          <w:highlight w:val="none"/>
        </w:rPr>
      </w:pPr>
      <w:r>
        <w:rPr>
          <w:rFonts w:hint="eastAsia" w:hAnsi="宋体"/>
          <w:sz w:val="24"/>
          <w:highlight w:val="none"/>
        </w:rPr>
        <w:t>根据《中华人民共和国民法典》及相关法律法规的规定，</w:t>
      </w:r>
      <w:r>
        <w:rPr>
          <w:rFonts w:hAnsi="宋体"/>
          <w:sz w:val="24"/>
          <w:highlight w:val="none"/>
        </w:rPr>
        <w:t>就</w:t>
      </w:r>
      <w:r>
        <w:rPr>
          <w:rFonts w:hint="eastAsia"/>
          <w:sz w:val="24"/>
          <w:highlight w:val="none"/>
        </w:rPr>
        <w:t>【</w:t>
      </w:r>
      <w:r>
        <w:rPr>
          <w:rFonts w:hint="eastAsia"/>
          <w:i/>
          <w:sz w:val="24"/>
          <w:highlight w:val="none"/>
        </w:rPr>
        <w:t>填入货物名称</w:t>
      </w:r>
      <w:r>
        <w:rPr>
          <w:rFonts w:hint="eastAsia"/>
          <w:sz w:val="24"/>
          <w:highlight w:val="none"/>
        </w:rPr>
        <w:t>】</w:t>
      </w:r>
      <w:r>
        <w:rPr>
          <w:rFonts w:hint="eastAsia" w:hAnsi="宋体"/>
          <w:sz w:val="24"/>
          <w:highlight w:val="none"/>
        </w:rPr>
        <w:t>的采购和销售及</w:t>
      </w:r>
      <w:r>
        <w:rPr>
          <w:rFonts w:hAnsi="宋体"/>
          <w:sz w:val="24"/>
          <w:highlight w:val="none"/>
        </w:rPr>
        <w:t>相关事宜，</w:t>
      </w:r>
      <w:r>
        <w:rPr>
          <w:rFonts w:hint="eastAsia" w:hAnsi="宋体"/>
          <w:sz w:val="24"/>
          <w:highlight w:val="none"/>
        </w:rPr>
        <w:t>经协商一致，双方</w:t>
      </w:r>
      <w:r>
        <w:rPr>
          <w:rFonts w:hAnsi="宋体"/>
          <w:sz w:val="24"/>
          <w:highlight w:val="none"/>
        </w:rPr>
        <w:t>达成如下</w:t>
      </w:r>
      <w:r>
        <w:rPr>
          <w:rFonts w:hint="eastAsia" w:hAnsi="宋体"/>
          <w:sz w:val="24"/>
          <w:highlight w:val="none"/>
        </w:rPr>
        <w:t>合同条款，以兹共同遵守。</w:t>
      </w:r>
    </w:p>
    <w:p>
      <w:pPr>
        <w:pStyle w:val="15"/>
        <w:numPr>
          <w:ilvl w:val="0"/>
          <w:numId w:val="9"/>
        </w:numPr>
        <w:spacing w:before="72" w:beforeLines="30" w:after="72" w:afterLines="30" w:line="360" w:lineRule="auto"/>
        <w:ind w:left="851" w:hanging="851"/>
        <w:jc w:val="left"/>
        <w:rPr>
          <w:sz w:val="24"/>
          <w:highlight w:val="none"/>
        </w:rPr>
      </w:pPr>
      <w:bookmarkStart w:id="21" w:name="_Toc306354308"/>
      <w:r>
        <w:rPr>
          <w:sz w:val="24"/>
          <w:szCs w:val="24"/>
          <w:highlight w:val="none"/>
        </w:rPr>
        <w:t>合同标的</w:t>
      </w:r>
      <w:bookmarkEnd w:id="21"/>
    </w:p>
    <w:p>
      <w:pPr>
        <w:numPr>
          <w:ilvl w:val="0"/>
          <w:numId w:val="10"/>
        </w:numPr>
        <w:tabs>
          <w:tab w:val="left" w:pos="567"/>
          <w:tab w:val="clear" w:pos="2278"/>
        </w:tabs>
        <w:spacing w:before="72" w:beforeLines="30" w:after="72" w:afterLines="30" w:line="360" w:lineRule="auto"/>
        <w:ind w:left="567" w:hanging="567"/>
        <w:rPr>
          <w:rFonts w:hAnsi="宋体"/>
          <w:sz w:val="24"/>
          <w:highlight w:val="none"/>
        </w:rPr>
      </w:pPr>
      <w:bookmarkStart w:id="22" w:name="OLE_LINK17"/>
      <w:bookmarkStart w:id="23" w:name="OLE_LINK19"/>
      <w:bookmarkStart w:id="24" w:name="OLE_LINK16"/>
      <w:bookmarkStart w:id="25" w:name="OLE_LINK25"/>
      <w:bookmarkStart w:id="26" w:name="OLE_LINK23"/>
      <w:bookmarkStart w:id="27" w:name="OLE_LINK22"/>
      <w:bookmarkStart w:id="28" w:name="OLE_LINK18"/>
      <w:bookmarkStart w:id="29" w:name="OLE_LINK21"/>
      <w:bookmarkStart w:id="30" w:name="OLE_LINK13"/>
      <w:bookmarkStart w:id="31" w:name="OLE_LINK24"/>
      <w:bookmarkStart w:id="32" w:name="OLE_LINK9"/>
      <w:bookmarkStart w:id="33" w:name="OLE_LINK26"/>
      <w:bookmarkStart w:id="34" w:name="OLE_LINK15"/>
      <w:bookmarkStart w:id="35" w:name="OLE_LINK14"/>
      <w:bookmarkStart w:id="36" w:name="OLE_LINK10"/>
      <w:bookmarkStart w:id="37" w:name="OLE_LINK20"/>
      <w:r>
        <w:rPr>
          <w:rFonts w:hint="eastAsia"/>
          <w:sz w:val="24"/>
          <w:highlight w:val="none"/>
        </w:rPr>
        <w:t>卖方向买方供应的货物的名称、数量、型号、规格</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Pr>
          <w:rFonts w:hint="eastAsia"/>
          <w:sz w:val="24"/>
          <w:highlight w:val="none"/>
        </w:rPr>
        <w:t>、单价、原产地等如下：</w:t>
      </w:r>
    </w:p>
    <w:tbl>
      <w:tblPr>
        <w:tblStyle w:val="18"/>
        <w:tblW w:w="10490" w:type="dxa"/>
        <w:tblInd w:w="-714" w:type="dxa"/>
        <w:tblLayout w:type="fixed"/>
        <w:tblCellMar>
          <w:top w:w="0" w:type="dxa"/>
          <w:left w:w="108" w:type="dxa"/>
          <w:bottom w:w="0" w:type="dxa"/>
          <w:right w:w="108" w:type="dxa"/>
        </w:tblCellMar>
      </w:tblPr>
      <w:tblGrid>
        <w:gridCol w:w="709"/>
        <w:gridCol w:w="2523"/>
        <w:gridCol w:w="1872"/>
        <w:gridCol w:w="850"/>
        <w:gridCol w:w="709"/>
        <w:gridCol w:w="709"/>
        <w:gridCol w:w="850"/>
        <w:gridCol w:w="1418"/>
        <w:gridCol w:w="850"/>
      </w:tblGrid>
      <w:tr>
        <w:tblPrEx>
          <w:tblCellMar>
            <w:top w:w="0" w:type="dxa"/>
            <w:left w:w="108" w:type="dxa"/>
            <w:bottom w:w="0" w:type="dxa"/>
            <w:right w:w="108" w:type="dxa"/>
          </w:tblCellMar>
        </w:tblPrEx>
        <w:trPr>
          <w:trHeight w:val="835" w:hRule="atLeast"/>
        </w:trPr>
        <w:tc>
          <w:tcPr>
            <w:tcW w:w="709" w:type="dxa"/>
            <w:tcBorders>
              <w:top w:val="single" w:color="auto" w:sz="4" w:space="0"/>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序号</w:t>
            </w:r>
          </w:p>
        </w:tc>
        <w:tc>
          <w:tcPr>
            <w:tcW w:w="2523"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物资名称</w:t>
            </w:r>
          </w:p>
        </w:tc>
        <w:tc>
          <w:tcPr>
            <w:tcW w:w="1872"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cs="宋体"/>
                <w:kern w:val="0"/>
                <w:sz w:val="24"/>
                <w:highlight w:val="none"/>
              </w:rPr>
            </w:pPr>
            <w:r>
              <w:rPr>
                <w:rFonts w:hint="eastAsia" w:ascii="宋体" w:hAnsi="宋体" w:cs="宋体"/>
                <w:kern w:val="0"/>
                <w:sz w:val="24"/>
                <w:highlight w:val="none"/>
              </w:rPr>
              <w:t>品牌规格型号</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rPr>
                <w:rFonts w:ascii="宋体" w:hAnsi="宋体" w:cs="宋体"/>
                <w:kern w:val="0"/>
                <w:sz w:val="24"/>
                <w:highlight w:val="none"/>
              </w:rPr>
            </w:pPr>
            <w:r>
              <w:rPr>
                <w:rFonts w:ascii="宋体" w:hAnsi="宋体" w:cs="宋体"/>
                <w:kern w:val="0"/>
                <w:sz w:val="24"/>
                <w:highlight w:val="none"/>
              </w:rPr>
              <w:t>原产地</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单位</w:t>
            </w:r>
          </w:p>
        </w:tc>
        <w:tc>
          <w:tcPr>
            <w:tcW w:w="709"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数量</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单价</w:t>
            </w:r>
          </w:p>
        </w:tc>
        <w:tc>
          <w:tcPr>
            <w:tcW w:w="1418"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金额</w:t>
            </w:r>
          </w:p>
        </w:tc>
        <w:tc>
          <w:tcPr>
            <w:tcW w:w="850" w:type="dxa"/>
            <w:tcBorders>
              <w:top w:val="single" w:color="auto" w:sz="4" w:space="0"/>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备注</w:t>
            </w:r>
          </w:p>
        </w:tc>
      </w:tr>
      <w:tr>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1</w:t>
            </w:r>
          </w:p>
        </w:tc>
        <w:tc>
          <w:tcPr>
            <w:tcW w:w="2523" w:type="dxa"/>
            <w:tcBorders>
              <w:top w:val="nil"/>
              <w:left w:val="nil"/>
              <w:bottom w:val="single" w:color="auto" w:sz="4" w:space="0"/>
              <w:right w:val="single" w:color="auto" w:sz="4" w:space="0"/>
            </w:tcBorders>
            <w:vAlign w:val="bottom"/>
          </w:tcPr>
          <w:p>
            <w:pPr>
              <w:widowControl/>
              <w:tabs>
                <w:tab w:val="center" w:pos="1124"/>
                <w:tab w:val="right" w:pos="2129"/>
              </w:tabs>
              <w:spacing w:line="360" w:lineRule="auto"/>
              <w:jc w:val="left"/>
              <w:textAlignment w:val="bottom"/>
              <w:rPr>
                <w:rFonts w:ascii="宋体" w:hAnsi="宋体" w:cs="宋体"/>
                <w:kern w:val="0"/>
                <w:sz w:val="24"/>
                <w:highlight w:val="none"/>
              </w:rPr>
            </w:pPr>
          </w:p>
        </w:tc>
        <w:tc>
          <w:tcPr>
            <w:tcW w:w="1872" w:type="dxa"/>
            <w:tcBorders>
              <w:top w:val="nil"/>
              <w:left w:val="nil"/>
              <w:bottom w:val="single" w:color="auto" w:sz="4" w:space="0"/>
              <w:right w:val="single" w:color="auto" w:sz="4" w:space="0"/>
            </w:tcBorders>
            <w:vAlign w:val="center"/>
          </w:tcPr>
          <w:p>
            <w:pPr>
              <w:spacing w:line="360" w:lineRule="auto"/>
              <w:rPr>
                <w:rFonts w:ascii="宋体" w:hAnsi="宋体" w:cs="宋体"/>
                <w:kern w:val="0"/>
                <w:sz w:val="24"/>
                <w:highlight w:val="none"/>
              </w:rPr>
            </w:pPr>
          </w:p>
        </w:tc>
        <w:tc>
          <w:tcPr>
            <w:tcW w:w="850" w:type="dxa"/>
            <w:tcBorders>
              <w:top w:val="nil"/>
              <w:left w:val="nil"/>
              <w:bottom w:val="single" w:color="auto" w:sz="4" w:space="0"/>
              <w:right w:val="single" w:color="auto" w:sz="4" w:space="0"/>
            </w:tcBorders>
            <w:vAlign w:val="center"/>
          </w:tcPr>
          <w:p>
            <w:pPr>
              <w:spacing w:line="360" w:lineRule="auto"/>
              <w:rPr>
                <w:rFonts w:ascii="宋体" w:hAnsi="宋体" w:cs="宋体"/>
                <w:kern w:val="0"/>
                <w:sz w:val="24"/>
                <w:highlight w:val="none"/>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highlight w:val="none"/>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highlight w:val="none"/>
              </w:rPr>
            </w:pPr>
          </w:p>
        </w:tc>
        <w:tc>
          <w:tcPr>
            <w:tcW w:w="850" w:type="dxa"/>
            <w:tcBorders>
              <w:top w:val="nil"/>
              <w:left w:val="nil"/>
              <w:bottom w:val="single" w:color="auto" w:sz="4" w:space="0"/>
              <w:right w:val="single" w:color="auto" w:sz="4" w:space="0"/>
            </w:tcBorders>
            <w:vAlign w:val="center"/>
          </w:tcPr>
          <w:p>
            <w:pPr>
              <w:widowControl/>
              <w:spacing w:line="360" w:lineRule="auto"/>
              <w:textAlignment w:val="center"/>
              <w:rPr>
                <w:rFonts w:ascii="宋体" w:hAnsi="宋体" w:cs="仿宋"/>
                <w:kern w:val="0"/>
                <w:sz w:val="24"/>
                <w:highlight w:val="none"/>
              </w:rPr>
            </w:pPr>
          </w:p>
        </w:tc>
        <w:tc>
          <w:tcPr>
            <w:tcW w:w="1418" w:type="dxa"/>
            <w:tcBorders>
              <w:top w:val="nil"/>
              <w:left w:val="nil"/>
              <w:bottom w:val="single" w:color="auto" w:sz="4" w:space="0"/>
              <w:right w:val="single" w:color="auto" w:sz="4" w:space="0"/>
            </w:tcBorders>
            <w:vAlign w:val="center"/>
          </w:tcPr>
          <w:p>
            <w:pPr>
              <w:widowControl/>
              <w:spacing w:line="360" w:lineRule="auto"/>
              <w:textAlignment w:val="center"/>
              <w:rPr>
                <w:rFonts w:ascii="宋体" w:hAnsi="宋体" w:cs="仿宋"/>
                <w:kern w:val="0"/>
                <w:sz w:val="24"/>
                <w:highlight w:val="none"/>
              </w:rPr>
            </w:pPr>
          </w:p>
        </w:tc>
        <w:tc>
          <w:tcPr>
            <w:tcW w:w="850" w:type="dxa"/>
            <w:tcBorders>
              <w:top w:val="nil"/>
              <w:left w:val="nil"/>
              <w:bottom w:val="single" w:color="auto" w:sz="4" w:space="0"/>
              <w:right w:val="single" w:color="auto" w:sz="4" w:space="0"/>
            </w:tcBorders>
            <w:vAlign w:val="center"/>
          </w:tcPr>
          <w:p>
            <w:pPr>
              <w:widowControl/>
              <w:spacing w:line="360" w:lineRule="auto"/>
              <w:ind w:right="120"/>
              <w:rPr>
                <w:rFonts w:ascii="宋体" w:hAnsi="宋体" w:cs="宋体"/>
                <w:kern w:val="0"/>
                <w:sz w:val="24"/>
                <w:highlight w:val="none"/>
              </w:rPr>
            </w:pPr>
          </w:p>
        </w:tc>
      </w:tr>
      <w:tr>
        <w:tblPrEx>
          <w:tblCellMar>
            <w:top w:w="0" w:type="dxa"/>
            <w:left w:w="108" w:type="dxa"/>
            <w:bottom w:w="0" w:type="dxa"/>
            <w:right w:w="108" w:type="dxa"/>
          </w:tblCellMar>
        </w:tblPrEx>
        <w:trPr>
          <w:trHeight w:val="285" w:hRule="atLeast"/>
        </w:trPr>
        <w:tc>
          <w:tcPr>
            <w:tcW w:w="709" w:type="dxa"/>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2</w:t>
            </w:r>
          </w:p>
        </w:tc>
        <w:tc>
          <w:tcPr>
            <w:tcW w:w="2523" w:type="dxa"/>
            <w:tcBorders>
              <w:top w:val="nil"/>
              <w:left w:val="nil"/>
              <w:bottom w:val="single" w:color="auto" w:sz="4" w:space="0"/>
              <w:right w:val="single" w:color="auto" w:sz="4" w:space="0"/>
            </w:tcBorders>
            <w:vAlign w:val="bottom"/>
          </w:tcPr>
          <w:p>
            <w:pPr>
              <w:widowControl/>
              <w:spacing w:line="360" w:lineRule="auto"/>
              <w:textAlignment w:val="bottom"/>
              <w:rPr>
                <w:rFonts w:ascii="宋体" w:hAnsi="宋体" w:cs="宋体"/>
                <w:kern w:val="0"/>
                <w:sz w:val="24"/>
                <w:highlight w:val="none"/>
              </w:rPr>
            </w:pPr>
          </w:p>
        </w:tc>
        <w:tc>
          <w:tcPr>
            <w:tcW w:w="1872" w:type="dxa"/>
            <w:tcBorders>
              <w:top w:val="nil"/>
              <w:left w:val="nil"/>
              <w:bottom w:val="single" w:color="auto" w:sz="4" w:space="0"/>
              <w:right w:val="single" w:color="auto" w:sz="4" w:space="0"/>
            </w:tcBorders>
            <w:vAlign w:val="center"/>
          </w:tcPr>
          <w:p>
            <w:pPr>
              <w:spacing w:line="360" w:lineRule="auto"/>
              <w:rPr>
                <w:rFonts w:ascii="宋体" w:hAnsi="宋体" w:cs="宋体"/>
                <w:kern w:val="0"/>
                <w:sz w:val="24"/>
                <w:highlight w:val="none"/>
              </w:rPr>
            </w:pPr>
          </w:p>
        </w:tc>
        <w:tc>
          <w:tcPr>
            <w:tcW w:w="850" w:type="dxa"/>
            <w:tcBorders>
              <w:top w:val="nil"/>
              <w:left w:val="nil"/>
              <w:bottom w:val="single" w:color="auto" w:sz="4" w:space="0"/>
              <w:right w:val="single" w:color="auto" w:sz="4" w:space="0"/>
            </w:tcBorders>
            <w:vAlign w:val="center"/>
          </w:tcPr>
          <w:p>
            <w:pPr>
              <w:spacing w:line="360" w:lineRule="auto"/>
              <w:rPr>
                <w:rFonts w:ascii="宋体" w:hAnsi="宋体" w:cs="宋体"/>
                <w:kern w:val="0"/>
                <w:sz w:val="24"/>
                <w:highlight w:val="none"/>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highlight w:val="none"/>
              </w:rPr>
            </w:pPr>
          </w:p>
        </w:tc>
        <w:tc>
          <w:tcPr>
            <w:tcW w:w="709" w:type="dxa"/>
            <w:tcBorders>
              <w:top w:val="nil"/>
              <w:left w:val="nil"/>
              <w:bottom w:val="single" w:color="auto" w:sz="4" w:space="0"/>
              <w:right w:val="single" w:color="auto" w:sz="4" w:space="0"/>
            </w:tcBorders>
            <w:vAlign w:val="center"/>
          </w:tcPr>
          <w:p>
            <w:pPr>
              <w:widowControl/>
              <w:spacing w:line="360" w:lineRule="auto"/>
              <w:jc w:val="center"/>
              <w:textAlignment w:val="center"/>
              <w:rPr>
                <w:rFonts w:ascii="宋体" w:hAnsi="宋体" w:cs="宋体"/>
                <w:kern w:val="0"/>
                <w:sz w:val="24"/>
                <w:highlight w:val="none"/>
              </w:rPr>
            </w:pPr>
          </w:p>
        </w:tc>
        <w:tc>
          <w:tcPr>
            <w:tcW w:w="850" w:type="dxa"/>
            <w:tcBorders>
              <w:top w:val="nil"/>
              <w:left w:val="nil"/>
              <w:bottom w:val="single" w:color="auto" w:sz="4" w:space="0"/>
              <w:right w:val="single" w:color="auto" w:sz="4" w:space="0"/>
            </w:tcBorders>
            <w:vAlign w:val="center"/>
          </w:tcPr>
          <w:p>
            <w:pPr>
              <w:widowControl/>
              <w:spacing w:line="360" w:lineRule="auto"/>
              <w:textAlignment w:val="center"/>
              <w:rPr>
                <w:rFonts w:ascii="宋体" w:hAnsi="宋体" w:cs="仿宋"/>
                <w:kern w:val="0"/>
                <w:sz w:val="24"/>
                <w:highlight w:val="none"/>
              </w:rPr>
            </w:pPr>
          </w:p>
        </w:tc>
        <w:tc>
          <w:tcPr>
            <w:tcW w:w="1418" w:type="dxa"/>
            <w:tcBorders>
              <w:top w:val="nil"/>
              <w:left w:val="nil"/>
              <w:bottom w:val="single" w:color="auto" w:sz="4" w:space="0"/>
              <w:right w:val="single" w:color="auto" w:sz="4" w:space="0"/>
            </w:tcBorders>
            <w:vAlign w:val="center"/>
          </w:tcPr>
          <w:p>
            <w:pPr>
              <w:widowControl/>
              <w:spacing w:line="360" w:lineRule="auto"/>
              <w:textAlignment w:val="center"/>
              <w:rPr>
                <w:rFonts w:ascii="宋体" w:hAnsi="宋体" w:cs="仿宋"/>
                <w:kern w:val="0"/>
                <w:sz w:val="24"/>
                <w:highlight w:val="none"/>
              </w:rPr>
            </w:pPr>
          </w:p>
        </w:tc>
        <w:tc>
          <w:tcPr>
            <w:tcW w:w="850" w:type="dxa"/>
            <w:tcBorders>
              <w:top w:val="nil"/>
              <w:left w:val="nil"/>
              <w:bottom w:val="single" w:color="auto" w:sz="4" w:space="0"/>
              <w:right w:val="single" w:color="auto" w:sz="4" w:space="0"/>
            </w:tcBorders>
            <w:vAlign w:val="center"/>
          </w:tcPr>
          <w:p>
            <w:pPr>
              <w:widowControl/>
              <w:spacing w:line="360" w:lineRule="auto"/>
              <w:ind w:right="120"/>
              <w:rPr>
                <w:rFonts w:ascii="宋体" w:hAnsi="宋体" w:cs="宋体"/>
                <w:kern w:val="0"/>
                <w:sz w:val="24"/>
                <w:highlight w:val="none"/>
              </w:rPr>
            </w:pPr>
          </w:p>
        </w:tc>
      </w:tr>
      <w:tr>
        <w:tblPrEx>
          <w:tblCellMar>
            <w:top w:w="0" w:type="dxa"/>
            <w:left w:w="108" w:type="dxa"/>
            <w:bottom w:w="0" w:type="dxa"/>
            <w:right w:w="108" w:type="dxa"/>
          </w:tblCellMar>
        </w:tblPrEx>
        <w:trPr>
          <w:trHeight w:val="285" w:hRule="atLeast"/>
        </w:trPr>
        <w:tc>
          <w:tcPr>
            <w:tcW w:w="3232" w:type="dxa"/>
            <w:gridSpan w:val="2"/>
            <w:tcBorders>
              <w:top w:val="nil"/>
              <w:left w:val="single" w:color="auto" w:sz="4" w:space="0"/>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r>
              <w:rPr>
                <w:rFonts w:hint="eastAsia" w:ascii="宋体" w:hAnsi="宋体" w:cs="宋体"/>
                <w:kern w:val="0"/>
                <w:sz w:val="24"/>
                <w:highlight w:val="none"/>
              </w:rPr>
              <w:t>合计（元）</w:t>
            </w:r>
          </w:p>
        </w:tc>
        <w:tc>
          <w:tcPr>
            <w:tcW w:w="7258" w:type="dxa"/>
            <w:gridSpan w:val="7"/>
            <w:tcBorders>
              <w:top w:val="nil"/>
              <w:left w:val="nil"/>
              <w:bottom w:val="single" w:color="auto" w:sz="4" w:space="0"/>
              <w:right w:val="single" w:color="auto" w:sz="4" w:space="0"/>
            </w:tcBorders>
            <w:vAlign w:val="center"/>
          </w:tcPr>
          <w:p>
            <w:pPr>
              <w:widowControl/>
              <w:spacing w:line="360" w:lineRule="auto"/>
              <w:jc w:val="center"/>
              <w:rPr>
                <w:rFonts w:ascii="宋体" w:hAnsi="宋体" w:cs="宋体"/>
                <w:kern w:val="0"/>
                <w:sz w:val="24"/>
                <w:highlight w:val="none"/>
              </w:rPr>
            </w:pPr>
          </w:p>
        </w:tc>
      </w:tr>
      <w:tr>
        <w:tblPrEx>
          <w:tblCellMar>
            <w:top w:w="0" w:type="dxa"/>
            <w:left w:w="108" w:type="dxa"/>
            <w:bottom w:w="0" w:type="dxa"/>
            <w:right w:w="108" w:type="dxa"/>
          </w:tblCellMar>
        </w:tblPrEx>
        <w:trPr>
          <w:trHeight w:val="285" w:hRule="atLeast"/>
        </w:trPr>
        <w:tc>
          <w:tcPr>
            <w:tcW w:w="10490" w:type="dxa"/>
            <w:gridSpan w:val="9"/>
            <w:tcBorders>
              <w:top w:val="single" w:color="auto" w:sz="4" w:space="0"/>
              <w:left w:val="single" w:color="auto" w:sz="4" w:space="0"/>
              <w:bottom w:val="single" w:color="auto" w:sz="4" w:space="0"/>
              <w:right w:val="single" w:color="000000" w:sz="4" w:space="0"/>
            </w:tcBorders>
            <w:vAlign w:val="center"/>
          </w:tcPr>
          <w:p>
            <w:pPr>
              <w:widowControl/>
              <w:spacing w:line="360" w:lineRule="auto"/>
              <w:jc w:val="left"/>
              <w:rPr>
                <w:rFonts w:ascii="宋体" w:hAnsi="宋体" w:cs="宋体"/>
                <w:kern w:val="0"/>
                <w:sz w:val="24"/>
                <w:highlight w:val="none"/>
              </w:rPr>
            </w:pPr>
            <w:r>
              <w:rPr>
                <w:rFonts w:hint="eastAsia" w:ascii="宋体" w:hAnsi="宋体" w:cs="宋体"/>
                <w:kern w:val="0"/>
                <w:sz w:val="24"/>
                <w:highlight w:val="none"/>
              </w:rPr>
              <w:t>合计人民币（大写）：</w:t>
            </w:r>
            <w:r>
              <w:rPr>
                <w:rFonts w:ascii="宋体" w:hAnsi="宋体" w:cs="宋体"/>
                <w:kern w:val="0"/>
                <w:sz w:val="24"/>
                <w:highlight w:val="none"/>
              </w:rPr>
              <w:t xml:space="preserve"> </w:t>
            </w:r>
          </w:p>
        </w:tc>
      </w:tr>
    </w:tbl>
    <w:p>
      <w:pPr>
        <w:tabs>
          <w:tab w:val="left" w:pos="567"/>
        </w:tabs>
        <w:spacing w:before="72" w:beforeLines="30" w:after="72" w:afterLines="30" w:line="360" w:lineRule="auto"/>
        <w:ind w:left="567"/>
        <w:rPr>
          <w:rFonts w:hAnsi="宋体"/>
          <w:sz w:val="24"/>
          <w:highlight w:val="none"/>
        </w:rPr>
      </w:pPr>
    </w:p>
    <w:p>
      <w:pPr>
        <w:numPr>
          <w:ilvl w:val="0"/>
          <w:numId w:val="10"/>
        </w:numPr>
        <w:tabs>
          <w:tab w:val="left" w:pos="567"/>
          <w:tab w:val="clear" w:pos="2278"/>
        </w:tabs>
        <w:spacing w:before="72" w:beforeLines="30" w:after="72" w:afterLines="30" w:line="360" w:lineRule="auto"/>
        <w:ind w:left="567" w:hanging="567"/>
        <w:rPr>
          <w:rFonts w:hAnsi="宋体"/>
          <w:sz w:val="24"/>
          <w:highlight w:val="none"/>
        </w:rPr>
      </w:pPr>
      <w:r>
        <w:rPr>
          <w:rFonts w:hint="eastAsia" w:hAnsi="宋体"/>
          <w:sz w:val="24"/>
          <w:highlight w:val="none"/>
        </w:rPr>
        <w:t>买方应根据本合同的规定向卖方购买货物，并支付合同总价，卖方应根据本合同的规定向买方出售、交付货物并提供与货物使用和安装相关的技术资料和技术服务。</w:t>
      </w:r>
    </w:p>
    <w:p>
      <w:pPr>
        <w:numPr>
          <w:ilvl w:val="0"/>
          <w:numId w:val="10"/>
        </w:numPr>
        <w:tabs>
          <w:tab w:val="left" w:pos="567"/>
          <w:tab w:val="clear" w:pos="2278"/>
        </w:tabs>
        <w:spacing w:before="72" w:beforeLines="30" w:after="72" w:afterLines="30" w:line="360" w:lineRule="auto"/>
        <w:ind w:left="567" w:hanging="567"/>
        <w:rPr>
          <w:rFonts w:hAnsi="宋体"/>
          <w:sz w:val="24"/>
          <w:highlight w:val="none"/>
        </w:rPr>
      </w:pPr>
      <w:r>
        <w:rPr>
          <w:rFonts w:hint="eastAsia" w:hAnsi="宋体"/>
          <w:sz w:val="24"/>
          <w:highlight w:val="none"/>
        </w:rPr>
        <w:t>货物</w:t>
      </w:r>
      <w:r>
        <w:rPr>
          <w:rFonts w:hAnsi="宋体"/>
          <w:sz w:val="24"/>
          <w:highlight w:val="none"/>
        </w:rPr>
        <w:t>将用于</w:t>
      </w:r>
      <w:r>
        <w:rPr>
          <w:rFonts w:hint="eastAsia" w:hAnsi="宋体"/>
          <w:sz w:val="24"/>
          <w:highlight w:val="none"/>
        </w:rPr>
        <w:t>【</w:t>
      </w:r>
      <w:r>
        <w:rPr>
          <w:rFonts w:hint="eastAsia" w:hAnsi="宋体"/>
          <w:i/>
          <w:sz w:val="24"/>
          <w:highlight w:val="none"/>
        </w:rPr>
        <w:t>填入具体的</w:t>
      </w:r>
      <w:r>
        <w:rPr>
          <w:rFonts w:hAnsi="宋体"/>
          <w:i/>
          <w:sz w:val="24"/>
          <w:highlight w:val="none"/>
        </w:rPr>
        <w:t>项目</w:t>
      </w:r>
      <w:r>
        <w:rPr>
          <w:rFonts w:hint="eastAsia" w:hAnsi="宋体"/>
          <w:i/>
          <w:sz w:val="24"/>
          <w:highlight w:val="none"/>
        </w:rPr>
        <w:t>或</w:t>
      </w:r>
      <w:r>
        <w:rPr>
          <w:rFonts w:hAnsi="宋体"/>
          <w:i/>
          <w:sz w:val="24"/>
          <w:highlight w:val="none"/>
        </w:rPr>
        <w:t>工程</w:t>
      </w:r>
      <w:r>
        <w:rPr>
          <w:rFonts w:hint="eastAsia" w:hAnsi="宋体"/>
          <w:sz w:val="24"/>
          <w:highlight w:val="none"/>
        </w:rPr>
        <w:t>】</w:t>
      </w:r>
      <w:r>
        <w:rPr>
          <w:rFonts w:hAnsi="宋体"/>
          <w:sz w:val="24"/>
          <w:highlight w:val="none"/>
        </w:rPr>
        <w:t>。</w:t>
      </w:r>
    </w:p>
    <w:p>
      <w:pPr>
        <w:pStyle w:val="15"/>
        <w:numPr>
          <w:ilvl w:val="0"/>
          <w:numId w:val="9"/>
        </w:numPr>
        <w:spacing w:before="72" w:beforeLines="30" w:after="72" w:afterLines="30" w:line="360" w:lineRule="auto"/>
        <w:ind w:left="851" w:hanging="851"/>
        <w:jc w:val="left"/>
        <w:rPr>
          <w:sz w:val="24"/>
          <w:szCs w:val="24"/>
          <w:highlight w:val="none"/>
        </w:rPr>
      </w:pPr>
      <w:bookmarkStart w:id="38" w:name="_Toc306354309"/>
      <w:r>
        <w:rPr>
          <w:sz w:val="24"/>
          <w:szCs w:val="24"/>
          <w:highlight w:val="none"/>
        </w:rPr>
        <w:t>合同</w:t>
      </w:r>
      <w:r>
        <w:rPr>
          <w:rFonts w:hint="eastAsia"/>
          <w:sz w:val="24"/>
          <w:szCs w:val="24"/>
          <w:highlight w:val="none"/>
        </w:rPr>
        <w:t>总价</w:t>
      </w:r>
      <w:bookmarkEnd w:id="38"/>
    </w:p>
    <w:p>
      <w:pPr>
        <w:numPr>
          <w:ilvl w:val="0"/>
          <w:numId w:val="11"/>
        </w:numPr>
        <w:tabs>
          <w:tab w:val="left" w:pos="567"/>
          <w:tab w:val="clear" w:pos="840"/>
        </w:tabs>
        <w:spacing w:before="72" w:beforeLines="30" w:after="72" w:afterLines="30" w:line="360" w:lineRule="auto"/>
        <w:ind w:left="567" w:hanging="567"/>
        <w:rPr>
          <w:sz w:val="24"/>
          <w:highlight w:val="none"/>
        </w:rPr>
      </w:pPr>
      <w:r>
        <w:rPr>
          <w:rFonts w:hint="eastAsia"/>
          <w:sz w:val="24"/>
          <w:highlight w:val="none"/>
        </w:rPr>
        <w:t>双方经协商一致，最终确定合同总价为</w:t>
      </w:r>
      <w:r>
        <w:rPr>
          <w:sz w:val="24"/>
          <w:highlight w:val="none"/>
        </w:rPr>
        <w:t>【</w:t>
      </w:r>
      <w:r>
        <w:rPr>
          <w:rFonts w:hint="eastAsia"/>
          <w:i/>
          <w:sz w:val="24"/>
          <w:highlight w:val="none"/>
        </w:rPr>
        <w:t>填入币种英文简写，如RMB</w:t>
      </w:r>
      <w:r>
        <w:rPr>
          <w:sz w:val="24"/>
          <w:highlight w:val="none"/>
        </w:rPr>
        <w:t>】</w:t>
      </w:r>
      <w:r>
        <w:rPr>
          <w:rFonts w:hint="eastAsia"/>
          <w:sz w:val="24"/>
          <w:highlight w:val="none"/>
        </w:rPr>
        <w:t>【</w:t>
      </w:r>
      <w:r>
        <w:rPr>
          <w:rFonts w:hint="eastAsia"/>
          <w:i/>
          <w:sz w:val="24"/>
          <w:highlight w:val="none"/>
        </w:rPr>
        <w:t>填入小写金额</w:t>
      </w:r>
      <w:r>
        <w:rPr>
          <w:rFonts w:hint="eastAsia"/>
          <w:sz w:val="24"/>
          <w:highlight w:val="none"/>
        </w:rPr>
        <w:t>】</w:t>
      </w:r>
      <w:r>
        <w:rPr>
          <w:sz w:val="24"/>
          <w:highlight w:val="none"/>
        </w:rPr>
        <w:t>（大写：【</w:t>
      </w:r>
      <w:r>
        <w:rPr>
          <w:rFonts w:hint="eastAsia"/>
          <w:i/>
          <w:sz w:val="24"/>
          <w:highlight w:val="none"/>
        </w:rPr>
        <w:t>填入币种名称，如人民币</w:t>
      </w:r>
      <w:r>
        <w:rPr>
          <w:sz w:val="24"/>
          <w:highlight w:val="none"/>
        </w:rPr>
        <w:t>】</w:t>
      </w:r>
      <w:r>
        <w:rPr>
          <w:rFonts w:hint="eastAsia"/>
          <w:sz w:val="24"/>
          <w:highlight w:val="none"/>
        </w:rPr>
        <w:t>【</w:t>
      </w:r>
      <w:r>
        <w:rPr>
          <w:rFonts w:hint="eastAsia"/>
          <w:i/>
          <w:sz w:val="24"/>
          <w:highlight w:val="none"/>
        </w:rPr>
        <w:t>填入大写金额</w:t>
      </w:r>
      <w:r>
        <w:rPr>
          <w:rFonts w:hint="eastAsia"/>
          <w:sz w:val="24"/>
          <w:highlight w:val="none"/>
        </w:rPr>
        <w:t>】）。</w:t>
      </w:r>
      <w:bookmarkStart w:id="39" w:name="_Hlk41394068"/>
      <w:r>
        <w:rPr>
          <w:rFonts w:hint="eastAsia"/>
          <w:sz w:val="24"/>
          <w:highlight w:val="none"/>
        </w:rPr>
        <w:t>合同总价为含税（包括增值税）总金额。</w:t>
      </w:r>
      <w:r>
        <w:rPr>
          <w:rFonts w:hint="eastAsia" w:hAnsi="Garamond" w:cs="新宋体-18030"/>
          <w:sz w:val="24"/>
          <w:highlight w:val="none"/>
        </w:rPr>
        <w:t>其中，</w:t>
      </w:r>
      <w:r>
        <w:rPr>
          <w:rFonts w:hint="eastAsia"/>
          <w:sz w:val="24"/>
          <w:highlight w:val="none"/>
        </w:rPr>
        <w:t>不含增值税合同价款为</w:t>
      </w:r>
      <w:r>
        <w:rPr>
          <w:rFonts w:hint="eastAsia" w:hAnsi="宋体"/>
          <w:sz w:val="24"/>
          <w:highlight w:val="none"/>
        </w:rPr>
        <w:t>【</w:t>
      </w:r>
      <w:r>
        <w:rPr>
          <w:rFonts w:hint="eastAsia" w:hAnsi="宋体"/>
          <w:i/>
          <w:sz w:val="24"/>
          <w:highlight w:val="none"/>
        </w:rPr>
        <w:t>填入币种英文简写，如</w:t>
      </w:r>
      <w:r>
        <w:rPr>
          <w:rFonts w:hAnsi="宋体"/>
          <w:i/>
          <w:sz w:val="24"/>
          <w:highlight w:val="none"/>
        </w:rPr>
        <w:t>RMB</w:t>
      </w:r>
      <w:r>
        <w:rPr>
          <w:rFonts w:hint="eastAsia" w:hAnsi="宋体"/>
          <w:sz w:val="24"/>
          <w:highlight w:val="none"/>
        </w:rPr>
        <w:t>】</w:t>
      </w:r>
      <w:r>
        <w:rPr>
          <w:rFonts w:hint="eastAsia"/>
          <w:sz w:val="24"/>
          <w:highlight w:val="none"/>
        </w:rPr>
        <w:t>【</w:t>
      </w:r>
      <w:r>
        <w:rPr>
          <w:rFonts w:hint="eastAsia"/>
          <w:i/>
          <w:sz w:val="24"/>
          <w:highlight w:val="none"/>
        </w:rPr>
        <w:t>填入小写金额</w:t>
      </w:r>
      <w:r>
        <w:rPr>
          <w:rFonts w:hint="eastAsia"/>
          <w:sz w:val="24"/>
          <w:highlight w:val="none"/>
        </w:rPr>
        <w:t>】</w:t>
      </w:r>
      <w:r>
        <w:rPr>
          <w:rFonts w:hint="eastAsia" w:hAnsi="宋体"/>
          <w:sz w:val="24"/>
          <w:highlight w:val="none"/>
        </w:rPr>
        <w:t>（大写：【</w:t>
      </w:r>
      <w:r>
        <w:rPr>
          <w:rFonts w:hint="eastAsia" w:hAnsi="宋体"/>
          <w:i/>
          <w:sz w:val="24"/>
          <w:highlight w:val="none"/>
        </w:rPr>
        <w:t>填入币种名称，如人民币</w:t>
      </w:r>
      <w:r>
        <w:rPr>
          <w:rFonts w:hint="eastAsia" w:hAnsi="宋体"/>
          <w:sz w:val="24"/>
          <w:highlight w:val="none"/>
        </w:rPr>
        <w:t>】【</w:t>
      </w:r>
      <w:r>
        <w:rPr>
          <w:rFonts w:hint="eastAsia" w:hAnsi="宋体"/>
          <w:i/>
          <w:sz w:val="24"/>
          <w:highlight w:val="none"/>
        </w:rPr>
        <w:t>填入大写金额</w:t>
      </w:r>
      <w:r>
        <w:rPr>
          <w:rFonts w:hint="eastAsia" w:hAnsi="宋体"/>
          <w:sz w:val="24"/>
          <w:highlight w:val="none"/>
        </w:rPr>
        <w:t>】），</w:t>
      </w:r>
      <w:r>
        <w:rPr>
          <w:rFonts w:hint="eastAsia"/>
          <w:sz w:val="24"/>
          <w:highlight w:val="none"/>
        </w:rPr>
        <w:t>增值税税率为【</w:t>
      </w:r>
      <w:r>
        <w:rPr>
          <w:rFonts w:hint="eastAsia"/>
          <w:i/>
          <w:sz w:val="24"/>
          <w:highlight w:val="none"/>
        </w:rPr>
        <w:t>填入增值税税率</w:t>
      </w:r>
      <w:r>
        <w:rPr>
          <w:rFonts w:hint="eastAsia"/>
          <w:sz w:val="24"/>
          <w:highlight w:val="none"/>
        </w:rPr>
        <w:t>】</w:t>
      </w:r>
      <w:r>
        <w:rPr>
          <w:sz w:val="24"/>
          <w:highlight w:val="none"/>
        </w:rPr>
        <w:t>%</w:t>
      </w:r>
      <w:r>
        <w:rPr>
          <w:rFonts w:hint="eastAsia" w:hAnsi="宋体"/>
          <w:sz w:val="24"/>
          <w:highlight w:val="none"/>
        </w:rPr>
        <w:t>。</w:t>
      </w:r>
      <w:bookmarkEnd w:id="39"/>
      <w:r>
        <w:rPr>
          <w:rFonts w:hint="eastAsia"/>
          <w:sz w:val="24"/>
          <w:highlight w:val="none"/>
        </w:rPr>
        <w:t>合同总价的各分项价格和组成为：</w:t>
      </w:r>
      <w:bookmarkStart w:id="40" w:name="OLE_LINK37"/>
      <w:bookmarkStart w:id="41" w:name="OLE_LINK67"/>
      <w:bookmarkStart w:id="42" w:name="OLE_LINK40"/>
      <w:bookmarkStart w:id="43" w:name="OLE_LINK39"/>
      <w:bookmarkStart w:id="44" w:name="OLE_LINK36"/>
      <w:bookmarkStart w:id="45" w:name="OLE_LINK66"/>
    </w:p>
    <w:p>
      <w:pPr>
        <w:tabs>
          <w:tab w:val="left" w:pos="567"/>
        </w:tabs>
        <w:spacing w:before="72" w:beforeLines="30" w:after="72" w:afterLines="30" w:line="360" w:lineRule="auto"/>
        <w:ind w:left="567"/>
        <w:rPr>
          <w:i/>
          <w:sz w:val="24"/>
          <w:highlight w:val="none"/>
          <w:u w:val="single"/>
        </w:rPr>
      </w:pPr>
      <w:r>
        <w:rPr>
          <w:rFonts w:hint="eastAsia"/>
          <w:i/>
          <w:sz w:val="24"/>
          <w:highlight w:val="none"/>
          <w:u w:val="single"/>
        </w:rPr>
        <w:t>请从下列选项中选择一项，并删除不适用的选项：</w:t>
      </w:r>
    </w:p>
    <w:p>
      <w:pPr>
        <w:widowControl/>
        <w:tabs>
          <w:tab w:val="left" w:pos="993"/>
          <w:tab w:val="left" w:pos="1800"/>
        </w:tabs>
        <w:autoSpaceDE w:val="0"/>
        <w:autoSpaceDN w:val="0"/>
        <w:adjustRightInd w:val="0"/>
        <w:spacing w:before="72" w:beforeLines="30" w:after="72" w:afterLines="30" w:line="360" w:lineRule="auto"/>
        <w:ind w:firstLine="648" w:firstLineChars="270"/>
        <w:textAlignment w:val="bottom"/>
        <w:rPr>
          <w:sz w:val="24"/>
          <w:highlight w:val="none"/>
        </w:rPr>
      </w:pPr>
      <w:r>
        <w:rPr>
          <w:rFonts w:hint="eastAsia"/>
          <w:i/>
          <w:sz w:val="24"/>
          <w:highlight w:val="none"/>
          <w:u w:val="single"/>
        </w:rPr>
        <w:t>选项一：</w:t>
      </w:r>
      <w:bookmarkEnd w:id="40"/>
      <w:bookmarkEnd w:id="41"/>
      <w:bookmarkEnd w:id="42"/>
      <w:bookmarkEnd w:id="43"/>
      <w:bookmarkEnd w:id="44"/>
      <w:bookmarkEnd w:id="45"/>
      <w:bookmarkStart w:id="46" w:name="OLE_LINK38"/>
      <w:r>
        <w:rPr>
          <w:rFonts w:hint="eastAsia"/>
          <w:i/>
          <w:sz w:val="24"/>
          <w:highlight w:val="none"/>
          <w:u w:val="single"/>
        </w:rPr>
        <w:t>直接填入</w:t>
      </w:r>
    </w:p>
    <w:p>
      <w:pPr>
        <w:widowControl/>
        <w:tabs>
          <w:tab w:val="left" w:pos="993"/>
          <w:tab w:val="left" w:pos="1800"/>
        </w:tabs>
        <w:autoSpaceDE w:val="0"/>
        <w:autoSpaceDN w:val="0"/>
        <w:adjustRightInd w:val="0"/>
        <w:spacing w:before="72" w:beforeLines="30" w:after="72" w:afterLines="30" w:line="360" w:lineRule="auto"/>
        <w:ind w:firstLine="648" w:firstLineChars="270"/>
        <w:textAlignment w:val="bottom"/>
        <w:rPr>
          <w:sz w:val="24"/>
          <w:highlight w:val="none"/>
        </w:rPr>
      </w:pPr>
      <w:r>
        <w:rPr>
          <w:rFonts w:hint="eastAsia"/>
          <w:sz w:val="24"/>
          <w:highlight w:val="none"/>
        </w:rPr>
        <w:t>合同总价的各分项价格和组成</w:t>
      </w:r>
      <w:bookmarkEnd w:id="46"/>
      <w:r>
        <w:rPr>
          <w:rFonts w:hint="eastAsia"/>
          <w:sz w:val="24"/>
          <w:highlight w:val="none"/>
        </w:rPr>
        <w:t>为：</w:t>
      </w:r>
      <w:r>
        <w:rPr>
          <w:rFonts w:hint="eastAsia" w:hAnsi="宋体"/>
          <w:sz w:val="24"/>
          <w:highlight w:val="none"/>
        </w:rPr>
        <w:t>【</w:t>
      </w:r>
      <w:r>
        <w:rPr>
          <w:rFonts w:hint="eastAsia" w:hAnsi="宋体"/>
          <w:i/>
          <w:sz w:val="24"/>
          <w:highlight w:val="none"/>
        </w:rPr>
        <w:t>请填入</w:t>
      </w:r>
      <w:r>
        <w:rPr>
          <w:rFonts w:hint="eastAsia"/>
          <w:i/>
          <w:sz w:val="24"/>
          <w:highlight w:val="none"/>
        </w:rPr>
        <w:t>各分项价格和组成</w:t>
      </w:r>
      <w:r>
        <w:rPr>
          <w:rFonts w:hint="eastAsia" w:hAnsi="宋体"/>
          <w:sz w:val="24"/>
          <w:highlight w:val="none"/>
        </w:rPr>
        <w:t>】</w:t>
      </w:r>
      <w:r>
        <w:rPr>
          <w:rFonts w:hint="eastAsia"/>
          <w:sz w:val="24"/>
          <w:highlight w:val="none"/>
        </w:rPr>
        <w:t>。</w:t>
      </w:r>
    </w:p>
    <w:p>
      <w:pPr>
        <w:widowControl/>
        <w:tabs>
          <w:tab w:val="left" w:pos="993"/>
          <w:tab w:val="left" w:pos="1800"/>
        </w:tabs>
        <w:autoSpaceDE w:val="0"/>
        <w:autoSpaceDN w:val="0"/>
        <w:adjustRightInd w:val="0"/>
        <w:spacing w:before="72" w:beforeLines="30" w:after="72" w:afterLines="30" w:line="360" w:lineRule="auto"/>
        <w:ind w:firstLine="648" w:firstLineChars="270"/>
        <w:textAlignment w:val="bottom"/>
        <w:rPr>
          <w:i/>
          <w:sz w:val="24"/>
          <w:highlight w:val="none"/>
          <w:u w:val="single"/>
        </w:rPr>
      </w:pPr>
      <w:r>
        <w:rPr>
          <w:rFonts w:hint="eastAsia"/>
          <w:i/>
          <w:sz w:val="24"/>
          <w:highlight w:val="none"/>
          <w:u w:val="single"/>
        </w:rPr>
        <w:t>选项二：附件中列明</w:t>
      </w:r>
    </w:p>
    <w:p>
      <w:pPr>
        <w:widowControl/>
        <w:tabs>
          <w:tab w:val="left" w:pos="567"/>
          <w:tab w:val="left" w:pos="1800"/>
        </w:tabs>
        <w:autoSpaceDE w:val="0"/>
        <w:autoSpaceDN w:val="0"/>
        <w:adjustRightInd w:val="0"/>
        <w:spacing w:before="72" w:beforeLines="30" w:after="72" w:afterLines="30" w:line="360" w:lineRule="auto"/>
        <w:ind w:left="567"/>
        <w:textAlignment w:val="bottom"/>
        <w:rPr>
          <w:sz w:val="24"/>
          <w:highlight w:val="none"/>
        </w:rPr>
      </w:pPr>
      <w:r>
        <w:rPr>
          <w:rFonts w:hint="eastAsia"/>
          <w:sz w:val="24"/>
          <w:highlight w:val="none"/>
        </w:rPr>
        <w:t>合同总价的各分项价格和组成：【</w:t>
      </w:r>
      <w:r>
        <w:rPr>
          <w:rFonts w:hint="eastAsia"/>
          <w:i/>
          <w:sz w:val="24"/>
          <w:highlight w:val="none"/>
        </w:rPr>
        <w:t>详见本合同附件一</w:t>
      </w:r>
      <w:r>
        <w:rPr>
          <w:rFonts w:hint="eastAsia"/>
          <w:sz w:val="24"/>
          <w:highlight w:val="none"/>
        </w:rPr>
        <w:t>】。</w:t>
      </w:r>
    </w:p>
    <w:p>
      <w:pPr>
        <w:numPr>
          <w:ilvl w:val="0"/>
          <w:numId w:val="11"/>
        </w:numPr>
        <w:tabs>
          <w:tab w:val="left" w:pos="567"/>
          <w:tab w:val="clear" w:pos="840"/>
        </w:tabs>
        <w:spacing w:before="72" w:beforeLines="30" w:after="72" w:afterLines="30" w:line="360" w:lineRule="auto"/>
        <w:ind w:left="567" w:hanging="567"/>
        <w:rPr>
          <w:rFonts w:ascii="Arial" w:hAnsi="Arial" w:cs="Arial"/>
          <w:sz w:val="24"/>
          <w:highlight w:val="none"/>
        </w:rPr>
      </w:pPr>
      <w:r>
        <w:rPr>
          <w:rFonts w:hint="eastAsia"/>
          <w:sz w:val="24"/>
          <w:highlight w:val="none"/>
        </w:rPr>
        <w:t>合同总价系卖方交付全部货物，完成全部工作，完整履行本合同，买方应当支付的全部金额。合同总价为无条件最终封顶价格。除根据本合同规定因工作变更或国家增值税税率调整引起合同总价调整外，不受通货膨胀、利率、汇率、税费、成本及市场等因素变化的影响。合同总价包括货物成本、货物资料的费用；税费（包括关税、增值税等）；运输、储存、包装、维修、搬运、交付费用；管理费和利润；直接成本、间接成本、人力成本；技术服务费用；质保期费用；或有费用及合同没有列明但系为实现合同目的所必需的工作和服务的费用；</w:t>
      </w:r>
      <w:r>
        <w:rPr>
          <w:rFonts w:hint="eastAsia" w:ascii="Arial" w:hAnsi="Arial" w:cs="Arial"/>
          <w:sz w:val="24"/>
          <w:highlight w:val="none"/>
        </w:rPr>
        <w:t>卖方所有的风险、义务和责任，以及合同中明确说明由卖方承担的成本与费用</w:t>
      </w:r>
      <w:r>
        <w:rPr>
          <w:rFonts w:hint="eastAsia"/>
          <w:sz w:val="24"/>
          <w:highlight w:val="none"/>
        </w:rPr>
        <w:t>等。除买方同意某项费用属于额外的工作项目需另行支付费用外，买方不向卖方支付任何超出合同总价的</w:t>
      </w:r>
      <w:r>
        <w:rPr>
          <w:rFonts w:hint="eastAsia" w:ascii="Arial" w:hAnsi="Arial" w:cs="Arial"/>
          <w:sz w:val="24"/>
          <w:highlight w:val="none"/>
        </w:rPr>
        <w:t>款项。</w:t>
      </w:r>
      <w:r>
        <w:rPr>
          <w:rFonts w:hint="eastAsia"/>
          <w:sz w:val="24"/>
          <w:highlight w:val="none"/>
        </w:rPr>
        <w:t>为免疑义，如果增值税税率因国家增值税税率调整而发生变化，合同总价自动调整，但不含增值税的合同价款保持不变。</w:t>
      </w:r>
    </w:p>
    <w:p>
      <w:pPr>
        <w:numPr>
          <w:ilvl w:val="0"/>
          <w:numId w:val="11"/>
        </w:numPr>
        <w:tabs>
          <w:tab w:val="left" w:pos="567"/>
          <w:tab w:val="clear" w:pos="840"/>
        </w:tabs>
        <w:spacing w:before="72" w:beforeLines="30" w:after="72" w:afterLines="30" w:line="360" w:lineRule="auto"/>
        <w:ind w:left="567" w:hanging="567"/>
        <w:rPr>
          <w:sz w:val="24"/>
          <w:highlight w:val="none"/>
        </w:rPr>
      </w:pPr>
      <w:r>
        <w:rPr>
          <w:rFonts w:hint="eastAsia" w:ascii="Arial" w:hAnsi="Arial" w:cs="Arial"/>
          <w:sz w:val="24"/>
          <w:highlight w:val="none"/>
        </w:rPr>
        <w:t>双方应根据法律法规各自承担其应承担的与本合同有关的所有税费。</w:t>
      </w:r>
      <w:r>
        <w:rPr>
          <w:rFonts w:hint="eastAsia"/>
          <w:sz w:val="24"/>
          <w:highlight w:val="none"/>
        </w:rPr>
        <w:t>买方有权根据法律法规和本合同的规定从应支付给卖方的合同总价中扣除应由买方代扣、代缴的卖方应付税费，但应向卖方提供完税证明。</w:t>
      </w:r>
    </w:p>
    <w:p>
      <w:pPr>
        <w:pStyle w:val="15"/>
        <w:numPr>
          <w:ilvl w:val="0"/>
          <w:numId w:val="9"/>
        </w:numPr>
        <w:spacing w:before="72" w:beforeLines="30" w:after="72" w:afterLines="30" w:line="360" w:lineRule="auto"/>
        <w:ind w:left="709" w:hanging="709"/>
        <w:jc w:val="left"/>
        <w:rPr>
          <w:sz w:val="24"/>
          <w:szCs w:val="24"/>
          <w:highlight w:val="none"/>
        </w:rPr>
      </w:pPr>
      <w:r>
        <w:rPr>
          <w:rFonts w:hint="eastAsia"/>
          <w:sz w:val="24"/>
          <w:szCs w:val="24"/>
          <w:highlight w:val="none"/>
        </w:rPr>
        <w:t>付款</w:t>
      </w:r>
    </w:p>
    <w:p>
      <w:pPr>
        <w:pStyle w:val="35"/>
        <w:numPr>
          <w:ilvl w:val="0"/>
          <w:numId w:val="12"/>
        </w:numPr>
        <w:tabs>
          <w:tab w:val="left" w:pos="851"/>
        </w:tabs>
        <w:adjustRightInd w:val="0"/>
        <w:spacing w:line="360" w:lineRule="auto"/>
        <w:ind w:firstLineChars="0"/>
        <w:contextualSpacing/>
        <w:rPr>
          <w:rFonts w:ascii="宋体" w:hAnsi="宋体"/>
          <w:sz w:val="24"/>
          <w:highlight w:val="none"/>
        </w:rPr>
      </w:pPr>
      <w:r>
        <w:rPr>
          <w:rFonts w:hint="eastAsia" w:ascii="宋体" w:hAnsi="宋体"/>
          <w:sz w:val="24"/>
          <w:highlight w:val="none"/>
        </w:rPr>
        <w:t xml:space="preserve"> </w:t>
      </w:r>
      <w:r>
        <w:rPr>
          <w:rFonts w:ascii="宋体" w:hAnsi="宋体"/>
          <w:sz w:val="24"/>
          <w:highlight w:val="none"/>
        </w:rPr>
        <w:t xml:space="preserve"> </w:t>
      </w:r>
      <w:r>
        <w:rPr>
          <w:rFonts w:hint="eastAsia" w:ascii="宋体" w:hAnsi="宋体"/>
          <w:sz w:val="24"/>
          <w:highlight w:val="none"/>
        </w:rPr>
        <w:t>支付货币：</w:t>
      </w:r>
    </w:p>
    <w:p>
      <w:pPr>
        <w:pStyle w:val="35"/>
        <w:tabs>
          <w:tab w:val="left" w:pos="567"/>
        </w:tabs>
        <w:adjustRightInd w:val="0"/>
        <w:spacing w:line="360" w:lineRule="auto"/>
        <w:ind w:left="849" w:leftChars="320" w:hanging="177" w:hangingChars="74"/>
        <w:contextualSpacing/>
        <w:rPr>
          <w:rFonts w:ascii="宋体" w:hAnsi="宋体"/>
          <w:sz w:val="24"/>
          <w:highlight w:val="none"/>
        </w:rPr>
      </w:pPr>
      <w:r>
        <w:rPr>
          <w:rFonts w:hint="eastAsia" w:ascii="宋体" w:hAnsi="宋体"/>
          <w:bCs/>
          <w:i/>
          <w:kern w:val="0"/>
          <w:sz w:val="24"/>
          <w:highlight w:val="none"/>
          <w:u w:val="single"/>
        </w:rPr>
        <w:t>请根据实际情况从下列选项中选择其中一项，并将不适用的删除</w:t>
      </w:r>
    </w:p>
    <w:p>
      <w:pPr>
        <w:widowControl/>
        <w:tabs>
          <w:tab w:val="left" w:pos="567"/>
        </w:tabs>
        <w:adjustRightInd w:val="0"/>
        <w:spacing w:line="360" w:lineRule="auto"/>
        <w:ind w:left="672" w:leftChars="320" w:firstLine="36" w:firstLineChars="15"/>
        <w:contextualSpacing/>
        <w:jc w:val="left"/>
        <w:rPr>
          <w:color w:val="000000"/>
          <w:sz w:val="24"/>
          <w:highlight w:val="none"/>
        </w:rPr>
      </w:pPr>
      <w:r>
        <w:rPr>
          <w:rFonts w:hint="eastAsia"/>
          <w:color w:val="000000"/>
          <w:sz w:val="24"/>
          <w:highlight w:val="none"/>
        </w:rPr>
        <w:t>选项一：</w:t>
      </w:r>
      <w:r>
        <w:rPr>
          <w:color w:val="000000"/>
          <w:sz w:val="24"/>
          <w:highlight w:val="none"/>
        </w:rPr>
        <w:t xml:space="preserve"> </w:t>
      </w:r>
    </w:p>
    <w:p>
      <w:pPr>
        <w:pStyle w:val="35"/>
        <w:widowControl/>
        <w:tabs>
          <w:tab w:val="left" w:pos="567"/>
        </w:tabs>
        <w:adjustRightInd w:val="0"/>
        <w:spacing w:line="360" w:lineRule="auto"/>
        <w:ind w:left="672" w:leftChars="320" w:firstLine="36" w:firstLineChars="15"/>
        <w:contextualSpacing/>
        <w:jc w:val="left"/>
        <w:rPr>
          <w:rFonts w:ascii="宋体" w:hAnsi="宋体" w:cs="Arial"/>
          <w:bCs/>
          <w:color w:val="44546A"/>
          <w:kern w:val="0"/>
          <w:sz w:val="24"/>
          <w:highlight w:val="none"/>
        </w:rPr>
      </w:pPr>
      <w:r>
        <w:rPr>
          <w:rFonts w:hint="eastAsia"/>
          <w:sz w:val="24"/>
          <w:highlight w:val="none"/>
        </w:rPr>
        <w:t>本合同项下的所有应付款项均应以</w:t>
      </w:r>
      <w:r>
        <w:rPr>
          <w:rFonts w:hint="eastAsia" w:ascii="宋体" w:hAnsi="宋体" w:cs="Arial"/>
          <w:color w:val="44546A"/>
          <w:kern w:val="0"/>
          <w:sz w:val="24"/>
          <w:highlight w:val="none"/>
        </w:rPr>
        <w:t>【</w:t>
      </w:r>
      <w:r>
        <w:rPr>
          <w:rFonts w:hint="eastAsia" w:ascii="宋体" w:hAnsi="宋体" w:cs="Arial"/>
          <w:i/>
          <w:iCs/>
          <w:color w:val="44546A"/>
          <w:kern w:val="0"/>
          <w:sz w:val="24"/>
          <w:highlight w:val="none"/>
        </w:rPr>
        <w:t>人民币</w:t>
      </w:r>
      <w:r>
        <w:rPr>
          <w:rFonts w:hint="eastAsia" w:ascii="宋体" w:hAnsi="宋体" w:cs="Arial"/>
          <w:color w:val="44546A"/>
          <w:kern w:val="0"/>
          <w:sz w:val="24"/>
          <w:highlight w:val="none"/>
        </w:rPr>
        <w:t>】</w:t>
      </w:r>
      <w:r>
        <w:rPr>
          <w:rFonts w:hint="eastAsia"/>
          <w:sz w:val="24"/>
          <w:highlight w:val="none"/>
        </w:rPr>
        <w:t>支付。</w:t>
      </w:r>
    </w:p>
    <w:p>
      <w:pPr>
        <w:widowControl/>
        <w:tabs>
          <w:tab w:val="left" w:pos="567"/>
        </w:tabs>
        <w:adjustRightInd w:val="0"/>
        <w:spacing w:line="360" w:lineRule="auto"/>
        <w:ind w:left="672" w:leftChars="320" w:firstLine="36" w:firstLineChars="15"/>
        <w:contextualSpacing/>
        <w:jc w:val="left"/>
        <w:rPr>
          <w:color w:val="000000"/>
          <w:sz w:val="24"/>
          <w:highlight w:val="none"/>
        </w:rPr>
      </w:pPr>
      <w:r>
        <w:rPr>
          <w:rFonts w:hint="eastAsia"/>
          <w:color w:val="000000"/>
          <w:sz w:val="24"/>
          <w:highlight w:val="none"/>
        </w:rPr>
        <w:t>选项二：</w:t>
      </w:r>
      <w:r>
        <w:rPr>
          <w:color w:val="000000"/>
          <w:sz w:val="24"/>
          <w:highlight w:val="none"/>
        </w:rPr>
        <w:t xml:space="preserve"> </w:t>
      </w:r>
    </w:p>
    <w:p>
      <w:pPr>
        <w:widowControl/>
        <w:tabs>
          <w:tab w:val="left" w:pos="567"/>
        </w:tabs>
        <w:adjustRightInd w:val="0"/>
        <w:spacing w:line="360" w:lineRule="auto"/>
        <w:ind w:left="672" w:leftChars="320"/>
        <w:contextualSpacing/>
        <w:jc w:val="left"/>
        <w:rPr>
          <w:rFonts w:ascii="宋体" w:hAnsi="宋体" w:cs="Arial"/>
          <w:bCs/>
          <w:color w:val="44546A"/>
          <w:kern w:val="0"/>
          <w:sz w:val="24"/>
          <w:highlight w:val="none"/>
        </w:rPr>
      </w:pPr>
      <w:r>
        <w:rPr>
          <w:rFonts w:hint="eastAsia"/>
          <w:sz w:val="24"/>
          <w:highlight w:val="none"/>
        </w:rPr>
        <w:t>本合同项下的所有应付款项均应以美元支付，前提是如任何付款的一方受适用的法律限制而无法支付美元，则其有权以等值的</w:t>
      </w:r>
      <w:r>
        <w:rPr>
          <w:rFonts w:hint="eastAsia" w:ascii="宋体" w:hAnsi="宋体" w:cs="Arial"/>
          <w:color w:val="44546A"/>
          <w:kern w:val="0"/>
          <w:sz w:val="24"/>
          <w:highlight w:val="none"/>
        </w:rPr>
        <w:t>【</w:t>
      </w:r>
      <w:r>
        <w:rPr>
          <w:rFonts w:hint="eastAsia" w:ascii="宋体" w:hAnsi="宋体" w:cs="Arial"/>
          <w:i/>
          <w:iCs/>
          <w:color w:val="44546A"/>
          <w:kern w:val="0"/>
          <w:sz w:val="24"/>
          <w:highlight w:val="none"/>
        </w:rPr>
        <w:t>人民币</w:t>
      </w:r>
      <w:r>
        <w:rPr>
          <w:rFonts w:hint="eastAsia" w:ascii="宋体" w:hAnsi="宋体" w:cs="Arial"/>
          <w:color w:val="44546A"/>
          <w:kern w:val="0"/>
          <w:sz w:val="24"/>
          <w:highlight w:val="none"/>
        </w:rPr>
        <w:t>】</w:t>
      </w:r>
      <w:r>
        <w:rPr>
          <w:rFonts w:hint="eastAsia"/>
          <w:sz w:val="24"/>
          <w:highlight w:val="none"/>
        </w:rPr>
        <w:t>进行支付。</w:t>
      </w:r>
    </w:p>
    <w:p>
      <w:pPr>
        <w:numPr>
          <w:ilvl w:val="0"/>
          <w:numId w:val="12"/>
        </w:numPr>
        <w:tabs>
          <w:tab w:val="left" w:pos="709"/>
        </w:tabs>
        <w:spacing w:before="72" w:beforeLines="30" w:after="72" w:afterLines="30" w:line="360" w:lineRule="auto"/>
        <w:rPr>
          <w:sz w:val="24"/>
          <w:highlight w:val="none"/>
        </w:rPr>
      </w:pPr>
      <w:r>
        <w:rPr>
          <w:rFonts w:hint="eastAsia"/>
          <w:sz w:val="24"/>
          <w:highlight w:val="none"/>
        </w:rPr>
        <w:t>本合同项下的</w:t>
      </w:r>
      <w:r>
        <w:rPr>
          <w:color w:val="000000"/>
          <w:sz w:val="24"/>
          <w:highlight w:val="none"/>
        </w:rPr>
        <w:t>付款方式</w:t>
      </w:r>
      <w:r>
        <w:rPr>
          <w:rFonts w:hint="eastAsia"/>
          <w:color w:val="000000"/>
          <w:sz w:val="24"/>
          <w:highlight w:val="none"/>
        </w:rPr>
        <w:t>为</w:t>
      </w:r>
      <w:r>
        <w:rPr>
          <w:color w:val="000000"/>
          <w:sz w:val="24"/>
          <w:highlight w:val="none"/>
        </w:rPr>
        <w:t>：</w:t>
      </w:r>
      <w:r>
        <w:rPr>
          <w:rFonts w:hint="eastAsia"/>
          <w:color w:val="000000"/>
          <w:sz w:val="24"/>
          <w:highlight w:val="none"/>
        </w:rPr>
        <w:t>【□</w:t>
      </w:r>
      <w:r>
        <w:rPr>
          <w:color w:val="000000"/>
          <w:sz w:val="24"/>
          <w:highlight w:val="none"/>
        </w:rPr>
        <w:t>银行电汇；</w:t>
      </w:r>
      <w:r>
        <w:rPr>
          <w:rFonts w:hint="eastAsia"/>
          <w:color w:val="000000"/>
          <w:sz w:val="24"/>
          <w:highlight w:val="none"/>
        </w:rPr>
        <w:t>□其他</w:t>
      </w:r>
      <w:r>
        <w:rPr>
          <w:rFonts w:hint="eastAsia"/>
          <w:color w:val="000000"/>
          <w:sz w:val="24"/>
          <w:highlight w:val="none"/>
          <w:u w:val="single"/>
        </w:rPr>
        <w:t xml:space="preserve">    </w:t>
      </w:r>
      <w:r>
        <w:rPr>
          <w:rFonts w:hint="eastAsia"/>
          <w:color w:val="000000"/>
          <w:sz w:val="24"/>
          <w:highlight w:val="none"/>
        </w:rPr>
        <w:t>】。</w:t>
      </w:r>
    </w:p>
    <w:p>
      <w:pPr>
        <w:numPr>
          <w:ilvl w:val="0"/>
          <w:numId w:val="12"/>
        </w:numPr>
        <w:tabs>
          <w:tab w:val="left" w:pos="709"/>
        </w:tabs>
        <w:spacing w:before="72" w:beforeLines="30" w:after="72" w:afterLines="30" w:line="360" w:lineRule="auto"/>
        <w:rPr>
          <w:color w:val="000000"/>
          <w:sz w:val="24"/>
          <w:highlight w:val="none"/>
        </w:rPr>
      </w:pPr>
      <w:r>
        <w:rPr>
          <w:rFonts w:hint="eastAsia"/>
          <w:color w:val="000000"/>
          <w:sz w:val="24"/>
          <w:highlight w:val="none"/>
        </w:rPr>
        <w:t>付款进度</w:t>
      </w:r>
    </w:p>
    <w:p>
      <w:pPr>
        <w:tabs>
          <w:tab w:val="left" w:pos="567"/>
        </w:tabs>
        <w:spacing w:before="72" w:beforeLines="30" w:after="72" w:afterLines="30" w:line="360" w:lineRule="auto"/>
        <w:ind w:left="567"/>
        <w:rPr>
          <w:rFonts w:asciiTheme="minorEastAsia" w:hAnsiTheme="minorEastAsia" w:eastAsiaTheme="minorEastAsia"/>
          <w:i/>
          <w:color w:val="000000"/>
          <w:sz w:val="24"/>
          <w:highlight w:val="none"/>
          <w:u w:val="single"/>
        </w:rPr>
      </w:pPr>
      <w:r>
        <w:rPr>
          <w:rFonts w:hint="eastAsia" w:asciiTheme="minorEastAsia" w:hAnsiTheme="minorEastAsia" w:eastAsiaTheme="minorEastAsia"/>
          <w:i/>
          <w:color w:val="000000"/>
          <w:sz w:val="24"/>
          <w:highlight w:val="none"/>
          <w:u w:val="single"/>
        </w:rPr>
        <w:t>选项一：直接填入付款进度</w:t>
      </w:r>
    </w:p>
    <w:p>
      <w:pPr>
        <w:tabs>
          <w:tab w:val="left" w:pos="567"/>
        </w:tabs>
        <w:spacing w:before="72" w:beforeLines="30" w:after="72" w:afterLines="30" w:line="360" w:lineRule="auto"/>
        <w:ind w:left="567"/>
        <w:rPr>
          <w:color w:val="000000"/>
          <w:sz w:val="24"/>
          <w:highlight w:val="none"/>
        </w:rPr>
      </w:pPr>
      <w:r>
        <w:rPr>
          <w:rFonts w:hint="eastAsia"/>
          <w:color w:val="000000"/>
          <w:sz w:val="24"/>
          <w:highlight w:val="none"/>
        </w:rPr>
        <w:t>付款进度为：【</w:t>
      </w:r>
      <w:r>
        <w:rPr>
          <w:rFonts w:hint="eastAsia"/>
          <w:i/>
          <w:color w:val="000000"/>
          <w:sz w:val="24"/>
          <w:highlight w:val="none"/>
          <w:u w:val="single"/>
        </w:rPr>
        <w:t xml:space="preserve"> </w:t>
      </w:r>
      <w:r>
        <w:rPr>
          <w:i/>
          <w:color w:val="000000"/>
          <w:sz w:val="24"/>
          <w:highlight w:val="none"/>
          <w:u w:val="single"/>
        </w:rPr>
        <w:t xml:space="preserve">             </w:t>
      </w:r>
      <w:r>
        <w:rPr>
          <w:rFonts w:hint="eastAsia"/>
          <w:color w:val="000000"/>
          <w:sz w:val="24"/>
          <w:highlight w:val="none"/>
        </w:rPr>
        <w:t>】</w:t>
      </w:r>
    </w:p>
    <w:p>
      <w:pPr>
        <w:tabs>
          <w:tab w:val="left" w:pos="567"/>
        </w:tabs>
        <w:spacing w:before="72" w:beforeLines="30" w:after="72" w:afterLines="30" w:line="360" w:lineRule="auto"/>
        <w:ind w:left="567"/>
        <w:rPr>
          <w:color w:val="000000"/>
          <w:sz w:val="24"/>
          <w:highlight w:val="none"/>
        </w:rPr>
      </w:pPr>
      <w:r>
        <w:rPr>
          <w:rFonts w:hint="eastAsia"/>
          <w:color w:val="000000"/>
          <w:sz w:val="24"/>
          <w:highlight w:val="none"/>
        </w:rPr>
        <w:t xml:space="preserve"> </w:t>
      </w:r>
      <w:r>
        <w:rPr>
          <w:color w:val="000000"/>
          <w:sz w:val="24"/>
          <w:highlight w:val="none"/>
        </w:rPr>
        <w:t xml:space="preserve">          </w:t>
      </w:r>
      <w:r>
        <w:rPr>
          <w:rFonts w:hint="eastAsia"/>
          <w:color w:val="000000"/>
          <w:sz w:val="24"/>
          <w:highlight w:val="none"/>
        </w:rPr>
        <w:t>【</w:t>
      </w:r>
      <w:r>
        <w:rPr>
          <w:rFonts w:hint="eastAsia"/>
          <w:i/>
          <w:color w:val="000000"/>
          <w:sz w:val="24"/>
          <w:highlight w:val="none"/>
          <w:u w:val="single"/>
        </w:rPr>
        <w:t xml:space="preserve"> </w:t>
      </w:r>
      <w:r>
        <w:rPr>
          <w:i/>
          <w:color w:val="000000"/>
          <w:sz w:val="24"/>
          <w:highlight w:val="none"/>
          <w:u w:val="single"/>
        </w:rPr>
        <w:t xml:space="preserve">             </w:t>
      </w:r>
      <w:r>
        <w:rPr>
          <w:rFonts w:hint="eastAsia"/>
          <w:color w:val="000000"/>
          <w:sz w:val="24"/>
          <w:highlight w:val="none"/>
        </w:rPr>
        <w:t>】</w:t>
      </w:r>
    </w:p>
    <w:p>
      <w:pPr>
        <w:tabs>
          <w:tab w:val="left" w:pos="567"/>
        </w:tabs>
        <w:spacing w:before="72" w:beforeLines="30" w:after="72" w:afterLines="30" w:line="360" w:lineRule="auto"/>
        <w:ind w:left="567"/>
        <w:rPr>
          <w:color w:val="000000"/>
          <w:sz w:val="24"/>
          <w:highlight w:val="none"/>
        </w:rPr>
      </w:pPr>
      <w:r>
        <w:rPr>
          <w:rFonts w:hint="eastAsia"/>
          <w:color w:val="000000"/>
          <w:sz w:val="24"/>
          <w:highlight w:val="none"/>
        </w:rPr>
        <w:t xml:space="preserve"> </w:t>
      </w:r>
      <w:r>
        <w:rPr>
          <w:color w:val="000000"/>
          <w:sz w:val="24"/>
          <w:highlight w:val="none"/>
        </w:rPr>
        <w:t xml:space="preserve">          </w:t>
      </w:r>
      <w:r>
        <w:rPr>
          <w:rFonts w:hint="eastAsia"/>
          <w:color w:val="000000"/>
          <w:sz w:val="24"/>
          <w:highlight w:val="none"/>
        </w:rPr>
        <w:t>【</w:t>
      </w:r>
      <w:r>
        <w:rPr>
          <w:rFonts w:hint="eastAsia"/>
          <w:i/>
          <w:color w:val="000000"/>
          <w:sz w:val="24"/>
          <w:highlight w:val="none"/>
          <w:u w:val="single"/>
        </w:rPr>
        <w:t xml:space="preserve"> </w:t>
      </w:r>
      <w:r>
        <w:rPr>
          <w:i/>
          <w:color w:val="000000"/>
          <w:sz w:val="24"/>
          <w:highlight w:val="none"/>
          <w:u w:val="single"/>
        </w:rPr>
        <w:t xml:space="preserve">             </w:t>
      </w:r>
      <w:r>
        <w:rPr>
          <w:rFonts w:hint="eastAsia"/>
          <w:color w:val="000000"/>
          <w:sz w:val="24"/>
          <w:highlight w:val="none"/>
        </w:rPr>
        <w:t>】</w:t>
      </w:r>
    </w:p>
    <w:p>
      <w:pPr>
        <w:tabs>
          <w:tab w:val="left" w:pos="567"/>
        </w:tabs>
        <w:spacing w:before="72" w:beforeLines="30" w:after="72" w:afterLines="30" w:line="360" w:lineRule="auto"/>
        <w:ind w:left="567"/>
        <w:rPr>
          <w:rFonts w:asciiTheme="minorEastAsia" w:hAnsiTheme="minorEastAsia" w:eastAsiaTheme="minorEastAsia"/>
          <w:i/>
          <w:color w:val="000000"/>
          <w:sz w:val="24"/>
          <w:highlight w:val="none"/>
          <w:u w:val="single"/>
        </w:rPr>
      </w:pPr>
      <w:r>
        <w:rPr>
          <w:rFonts w:hint="eastAsia" w:asciiTheme="minorEastAsia" w:hAnsiTheme="minorEastAsia" w:eastAsiaTheme="minorEastAsia"/>
          <w:i/>
          <w:color w:val="000000"/>
          <w:sz w:val="24"/>
          <w:highlight w:val="none"/>
          <w:u w:val="single"/>
        </w:rPr>
        <w:t>选项二：到货验收付款+质保金</w:t>
      </w:r>
    </w:p>
    <w:p>
      <w:pPr>
        <w:pStyle w:val="35"/>
        <w:numPr>
          <w:ilvl w:val="0"/>
          <w:numId w:val="13"/>
        </w:numPr>
        <w:tabs>
          <w:tab w:val="left" w:pos="567"/>
        </w:tabs>
        <w:spacing w:before="72" w:beforeLines="30" w:after="72" w:afterLines="30" w:line="360" w:lineRule="auto"/>
        <w:ind w:firstLineChars="0"/>
        <w:rPr>
          <w:sz w:val="24"/>
          <w:highlight w:val="none"/>
        </w:rPr>
      </w:pPr>
      <w:r>
        <w:rPr>
          <w:rFonts w:hint="eastAsia" w:asciiTheme="minorEastAsia" w:hAnsiTheme="minorEastAsia" w:eastAsiaTheme="minorEastAsia"/>
          <w:sz w:val="24"/>
          <w:highlight w:val="none"/>
        </w:rPr>
        <w:t>卖方在合同规定的期限内将货物运至交货地点，买方在收到货物并签发验收证明后</w:t>
      </w:r>
      <w:r>
        <w:rPr>
          <w:rFonts w:hint="eastAsia"/>
          <w:sz w:val="24"/>
          <w:highlight w:val="none"/>
        </w:rPr>
        <w:t>【</w:t>
      </w:r>
      <w:r>
        <w:rPr>
          <w:rFonts w:hint="eastAsia"/>
          <w:i/>
          <w:sz w:val="24"/>
          <w:highlight w:val="none"/>
        </w:rPr>
        <w:t>填入天数</w:t>
      </w:r>
      <w:r>
        <w:rPr>
          <w:rFonts w:hint="eastAsia"/>
          <w:sz w:val="24"/>
          <w:highlight w:val="none"/>
        </w:rPr>
        <w:t>】</w:t>
      </w:r>
      <w:r>
        <w:rPr>
          <w:rFonts w:hAnsi="宋体"/>
          <w:sz w:val="24"/>
          <w:highlight w:val="none"/>
        </w:rPr>
        <w:t>日内</w:t>
      </w:r>
      <w:r>
        <w:rPr>
          <w:rFonts w:asciiTheme="minorEastAsia" w:hAnsiTheme="minorEastAsia" w:eastAsiaTheme="minorEastAsia"/>
          <w:sz w:val="24"/>
          <w:highlight w:val="none"/>
        </w:rPr>
        <w:t>，</w:t>
      </w:r>
      <w:r>
        <w:rPr>
          <w:rFonts w:hint="eastAsia" w:asciiTheme="minorEastAsia" w:hAnsiTheme="minorEastAsia" w:eastAsiaTheme="minorEastAsia"/>
          <w:sz w:val="24"/>
          <w:highlight w:val="none"/>
        </w:rPr>
        <w:t>买方</w:t>
      </w:r>
      <w:r>
        <w:rPr>
          <w:rFonts w:asciiTheme="minorEastAsia" w:hAnsiTheme="minorEastAsia" w:eastAsiaTheme="minorEastAsia"/>
          <w:sz w:val="24"/>
          <w:highlight w:val="none"/>
        </w:rPr>
        <w:t>支付</w:t>
      </w:r>
      <w:r>
        <w:rPr>
          <w:rFonts w:hint="eastAsia" w:asciiTheme="minorEastAsia" w:hAnsiTheme="minorEastAsia" w:eastAsiaTheme="minorEastAsia"/>
          <w:sz w:val="24"/>
          <w:highlight w:val="none"/>
        </w:rPr>
        <w:t>合同</w:t>
      </w:r>
      <w:r>
        <w:rPr>
          <w:rFonts w:asciiTheme="minorEastAsia" w:hAnsiTheme="minorEastAsia" w:eastAsiaTheme="minorEastAsia"/>
          <w:sz w:val="24"/>
          <w:highlight w:val="none"/>
        </w:rPr>
        <w:t>总价的</w:t>
      </w:r>
      <w:r>
        <w:rPr>
          <w:rFonts w:hint="eastAsia"/>
          <w:sz w:val="24"/>
          <w:highlight w:val="none"/>
        </w:rPr>
        <w:t>【</w:t>
      </w:r>
      <w:r>
        <w:rPr>
          <w:rFonts w:hint="eastAsia"/>
          <w:i/>
          <w:sz w:val="24"/>
          <w:highlight w:val="none"/>
        </w:rPr>
        <w:t>填入百分比</w:t>
      </w:r>
      <w:r>
        <w:rPr>
          <w:rFonts w:hint="eastAsia"/>
          <w:sz w:val="24"/>
          <w:highlight w:val="none"/>
        </w:rPr>
        <w:t>】</w:t>
      </w:r>
      <w:r>
        <w:rPr>
          <w:rFonts w:hAnsi="宋体"/>
          <w:sz w:val="24"/>
          <w:highlight w:val="none"/>
        </w:rPr>
        <w:t>，即</w:t>
      </w:r>
      <w:r>
        <w:rPr>
          <w:rFonts w:hint="eastAsia"/>
          <w:sz w:val="24"/>
          <w:highlight w:val="none"/>
        </w:rPr>
        <w:t>【</w:t>
      </w:r>
      <w:r>
        <w:rPr>
          <w:rFonts w:hint="eastAsia"/>
          <w:i/>
          <w:sz w:val="24"/>
          <w:highlight w:val="none"/>
        </w:rPr>
        <w:t>填入币种英文简写，如</w:t>
      </w:r>
      <w:r>
        <w:rPr>
          <w:i/>
          <w:sz w:val="24"/>
          <w:highlight w:val="none"/>
        </w:rPr>
        <w:t>RMB</w:t>
      </w:r>
      <w:r>
        <w:rPr>
          <w:rFonts w:hint="eastAsia"/>
          <w:sz w:val="24"/>
          <w:highlight w:val="none"/>
        </w:rPr>
        <w:t>】【</w:t>
      </w:r>
      <w:r>
        <w:rPr>
          <w:rFonts w:hint="eastAsia"/>
          <w:i/>
          <w:sz w:val="24"/>
          <w:highlight w:val="none"/>
        </w:rPr>
        <w:t>填入小写金额</w:t>
      </w:r>
      <w:r>
        <w:rPr>
          <w:rFonts w:hint="eastAsia"/>
          <w:sz w:val="24"/>
          <w:highlight w:val="none"/>
        </w:rPr>
        <w:t>】（大写：【</w:t>
      </w:r>
      <w:r>
        <w:rPr>
          <w:rFonts w:hint="eastAsia"/>
          <w:i/>
          <w:sz w:val="24"/>
          <w:highlight w:val="none"/>
        </w:rPr>
        <w:t>填入币种名称，如人民币</w:t>
      </w:r>
      <w:r>
        <w:rPr>
          <w:rFonts w:hint="eastAsia"/>
          <w:sz w:val="24"/>
          <w:highlight w:val="none"/>
        </w:rPr>
        <w:t>】【</w:t>
      </w:r>
      <w:r>
        <w:rPr>
          <w:rFonts w:hint="eastAsia"/>
          <w:i/>
          <w:sz w:val="24"/>
          <w:highlight w:val="none"/>
        </w:rPr>
        <w:t>填入大写金额</w:t>
      </w:r>
      <w:r>
        <w:rPr>
          <w:rFonts w:hint="eastAsia"/>
          <w:sz w:val="24"/>
          <w:highlight w:val="none"/>
        </w:rPr>
        <w:t>】）</w:t>
      </w:r>
      <w:r>
        <w:rPr>
          <w:rFonts w:hAnsi="宋体"/>
          <w:sz w:val="24"/>
          <w:highlight w:val="none"/>
        </w:rPr>
        <w:t>。</w:t>
      </w:r>
    </w:p>
    <w:p>
      <w:pPr>
        <w:pStyle w:val="35"/>
        <w:numPr>
          <w:ilvl w:val="0"/>
          <w:numId w:val="13"/>
        </w:numPr>
        <w:tabs>
          <w:tab w:val="left" w:pos="567"/>
        </w:tabs>
        <w:spacing w:before="72" w:beforeLines="30" w:after="72" w:afterLines="30" w:line="360" w:lineRule="auto"/>
        <w:ind w:firstLineChars="0"/>
        <w:rPr>
          <w:i/>
          <w:sz w:val="24"/>
          <w:highlight w:val="none"/>
        </w:rPr>
      </w:pPr>
      <w:r>
        <w:rPr>
          <w:sz w:val="24"/>
          <w:highlight w:val="none"/>
        </w:rPr>
        <w:t>合同总价的</w:t>
      </w:r>
      <w:r>
        <w:rPr>
          <w:rFonts w:hint="eastAsia"/>
          <w:sz w:val="24"/>
          <w:highlight w:val="none"/>
        </w:rPr>
        <w:t>【</w:t>
      </w:r>
      <w:r>
        <w:rPr>
          <w:rFonts w:hint="eastAsia"/>
          <w:i/>
          <w:sz w:val="24"/>
          <w:highlight w:val="none"/>
        </w:rPr>
        <w:t>填入百分比</w:t>
      </w:r>
      <w:r>
        <w:rPr>
          <w:rFonts w:hint="eastAsia"/>
          <w:sz w:val="24"/>
          <w:highlight w:val="none"/>
        </w:rPr>
        <w:t>】，</w:t>
      </w:r>
      <w:r>
        <w:rPr>
          <w:sz w:val="24"/>
          <w:highlight w:val="none"/>
        </w:rPr>
        <w:t>即</w:t>
      </w:r>
      <w:r>
        <w:rPr>
          <w:rFonts w:hint="eastAsia"/>
          <w:sz w:val="24"/>
          <w:highlight w:val="none"/>
        </w:rPr>
        <w:t>【</w:t>
      </w:r>
      <w:r>
        <w:rPr>
          <w:rFonts w:hint="eastAsia"/>
          <w:i/>
          <w:sz w:val="24"/>
          <w:highlight w:val="none"/>
        </w:rPr>
        <w:t>填入币种英文简写，如</w:t>
      </w:r>
      <w:r>
        <w:rPr>
          <w:i/>
          <w:sz w:val="24"/>
          <w:highlight w:val="none"/>
        </w:rPr>
        <w:t>RMB</w:t>
      </w:r>
      <w:r>
        <w:rPr>
          <w:rFonts w:hint="eastAsia"/>
          <w:sz w:val="24"/>
          <w:highlight w:val="none"/>
        </w:rPr>
        <w:t>】【</w:t>
      </w:r>
      <w:r>
        <w:rPr>
          <w:rFonts w:hint="eastAsia"/>
          <w:i/>
          <w:sz w:val="24"/>
          <w:highlight w:val="none"/>
        </w:rPr>
        <w:t>填入小写金额</w:t>
      </w:r>
      <w:r>
        <w:rPr>
          <w:rFonts w:hint="eastAsia"/>
          <w:sz w:val="24"/>
          <w:highlight w:val="none"/>
        </w:rPr>
        <w:t>】（大写：【</w:t>
      </w:r>
      <w:r>
        <w:rPr>
          <w:rFonts w:hint="eastAsia"/>
          <w:i/>
          <w:sz w:val="24"/>
          <w:highlight w:val="none"/>
        </w:rPr>
        <w:t>填入币种名称，如人民币</w:t>
      </w:r>
      <w:r>
        <w:rPr>
          <w:rFonts w:hint="eastAsia"/>
          <w:sz w:val="24"/>
          <w:highlight w:val="none"/>
        </w:rPr>
        <w:t>】【</w:t>
      </w:r>
      <w:r>
        <w:rPr>
          <w:rFonts w:hint="eastAsia"/>
          <w:i/>
          <w:sz w:val="24"/>
          <w:highlight w:val="none"/>
        </w:rPr>
        <w:t>填入大写金额</w:t>
      </w:r>
      <w:r>
        <w:rPr>
          <w:rFonts w:hint="eastAsia"/>
          <w:sz w:val="24"/>
          <w:highlight w:val="none"/>
        </w:rPr>
        <w:t>】）</w:t>
      </w:r>
      <w:r>
        <w:rPr>
          <w:sz w:val="24"/>
          <w:highlight w:val="none"/>
        </w:rPr>
        <w:t>作为质保金</w:t>
      </w:r>
      <w:r>
        <w:rPr>
          <w:rFonts w:hint="eastAsia"/>
          <w:sz w:val="24"/>
          <w:highlight w:val="none"/>
        </w:rPr>
        <w:t>。货物质保期结束且卖方收到买方签发的货物最终接受证书后【</w:t>
      </w:r>
      <w:r>
        <w:rPr>
          <w:rFonts w:hint="eastAsia"/>
          <w:i/>
          <w:sz w:val="24"/>
          <w:highlight w:val="none"/>
        </w:rPr>
        <w:t>填入天数</w:t>
      </w:r>
      <w:r>
        <w:rPr>
          <w:rFonts w:hint="eastAsia"/>
          <w:sz w:val="24"/>
          <w:highlight w:val="none"/>
        </w:rPr>
        <w:t>】日内，买方支付该等质保金。</w:t>
      </w:r>
    </w:p>
    <w:p>
      <w:pPr>
        <w:tabs>
          <w:tab w:val="left" w:pos="567"/>
        </w:tabs>
        <w:spacing w:before="72" w:beforeLines="30" w:after="72" w:afterLines="30" w:line="360" w:lineRule="auto"/>
        <w:ind w:left="567"/>
        <w:rPr>
          <w:i/>
          <w:color w:val="000000"/>
          <w:sz w:val="24"/>
          <w:highlight w:val="none"/>
          <w:u w:val="single"/>
        </w:rPr>
      </w:pPr>
      <w:r>
        <w:rPr>
          <w:rFonts w:hint="eastAsia"/>
          <w:i/>
          <w:color w:val="000000"/>
          <w:sz w:val="24"/>
          <w:highlight w:val="none"/>
          <w:u w:val="single"/>
        </w:rPr>
        <w:t>选项三：到货验收后一次性付清款项</w:t>
      </w:r>
    </w:p>
    <w:p>
      <w:pPr>
        <w:tabs>
          <w:tab w:val="left" w:pos="567"/>
        </w:tabs>
        <w:spacing w:before="72" w:beforeLines="30" w:after="72" w:afterLines="30" w:line="360" w:lineRule="auto"/>
        <w:ind w:left="567"/>
        <w:rPr>
          <w:rFonts w:asciiTheme="minorEastAsia" w:hAnsiTheme="minorEastAsia" w:eastAsiaTheme="minorEastAsia"/>
          <w:color w:val="000000"/>
          <w:sz w:val="24"/>
          <w:highlight w:val="none"/>
        </w:rPr>
      </w:pPr>
      <w:r>
        <w:rPr>
          <w:rFonts w:hint="eastAsia" w:asciiTheme="minorEastAsia" w:hAnsiTheme="minorEastAsia" w:eastAsiaTheme="minorEastAsia"/>
          <w:sz w:val="24"/>
          <w:highlight w:val="none"/>
        </w:rPr>
        <w:t>卖方在合同规定的期限内将货物运至交货地点，买方在收到货物并签发验收证明后</w:t>
      </w:r>
      <w:r>
        <w:rPr>
          <w:rFonts w:hint="eastAsia"/>
          <w:sz w:val="24"/>
          <w:highlight w:val="none"/>
        </w:rPr>
        <w:t>【</w:t>
      </w:r>
      <w:r>
        <w:rPr>
          <w:rFonts w:hint="eastAsia"/>
          <w:i/>
          <w:sz w:val="24"/>
          <w:highlight w:val="none"/>
        </w:rPr>
        <w:t>填入天数</w:t>
      </w:r>
      <w:r>
        <w:rPr>
          <w:rFonts w:hint="eastAsia"/>
          <w:sz w:val="24"/>
          <w:highlight w:val="none"/>
        </w:rPr>
        <w:t>】</w:t>
      </w:r>
      <w:r>
        <w:rPr>
          <w:rFonts w:hAnsi="宋体"/>
          <w:sz w:val="24"/>
          <w:highlight w:val="none"/>
        </w:rPr>
        <w:t>日内</w:t>
      </w:r>
      <w:r>
        <w:rPr>
          <w:rFonts w:hint="eastAsia" w:asciiTheme="minorEastAsia" w:hAnsiTheme="minorEastAsia" w:eastAsiaTheme="minorEastAsia"/>
          <w:color w:val="000000"/>
          <w:sz w:val="24"/>
          <w:highlight w:val="none"/>
        </w:rPr>
        <w:t>，买方一次性付清全部合同价款。</w:t>
      </w:r>
    </w:p>
    <w:p>
      <w:pPr>
        <w:numPr>
          <w:ilvl w:val="0"/>
          <w:numId w:val="12"/>
        </w:numPr>
        <w:tabs>
          <w:tab w:val="left" w:pos="567"/>
        </w:tabs>
        <w:spacing w:before="72" w:beforeLines="30" w:after="72" w:afterLines="30" w:line="360" w:lineRule="auto"/>
        <w:rPr>
          <w:color w:val="000000"/>
          <w:sz w:val="24"/>
          <w:highlight w:val="none"/>
        </w:rPr>
      </w:pPr>
      <w:bookmarkStart w:id="47" w:name="OLE_LINK91"/>
      <w:bookmarkStart w:id="48" w:name="OLE_LINK92"/>
      <w:r>
        <w:rPr>
          <w:rFonts w:hint="eastAsia"/>
          <w:color w:val="000000"/>
          <w:sz w:val="24"/>
          <w:highlight w:val="none"/>
        </w:rPr>
        <w:t>卖方应根据合同规定的付款条件和进度，提前向买方开具符合中国法律法规要求的发票并提供相关支持文件。</w:t>
      </w:r>
      <w:r>
        <w:rPr>
          <w:rFonts w:hint="eastAsia"/>
          <w:sz w:val="24"/>
          <w:highlight w:val="none"/>
        </w:rPr>
        <w:t>如</w:t>
      </w:r>
      <w:r>
        <w:rPr>
          <w:rFonts w:hint="eastAsia"/>
          <w:sz w:val="24"/>
          <w:highlight w:val="none"/>
          <w:lang w:eastAsia="zh-CN"/>
        </w:rPr>
        <w:t>卖方</w:t>
      </w:r>
      <w:r>
        <w:rPr>
          <w:rFonts w:hint="eastAsia"/>
          <w:sz w:val="24"/>
          <w:highlight w:val="none"/>
        </w:rPr>
        <w:t>提供的服务属于增值税应税范围，</w:t>
      </w:r>
      <w:r>
        <w:rPr>
          <w:rFonts w:hint="eastAsia"/>
          <w:sz w:val="24"/>
          <w:highlight w:val="none"/>
          <w:lang w:eastAsia="zh-CN"/>
        </w:rPr>
        <w:t>卖方</w:t>
      </w:r>
      <w:r>
        <w:rPr>
          <w:rFonts w:hint="eastAsia"/>
          <w:sz w:val="24"/>
          <w:highlight w:val="none"/>
        </w:rPr>
        <w:t>应为</w:t>
      </w:r>
      <w:r>
        <w:rPr>
          <w:rFonts w:hint="eastAsia"/>
          <w:sz w:val="24"/>
          <w:highlight w:val="none"/>
          <w:lang w:eastAsia="zh-CN"/>
        </w:rPr>
        <w:t>买方</w:t>
      </w:r>
      <w:r>
        <w:rPr>
          <w:rFonts w:hint="eastAsia"/>
          <w:sz w:val="24"/>
          <w:highlight w:val="none"/>
        </w:rPr>
        <w:t>开具增值税专用发票。</w:t>
      </w:r>
      <w:r>
        <w:rPr>
          <w:rFonts w:hint="eastAsia" w:cs="新宋体-18030"/>
          <w:sz w:val="24"/>
          <w:highlight w:val="none"/>
        </w:rPr>
        <w:t>发票</w:t>
      </w:r>
      <w:r>
        <w:rPr>
          <w:rFonts w:hint="eastAsia"/>
          <w:sz w:val="24"/>
          <w:highlight w:val="none"/>
        </w:rPr>
        <w:t>应注明合同编号且抬头应为：【</w:t>
      </w:r>
      <w:r>
        <w:rPr>
          <w:rFonts w:hint="eastAsia"/>
          <w:i/>
          <w:sz w:val="24"/>
          <w:highlight w:val="none"/>
        </w:rPr>
        <w:t>填入发票编号及抬头</w:t>
      </w:r>
      <w:r>
        <w:rPr>
          <w:rFonts w:hint="eastAsia"/>
          <w:sz w:val="24"/>
          <w:highlight w:val="none"/>
        </w:rPr>
        <w:t>】。</w:t>
      </w:r>
      <w:r>
        <w:rPr>
          <w:rFonts w:hint="eastAsia"/>
          <w:color w:val="000000"/>
          <w:sz w:val="24"/>
          <w:highlight w:val="none"/>
        </w:rPr>
        <w:t>如卖方未开具上述发票并提供相关支持文件，买方有权拒付相关合同价款。如果买方对卖方出具的该等发票和提供的相关支持文件无异议，应于收到该等发票和相关支持文件之日起【</w:t>
      </w:r>
      <w:r>
        <w:rPr>
          <w:rFonts w:hint="eastAsia"/>
          <w:i/>
          <w:color w:val="000000"/>
          <w:sz w:val="24"/>
          <w:highlight w:val="none"/>
        </w:rPr>
        <w:t>填入天数</w:t>
      </w:r>
      <w:r>
        <w:rPr>
          <w:rFonts w:hint="eastAsia"/>
          <w:color w:val="000000"/>
          <w:sz w:val="24"/>
          <w:highlight w:val="none"/>
        </w:rPr>
        <w:t>】日内向卖方付款。</w:t>
      </w:r>
      <w:bookmarkEnd w:id="47"/>
      <w:bookmarkEnd w:id="48"/>
      <w:r>
        <w:rPr>
          <w:rFonts w:hint="eastAsia"/>
          <w:sz w:val="24"/>
          <w:highlight w:val="none"/>
        </w:rPr>
        <w:t>如</w:t>
      </w:r>
      <w:r>
        <w:rPr>
          <w:rFonts w:hint="eastAsia"/>
          <w:sz w:val="24"/>
          <w:highlight w:val="none"/>
          <w:lang w:eastAsia="zh-CN"/>
        </w:rPr>
        <w:t>买方</w:t>
      </w:r>
      <w:r>
        <w:rPr>
          <w:rFonts w:hint="eastAsia"/>
          <w:sz w:val="24"/>
          <w:highlight w:val="none"/>
        </w:rPr>
        <w:t>对</w:t>
      </w:r>
      <w:r>
        <w:rPr>
          <w:rFonts w:hint="eastAsia"/>
          <w:sz w:val="24"/>
          <w:highlight w:val="none"/>
          <w:lang w:eastAsia="zh-CN"/>
        </w:rPr>
        <w:t>卖方</w:t>
      </w:r>
      <w:r>
        <w:rPr>
          <w:rFonts w:hint="eastAsia"/>
          <w:sz w:val="24"/>
          <w:highlight w:val="none"/>
        </w:rPr>
        <w:t>开具的该等发票和相关支持文件有异议，应于收到发票及相关支持文件后【</w:t>
      </w:r>
      <w:r>
        <w:rPr>
          <w:rFonts w:hint="eastAsia"/>
          <w:i/>
          <w:sz w:val="24"/>
          <w:highlight w:val="none"/>
        </w:rPr>
        <w:t>填入日期，如十（10）</w:t>
      </w:r>
      <w:r>
        <w:rPr>
          <w:rFonts w:hint="eastAsia"/>
          <w:sz w:val="24"/>
          <w:highlight w:val="none"/>
        </w:rPr>
        <w:t>】日内通知</w:t>
      </w:r>
      <w:r>
        <w:rPr>
          <w:rFonts w:hint="eastAsia"/>
          <w:sz w:val="24"/>
          <w:highlight w:val="none"/>
          <w:lang w:eastAsia="zh-CN"/>
        </w:rPr>
        <w:t>卖方</w:t>
      </w:r>
      <w:r>
        <w:rPr>
          <w:rFonts w:hint="eastAsia"/>
          <w:sz w:val="24"/>
          <w:highlight w:val="none"/>
        </w:rPr>
        <w:t>，</w:t>
      </w:r>
      <w:r>
        <w:rPr>
          <w:rFonts w:hint="eastAsia"/>
          <w:sz w:val="24"/>
          <w:highlight w:val="none"/>
          <w:lang w:eastAsia="zh-CN"/>
        </w:rPr>
        <w:t>卖方</w:t>
      </w:r>
      <w:r>
        <w:rPr>
          <w:rFonts w:hint="eastAsia"/>
          <w:sz w:val="24"/>
          <w:highlight w:val="none"/>
        </w:rPr>
        <w:t>应重新开具发票和相关支持文件，买方应于收到卖方重新开具的发票和相关支持文件之日起</w:t>
      </w:r>
      <w:r>
        <w:rPr>
          <w:rFonts w:hint="eastAsia"/>
          <w:color w:val="000000"/>
          <w:sz w:val="24"/>
          <w:highlight w:val="none"/>
        </w:rPr>
        <w:t>【</w:t>
      </w:r>
      <w:r>
        <w:rPr>
          <w:rFonts w:hint="eastAsia"/>
          <w:i/>
          <w:color w:val="000000"/>
          <w:sz w:val="24"/>
          <w:highlight w:val="none"/>
        </w:rPr>
        <w:t>填入天数</w:t>
      </w:r>
      <w:r>
        <w:rPr>
          <w:rFonts w:hint="eastAsia"/>
          <w:color w:val="000000"/>
          <w:sz w:val="24"/>
          <w:highlight w:val="none"/>
        </w:rPr>
        <w:t>】日内向卖方付款。</w:t>
      </w:r>
    </w:p>
    <w:p>
      <w:pPr>
        <w:numPr>
          <w:ilvl w:val="0"/>
          <w:numId w:val="12"/>
        </w:numPr>
        <w:tabs>
          <w:tab w:val="left" w:pos="567"/>
        </w:tabs>
        <w:spacing w:before="72" w:beforeLines="30" w:after="72" w:afterLines="30" w:line="360" w:lineRule="auto"/>
        <w:rPr>
          <w:sz w:val="24"/>
          <w:highlight w:val="none"/>
        </w:rPr>
      </w:pPr>
      <w:r>
        <w:rPr>
          <w:rFonts w:hint="eastAsia" w:hAnsi="宋体"/>
          <w:sz w:val="24"/>
          <w:highlight w:val="none"/>
        </w:rPr>
        <w:t>卖方</w:t>
      </w:r>
      <w:r>
        <w:rPr>
          <w:rFonts w:hAnsi="宋体"/>
          <w:sz w:val="24"/>
          <w:highlight w:val="none"/>
        </w:rPr>
        <w:t>账户</w:t>
      </w:r>
    </w:p>
    <w:p>
      <w:pPr>
        <w:tabs>
          <w:tab w:val="left" w:pos="567"/>
          <w:tab w:val="left" w:pos="1418"/>
        </w:tabs>
        <w:spacing w:before="72" w:beforeLines="30" w:after="72" w:afterLines="30" w:line="360" w:lineRule="auto"/>
        <w:ind w:left="565" w:leftChars="269"/>
        <w:rPr>
          <w:sz w:val="24"/>
          <w:highlight w:val="none"/>
        </w:rPr>
      </w:pPr>
      <w:r>
        <w:rPr>
          <w:sz w:val="24"/>
          <w:highlight w:val="none"/>
        </w:rPr>
        <w:t>卖方应通过如下账户收取合同总价及其它款项，并通过该账户向买方支付与合同有关的任何款项：</w:t>
      </w:r>
    </w:p>
    <w:p>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卖方名称：</w:t>
      </w:r>
      <w:r>
        <w:rPr>
          <w:rFonts w:hint="eastAsia"/>
          <w:sz w:val="24"/>
          <w:highlight w:val="none"/>
          <w:u w:val="single"/>
        </w:rPr>
        <w:t xml:space="preserve">                            </w:t>
      </w:r>
      <w:r>
        <w:rPr>
          <w:sz w:val="24"/>
          <w:highlight w:val="none"/>
        </w:rPr>
        <w:t xml:space="preserve"> </w:t>
      </w:r>
    </w:p>
    <w:p>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账号：</w:t>
      </w:r>
      <w:r>
        <w:rPr>
          <w:rFonts w:hint="eastAsia"/>
          <w:sz w:val="24"/>
          <w:highlight w:val="none"/>
          <w:u w:val="single"/>
        </w:rPr>
        <w:t xml:space="preserve">                                </w:t>
      </w:r>
    </w:p>
    <w:p>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开户行名称：</w:t>
      </w:r>
      <w:r>
        <w:rPr>
          <w:rFonts w:hint="eastAsia"/>
          <w:sz w:val="24"/>
          <w:highlight w:val="none"/>
          <w:u w:val="single"/>
        </w:rPr>
        <w:t xml:space="preserve">                          </w:t>
      </w:r>
      <w:r>
        <w:rPr>
          <w:sz w:val="24"/>
          <w:highlight w:val="none"/>
        </w:rPr>
        <w:t xml:space="preserve"> </w:t>
      </w:r>
    </w:p>
    <w:p>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开户行地址：</w:t>
      </w:r>
      <w:bookmarkStart w:id="49" w:name="OLE_LINK45"/>
      <w:bookmarkStart w:id="50" w:name="OLE_LINK46"/>
      <w:r>
        <w:rPr>
          <w:rFonts w:hint="eastAsia"/>
          <w:sz w:val="24"/>
          <w:highlight w:val="none"/>
          <w:u w:val="single"/>
        </w:rPr>
        <w:t xml:space="preserve">                          </w:t>
      </w:r>
      <w:r>
        <w:rPr>
          <w:sz w:val="24"/>
          <w:highlight w:val="none"/>
        </w:rPr>
        <w:t xml:space="preserve"> </w:t>
      </w:r>
      <w:bookmarkEnd w:id="49"/>
      <w:bookmarkEnd w:id="50"/>
    </w:p>
    <w:p>
      <w:pPr>
        <w:tabs>
          <w:tab w:val="left" w:pos="567"/>
          <w:tab w:val="left" w:pos="1418"/>
        </w:tabs>
        <w:spacing w:before="72" w:beforeLines="30" w:after="72" w:afterLines="30" w:line="360" w:lineRule="auto"/>
        <w:ind w:left="565" w:leftChars="269" w:right="3916" w:rightChars="1865"/>
        <w:rPr>
          <w:sz w:val="24"/>
          <w:highlight w:val="none"/>
        </w:rPr>
      </w:pPr>
      <w:r>
        <w:rPr>
          <w:sz w:val="24"/>
          <w:highlight w:val="none"/>
        </w:rPr>
        <w:t>邮政编码：</w:t>
      </w:r>
      <w:bookmarkStart w:id="51" w:name="OLE_LINK52"/>
      <w:bookmarkStart w:id="52" w:name="OLE_LINK53"/>
      <w:r>
        <w:rPr>
          <w:sz w:val="24"/>
          <w:highlight w:val="none"/>
          <w:u w:val="single"/>
        </w:rPr>
        <w:t xml:space="preserve">                          </w:t>
      </w:r>
      <w:bookmarkEnd w:id="51"/>
      <w:bookmarkEnd w:id="52"/>
      <w:r>
        <w:rPr>
          <w:sz w:val="24"/>
          <w:highlight w:val="none"/>
        </w:rPr>
        <w:t xml:space="preserve"> </w:t>
      </w:r>
    </w:p>
    <w:p>
      <w:pPr>
        <w:pStyle w:val="15"/>
        <w:numPr>
          <w:ilvl w:val="0"/>
          <w:numId w:val="9"/>
        </w:numPr>
        <w:spacing w:before="72" w:beforeLines="30" w:after="72" w:afterLines="30" w:line="360" w:lineRule="auto"/>
        <w:ind w:left="851" w:hanging="851"/>
        <w:jc w:val="left"/>
        <w:rPr>
          <w:sz w:val="24"/>
          <w:szCs w:val="24"/>
          <w:highlight w:val="none"/>
        </w:rPr>
      </w:pPr>
      <w:bookmarkStart w:id="53" w:name="_Toc306354310"/>
      <w:r>
        <w:rPr>
          <w:rFonts w:hint="eastAsia"/>
          <w:sz w:val="24"/>
          <w:szCs w:val="24"/>
          <w:highlight w:val="none"/>
        </w:rPr>
        <w:t>货物交付</w:t>
      </w:r>
      <w:bookmarkEnd w:id="53"/>
    </w:p>
    <w:p>
      <w:pPr>
        <w:numPr>
          <w:ilvl w:val="0"/>
          <w:numId w:val="14"/>
        </w:numPr>
        <w:tabs>
          <w:tab w:val="left" w:pos="567"/>
          <w:tab w:val="clear" w:pos="562"/>
        </w:tabs>
        <w:spacing w:before="72" w:beforeLines="30" w:after="72" w:afterLines="30" w:line="360" w:lineRule="auto"/>
        <w:ind w:left="567" w:hanging="567"/>
        <w:outlineLvl w:val="0"/>
        <w:rPr>
          <w:b/>
          <w:sz w:val="24"/>
          <w:highlight w:val="none"/>
        </w:rPr>
      </w:pPr>
      <w:r>
        <w:rPr>
          <w:rFonts w:hAnsi="宋体"/>
          <w:b/>
          <w:sz w:val="24"/>
          <w:highlight w:val="none"/>
        </w:rPr>
        <w:t>交货日期</w:t>
      </w:r>
    </w:p>
    <w:p>
      <w:pPr>
        <w:numPr>
          <w:ilvl w:val="0"/>
          <w:numId w:val="15"/>
        </w:numPr>
        <w:tabs>
          <w:tab w:val="left" w:pos="993"/>
        </w:tabs>
        <w:spacing w:before="72" w:beforeLines="30" w:after="72" w:afterLines="30" w:line="360" w:lineRule="auto"/>
        <w:ind w:left="1047" w:leftChars="268" w:hanging="484" w:hangingChars="202"/>
        <w:outlineLvl w:val="0"/>
        <w:rPr>
          <w:sz w:val="24"/>
          <w:highlight w:val="none"/>
        </w:rPr>
      </w:pPr>
      <w:r>
        <w:rPr>
          <w:rFonts w:hAnsi="宋体"/>
          <w:sz w:val="24"/>
          <w:highlight w:val="none"/>
        </w:rPr>
        <w:t>卖方应在</w:t>
      </w:r>
      <w:r>
        <w:rPr>
          <w:rFonts w:hint="eastAsia"/>
          <w:sz w:val="24"/>
          <w:highlight w:val="none"/>
        </w:rPr>
        <w:t>【</w:t>
      </w:r>
      <w:r>
        <w:rPr>
          <w:rFonts w:hint="eastAsia"/>
          <w:i/>
          <w:sz w:val="24"/>
          <w:highlight w:val="none"/>
        </w:rPr>
        <w:t>填入交货日期</w:t>
      </w:r>
      <w:r>
        <w:rPr>
          <w:rFonts w:hint="eastAsia"/>
          <w:sz w:val="24"/>
          <w:highlight w:val="none"/>
        </w:rPr>
        <w:t>】</w:t>
      </w:r>
      <w:r>
        <w:rPr>
          <w:rFonts w:ascii="宋体" w:hAnsi="宋体"/>
          <w:sz w:val="24"/>
          <w:highlight w:val="none"/>
        </w:rPr>
        <w:t>（“交货日期”）</w:t>
      </w:r>
      <w:r>
        <w:rPr>
          <w:rFonts w:hAnsi="宋体"/>
          <w:sz w:val="24"/>
          <w:highlight w:val="none"/>
        </w:rPr>
        <w:t>前完成货物的交付。</w:t>
      </w:r>
    </w:p>
    <w:p>
      <w:pPr>
        <w:numPr>
          <w:ilvl w:val="0"/>
          <w:numId w:val="15"/>
        </w:numPr>
        <w:tabs>
          <w:tab w:val="left" w:pos="993"/>
        </w:tabs>
        <w:spacing w:before="72" w:beforeLines="30" w:after="72" w:afterLines="30" w:line="360" w:lineRule="auto"/>
        <w:ind w:left="1047" w:leftChars="268" w:hanging="484" w:hangingChars="202"/>
        <w:outlineLvl w:val="0"/>
        <w:rPr>
          <w:sz w:val="24"/>
          <w:highlight w:val="none"/>
        </w:rPr>
      </w:pPr>
      <w:r>
        <w:rPr>
          <w:rFonts w:hAnsi="宋体"/>
          <w:sz w:val="24"/>
          <w:highlight w:val="none"/>
        </w:rPr>
        <w:t>买方</w:t>
      </w:r>
      <w:r>
        <w:rPr>
          <w:rFonts w:hint="eastAsia" w:hAnsi="宋体"/>
          <w:sz w:val="24"/>
          <w:highlight w:val="none"/>
        </w:rPr>
        <w:t>有权根据自身</w:t>
      </w:r>
      <w:r>
        <w:rPr>
          <w:rFonts w:hAnsi="宋体"/>
          <w:sz w:val="24"/>
          <w:highlight w:val="none"/>
        </w:rPr>
        <w:t>情况</w:t>
      </w:r>
      <w:r>
        <w:rPr>
          <w:rFonts w:hint="eastAsia" w:hAnsi="宋体"/>
          <w:sz w:val="24"/>
          <w:highlight w:val="none"/>
        </w:rPr>
        <w:t>要求卖方延期交付货物，但买方应在交付日期前</w:t>
      </w:r>
      <w:bookmarkStart w:id="54" w:name="OLE_LINK57"/>
      <w:bookmarkStart w:id="55" w:name="OLE_LINK56"/>
      <w:r>
        <w:rPr>
          <w:rFonts w:hint="eastAsia" w:hAnsi="宋体"/>
          <w:sz w:val="24"/>
          <w:highlight w:val="none"/>
        </w:rPr>
        <w:t>【</w:t>
      </w:r>
      <w:r>
        <w:rPr>
          <w:rFonts w:hint="eastAsia" w:hAnsi="宋体"/>
          <w:i/>
          <w:sz w:val="24"/>
          <w:highlight w:val="none"/>
        </w:rPr>
        <w:t>填入天数</w:t>
      </w:r>
      <w:r>
        <w:rPr>
          <w:rFonts w:hint="eastAsia" w:hAnsi="宋体"/>
          <w:sz w:val="24"/>
          <w:highlight w:val="none"/>
        </w:rPr>
        <w:t>】</w:t>
      </w:r>
      <w:bookmarkEnd w:id="54"/>
      <w:bookmarkEnd w:id="55"/>
      <w:r>
        <w:rPr>
          <w:rFonts w:hint="eastAsia" w:hAnsi="宋体"/>
          <w:sz w:val="24"/>
          <w:highlight w:val="none"/>
        </w:rPr>
        <w:t>日以书面方式</w:t>
      </w:r>
      <w:r>
        <w:rPr>
          <w:rFonts w:hAnsi="宋体"/>
          <w:sz w:val="24"/>
          <w:highlight w:val="none"/>
        </w:rPr>
        <w:t>通知卖方。</w:t>
      </w:r>
      <w:r>
        <w:rPr>
          <w:sz w:val="24"/>
          <w:highlight w:val="none"/>
        </w:rPr>
        <w:t>除非买方调整交货日期</w:t>
      </w:r>
      <w:r>
        <w:rPr>
          <w:rFonts w:hint="eastAsia"/>
          <w:sz w:val="24"/>
          <w:highlight w:val="none"/>
        </w:rPr>
        <w:t>实质性</w:t>
      </w:r>
      <w:r>
        <w:rPr>
          <w:sz w:val="24"/>
          <w:highlight w:val="none"/>
        </w:rPr>
        <w:t>加重卖方义务，否则卖方不得另行向买方主张增加费用。</w:t>
      </w:r>
    </w:p>
    <w:p>
      <w:pPr>
        <w:numPr>
          <w:ilvl w:val="0"/>
          <w:numId w:val="14"/>
        </w:numPr>
        <w:tabs>
          <w:tab w:val="left" w:pos="567"/>
          <w:tab w:val="left" w:pos="709"/>
          <w:tab w:val="clear" w:pos="562"/>
        </w:tabs>
        <w:spacing w:before="72" w:beforeLines="30" w:after="72" w:afterLines="30" w:line="360" w:lineRule="auto"/>
        <w:ind w:left="567" w:hanging="567"/>
        <w:outlineLvl w:val="0"/>
        <w:rPr>
          <w:sz w:val="24"/>
          <w:highlight w:val="none"/>
        </w:rPr>
      </w:pPr>
      <w:r>
        <w:rPr>
          <w:rFonts w:hAnsi="宋体"/>
          <w:b/>
          <w:sz w:val="24"/>
          <w:highlight w:val="none"/>
        </w:rPr>
        <w:t>交货地点</w:t>
      </w:r>
      <w:r>
        <w:rPr>
          <w:rFonts w:hint="eastAsia" w:hAnsi="宋体"/>
          <w:sz w:val="24"/>
          <w:highlight w:val="none"/>
        </w:rPr>
        <w:t>：</w:t>
      </w:r>
      <w:bookmarkStart w:id="56" w:name="OLE_LINK58"/>
      <w:bookmarkStart w:id="57" w:name="OLE_LINK61"/>
      <w:bookmarkStart w:id="58" w:name="OLE_LINK60"/>
      <w:bookmarkStart w:id="59" w:name="OLE_LINK59"/>
      <w:r>
        <w:rPr>
          <w:rFonts w:hint="eastAsia" w:hAnsi="宋体"/>
          <w:sz w:val="24"/>
          <w:highlight w:val="none"/>
        </w:rPr>
        <w:t>【</w:t>
      </w:r>
      <w:r>
        <w:rPr>
          <w:rFonts w:hint="eastAsia" w:hAnsi="宋体"/>
          <w:i/>
          <w:sz w:val="24"/>
          <w:highlight w:val="none"/>
        </w:rPr>
        <w:t>填入交货地点</w:t>
      </w:r>
      <w:r>
        <w:rPr>
          <w:rFonts w:hint="eastAsia" w:hAnsi="宋体"/>
          <w:sz w:val="24"/>
          <w:highlight w:val="none"/>
        </w:rPr>
        <w:t>】</w:t>
      </w:r>
      <w:bookmarkEnd w:id="56"/>
      <w:bookmarkEnd w:id="57"/>
      <w:bookmarkEnd w:id="58"/>
      <w:bookmarkEnd w:id="59"/>
      <w:r>
        <w:rPr>
          <w:rFonts w:hint="eastAsia"/>
          <w:sz w:val="24"/>
          <w:highlight w:val="none"/>
        </w:rPr>
        <w:t>。</w:t>
      </w:r>
    </w:p>
    <w:p>
      <w:pPr>
        <w:numPr>
          <w:ilvl w:val="0"/>
          <w:numId w:val="14"/>
        </w:numPr>
        <w:tabs>
          <w:tab w:val="left" w:pos="709"/>
        </w:tabs>
        <w:spacing w:before="72" w:beforeLines="30" w:after="72" w:afterLines="30" w:line="360" w:lineRule="auto"/>
        <w:ind w:left="567" w:hanging="567"/>
        <w:outlineLvl w:val="0"/>
        <w:rPr>
          <w:highlight w:val="none"/>
        </w:rPr>
      </w:pPr>
      <w:r>
        <w:rPr>
          <w:rFonts w:hAnsi="宋体"/>
          <w:sz w:val="24"/>
          <w:highlight w:val="none"/>
        </w:rPr>
        <w:t>每批</w:t>
      </w:r>
      <w:r>
        <w:rPr>
          <w:rFonts w:hint="eastAsia" w:hAnsi="宋体"/>
          <w:sz w:val="24"/>
          <w:highlight w:val="none"/>
        </w:rPr>
        <w:t>货</w:t>
      </w:r>
      <w:r>
        <w:rPr>
          <w:rFonts w:hint="eastAsia"/>
          <w:sz w:val="24"/>
          <w:highlight w:val="none"/>
        </w:rPr>
        <w:t>物</w:t>
      </w:r>
      <w:r>
        <w:rPr>
          <w:sz w:val="24"/>
          <w:highlight w:val="none"/>
        </w:rPr>
        <w:t>交付运输后</w:t>
      </w:r>
      <w:r>
        <w:rPr>
          <w:rFonts w:hint="eastAsia"/>
          <w:sz w:val="24"/>
          <w:highlight w:val="none"/>
        </w:rPr>
        <w:t>【</w:t>
      </w:r>
      <w:r>
        <w:rPr>
          <w:rFonts w:hint="eastAsia"/>
          <w:i/>
          <w:sz w:val="24"/>
          <w:highlight w:val="none"/>
        </w:rPr>
        <w:t>填入小时数</w:t>
      </w:r>
      <w:r>
        <w:rPr>
          <w:rFonts w:hint="eastAsia"/>
          <w:sz w:val="24"/>
          <w:highlight w:val="none"/>
        </w:rPr>
        <w:t>】</w:t>
      </w:r>
      <w:r>
        <w:rPr>
          <w:sz w:val="24"/>
          <w:highlight w:val="none"/>
        </w:rPr>
        <w:t>小时内，卖方应通过将下列</w:t>
      </w:r>
      <w:r>
        <w:rPr>
          <w:rFonts w:hint="eastAsia"/>
          <w:sz w:val="24"/>
          <w:highlight w:val="none"/>
        </w:rPr>
        <w:t>材料、</w:t>
      </w:r>
      <w:r>
        <w:rPr>
          <w:sz w:val="24"/>
          <w:highlight w:val="none"/>
        </w:rPr>
        <w:t>信息通知买方</w:t>
      </w:r>
      <w:r>
        <w:rPr>
          <w:rFonts w:hint="eastAsia"/>
          <w:sz w:val="24"/>
          <w:highlight w:val="none"/>
        </w:rPr>
        <w:t>：</w:t>
      </w:r>
      <w:r>
        <w:rPr>
          <w:sz w:val="24"/>
          <w:highlight w:val="none"/>
        </w:rPr>
        <w:t>合同号</w:t>
      </w:r>
      <w:r>
        <w:rPr>
          <w:rFonts w:hint="eastAsia"/>
          <w:sz w:val="24"/>
          <w:highlight w:val="none"/>
        </w:rPr>
        <w:t>、</w:t>
      </w:r>
      <w:r>
        <w:rPr>
          <w:sz w:val="24"/>
          <w:highlight w:val="none"/>
        </w:rPr>
        <w:t>货物名称及编号</w:t>
      </w:r>
      <w:r>
        <w:rPr>
          <w:rFonts w:hint="eastAsia"/>
          <w:sz w:val="24"/>
          <w:highlight w:val="none"/>
        </w:rPr>
        <w:t>、货物数量、</w:t>
      </w:r>
      <w:r>
        <w:rPr>
          <w:sz w:val="24"/>
          <w:highlight w:val="none"/>
        </w:rPr>
        <w:t>货物总重量</w:t>
      </w:r>
      <w:r>
        <w:rPr>
          <w:rFonts w:hint="eastAsia"/>
          <w:sz w:val="24"/>
          <w:highlight w:val="none"/>
        </w:rPr>
        <w:t>和【</w:t>
      </w:r>
      <w:r>
        <w:rPr>
          <w:rFonts w:hint="eastAsia"/>
          <w:i/>
          <w:sz w:val="24"/>
          <w:highlight w:val="none"/>
        </w:rPr>
        <w:t>填入其它材料或信息</w:t>
      </w:r>
      <w:r>
        <w:rPr>
          <w:rFonts w:hint="eastAsia"/>
          <w:sz w:val="24"/>
          <w:highlight w:val="none"/>
        </w:rPr>
        <w:t>】。</w:t>
      </w:r>
    </w:p>
    <w:p>
      <w:pPr>
        <w:numPr>
          <w:ilvl w:val="0"/>
          <w:numId w:val="14"/>
        </w:numPr>
        <w:tabs>
          <w:tab w:val="left" w:pos="567"/>
          <w:tab w:val="left" w:pos="709"/>
          <w:tab w:val="clear" w:pos="562"/>
        </w:tabs>
        <w:spacing w:before="72" w:beforeLines="30" w:after="72" w:afterLines="30" w:line="360" w:lineRule="auto"/>
        <w:ind w:left="567" w:hanging="567"/>
        <w:outlineLvl w:val="0"/>
        <w:rPr>
          <w:b/>
          <w:sz w:val="24"/>
          <w:highlight w:val="none"/>
        </w:rPr>
      </w:pPr>
      <w:r>
        <w:rPr>
          <w:rFonts w:hint="eastAsia"/>
          <w:b/>
          <w:sz w:val="24"/>
          <w:highlight w:val="none"/>
        </w:rPr>
        <w:t>包装</w:t>
      </w:r>
    </w:p>
    <w:p>
      <w:pPr>
        <w:pStyle w:val="35"/>
        <w:spacing w:line="360" w:lineRule="auto"/>
        <w:ind w:left="567" w:leftChars="270" w:firstLine="0" w:firstLineChars="0"/>
        <w:rPr>
          <w:rFonts w:hAnsi="宋体"/>
          <w:sz w:val="24"/>
          <w:highlight w:val="none"/>
        </w:rPr>
      </w:pPr>
      <w:r>
        <w:rPr>
          <w:rFonts w:hAnsi="宋体"/>
          <w:sz w:val="24"/>
          <w:highlight w:val="none"/>
        </w:rPr>
        <w:t>卖方应提供将货物</w:t>
      </w:r>
      <w:r>
        <w:rPr>
          <w:rFonts w:hint="eastAsia" w:hAnsi="宋体"/>
          <w:sz w:val="24"/>
          <w:highlight w:val="none"/>
        </w:rPr>
        <w:t>、货物资料</w:t>
      </w:r>
      <w:r>
        <w:rPr>
          <w:rFonts w:hAnsi="宋体"/>
          <w:sz w:val="24"/>
          <w:highlight w:val="none"/>
        </w:rPr>
        <w:t>运至</w:t>
      </w:r>
      <w:r>
        <w:rPr>
          <w:rFonts w:hint="eastAsia" w:hAnsi="宋体"/>
          <w:sz w:val="24"/>
          <w:highlight w:val="none"/>
        </w:rPr>
        <w:t>交货</w:t>
      </w:r>
      <w:r>
        <w:rPr>
          <w:rFonts w:hAnsi="宋体"/>
          <w:sz w:val="24"/>
          <w:highlight w:val="none"/>
        </w:rPr>
        <w:t>地点所需要的包装，以防止货物</w:t>
      </w:r>
      <w:r>
        <w:rPr>
          <w:rFonts w:hint="eastAsia" w:hAnsi="宋体"/>
          <w:sz w:val="24"/>
          <w:highlight w:val="none"/>
        </w:rPr>
        <w:t>、货物资料</w:t>
      </w:r>
      <w:r>
        <w:rPr>
          <w:rFonts w:hAnsi="宋体"/>
          <w:sz w:val="24"/>
          <w:highlight w:val="none"/>
        </w:rPr>
        <w:t>在运输中损坏或变质。货物</w:t>
      </w:r>
      <w:r>
        <w:rPr>
          <w:rFonts w:hint="eastAsia" w:hAnsi="宋体"/>
          <w:sz w:val="24"/>
          <w:highlight w:val="none"/>
        </w:rPr>
        <w:t>、货物资料</w:t>
      </w:r>
      <w:r>
        <w:rPr>
          <w:rFonts w:hAnsi="宋体"/>
          <w:sz w:val="24"/>
          <w:highlight w:val="none"/>
        </w:rPr>
        <w:t>的包装应采用防潮、防晒、防锈、防腐蚀、防震动、防野蛮装卸及防止其它损坏的必要保护措施，保护货物</w:t>
      </w:r>
      <w:r>
        <w:rPr>
          <w:rFonts w:hint="eastAsia" w:hAnsi="宋体"/>
          <w:sz w:val="24"/>
          <w:highlight w:val="none"/>
        </w:rPr>
        <w:t>、货物资料</w:t>
      </w:r>
      <w:r>
        <w:rPr>
          <w:rFonts w:hAnsi="宋体"/>
          <w:sz w:val="24"/>
          <w:highlight w:val="none"/>
        </w:rPr>
        <w:t>能够经受多次搬运、装卸及远洋和内陆长途运输。</w:t>
      </w:r>
    </w:p>
    <w:p>
      <w:pPr>
        <w:numPr>
          <w:ilvl w:val="0"/>
          <w:numId w:val="14"/>
        </w:numPr>
        <w:tabs>
          <w:tab w:val="left" w:pos="567"/>
          <w:tab w:val="left" w:pos="709"/>
          <w:tab w:val="clear" w:pos="562"/>
        </w:tabs>
        <w:spacing w:before="72" w:beforeLines="30" w:after="72" w:afterLines="30" w:line="360" w:lineRule="auto"/>
        <w:ind w:left="567" w:hanging="567"/>
        <w:outlineLvl w:val="0"/>
        <w:rPr>
          <w:b/>
          <w:sz w:val="24"/>
          <w:highlight w:val="none"/>
        </w:rPr>
      </w:pPr>
      <w:r>
        <w:rPr>
          <w:rFonts w:hint="eastAsia"/>
          <w:b/>
          <w:sz w:val="24"/>
          <w:highlight w:val="none"/>
        </w:rPr>
        <w:t>货物资料的交付</w:t>
      </w:r>
    </w:p>
    <w:p>
      <w:pPr>
        <w:pStyle w:val="35"/>
        <w:numPr>
          <w:ilvl w:val="0"/>
          <w:numId w:val="16"/>
        </w:numPr>
        <w:tabs>
          <w:tab w:val="left" w:pos="709"/>
        </w:tabs>
        <w:spacing w:before="72" w:beforeLines="30" w:after="72" w:afterLines="30" w:line="360" w:lineRule="auto"/>
        <w:ind w:firstLineChars="0"/>
        <w:outlineLvl w:val="0"/>
        <w:rPr>
          <w:sz w:val="24"/>
          <w:highlight w:val="none"/>
        </w:rPr>
      </w:pPr>
      <w:r>
        <w:rPr>
          <w:rFonts w:hint="eastAsia"/>
          <w:sz w:val="24"/>
          <w:highlight w:val="none"/>
        </w:rPr>
        <w:t>卖方应根据如下规定向买方交付与货物有关的资料。卖方交付的货物资料应当完整、正确、整洁、书写明确、质量完好，符合行业标准或惯例，并能满足买方正常使用与维护货物之需要。 卖方向买方交付货物、买方验收货物以卖方在交货日将全部货物资料交付买方为前提条件。</w:t>
      </w:r>
      <w:r>
        <w:rPr>
          <w:sz w:val="24"/>
          <w:highlight w:val="none"/>
        </w:rPr>
        <w:t>如买方发现货物资料存在任何</w:t>
      </w:r>
      <w:r>
        <w:rPr>
          <w:rFonts w:hint="eastAsia"/>
          <w:sz w:val="24"/>
          <w:highlight w:val="none"/>
        </w:rPr>
        <w:t>错漏、</w:t>
      </w:r>
      <w:r>
        <w:rPr>
          <w:sz w:val="24"/>
          <w:highlight w:val="none"/>
        </w:rPr>
        <w:t>短缺、损坏、遗失，买方应于收到之日起</w:t>
      </w:r>
      <w:r>
        <w:rPr>
          <w:rFonts w:hint="eastAsia" w:hAnsi="宋体"/>
          <w:sz w:val="24"/>
          <w:highlight w:val="none"/>
        </w:rPr>
        <w:t>合理期限</w:t>
      </w:r>
      <w:r>
        <w:rPr>
          <w:sz w:val="24"/>
          <w:highlight w:val="none"/>
        </w:rPr>
        <w:t>内通知卖方；卖方收到通知后</w:t>
      </w:r>
      <w:r>
        <w:rPr>
          <w:rFonts w:hint="eastAsia" w:hAnsi="宋体"/>
          <w:sz w:val="24"/>
          <w:highlight w:val="none"/>
        </w:rPr>
        <w:t>【</w:t>
      </w:r>
      <w:r>
        <w:rPr>
          <w:rFonts w:hint="eastAsia" w:hAnsi="宋体"/>
          <w:i/>
          <w:sz w:val="24"/>
          <w:highlight w:val="none"/>
        </w:rPr>
        <w:t>填入天数</w:t>
      </w:r>
      <w:r>
        <w:rPr>
          <w:rFonts w:hint="eastAsia" w:hAnsi="宋体"/>
          <w:sz w:val="24"/>
          <w:highlight w:val="none"/>
        </w:rPr>
        <w:t>】</w:t>
      </w:r>
      <w:r>
        <w:rPr>
          <w:sz w:val="24"/>
          <w:highlight w:val="none"/>
        </w:rPr>
        <w:t>日内应</w:t>
      </w:r>
      <w:r>
        <w:rPr>
          <w:rFonts w:hint="eastAsia"/>
          <w:sz w:val="24"/>
          <w:highlight w:val="none"/>
        </w:rPr>
        <w:t>自行承担费用</w:t>
      </w:r>
      <w:r>
        <w:rPr>
          <w:sz w:val="24"/>
          <w:highlight w:val="none"/>
        </w:rPr>
        <w:t>将补充或替换的货物资料送达买方，</w:t>
      </w:r>
      <w:r>
        <w:rPr>
          <w:rFonts w:hint="eastAsia"/>
          <w:sz w:val="24"/>
          <w:highlight w:val="none"/>
        </w:rPr>
        <w:t>并</w:t>
      </w:r>
      <w:r>
        <w:rPr>
          <w:sz w:val="24"/>
          <w:highlight w:val="none"/>
        </w:rPr>
        <w:t>不得因此影响交货进度</w:t>
      </w:r>
      <w:r>
        <w:rPr>
          <w:rFonts w:hint="eastAsia"/>
          <w:sz w:val="24"/>
          <w:highlight w:val="none"/>
        </w:rPr>
        <w:t>。</w:t>
      </w:r>
    </w:p>
    <w:p>
      <w:pPr>
        <w:pStyle w:val="35"/>
        <w:numPr>
          <w:ilvl w:val="0"/>
          <w:numId w:val="16"/>
        </w:numPr>
        <w:tabs>
          <w:tab w:val="left" w:pos="709"/>
        </w:tabs>
        <w:spacing w:before="72" w:beforeLines="30" w:after="72" w:afterLines="30" w:line="360" w:lineRule="auto"/>
        <w:ind w:firstLineChars="0"/>
        <w:outlineLvl w:val="0"/>
        <w:rPr>
          <w:highlight w:val="none"/>
        </w:rPr>
      </w:pPr>
      <w:r>
        <w:rPr>
          <w:rFonts w:hint="eastAsia"/>
          <w:sz w:val="24"/>
          <w:highlight w:val="none"/>
        </w:rPr>
        <w:t>货物资料的名称、数量及交付时间为：</w:t>
      </w:r>
      <w:r>
        <w:rPr>
          <w:rFonts w:hint="eastAsia" w:hAnsi="宋体"/>
          <w:sz w:val="24"/>
          <w:highlight w:val="none"/>
        </w:rPr>
        <w:t>【</w:t>
      </w:r>
      <w:r>
        <w:rPr>
          <w:rFonts w:hint="eastAsia" w:hAnsi="宋体"/>
          <w:i/>
          <w:sz w:val="24"/>
          <w:highlight w:val="none"/>
        </w:rPr>
        <w:t>填入货物资料的交付信息</w:t>
      </w:r>
      <w:r>
        <w:rPr>
          <w:rFonts w:hint="eastAsia" w:hAnsi="宋体"/>
          <w:sz w:val="24"/>
          <w:highlight w:val="none"/>
        </w:rPr>
        <w:t>】</w:t>
      </w:r>
      <w:r>
        <w:rPr>
          <w:rFonts w:hint="eastAsia"/>
          <w:sz w:val="24"/>
          <w:highlight w:val="none"/>
        </w:rPr>
        <w:t>。</w:t>
      </w:r>
    </w:p>
    <w:p>
      <w:pPr>
        <w:pStyle w:val="15"/>
        <w:numPr>
          <w:ilvl w:val="0"/>
          <w:numId w:val="9"/>
        </w:numPr>
        <w:tabs>
          <w:tab w:val="left" w:pos="567"/>
        </w:tabs>
        <w:spacing w:before="72" w:beforeLines="30" w:after="72" w:afterLines="30" w:line="360" w:lineRule="auto"/>
        <w:ind w:left="567" w:hanging="567"/>
        <w:jc w:val="left"/>
        <w:rPr>
          <w:sz w:val="24"/>
          <w:szCs w:val="24"/>
          <w:highlight w:val="none"/>
        </w:rPr>
      </w:pPr>
      <w:bookmarkStart w:id="60" w:name="_Toc306354315"/>
      <w:r>
        <w:rPr>
          <w:rFonts w:hint="eastAsia"/>
          <w:sz w:val="24"/>
          <w:szCs w:val="24"/>
          <w:highlight w:val="none"/>
        </w:rPr>
        <w:t>货物要求</w:t>
      </w:r>
    </w:p>
    <w:p>
      <w:pPr>
        <w:pStyle w:val="35"/>
        <w:numPr>
          <w:ilvl w:val="0"/>
          <w:numId w:val="17"/>
        </w:numPr>
        <w:spacing w:before="72" w:beforeLines="30" w:after="72" w:afterLines="30" w:line="360" w:lineRule="auto"/>
        <w:ind w:left="567" w:hanging="567" w:firstLineChars="0"/>
        <w:outlineLvl w:val="0"/>
        <w:rPr>
          <w:rFonts w:hAnsi="宋体"/>
          <w:sz w:val="24"/>
          <w:highlight w:val="none"/>
        </w:rPr>
      </w:pPr>
      <w:r>
        <w:rPr>
          <w:rFonts w:hAnsi="宋体"/>
          <w:sz w:val="24"/>
          <w:highlight w:val="none"/>
        </w:rPr>
        <w:t>卖方应根据合同规定</w:t>
      </w:r>
      <w:r>
        <w:rPr>
          <w:rFonts w:hint="eastAsia" w:hAnsi="宋体"/>
          <w:sz w:val="24"/>
          <w:highlight w:val="none"/>
        </w:rPr>
        <w:t>提供</w:t>
      </w:r>
      <w:r>
        <w:rPr>
          <w:rFonts w:hAnsi="宋体"/>
          <w:sz w:val="24"/>
          <w:highlight w:val="none"/>
        </w:rPr>
        <w:t>货物，其提供的货物应符合合同规定的质量、规格及其它要求。如合同未就货物相关环节的质量、规格等予以明确规定，则应符合国家标准。如无国家标准，则应符合行业标准；如无行业标准，应</w:t>
      </w:r>
      <w:r>
        <w:rPr>
          <w:rFonts w:hint="eastAsia" w:hAnsi="宋体"/>
          <w:sz w:val="24"/>
          <w:highlight w:val="none"/>
        </w:rPr>
        <w:t>适用</w:t>
      </w:r>
      <w:r>
        <w:rPr>
          <w:rFonts w:hAnsi="宋体"/>
          <w:sz w:val="24"/>
          <w:highlight w:val="none"/>
        </w:rPr>
        <w:t>符合本合同目的的标准。</w:t>
      </w:r>
    </w:p>
    <w:p>
      <w:pPr>
        <w:pStyle w:val="35"/>
        <w:numPr>
          <w:ilvl w:val="0"/>
          <w:numId w:val="17"/>
        </w:numPr>
        <w:spacing w:before="72" w:beforeLines="30" w:after="72" w:afterLines="30" w:line="360" w:lineRule="auto"/>
        <w:ind w:left="567" w:hanging="567" w:firstLineChars="0"/>
        <w:outlineLvl w:val="0"/>
        <w:rPr>
          <w:rFonts w:hAnsi="宋体"/>
          <w:sz w:val="24"/>
          <w:highlight w:val="none"/>
        </w:rPr>
      </w:pPr>
      <w:r>
        <w:rPr>
          <w:rFonts w:hAnsi="宋体"/>
          <w:sz w:val="24"/>
          <w:highlight w:val="none"/>
        </w:rPr>
        <w:t>在履行合同过程中，买方接受卖方的有关货物的建议和要求或买方的任何批准、认可不得免除卖方</w:t>
      </w:r>
      <w:r>
        <w:rPr>
          <w:rFonts w:hint="eastAsia" w:hAnsi="宋体"/>
          <w:sz w:val="24"/>
          <w:highlight w:val="none"/>
        </w:rPr>
        <w:t>在本合同项下的任何</w:t>
      </w:r>
      <w:r>
        <w:rPr>
          <w:rFonts w:hAnsi="宋体"/>
          <w:sz w:val="24"/>
          <w:highlight w:val="none"/>
        </w:rPr>
        <w:t>义务（包括卖方对货物应符合本合同</w:t>
      </w:r>
      <w:r>
        <w:rPr>
          <w:rFonts w:hint="eastAsia" w:hAnsi="宋体"/>
          <w:sz w:val="24"/>
          <w:highlight w:val="none"/>
        </w:rPr>
        <w:t>规定的</w:t>
      </w:r>
      <w:r>
        <w:rPr>
          <w:rFonts w:hAnsi="宋体"/>
          <w:sz w:val="24"/>
          <w:highlight w:val="none"/>
        </w:rPr>
        <w:t>质量和规格</w:t>
      </w:r>
      <w:r>
        <w:rPr>
          <w:rFonts w:hint="eastAsia" w:hAnsi="宋体"/>
          <w:sz w:val="24"/>
          <w:highlight w:val="none"/>
        </w:rPr>
        <w:t>等</w:t>
      </w:r>
      <w:r>
        <w:rPr>
          <w:rFonts w:hAnsi="宋体"/>
          <w:sz w:val="24"/>
          <w:highlight w:val="none"/>
        </w:rPr>
        <w:t>要求应承担的责任）。</w:t>
      </w:r>
    </w:p>
    <w:p>
      <w:pPr>
        <w:pStyle w:val="15"/>
        <w:numPr>
          <w:ilvl w:val="0"/>
          <w:numId w:val="9"/>
        </w:numPr>
        <w:tabs>
          <w:tab w:val="left" w:pos="567"/>
        </w:tabs>
        <w:spacing w:before="72" w:beforeLines="30" w:after="72" w:afterLines="30" w:line="360" w:lineRule="auto"/>
        <w:ind w:left="567" w:hanging="567"/>
        <w:jc w:val="left"/>
        <w:rPr>
          <w:sz w:val="24"/>
          <w:szCs w:val="24"/>
          <w:highlight w:val="none"/>
        </w:rPr>
      </w:pPr>
      <w:r>
        <w:rPr>
          <w:rFonts w:hint="eastAsia"/>
          <w:sz w:val="24"/>
          <w:szCs w:val="24"/>
          <w:highlight w:val="none"/>
        </w:rPr>
        <w:t>运输和保险</w:t>
      </w:r>
    </w:p>
    <w:p>
      <w:pPr>
        <w:pStyle w:val="35"/>
        <w:numPr>
          <w:ilvl w:val="0"/>
          <w:numId w:val="18"/>
        </w:numPr>
        <w:spacing w:before="72" w:beforeLines="30" w:after="72" w:afterLines="30" w:line="360" w:lineRule="auto"/>
        <w:ind w:left="567" w:hanging="567" w:firstLineChars="0"/>
        <w:outlineLvl w:val="0"/>
        <w:rPr>
          <w:sz w:val="24"/>
          <w:highlight w:val="none"/>
        </w:rPr>
      </w:pPr>
      <w:r>
        <w:rPr>
          <w:sz w:val="24"/>
          <w:highlight w:val="none"/>
        </w:rPr>
        <w:t>运输</w:t>
      </w:r>
      <w:r>
        <w:rPr>
          <w:rFonts w:hint="eastAsia"/>
          <w:sz w:val="24"/>
          <w:highlight w:val="none"/>
        </w:rPr>
        <w:t>方式：</w:t>
      </w:r>
      <w:r>
        <w:rPr>
          <w:rFonts w:hint="eastAsia" w:hAnsi="宋体"/>
          <w:sz w:val="24"/>
          <w:highlight w:val="none"/>
        </w:rPr>
        <w:t>【</w:t>
      </w:r>
      <w:r>
        <w:rPr>
          <w:rFonts w:hint="eastAsia" w:hAnsi="宋体"/>
          <w:i/>
          <w:sz w:val="24"/>
          <w:highlight w:val="none"/>
        </w:rPr>
        <w:t>填入运输方式</w:t>
      </w:r>
      <w:r>
        <w:rPr>
          <w:rFonts w:hint="eastAsia" w:hAnsi="宋体"/>
          <w:sz w:val="24"/>
          <w:highlight w:val="none"/>
        </w:rPr>
        <w:t>】</w:t>
      </w:r>
      <w:r>
        <w:rPr>
          <w:rFonts w:hint="eastAsia"/>
          <w:sz w:val="24"/>
          <w:highlight w:val="none"/>
        </w:rPr>
        <w:t>。</w:t>
      </w:r>
    </w:p>
    <w:p>
      <w:pPr>
        <w:pStyle w:val="35"/>
        <w:numPr>
          <w:ilvl w:val="0"/>
          <w:numId w:val="18"/>
        </w:numPr>
        <w:spacing w:before="72" w:beforeLines="30" w:after="72" w:afterLines="30" w:line="360" w:lineRule="auto"/>
        <w:ind w:left="567" w:hanging="567" w:firstLineChars="0"/>
        <w:outlineLvl w:val="0"/>
        <w:rPr>
          <w:rFonts w:hAnsi="宋体"/>
          <w:sz w:val="24"/>
          <w:highlight w:val="none"/>
        </w:rPr>
      </w:pPr>
      <w:r>
        <w:rPr>
          <w:rFonts w:hint="eastAsia"/>
          <w:sz w:val="24"/>
          <w:highlight w:val="none"/>
        </w:rPr>
        <w:t>除非本合同另有明确规定，</w:t>
      </w:r>
      <w:r>
        <w:rPr>
          <w:rFonts w:hAnsi="宋体"/>
          <w:sz w:val="24"/>
          <w:highlight w:val="none"/>
        </w:rPr>
        <w:t>卖方负责将货物</w:t>
      </w:r>
      <w:r>
        <w:rPr>
          <w:rFonts w:hint="eastAsia" w:hAnsi="宋体"/>
          <w:sz w:val="24"/>
          <w:highlight w:val="none"/>
        </w:rPr>
        <w:t>及配套软件、货物资料</w:t>
      </w:r>
      <w:r>
        <w:rPr>
          <w:rFonts w:hAnsi="宋体"/>
          <w:sz w:val="24"/>
          <w:highlight w:val="none"/>
        </w:rPr>
        <w:t>运至交货地点，运输费用全部包含于合同总价中。如卖方需改变本合同规定的运输方式，卖方应提前</w:t>
      </w:r>
      <w:r>
        <w:rPr>
          <w:rFonts w:hint="eastAsia" w:hAnsi="宋体"/>
          <w:sz w:val="24"/>
          <w:highlight w:val="none"/>
        </w:rPr>
        <w:t>【</w:t>
      </w:r>
      <w:r>
        <w:rPr>
          <w:rFonts w:hint="eastAsia" w:hAnsi="宋体"/>
          <w:i/>
          <w:sz w:val="24"/>
          <w:highlight w:val="none"/>
        </w:rPr>
        <w:t>填入天数</w:t>
      </w:r>
      <w:r>
        <w:rPr>
          <w:rFonts w:hint="eastAsia" w:hAnsi="宋体"/>
          <w:sz w:val="24"/>
          <w:highlight w:val="none"/>
        </w:rPr>
        <w:t>】</w:t>
      </w:r>
      <w:r>
        <w:rPr>
          <w:rFonts w:hAnsi="宋体"/>
          <w:sz w:val="24"/>
          <w:highlight w:val="none"/>
        </w:rPr>
        <w:t>通知买方，并获得买方的书面认可</w:t>
      </w:r>
      <w:r>
        <w:rPr>
          <w:rFonts w:hint="eastAsia" w:hAnsi="宋体"/>
          <w:sz w:val="24"/>
          <w:highlight w:val="none"/>
        </w:rPr>
        <w:t>。</w:t>
      </w:r>
    </w:p>
    <w:p>
      <w:pPr>
        <w:pStyle w:val="35"/>
        <w:numPr>
          <w:ilvl w:val="0"/>
          <w:numId w:val="18"/>
        </w:numPr>
        <w:spacing w:before="72" w:beforeLines="30" w:after="72" w:afterLines="30" w:line="360" w:lineRule="auto"/>
        <w:ind w:left="567" w:hanging="567" w:firstLineChars="0"/>
        <w:outlineLvl w:val="0"/>
        <w:rPr>
          <w:rFonts w:hAnsi="宋体"/>
          <w:sz w:val="24"/>
          <w:highlight w:val="none"/>
        </w:rPr>
      </w:pPr>
      <w:r>
        <w:rPr>
          <w:rFonts w:hAnsi="宋体"/>
          <w:sz w:val="24"/>
          <w:highlight w:val="none"/>
        </w:rPr>
        <w:t>货物在交货地点的卸货由卖方负责，卸货费用由卖方承担，卖方应在买方指定的地点卸货，且遵守买方有关卸货的指示</w:t>
      </w:r>
      <w:r>
        <w:rPr>
          <w:rFonts w:hint="eastAsia" w:hAnsi="宋体"/>
          <w:sz w:val="24"/>
          <w:highlight w:val="none"/>
        </w:rPr>
        <w:t>。</w:t>
      </w:r>
    </w:p>
    <w:p>
      <w:pPr>
        <w:pStyle w:val="35"/>
        <w:numPr>
          <w:ilvl w:val="0"/>
          <w:numId w:val="18"/>
        </w:numPr>
        <w:spacing w:before="72" w:beforeLines="30" w:after="72" w:afterLines="30" w:line="360" w:lineRule="auto"/>
        <w:ind w:left="567" w:hanging="567" w:firstLineChars="0"/>
        <w:outlineLvl w:val="0"/>
        <w:rPr>
          <w:rFonts w:hAnsi="宋体"/>
          <w:sz w:val="24"/>
          <w:highlight w:val="none"/>
        </w:rPr>
      </w:pPr>
      <w:r>
        <w:rPr>
          <w:rFonts w:hAnsi="宋体"/>
          <w:sz w:val="24"/>
          <w:highlight w:val="none"/>
        </w:rPr>
        <w:t>卖方承担与货物</w:t>
      </w:r>
      <w:r>
        <w:rPr>
          <w:rFonts w:hint="eastAsia" w:hAnsi="宋体"/>
          <w:sz w:val="24"/>
          <w:highlight w:val="none"/>
        </w:rPr>
        <w:t>和货物资料</w:t>
      </w:r>
      <w:r>
        <w:rPr>
          <w:rFonts w:hAnsi="宋体"/>
          <w:sz w:val="24"/>
          <w:highlight w:val="none"/>
        </w:rPr>
        <w:t>运输相关的全部费用，该等费用已包含于合同总价中。</w:t>
      </w:r>
    </w:p>
    <w:p>
      <w:pPr>
        <w:pStyle w:val="35"/>
        <w:numPr>
          <w:ilvl w:val="0"/>
          <w:numId w:val="18"/>
        </w:numPr>
        <w:spacing w:line="360" w:lineRule="auto"/>
        <w:ind w:left="567" w:hanging="567" w:firstLineChars="0"/>
        <w:rPr>
          <w:sz w:val="24"/>
          <w:highlight w:val="none"/>
        </w:rPr>
      </w:pPr>
      <w:r>
        <w:rPr>
          <w:rFonts w:hint="eastAsia"/>
          <w:sz w:val="24"/>
          <w:highlight w:val="none"/>
        </w:rPr>
        <w:t>运输保险</w:t>
      </w:r>
    </w:p>
    <w:p>
      <w:pPr>
        <w:pStyle w:val="35"/>
        <w:spacing w:line="360" w:lineRule="auto"/>
        <w:ind w:left="567" w:firstLine="0" w:firstLineChars="0"/>
        <w:rPr>
          <w:rFonts w:hAnsi="宋体"/>
          <w:bCs/>
          <w:sz w:val="24"/>
          <w:highlight w:val="none"/>
        </w:rPr>
      </w:pPr>
      <w:r>
        <w:rPr>
          <w:rFonts w:hAnsi="宋体"/>
          <w:sz w:val="24"/>
          <w:highlight w:val="none"/>
        </w:rPr>
        <w:t>卖方应</w:t>
      </w:r>
      <w:r>
        <w:rPr>
          <w:rFonts w:hAnsi="宋体"/>
          <w:bCs/>
          <w:sz w:val="24"/>
          <w:highlight w:val="none"/>
        </w:rPr>
        <w:t>根据运输方式，向</w:t>
      </w:r>
      <w:r>
        <w:rPr>
          <w:rFonts w:hint="eastAsia" w:hAnsi="宋体"/>
          <w:bCs/>
          <w:sz w:val="24"/>
          <w:highlight w:val="none"/>
        </w:rPr>
        <w:t>买方认可的、拥有合法资质的著名保险公司投保货物运输一切险或综合险，保险</w:t>
      </w:r>
      <w:r>
        <w:rPr>
          <w:rFonts w:hAnsi="宋体"/>
          <w:bCs/>
          <w:sz w:val="24"/>
          <w:highlight w:val="none"/>
        </w:rPr>
        <w:t>金额不低于合同总价，</w:t>
      </w:r>
      <w:r>
        <w:rPr>
          <w:rFonts w:hint="eastAsia" w:hAnsi="宋体"/>
          <w:bCs/>
          <w:sz w:val="24"/>
          <w:highlight w:val="none"/>
        </w:rPr>
        <w:t>并将买方列为共同被保险人或受益人。保障</w:t>
      </w:r>
      <w:r>
        <w:rPr>
          <w:rFonts w:hAnsi="宋体"/>
          <w:bCs/>
          <w:sz w:val="24"/>
          <w:highlight w:val="none"/>
        </w:rPr>
        <w:t>区段为卖方制造厂存储货物的仓库到项目现场用于存储货物的仓库，</w:t>
      </w:r>
      <w:r>
        <w:rPr>
          <w:rFonts w:hint="eastAsia" w:hAnsi="宋体"/>
          <w:bCs/>
          <w:sz w:val="24"/>
          <w:highlight w:val="none"/>
        </w:rPr>
        <w:t>保险期限</w:t>
      </w:r>
      <w:r>
        <w:rPr>
          <w:rFonts w:hAnsi="宋体"/>
          <w:bCs/>
          <w:sz w:val="24"/>
          <w:highlight w:val="none"/>
        </w:rPr>
        <w:t>始于装货（含装货）止于</w:t>
      </w:r>
      <w:r>
        <w:rPr>
          <w:rFonts w:hint="eastAsia" w:hAnsi="宋体"/>
          <w:bCs/>
          <w:sz w:val="24"/>
          <w:highlight w:val="none"/>
        </w:rPr>
        <w:t>【</w:t>
      </w:r>
      <w:r>
        <w:rPr>
          <w:rFonts w:hint="eastAsia" w:hAnsi="宋体"/>
          <w:bCs/>
          <w:i/>
          <w:sz w:val="24"/>
          <w:highlight w:val="none"/>
        </w:rPr>
        <w:t>填入保险期限截止日期，如</w:t>
      </w:r>
      <w:r>
        <w:rPr>
          <w:rFonts w:hAnsi="宋体"/>
          <w:bCs/>
          <w:i/>
          <w:sz w:val="24"/>
          <w:highlight w:val="none"/>
        </w:rPr>
        <w:t>卸货后</w:t>
      </w:r>
      <w:r>
        <w:rPr>
          <w:rFonts w:hint="eastAsia" w:hAnsi="宋体"/>
          <w:bCs/>
          <w:i/>
          <w:sz w:val="24"/>
          <w:highlight w:val="none"/>
        </w:rPr>
        <w:t>十五（15）</w:t>
      </w:r>
      <w:r>
        <w:rPr>
          <w:rFonts w:hint="eastAsia" w:hAnsi="宋体"/>
          <w:bCs/>
          <w:sz w:val="24"/>
          <w:highlight w:val="none"/>
        </w:rPr>
        <w:t>】</w:t>
      </w:r>
      <w:r>
        <w:rPr>
          <w:rFonts w:hAnsi="宋体"/>
          <w:bCs/>
          <w:sz w:val="24"/>
          <w:highlight w:val="none"/>
        </w:rPr>
        <w:t>日。</w:t>
      </w:r>
    </w:p>
    <w:p>
      <w:pPr>
        <w:pStyle w:val="35"/>
        <w:numPr>
          <w:ilvl w:val="0"/>
          <w:numId w:val="18"/>
        </w:numPr>
        <w:spacing w:line="360" w:lineRule="auto"/>
        <w:ind w:firstLineChars="0"/>
        <w:rPr>
          <w:sz w:val="24"/>
          <w:highlight w:val="none"/>
        </w:rPr>
      </w:pPr>
      <w:r>
        <w:rPr>
          <w:rFonts w:hint="eastAsia"/>
          <w:highlight w:val="none"/>
        </w:rPr>
        <w:t xml:space="preserve"> </w:t>
      </w:r>
      <w:r>
        <w:rPr>
          <w:rFonts w:hint="eastAsia"/>
          <w:sz w:val="24"/>
          <w:highlight w:val="none"/>
        </w:rPr>
        <w:t>关于运输、卸货等内容的特别约定：【</w:t>
      </w:r>
      <w:r>
        <w:rPr>
          <w:rFonts w:hint="eastAsia"/>
          <w:i/>
          <w:sz w:val="24"/>
          <w:highlight w:val="none"/>
        </w:rPr>
        <w:t>如果双方对于运输、卸货等内容有特别约定，请在此处进行约定，同时，如果本条款的约定与本合同中其它条款的约定不一致，应相应进行调整和修改以保持一致</w:t>
      </w:r>
      <w:r>
        <w:rPr>
          <w:rFonts w:hint="eastAsia"/>
          <w:sz w:val="24"/>
          <w:highlight w:val="none"/>
        </w:rPr>
        <w:t>】</w:t>
      </w:r>
    </w:p>
    <w:p>
      <w:pPr>
        <w:pStyle w:val="15"/>
        <w:numPr>
          <w:ilvl w:val="0"/>
          <w:numId w:val="9"/>
        </w:numPr>
        <w:tabs>
          <w:tab w:val="left" w:pos="567"/>
        </w:tabs>
        <w:spacing w:before="72" w:beforeLines="30" w:after="72" w:afterLines="30" w:line="360" w:lineRule="auto"/>
        <w:ind w:left="567" w:hanging="567"/>
        <w:jc w:val="left"/>
        <w:rPr>
          <w:sz w:val="24"/>
          <w:szCs w:val="24"/>
          <w:highlight w:val="none"/>
        </w:rPr>
      </w:pPr>
      <w:r>
        <w:rPr>
          <w:rFonts w:hint="eastAsia"/>
          <w:sz w:val="24"/>
          <w:szCs w:val="24"/>
          <w:highlight w:val="none"/>
        </w:rPr>
        <w:t>验收</w:t>
      </w:r>
      <w:bookmarkEnd w:id="60"/>
    </w:p>
    <w:p>
      <w:pPr>
        <w:numPr>
          <w:ilvl w:val="0"/>
          <w:numId w:val="19"/>
        </w:numPr>
        <w:tabs>
          <w:tab w:val="left" w:pos="567"/>
          <w:tab w:val="left" w:pos="709"/>
          <w:tab w:val="clear" w:pos="1860"/>
        </w:tabs>
        <w:snapToGrid w:val="0"/>
        <w:spacing w:before="72" w:beforeLines="30" w:after="72" w:afterLines="30" w:line="360" w:lineRule="auto"/>
        <w:ind w:left="567" w:hanging="567"/>
        <w:rPr>
          <w:b/>
          <w:sz w:val="24"/>
          <w:highlight w:val="none"/>
        </w:rPr>
      </w:pPr>
      <w:r>
        <w:rPr>
          <w:rFonts w:hint="eastAsia"/>
          <w:sz w:val="24"/>
          <w:highlight w:val="none"/>
        </w:rPr>
        <w:t>合同货物交付前，卖方应对其进行全面检验，并在交付货物时向买方提交货物的质量合格证书。</w:t>
      </w:r>
    </w:p>
    <w:p>
      <w:pPr>
        <w:numPr>
          <w:ilvl w:val="0"/>
          <w:numId w:val="19"/>
        </w:numPr>
        <w:tabs>
          <w:tab w:val="left" w:pos="567"/>
          <w:tab w:val="left" w:pos="709"/>
          <w:tab w:val="clear" w:pos="1860"/>
        </w:tabs>
        <w:snapToGrid w:val="0"/>
        <w:spacing w:before="72" w:beforeLines="30" w:after="72" w:afterLines="30" w:line="360" w:lineRule="auto"/>
        <w:ind w:left="567" w:hanging="567"/>
        <w:rPr>
          <w:b/>
          <w:sz w:val="24"/>
          <w:highlight w:val="none"/>
        </w:rPr>
      </w:pPr>
      <w:r>
        <w:rPr>
          <w:rFonts w:hint="eastAsia" w:hAnsi="宋体"/>
          <w:sz w:val="24"/>
          <w:highlight w:val="none"/>
        </w:rPr>
        <w:t>货物运抵交货地点时，双方应共同对货物进行验收。如果货物通过验收，买方向卖方签发验收证明。如货物不符合本合同的规定，买方有权拒绝接受货物。</w:t>
      </w:r>
    </w:p>
    <w:p>
      <w:pPr>
        <w:numPr>
          <w:ilvl w:val="0"/>
          <w:numId w:val="19"/>
        </w:numPr>
        <w:tabs>
          <w:tab w:val="left" w:pos="567"/>
          <w:tab w:val="left" w:pos="709"/>
          <w:tab w:val="clear" w:pos="1860"/>
        </w:tabs>
        <w:snapToGrid w:val="0"/>
        <w:spacing w:before="72" w:beforeLines="30" w:after="72" w:afterLines="30" w:line="360" w:lineRule="auto"/>
        <w:ind w:left="567" w:hanging="567"/>
        <w:rPr>
          <w:sz w:val="24"/>
          <w:highlight w:val="none"/>
        </w:rPr>
      </w:pPr>
      <w:r>
        <w:rPr>
          <w:rFonts w:hint="eastAsia" w:hAnsi="宋体"/>
          <w:sz w:val="24"/>
          <w:highlight w:val="none"/>
        </w:rPr>
        <w:t>买方验收货物不减少、免除卖方在本合同项下的任何义务（包括卖方对货物应符合本合同质量、规格要求应承担的责任）。</w:t>
      </w:r>
    </w:p>
    <w:p>
      <w:pPr>
        <w:pStyle w:val="15"/>
        <w:numPr>
          <w:ilvl w:val="0"/>
          <w:numId w:val="9"/>
        </w:numPr>
        <w:tabs>
          <w:tab w:val="left" w:pos="567"/>
        </w:tabs>
        <w:spacing w:before="72" w:beforeLines="30" w:after="72" w:afterLines="30" w:line="360" w:lineRule="auto"/>
        <w:ind w:left="567" w:hanging="567"/>
        <w:jc w:val="left"/>
        <w:rPr>
          <w:rFonts w:ascii="Times New Roman" w:hAnsi="Times New Roman"/>
          <w:sz w:val="24"/>
          <w:szCs w:val="24"/>
          <w:highlight w:val="none"/>
        </w:rPr>
      </w:pPr>
      <w:bookmarkStart w:id="61" w:name="_Toc273458613"/>
      <w:bookmarkStart w:id="62" w:name="_Toc273388514"/>
      <w:bookmarkStart w:id="63" w:name="_Toc274075980"/>
      <w:bookmarkStart w:id="64" w:name="_Toc298158366"/>
      <w:bookmarkStart w:id="65" w:name="_Toc274754050"/>
      <w:bookmarkStart w:id="66" w:name="_Toc306354316"/>
      <w:bookmarkStart w:id="67" w:name="_Toc278875415"/>
      <w:bookmarkStart w:id="68" w:name="_Toc274668240"/>
      <w:bookmarkStart w:id="69" w:name="_Toc274343583"/>
      <w:bookmarkStart w:id="70" w:name="_Toc274403515"/>
      <w:bookmarkStart w:id="71" w:name="_Toc273388613"/>
      <w:bookmarkStart w:id="72" w:name="_Toc274669181"/>
      <w:bookmarkStart w:id="73" w:name="_Toc273451799"/>
      <w:bookmarkStart w:id="74" w:name="_Toc274344115"/>
      <w:r>
        <w:rPr>
          <w:rFonts w:ascii="Times New Roman" w:hAnsi="Times New Roman"/>
          <w:sz w:val="24"/>
          <w:szCs w:val="24"/>
          <w:highlight w:val="none"/>
        </w:rPr>
        <w:t>风险和</w:t>
      </w:r>
      <w:r>
        <w:rPr>
          <w:rFonts w:hint="eastAsia" w:ascii="Times New Roman" w:hAnsi="Times New Roman"/>
          <w:sz w:val="24"/>
          <w:szCs w:val="24"/>
          <w:highlight w:val="none"/>
        </w:rPr>
        <w:t>所有</w:t>
      </w:r>
      <w:r>
        <w:rPr>
          <w:rFonts w:ascii="Times New Roman" w:hAnsi="Times New Roman"/>
          <w:sz w:val="24"/>
          <w:szCs w:val="24"/>
          <w:highlight w:val="none"/>
        </w:rPr>
        <w:t>权的转移</w:t>
      </w:r>
      <w:bookmarkEnd w:id="61"/>
      <w:bookmarkEnd w:id="62"/>
      <w:bookmarkEnd w:id="63"/>
      <w:bookmarkEnd w:id="64"/>
      <w:bookmarkEnd w:id="65"/>
      <w:bookmarkEnd w:id="66"/>
      <w:bookmarkEnd w:id="67"/>
      <w:bookmarkEnd w:id="68"/>
      <w:bookmarkEnd w:id="69"/>
      <w:bookmarkEnd w:id="70"/>
      <w:bookmarkEnd w:id="71"/>
      <w:bookmarkEnd w:id="72"/>
      <w:bookmarkEnd w:id="73"/>
      <w:bookmarkEnd w:id="74"/>
    </w:p>
    <w:p>
      <w:pPr>
        <w:numPr>
          <w:ilvl w:val="0"/>
          <w:numId w:val="20"/>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除非本合同另有明确规定，</w:t>
      </w:r>
      <w:r>
        <w:rPr>
          <w:rFonts w:hint="eastAsia"/>
          <w:sz w:val="24"/>
          <w:highlight w:val="none"/>
        </w:rPr>
        <w:t>卖方</w:t>
      </w:r>
      <w:r>
        <w:rPr>
          <w:sz w:val="24"/>
          <w:highlight w:val="none"/>
        </w:rPr>
        <w:t>在指定交货地点</w:t>
      </w:r>
      <w:r>
        <w:rPr>
          <w:rFonts w:hint="eastAsia"/>
          <w:sz w:val="24"/>
          <w:highlight w:val="none"/>
        </w:rPr>
        <w:t>将货物交付给买方且买方签收货物之</w:t>
      </w:r>
      <w:r>
        <w:rPr>
          <w:sz w:val="24"/>
          <w:highlight w:val="none"/>
        </w:rPr>
        <w:t>前</w:t>
      </w:r>
      <w:r>
        <w:rPr>
          <w:rFonts w:hint="eastAsia"/>
          <w:sz w:val="24"/>
          <w:highlight w:val="none"/>
        </w:rPr>
        <w:t>，货物的一切</w:t>
      </w:r>
      <w:r>
        <w:rPr>
          <w:sz w:val="24"/>
          <w:highlight w:val="none"/>
        </w:rPr>
        <w:t>风险</w:t>
      </w:r>
      <w:r>
        <w:rPr>
          <w:rFonts w:hint="eastAsia"/>
          <w:sz w:val="24"/>
          <w:highlight w:val="none"/>
        </w:rPr>
        <w:t>（</w:t>
      </w:r>
      <w:r>
        <w:rPr>
          <w:sz w:val="24"/>
          <w:highlight w:val="none"/>
        </w:rPr>
        <w:t>包括</w:t>
      </w:r>
      <w:r>
        <w:rPr>
          <w:rFonts w:hint="eastAsia"/>
          <w:sz w:val="24"/>
          <w:highlight w:val="none"/>
        </w:rPr>
        <w:t>货物</w:t>
      </w:r>
      <w:r>
        <w:rPr>
          <w:sz w:val="24"/>
          <w:highlight w:val="none"/>
        </w:rPr>
        <w:t>在制造、储存和</w:t>
      </w:r>
      <w:r>
        <w:rPr>
          <w:rFonts w:hint="eastAsia"/>
          <w:sz w:val="24"/>
          <w:highlight w:val="none"/>
        </w:rPr>
        <w:t>自</w:t>
      </w:r>
      <w:r>
        <w:rPr>
          <w:sz w:val="24"/>
          <w:highlight w:val="none"/>
        </w:rPr>
        <w:t>发货地点至指定</w:t>
      </w:r>
      <w:r>
        <w:rPr>
          <w:rFonts w:hint="eastAsia"/>
          <w:sz w:val="24"/>
          <w:highlight w:val="none"/>
        </w:rPr>
        <w:t>交</w:t>
      </w:r>
      <w:r>
        <w:rPr>
          <w:sz w:val="24"/>
          <w:highlight w:val="none"/>
        </w:rPr>
        <w:t>货地点运输</w:t>
      </w:r>
      <w:r>
        <w:rPr>
          <w:rFonts w:hint="eastAsia"/>
          <w:sz w:val="24"/>
          <w:highlight w:val="none"/>
        </w:rPr>
        <w:t>及装卸货</w:t>
      </w:r>
      <w:r>
        <w:rPr>
          <w:sz w:val="24"/>
          <w:highlight w:val="none"/>
        </w:rPr>
        <w:t>过程中</w:t>
      </w:r>
      <w:r>
        <w:rPr>
          <w:rFonts w:hint="eastAsia"/>
          <w:sz w:val="24"/>
          <w:highlight w:val="none"/>
        </w:rPr>
        <w:t>毁损、灭失的</w:t>
      </w:r>
      <w:r>
        <w:rPr>
          <w:sz w:val="24"/>
          <w:highlight w:val="none"/>
        </w:rPr>
        <w:t>风险</w:t>
      </w:r>
      <w:r>
        <w:rPr>
          <w:rFonts w:hint="eastAsia"/>
          <w:sz w:val="24"/>
          <w:highlight w:val="none"/>
        </w:rPr>
        <w:t>）由卖方承担。卖方在指定交货地点将货物交付给买方且买方签收货物之后，货物</w:t>
      </w:r>
      <w:r>
        <w:rPr>
          <w:sz w:val="24"/>
          <w:highlight w:val="none"/>
        </w:rPr>
        <w:t>的</w:t>
      </w:r>
      <w:r>
        <w:rPr>
          <w:rFonts w:hint="eastAsia"/>
          <w:sz w:val="24"/>
          <w:highlight w:val="none"/>
        </w:rPr>
        <w:t>一切</w:t>
      </w:r>
      <w:r>
        <w:rPr>
          <w:sz w:val="24"/>
          <w:highlight w:val="none"/>
        </w:rPr>
        <w:t>风险</w:t>
      </w:r>
      <w:r>
        <w:rPr>
          <w:rFonts w:hint="eastAsia"/>
          <w:sz w:val="24"/>
          <w:highlight w:val="none"/>
        </w:rPr>
        <w:t>由买</w:t>
      </w:r>
      <w:r>
        <w:rPr>
          <w:sz w:val="24"/>
          <w:highlight w:val="none"/>
        </w:rPr>
        <w:t>方</w:t>
      </w:r>
      <w:r>
        <w:rPr>
          <w:rFonts w:hint="eastAsia"/>
          <w:sz w:val="24"/>
          <w:highlight w:val="none"/>
        </w:rPr>
        <w:t>承担</w:t>
      </w:r>
      <w:r>
        <w:rPr>
          <w:sz w:val="24"/>
          <w:highlight w:val="none"/>
        </w:rPr>
        <w:t>。</w:t>
      </w:r>
    </w:p>
    <w:p>
      <w:pPr>
        <w:numPr>
          <w:ilvl w:val="0"/>
          <w:numId w:val="20"/>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highlight w:val="none"/>
        </w:rPr>
        <w:t>未经买方同意，卖方将货物留置或自行处置，不得视为货物合法、有效地交付买方。未经合法、有效交付，货物的风险仍由卖方承担。</w:t>
      </w:r>
    </w:p>
    <w:p>
      <w:pPr>
        <w:numPr>
          <w:ilvl w:val="0"/>
          <w:numId w:val="20"/>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highlight w:val="none"/>
        </w:rPr>
        <w:t>虽然有前述规定，但是，如果货物的风险系因卖方违反合同规定、卖方的过错或者其它可归咎于卖方的原因造成的，货物的风险由卖方承担。</w:t>
      </w:r>
    </w:p>
    <w:p>
      <w:pPr>
        <w:numPr>
          <w:ilvl w:val="0"/>
          <w:numId w:val="20"/>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卖方在</w:t>
      </w:r>
      <w:r>
        <w:rPr>
          <w:rFonts w:hint="eastAsia"/>
          <w:sz w:val="24"/>
          <w:highlight w:val="none"/>
        </w:rPr>
        <w:t>约定</w:t>
      </w:r>
      <w:r>
        <w:rPr>
          <w:sz w:val="24"/>
          <w:highlight w:val="none"/>
        </w:rPr>
        <w:t>交货地点交货后，</w:t>
      </w:r>
      <w:r>
        <w:rPr>
          <w:rFonts w:hint="eastAsia"/>
          <w:sz w:val="24"/>
          <w:highlight w:val="none"/>
        </w:rPr>
        <w:t>货物</w:t>
      </w:r>
      <w:r>
        <w:rPr>
          <w:sz w:val="24"/>
          <w:highlight w:val="none"/>
        </w:rPr>
        <w:t>的</w:t>
      </w:r>
      <w:r>
        <w:rPr>
          <w:rFonts w:hint="eastAsia"/>
          <w:sz w:val="24"/>
          <w:highlight w:val="none"/>
        </w:rPr>
        <w:t>所有</w:t>
      </w:r>
      <w:r>
        <w:rPr>
          <w:sz w:val="24"/>
          <w:highlight w:val="none"/>
        </w:rPr>
        <w:t>权转移</w:t>
      </w:r>
      <w:r>
        <w:rPr>
          <w:rFonts w:hint="eastAsia"/>
          <w:sz w:val="24"/>
          <w:highlight w:val="none"/>
        </w:rPr>
        <w:t>至</w:t>
      </w:r>
      <w:r>
        <w:rPr>
          <w:sz w:val="24"/>
          <w:highlight w:val="none"/>
        </w:rPr>
        <w:t>买方。</w:t>
      </w:r>
    </w:p>
    <w:p>
      <w:pPr>
        <w:tabs>
          <w:tab w:val="left" w:pos="709"/>
          <w:tab w:val="left" w:pos="3060"/>
        </w:tabs>
        <w:spacing w:before="72" w:beforeLines="30" w:after="72" w:afterLines="30" w:line="360" w:lineRule="auto"/>
        <w:rPr>
          <w:i/>
          <w:sz w:val="24"/>
          <w:highlight w:val="none"/>
          <w:u w:val="single"/>
        </w:rPr>
      </w:pPr>
      <w:r>
        <w:rPr>
          <w:rFonts w:hint="eastAsia"/>
          <w:i/>
          <w:sz w:val="24"/>
          <w:highlight w:val="none"/>
          <w:u w:val="single"/>
        </w:rPr>
        <w:t>可选择条款—第九条技术服务条款，如不适用请删除</w:t>
      </w:r>
    </w:p>
    <w:p>
      <w:pPr>
        <w:pStyle w:val="15"/>
        <w:numPr>
          <w:ilvl w:val="0"/>
          <w:numId w:val="9"/>
        </w:numPr>
        <w:tabs>
          <w:tab w:val="left" w:pos="993"/>
        </w:tabs>
        <w:spacing w:before="72" w:beforeLines="30" w:after="72" w:afterLines="30" w:line="360" w:lineRule="auto"/>
        <w:ind w:left="567" w:hanging="567"/>
        <w:jc w:val="left"/>
        <w:rPr>
          <w:rFonts w:ascii="Times New Roman" w:hAnsi="Times New Roman"/>
          <w:sz w:val="24"/>
          <w:szCs w:val="24"/>
          <w:highlight w:val="none"/>
        </w:rPr>
      </w:pPr>
      <w:bookmarkStart w:id="75" w:name="_Toc306354317"/>
      <w:r>
        <w:rPr>
          <w:rFonts w:hint="eastAsia" w:ascii="Times New Roman" w:hAnsi="Times New Roman"/>
          <w:sz w:val="24"/>
          <w:szCs w:val="24"/>
          <w:highlight w:val="none"/>
        </w:rPr>
        <w:t>技术服务</w:t>
      </w:r>
    </w:p>
    <w:p>
      <w:pPr>
        <w:numPr>
          <w:ilvl w:val="0"/>
          <w:numId w:val="21"/>
        </w:numPr>
        <w:tabs>
          <w:tab w:val="left" w:pos="567"/>
          <w:tab w:val="clear" w:pos="1860"/>
        </w:tabs>
        <w:snapToGrid w:val="0"/>
        <w:spacing w:before="72" w:beforeLines="30" w:after="72" w:afterLines="30" w:line="360" w:lineRule="auto"/>
        <w:ind w:left="567" w:hanging="567"/>
        <w:rPr>
          <w:rFonts w:hAnsi="宋体"/>
          <w:sz w:val="24"/>
          <w:highlight w:val="none"/>
        </w:rPr>
      </w:pPr>
      <w:r>
        <w:rPr>
          <w:rFonts w:hint="eastAsia" w:hAnsi="宋体"/>
          <w:sz w:val="24"/>
          <w:highlight w:val="none"/>
        </w:rPr>
        <w:t>卖方应根据本合同的规定提供技术服务。相关费用已经包含在合同总价中，技术服务的内容和具体要求【</w:t>
      </w:r>
      <w:r>
        <w:rPr>
          <w:rFonts w:hint="eastAsia" w:hAnsi="宋体"/>
          <w:i/>
          <w:sz w:val="24"/>
          <w:highlight w:val="none"/>
        </w:rPr>
        <w:t>详见本合同附件二</w:t>
      </w:r>
      <w:r>
        <w:rPr>
          <w:rFonts w:hint="eastAsia" w:hAnsi="宋体"/>
          <w:sz w:val="24"/>
          <w:highlight w:val="none"/>
        </w:rPr>
        <w:t>】。</w:t>
      </w:r>
    </w:p>
    <w:p>
      <w:pPr>
        <w:numPr>
          <w:ilvl w:val="0"/>
          <w:numId w:val="21"/>
        </w:numPr>
        <w:tabs>
          <w:tab w:val="left" w:pos="567"/>
        </w:tabs>
        <w:snapToGrid w:val="0"/>
        <w:spacing w:before="72" w:beforeLines="30" w:after="72" w:afterLines="30" w:line="360" w:lineRule="auto"/>
        <w:ind w:left="567" w:hanging="567"/>
        <w:rPr>
          <w:rFonts w:hAnsi="宋体"/>
          <w:sz w:val="24"/>
          <w:highlight w:val="none"/>
        </w:rPr>
      </w:pPr>
      <w:r>
        <w:rPr>
          <w:rFonts w:hint="eastAsia" w:hAnsi="宋体"/>
          <w:sz w:val="24"/>
          <w:highlight w:val="none"/>
        </w:rPr>
        <w:t>卖方应根据买方要求，指派服务人员到项目现场或买方指定的其它地点提供技术服务。</w:t>
      </w:r>
    </w:p>
    <w:p>
      <w:pPr>
        <w:numPr>
          <w:ilvl w:val="0"/>
          <w:numId w:val="21"/>
        </w:numPr>
        <w:tabs>
          <w:tab w:val="left" w:pos="567"/>
        </w:tabs>
        <w:snapToGrid w:val="0"/>
        <w:spacing w:before="72" w:beforeLines="30" w:after="72" w:afterLines="30" w:line="360" w:lineRule="auto"/>
        <w:ind w:left="567" w:hanging="567"/>
        <w:rPr>
          <w:sz w:val="24"/>
          <w:highlight w:val="none"/>
        </w:rPr>
      </w:pPr>
      <w:bookmarkStart w:id="76" w:name="_DV_C687"/>
      <w:r>
        <w:rPr>
          <w:rFonts w:hint="eastAsia" w:hAnsi="宋体"/>
          <w:sz w:val="24"/>
          <w:highlight w:val="none"/>
        </w:rPr>
        <w:t>如果买方认为卖方指派的服务人员提供的技术服务无法满足本合同的要求，卖方应更换服务人员并负担由此产生的全部费用。</w:t>
      </w:r>
      <w:bookmarkEnd w:id="76"/>
    </w:p>
    <w:p>
      <w:pPr>
        <w:numPr>
          <w:ilvl w:val="0"/>
          <w:numId w:val="21"/>
        </w:numPr>
        <w:tabs>
          <w:tab w:val="left" w:pos="567"/>
        </w:tabs>
        <w:snapToGrid w:val="0"/>
        <w:spacing w:before="72" w:beforeLines="30" w:after="72" w:afterLines="30" w:line="360" w:lineRule="auto"/>
        <w:ind w:left="567" w:hanging="567"/>
        <w:rPr>
          <w:sz w:val="24"/>
          <w:highlight w:val="none"/>
        </w:rPr>
      </w:pPr>
      <w:r>
        <w:rPr>
          <w:rFonts w:hint="eastAsia"/>
          <w:sz w:val="24"/>
          <w:highlight w:val="none"/>
        </w:rPr>
        <w:t>卖方指派的服务人员在为买方提供技术服务期间所遭受的人身和财产损失由卖方自行承担，除非该人身损害系因买方造成或该财产损失系因买方重大过失造成。</w:t>
      </w:r>
    </w:p>
    <w:p>
      <w:pPr>
        <w:pStyle w:val="15"/>
        <w:numPr>
          <w:ilvl w:val="0"/>
          <w:numId w:val="9"/>
        </w:numPr>
        <w:tabs>
          <w:tab w:val="left" w:pos="993"/>
        </w:tabs>
        <w:spacing w:before="72" w:beforeLines="30" w:after="72" w:afterLines="30" w:line="360" w:lineRule="auto"/>
        <w:ind w:left="567" w:hanging="567"/>
        <w:jc w:val="left"/>
        <w:rPr>
          <w:sz w:val="24"/>
          <w:szCs w:val="24"/>
          <w:highlight w:val="none"/>
        </w:rPr>
      </w:pPr>
      <w:r>
        <w:rPr>
          <w:rFonts w:hint="eastAsia"/>
          <w:sz w:val="24"/>
          <w:szCs w:val="24"/>
          <w:highlight w:val="none"/>
        </w:rPr>
        <w:t>权利保证</w:t>
      </w:r>
      <w:bookmarkEnd w:id="75"/>
    </w:p>
    <w:p>
      <w:pPr>
        <w:widowControl/>
        <w:numPr>
          <w:ilvl w:val="0"/>
          <w:numId w:val="22"/>
        </w:numPr>
        <w:tabs>
          <w:tab w:val="left" w:pos="567"/>
          <w:tab w:val="left" w:pos="709"/>
        </w:tabs>
        <w:spacing w:before="72" w:beforeLines="30" w:after="72" w:afterLines="30" w:line="360" w:lineRule="auto"/>
        <w:ind w:left="567" w:hanging="567"/>
        <w:rPr>
          <w:sz w:val="24"/>
          <w:highlight w:val="none"/>
        </w:rPr>
      </w:pPr>
      <w:r>
        <w:rPr>
          <w:sz w:val="24"/>
          <w:highlight w:val="none"/>
        </w:rPr>
        <w:t>卖方保证，</w:t>
      </w:r>
      <w:r>
        <w:rPr>
          <w:rFonts w:hint="eastAsia"/>
          <w:sz w:val="24"/>
          <w:highlight w:val="none"/>
        </w:rPr>
        <w:t>货物未</w:t>
      </w:r>
      <w:r>
        <w:rPr>
          <w:sz w:val="24"/>
          <w:highlight w:val="none"/>
        </w:rPr>
        <w:t>侵犯任何第三方的专利权、商标权</w:t>
      </w:r>
      <w:r>
        <w:rPr>
          <w:rFonts w:hint="eastAsia"/>
          <w:sz w:val="24"/>
          <w:highlight w:val="none"/>
        </w:rPr>
        <w:t>或其它知识产</w:t>
      </w:r>
      <w:r>
        <w:rPr>
          <w:sz w:val="24"/>
          <w:highlight w:val="none"/>
        </w:rPr>
        <w:t>权</w:t>
      </w:r>
      <w:r>
        <w:rPr>
          <w:rFonts w:hint="eastAsia"/>
          <w:sz w:val="24"/>
          <w:highlight w:val="none"/>
        </w:rPr>
        <w:t>，货物</w:t>
      </w:r>
      <w:r>
        <w:rPr>
          <w:sz w:val="24"/>
          <w:highlight w:val="none"/>
        </w:rPr>
        <w:t>包含的全部专利、商标</w:t>
      </w:r>
      <w:r>
        <w:rPr>
          <w:rFonts w:hint="eastAsia"/>
          <w:sz w:val="24"/>
          <w:highlight w:val="none"/>
        </w:rPr>
        <w:t>及其它知识产权</w:t>
      </w:r>
      <w:r>
        <w:rPr>
          <w:sz w:val="24"/>
          <w:highlight w:val="none"/>
        </w:rPr>
        <w:t>均为卖方</w:t>
      </w:r>
      <w:r>
        <w:rPr>
          <w:rFonts w:hint="eastAsia"/>
          <w:sz w:val="24"/>
          <w:highlight w:val="none"/>
        </w:rPr>
        <w:t>合法</w:t>
      </w:r>
      <w:r>
        <w:rPr>
          <w:sz w:val="24"/>
          <w:highlight w:val="none"/>
        </w:rPr>
        <w:t>拥有或已获得</w:t>
      </w:r>
      <w:r>
        <w:rPr>
          <w:rFonts w:hint="eastAsia"/>
          <w:sz w:val="24"/>
          <w:highlight w:val="none"/>
        </w:rPr>
        <w:t>第三方</w:t>
      </w:r>
      <w:r>
        <w:rPr>
          <w:sz w:val="24"/>
          <w:highlight w:val="none"/>
        </w:rPr>
        <w:t>的</w:t>
      </w:r>
      <w:r>
        <w:rPr>
          <w:rFonts w:hint="eastAsia"/>
          <w:sz w:val="24"/>
          <w:highlight w:val="none"/>
        </w:rPr>
        <w:t>有效</w:t>
      </w:r>
      <w:r>
        <w:rPr>
          <w:sz w:val="24"/>
          <w:highlight w:val="none"/>
        </w:rPr>
        <w:t>授权。</w:t>
      </w:r>
    </w:p>
    <w:p>
      <w:pPr>
        <w:widowControl/>
        <w:numPr>
          <w:ilvl w:val="0"/>
          <w:numId w:val="22"/>
        </w:numPr>
        <w:tabs>
          <w:tab w:val="left" w:pos="567"/>
          <w:tab w:val="left" w:pos="709"/>
        </w:tabs>
        <w:spacing w:before="72" w:beforeLines="30" w:after="72" w:afterLines="30" w:line="360" w:lineRule="auto"/>
        <w:ind w:left="567" w:hanging="567"/>
        <w:rPr>
          <w:sz w:val="24"/>
          <w:highlight w:val="none"/>
        </w:rPr>
      </w:pPr>
      <w:r>
        <w:rPr>
          <w:sz w:val="24"/>
          <w:highlight w:val="none"/>
        </w:rPr>
        <w:t>卖方保证，</w:t>
      </w:r>
      <w:r>
        <w:rPr>
          <w:rFonts w:hint="eastAsia"/>
          <w:sz w:val="24"/>
          <w:highlight w:val="none"/>
        </w:rPr>
        <w:t>货物交付前，</w:t>
      </w:r>
      <w:r>
        <w:rPr>
          <w:sz w:val="24"/>
          <w:highlight w:val="none"/>
        </w:rPr>
        <w:t>卖方</w:t>
      </w:r>
      <w:r>
        <w:rPr>
          <w:rFonts w:hint="eastAsia"/>
          <w:sz w:val="24"/>
          <w:highlight w:val="none"/>
        </w:rPr>
        <w:t>对其货物享有完整的所有权，且货物上不存在任何形式的担保物权及其它任何权利负担，亦未</w:t>
      </w:r>
      <w:r>
        <w:rPr>
          <w:sz w:val="24"/>
          <w:highlight w:val="none"/>
        </w:rPr>
        <w:t>侵犯任何第三方的</w:t>
      </w:r>
      <w:r>
        <w:rPr>
          <w:rFonts w:hint="eastAsia"/>
          <w:sz w:val="24"/>
          <w:highlight w:val="none"/>
        </w:rPr>
        <w:t>权利。</w:t>
      </w:r>
    </w:p>
    <w:p>
      <w:pPr>
        <w:widowControl/>
        <w:numPr>
          <w:ilvl w:val="0"/>
          <w:numId w:val="22"/>
        </w:numPr>
        <w:tabs>
          <w:tab w:val="left" w:pos="567"/>
          <w:tab w:val="left" w:pos="709"/>
        </w:tabs>
        <w:spacing w:before="72" w:beforeLines="30" w:after="72" w:afterLines="30" w:line="360" w:lineRule="auto"/>
        <w:ind w:left="567" w:hanging="567"/>
        <w:rPr>
          <w:sz w:val="24"/>
          <w:highlight w:val="none"/>
        </w:rPr>
      </w:pPr>
      <w:r>
        <w:rPr>
          <w:rFonts w:hint="eastAsia"/>
          <w:sz w:val="24"/>
          <w:highlight w:val="none"/>
        </w:rPr>
        <w:t>如货物侵犯任何第三方的权利（包括</w:t>
      </w:r>
      <w:r>
        <w:rPr>
          <w:sz w:val="24"/>
          <w:highlight w:val="none"/>
        </w:rPr>
        <w:t>知识产权</w:t>
      </w:r>
      <w:r>
        <w:rPr>
          <w:rFonts w:hint="eastAsia"/>
          <w:sz w:val="24"/>
          <w:highlight w:val="none"/>
        </w:rPr>
        <w:t>）</w:t>
      </w:r>
      <w:r>
        <w:rPr>
          <w:sz w:val="24"/>
          <w:highlight w:val="none"/>
        </w:rPr>
        <w:t>，卖方应根据买方</w:t>
      </w:r>
      <w:r>
        <w:rPr>
          <w:rFonts w:hint="eastAsia"/>
          <w:sz w:val="24"/>
          <w:highlight w:val="none"/>
        </w:rPr>
        <w:t>的</w:t>
      </w:r>
      <w:r>
        <w:rPr>
          <w:sz w:val="24"/>
          <w:highlight w:val="none"/>
        </w:rPr>
        <w:t>要求</w:t>
      </w:r>
      <w:r>
        <w:rPr>
          <w:rFonts w:hint="eastAsia"/>
          <w:sz w:val="24"/>
          <w:highlight w:val="none"/>
        </w:rPr>
        <w:t>自行承担费用</w:t>
      </w:r>
      <w:r>
        <w:rPr>
          <w:sz w:val="24"/>
          <w:highlight w:val="none"/>
        </w:rPr>
        <w:t>采取一切措施确保买方继续获得</w:t>
      </w:r>
      <w:r>
        <w:rPr>
          <w:rFonts w:hint="eastAsia"/>
          <w:sz w:val="24"/>
          <w:highlight w:val="none"/>
        </w:rPr>
        <w:t>货物</w:t>
      </w:r>
      <w:r>
        <w:rPr>
          <w:sz w:val="24"/>
          <w:highlight w:val="none"/>
        </w:rPr>
        <w:t>的权利，包括为买方</w:t>
      </w:r>
      <w:r>
        <w:rPr>
          <w:rFonts w:hint="eastAsia"/>
          <w:sz w:val="24"/>
          <w:highlight w:val="none"/>
        </w:rPr>
        <w:t>的利益</w:t>
      </w:r>
      <w:r>
        <w:rPr>
          <w:sz w:val="24"/>
          <w:highlight w:val="none"/>
        </w:rPr>
        <w:t>购买</w:t>
      </w:r>
      <w:r>
        <w:rPr>
          <w:rFonts w:hint="eastAsia"/>
          <w:sz w:val="24"/>
          <w:highlight w:val="none"/>
        </w:rPr>
        <w:t>货物的全部权益（包括但不限于知识产权），或采用</w:t>
      </w:r>
      <w:r>
        <w:rPr>
          <w:sz w:val="24"/>
          <w:highlight w:val="none"/>
        </w:rPr>
        <w:t>不侵权的材料、零部件、设计、技术、工艺、方法对</w:t>
      </w:r>
      <w:r>
        <w:rPr>
          <w:rFonts w:hint="eastAsia"/>
          <w:sz w:val="24"/>
          <w:highlight w:val="none"/>
        </w:rPr>
        <w:t>货物</w:t>
      </w:r>
      <w:r>
        <w:rPr>
          <w:sz w:val="24"/>
          <w:highlight w:val="none"/>
        </w:rPr>
        <w:t>进行变更，变更后</w:t>
      </w:r>
      <w:r>
        <w:rPr>
          <w:rFonts w:hint="eastAsia"/>
          <w:sz w:val="24"/>
          <w:highlight w:val="none"/>
        </w:rPr>
        <w:t>货物</w:t>
      </w:r>
      <w:r>
        <w:rPr>
          <w:sz w:val="24"/>
          <w:highlight w:val="none"/>
        </w:rPr>
        <w:t>的功能、品质和水平应符合本合同的</w:t>
      </w:r>
      <w:r>
        <w:rPr>
          <w:rFonts w:hint="eastAsia"/>
          <w:sz w:val="24"/>
          <w:highlight w:val="none"/>
        </w:rPr>
        <w:t>规定，且</w:t>
      </w:r>
      <w:r>
        <w:rPr>
          <w:sz w:val="24"/>
          <w:highlight w:val="none"/>
        </w:rPr>
        <w:t>不低于变更前的</w:t>
      </w:r>
      <w:r>
        <w:rPr>
          <w:rFonts w:hint="eastAsia"/>
          <w:sz w:val="24"/>
          <w:highlight w:val="none"/>
        </w:rPr>
        <w:t>货物</w:t>
      </w:r>
      <w:r>
        <w:rPr>
          <w:sz w:val="24"/>
          <w:highlight w:val="none"/>
        </w:rPr>
        <w:t>。</w:t>
      </w:r>
    </w:p>
    <w:p>
      <w:pPr>
        <w:widowControl/>
        <w:numPr>
          <w:ilvl w:val="0"/>
          <w:numId w:val="22"/>
        </w:numPr>
        <w:tabs>
          <w:tab w:val="left" w:pos="567"/>
          <w:tab w:val="left" w:pos="709"/>
        </w:tabs>
        <w:spacing w:before="72" w:beforeLines="30" w:after="72" w:afterLines="30" w:line="360" w:lineRule="auto"/>
        <w:ind w:left="567" w:hanging="567"/>
        <w:rPr>
          <w:sz w:val="24"/>
          <w:highlight w:val="none"/>
        </w:rPr>
      </w:pPr>
      <w:r>
        <w:rPr>
          <w:rFonts w:hint="eastAsia"/>
          <w:sz w:val="24"/>
          <w:highlight w:val="none"/>
        </w:rPr>
        <w:t>双方同意，除非本合同另有约定，货物交付且买方按照本合同约定支付合同价款之后，买方</w:t>
      </w:r>
      <w:r>
        <w:rPr>
          <w:rFonts w:hint="eastAsia"/>
          <w:color w:val="000000"/>
          <w:sz w:val="24"/>
          <w:highlight w:val="none"/>
        </w:rPr>
        <w:t>不自动获得并拥有货物自身附有的相关知识产权，但</w:t>
      </w:r>
      <w:r>
        <w:rPr>
          <w:rFonts w:hint="eastAsia"/>
          <w:sz w:val="24"/>
          <w:highlight w:val="none"/>
        </w:rPr>
        <w:t>卖方同意无偿许可买方使用与货物有关的所有知识产权。</w:t>
      </w:r>
    </w:p>
    <w:p>
      <w:pPr>
        <w:pStyle w:val="15"/>
        <w:numPr>
          <w:ilvl w:val="0"/>
          <w:numId w:val="9"/>
        </w:numPr>
        <w:tabs>
          <w:tab w:val="left" w:pos="993"/>
        </w:tabs>
        <w:spacing w:before="72" w:beforeLines="30" w:after="72" w:afterLines="30" w:line="360" w:lineRule="auto"/>
        <w:ind w:left="567" w:hanging="567"/>
        <w:jc w:val="left"/>
        <w:rPr>
          <w:sz w:val="24"/>
          <w:szCs w:val="24"/>
          <w:highlight w:val="none"/>
        </w:rPr>
      </w:pPr>
      <w:bookmarkStart w:id="77" w:name="_Toc306354318"/>
      <w:r>
        <w:rPr>
          <w:rFonts w:hint="eastAsia"/>
          <w:sz w:val="24"/>
          <w:szCs w:val="24"/>
          <w:highlight w:val="none"/>
        </w:rPr>
        <w:t xml:space="preserve"> </w:t>
      </w:r>
      <w:r>
        <w:rPr>
          <w:sz w:val="24"/>
          <w:szCs w:val="24"/>
          <w:highlight w:val="none"/>
        </w:rPr>
        <w:t>质量保证</w:t>
      </w:r>
      <w:bookmarkEnd w:id="77"/>
    </w:p>
    <w:p>
      <w:pPr>
        <w:numPr>
          <w:ilvl w:val="0"/>
          <w:numId w:val="23"/>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sz w:val="24"/>
          <w:highlight w:val="none"/>
        </w:rPr>
        <w:t>卖方特此保证提供的货物</w:t>
      </w:r>
      <w:r>
        <w:rPr>
          <w:rFonts w:hint="eastAsia"/>
          <w:sz w:val="24"/>
          <w:highlight w:val="none"/>
        </w:rPr>
        <w:t>是崭新、从未使用过的，采用先进技术制造，具备优良的制造工艺和水平，符合本合同规定的要求，不存在任何缺陷。</w:t>
      </w:r>
    </w:p>
    <w:p>
      <w:pPr>
        <w:numPr>
          <w:ilvl w:val="0"/>
          <w:numId w:val="23"/>
        </w:numPr>
        <w:tabs>
          <w:tab w:val="left" w:pos="567"/>
          <w:tab w:val="left" w:pos="709"/>
          <w:tab w:val="clear" w:pos="1860"/>
        </w:tabs>
        <w:autoSpaceDE w:val="0"/>
        <w:autoSpaceDN w:val="0"/>
        <w:adjustRightInd w:val="0"/>
        <w:spacing w:before="72" w:beforeLines="30" w:after="72" w:afterLines="30" w:line="360" w:lineRule="auto"/>
        <w:ind w:left="567" w:hanging="567"/>
        <w:jc w:val="left"/>
        <w:rPr>
          <w:color w:val="000000"/>
          <w:sz w:val="24"/>
          <w:highlight w:val="none"/>
        </w:rPr>
      </w:pPr>
      <w:r>
        <w:rPr>
          <w:rFonts w:hint="eastAsia"/>
          <w:sz w:val="24"/>
          <w:highlight w:val="none"/>
        </w:rPr>
        <w:t>货物的质保期为货物到货验收合格后</w:t>
      </w:r>
      <w:r>
        <w:rPr>
          <w:rFonts w:hint="eastAsia"/>
          <w:color w:val="000000"/>
          <w:sz w:val="24"/>
          <w:highlight w:val="none"/>
        </w:rPr>
        <w:t>【</w:t>
      </w:r>
      <w:r>
        <w:rPr>
          <w:rFonts w:hint="eastAsia"/>
          <w:i/>
          <w:color w:val="000000"/>
          <w:sz w:val="24"/>
          <w:highlight w:val="none"/>
        </w:rPr>
        <w:t>填入月数</w:t>
      </w:r>
      <w:r>
        <w:rPr>
          <w:rFonts w:hint="eastAsia"/>
          <w:color w:val="000000"/>
          <w:sz w:val="24"/>
          <w:highlight w:val="none"/>
        </w:rPr>
        <w:t>】个月。</w:t>
      </w:r>
    </w:p>
    <w:p>
      <w:pPr>
        <w:numPr>
          <w:ilvl w:val="0"/>
          <w:numId w:val="23"/>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rFonts w:hint="eastAsia"/>
          <w:sz w:val="24"/>
          <w:highlight w:val="none"/>
        </w:rPr>
        <w:t>质保期内，如发现货物违反本合同项下的任何保证，买方有权选择且卖方应采取下列补救措施：</w:t>
      </w:r>
    </w:p>
    <w:p>
      <w:pPr>
        <w:tabs>
          <w:tab w:val="left" w:pos="1860"/>
        </w:tabs>
        <w:autoSpaceDE w:val="0"/>
        <w:autoSpaceDN w:val="0"/>
        <w:adjustRightInd w:val="0"/>
        <w:spacing w:before="72" w:beforeLines="30" w:after="72" w:afterLines="30" w:line="360" w:lineRule="auto"/>
        <w:ind w:left="567"/>
        <w:jc w:val="left"/>
        <w:rPr>
          <w:sz w:val="24"/>
          <w:highlight w:val="none"/>
        </w:rPr>
      </w:pPr>
      <w:r>
        <w:rPr>
          <w:rFonts w:hint="eastAsia"/>
          <w:sz w:val="24"/>
          <w:highlight w:val="none"/>
        </w:rPr>
        <w:t>（1）卖方对货物进行修复使货物符合本合同项下的保证和本合同的约定。卖方承担由此产生的费用。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sz w:val="24"/>
          <w:highlight w:val="none"/>
        </w:rPr>
      </w:pPr>
      <w:r>
        <w:rPr>
          <w:rFonts w:hint="eastAsia"/>
          <w:sz w:val="24"/>
          <w:highlight w:val="none"/>
        </w:rPr>
        <w:t>（2）卖方对货物进行更换使货物符合本合同项下的保证和本合同的约定。卖方承担由此产生的费用。</w:t>
      </w:r>
    </w:p>
    <w:p>
      <w:pPr>
        <w:tabs>
          <w:tab w:val="left" w:pos="1860"/>
        </w:tabs>
        <w:autoSpaceDE w:val="0"/>
        <w:autoSpaceDN w:val="0"/>
        <w:adjustRightInd w:val="0"/>
        <w:spacing w:before="72" w:beforeLines="30" w:after="72" w:afterLines="30" w:line="360" w:lineRule="auto"/>
        <w:ind w:left="567"/>
        <w:jc w:val="left"/>
        <w:rPr>
          <w:sz w:val="24"/>
          <w:highlight w:val="none"/>
        </w:rPr>
      </w:pPr>
      <w:r>
        <w:rPr>
          <w:rFonts w:hint="eastAsia"/>
          <w:sz w:val="24"/>
          <w:highlight w:val="none"/>
        </w:rPr>
        <w:t>（3）退货。卖方承担由此产生的费用。</w:t>
      </w:r>
    </w:p>
    <w:p>
      <w:pPr>
        <w:numPr>
          <w:ilvl w:val="0"/>
          <w:numId w:val="23"/>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rFonts w:hAnsi="宋体"/>
          <w:sz w:val="24"/>
          <w:highlight w:val="none"/>
        </w:rPr>
        <w:t>对于任何修复或更换，卖方应在收到</w:t>
      </w:r>
      <w:r>
        <w:rPr>
          <w:rFonts w:hint="eastAsia" w:hAnsi="宋体"/>
          <w:sz w:val="24"/>
          <w:highlight w:val="none"/>
        </w:rPr>
        <w:t>买方发出的</w:t>
      </w:r>
      <w:r>
        <w:rPr>
          <w:rFonts w:hAnsi="宋体"/>
          <w:sz w:val="24"/>
          <w:highlight w:val="none"/>
        </w:rPr>
        <w:t>货物缺陷通知后</w:t>
      </w:r>
      <w:r>
        <w:rPr>
          <w:rFonts w:hint="eastAsia"/>
          <w:color w:val="000000"/>
          <w:sz w:val="24"/>
          <w:highlight w:val="none"/>
        </w:rPr>
        <w:t>【</w:t>
      </w:r>
      <w:r>
        <w:rPr>
          <w:rFonts w:hint="eastAsia"/>
          <w:i/>
          <w:color w:val="000000"/>
          <w:sz w:val="24"/>
          <w:highlight w:val="none"/>
        </w:rPr>
        <w:t>填入天数</w:t>
      </w:r>
      <w:r>
        <w:rPr>
          <w:rFonts w:hint="eastAsia"/>
          <w:color w:val="000000"/>
          <w:sz w:val="24"/>
          <w:highlight w:val="none"/>
        </w:rPr>
        <w:t>】</w:t>
      </w:r>
      <w:r>
        <w:rPr>
          <w:rFonts w:hint="eastAsia" w:hAnsi="宋体"/>
          <w:sz w:val="24"/>
          <w:highlight w:val="none"/>
        </w:rPr>
        <w:t>日</w:t>
      </w:r>
      <w:r>
        <w:rPr>
          <w:rFonts w:hAnsi="宋体"/>
          <w:sz w:val="24"/>
          <w:highlight w:val="none"/>
        </w:rPr>
        <w:t>内完成。</w:t>
      </w:r>
      <w:r>
        <w:rPr>
          <w:rFonts w:hint="eastAsia" w:hAnsi="宋体"/>
          <w:sz w:val="24"/>
          <w:highlight w:val="none"/>
        </w:rPr>
        <w:t>若卖方到通知后未在规定的时间内及时维修、重作、更换以弥补缺陷，卖方可采取必要的补救措施，但其风险和费用将由买方承担，买方根据合同规定对买方行使的其他权利不受影响。</w:t>
      </w:r>
      <w:r>
        <w:rPr>
          <w:rFonts w:hAnsi="宋体"/>
          <w:sz w:val="24"/>
          <w:highlight w:val="none"/>
        </w:rPr>
        <w:t>如经修复、更换仍无法消除该等缺陷，买方有权要求退货。卖方应赔偿买方因货物存在前述缺陷遭受的全部损失。</w:t>
      </w:r>
    </w:p>
    <w:p>
      <w:pPr>
        <w:numPr>
          <w:ilvl w:val="0"/>
          <w:numId w:val="23"/>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rFonts w:hAnsi="宋体"/>
          <w:sz w:val="24"/>
          <w:highlight w:val="none"/>
        </w:rPr>
        <w:t>如在质保期内发生</w:t>
      </w:r>
      <w:r>
        <w:rPr>
          <w:rFonts w:hint="eastAsia" w:hAnsi="宋体"/>
          <w:sz w:val="24"/>
          <w:highlight w:val="none"/>
        </w:rPr>
        <w:t>维修、重作、更换以弥补缺陷事件，</w:t>
      </w:r>
      <w:r>
        <w:rPr>
          <w:rFonts w:hAnsi="宋体"/>
          <w:sz w:val="24"/>
          <w:highlight w:val="none"/>
        </w:rPr>
        <w:t>则相应的质保期应重新计算</w:t>
      </w:r>
      <w:r>
        <w:rPr>
          <w:rFonts w:hint="eastAsia" w:hAnsi="宋体"/>
          <w:sz w:val="24"/>
          <w:highlight w:val="none"/>
        </w:rPr>
        <w:t>。</w:t>
      </w:r>
    </w:p>
    <w:p>
      <w:pPr>
        <w:numPr>
          <w:ilvl w:val="0"/>
          <w:numId w:val="23"/>
        </w:numPr>
        <w:tabs>
          <w:tab w:val="left" w:pos="567"/>
          <w:tab w:val="left" w:pos="709"/>
          <w:tab w:val="clear" w:pos="1860"/>
        </w:tabs>
        <w:autoSpaceDE w:val="0"/>
        <w:autoSpaceDN w:val="0"/>
        <w:adjustRightInd w:val="0"/>
        <w:spacing w:before="72" w:beforeLines="30" w:after="72" w:afterLines="30" w:line="360" w:lineRule="auto"/>
        <w:ind w:left="567" w:hanging="567"/>
        <w:jc w:val="left"/>
        <w:rPr>
          <w:sz w:val="24"/>
          <w:highlight w:val="none"/>
        </w:rPr>
      </w:pPr>
      <w:r>
        <w:rPr>
          <w:rFonts w:hint="eastAsia" w:hAnsi="宋体"/>
          <w:sz w:val="24"/>
          <w:highlight w:val="none"/>
        </w:rPr>
        <w:t>质保期结束，买方向卖方签发货物最终接收证书。买方签发最终接收证书不减少、免除卖方在本合同项下的任何义务（包括卖方对货物应符合本合同质量、规格要求应承担的责任）。</w:t>
      </w:r>
    </w:p>
    <w:p>
      <w:pPr>
        <w:pStyle w:val="15"/>
        <w:numPr>
          <w:ilvl w:val="0"/>
          <w:numId w:val="9"/>
        </w:numPr>
        <w:tabs>
          <w:tab w:val="left" w:pos="993"/>
        </w:tabs>
        <w:spacing w:before="72" w:beforeLines="30" w:after="72" w:afterLines="30" w:line="360" w:lineRule="auto"/>
        <w:ind w:left="567" w:hanging="567"/>
        <w:jc w:val="left"/>
        <w:rPr>
          <w:rFonts w:ascii="Times New Roman" w:hAnsi="Times New Roman"/>
          <w:sz w:val="24"/>
          <w:szCs w:val="24"/>
          <w:highlight w:val="none"/>
        </w:rPr>
      </w:pPr>
      <w:bookmarkStart w:id="78" w:name="_Toc274403516"/>
      <w:bookmarkStart w:id="79" w:name="_Toc298158368"/>
      <w:bookmarkStart w:id="80" w:name="_Toc278875417"/>
      <w:bookmarkStart w:id="81" w:name="_Toc274075964"/>
      <w:bookmarkStart w:id="82" w:name="_Toc273451906"/>
      <w:bookmarkStart w:id="83" w:name="_Toc274669182"/>
      <w:bookmarkStart w:id="84" w:name="_Toc274076152"/>
      <w:bookmarkStart w:id="85" w:name="_Toc274344116"/>
      <w:bookmarkStart w:id="86" w:name="_Toc274668241"/>
      <w:bookmarkStart w:id="87" w:name="_Toc306354320"/>
      <w:bookmarkStart w:id="88" w:name="_Toc274754051"/>
      <w:bookmarkStart w:id="89" w:name="_Toc274343584"/>
      <w:bookmarkStart w:id="90" w:name="_Toc273451839"/>
      <w:bookmarkStart w:id="91" w:name="_Toc274075986"/>
      <w:bookmarkStart w:id="92" w:name="_Toc273451804"/>
      <w:bookmarkStart w:id="93" w:name="_Toc273388519"/>
      <w:bookmarkStart w:id="94" w:name="_Toc273458618"/>
      <w:bookmarkStart w:id="95" w:name="_Toc273388618"/>
      <w:r>
        <w:rPr>
          <w:rFonts w:hint="eastAsia" w:ascii="Times New Roman" w:hAnsi="Times New Roman"/>
          <w:sz w:val="24"/>
          <w:szCs w:val="24"/>
          <w:highlight w:val="none"/>
        </w:rPr>
        <w:t xml:space="preserve"> </w:t>
      </w:r>
      <w:r>
        <w:rPr>
          <w:rFonts w:ascii="Times New Roman" w:hAnsi="Times New Roman"/>
          <w:sz w:val="24"/>
          <w:szCs w:val="24"/>
          <w:highlight w:val="none"/>
        </w:rPr>
        <w:t>违约责任</w:t>
      </w:r>
      <w:bookmarkEnd w:id="78"/>
      <w:bookmarkEnd w:id="79"/>
      <w:bookmarkEnd w:id="80"/>
      <w:bookmarkEnd w:id="81"/>
      <w:bookmarkEnd w:id="82"/>
      <w:bookmarkEnd w:id="83"/>
      <w:bookmarkEnd w:id="84"/>
      <w:bookmarkEnd w:id="85"/>
      <w:bookmarkEnd w:id="86"/>
      <w:bookmarkEnd w:id="87"/>
      <w:bookmarkEnd w:id="88"/>
      <w:bookmarkEnd w:id="89"/>
      <w:bookmarkEnd w:id="90"/>
    </w:p>
    <w:p>
      <w:pPr>
        <w:numPr>
          <w:ilvl w:val="0"/>
          <w:numId w:val="24"/>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highlight w:val="none"/>
        </w:rPr>
        <w:t>卖方发生下列任一违约行为时，应向买方支付合同总价</w:t>
      </w:r>
      <w:bookmarkStart w:id="96" w:name="OLE_LINK64"/>
      <w:bookmarkStart w:id="97" w:name="OLE_LINK65"/>
      <w:r>
        <w:rPr>
          <w:rFonts w:hint="eastAsia"/>
          <w:sz w:val="24"/>
          <w:highlight w:val="none"/>
        </w:rPr>
        <w:t>【</w:t>
      </w:r>
      <w:r>
        <w:rPr>
          <w:rFonts w:hint="eastAsia"/>
          <w:i/>
          <w:sz w:val="24"/>
          <w:highlight w:val="none"/>
        </w:rPr>
        <w:t>填入百分比</w:t>
      </w:r>
      <w:r>
        <w:rPr>
          <w:rFonts w:hint="eastAsia"/>
          <w:sz w:val="24"/>
          <w:highlight w:val="none"/>
        </w:rPr>
        <w:t>】</w:t>
      </w:r>
      <w:bookmarkEnd w:id="96"/>
      <w:bookmarkEnd w:id="97"/>
      <w:r>
        <w:rPr>
          <w:rFonts w:hint="eastAsia"/>
          <w:sz w:val="24"/>
          <w:highlight w:val="none"/>
        </w:rPr>
        <w:t>的违约金，并赔偿买方因此遭受的</w:t>
      </w:r>
      <w:r>
        <w:rPr>
          <w:rFonts w:hint="eastAsia"/>
          <w:bCs/>
          <w:sz w:val="24"/>
          <w:highlight w:val="none"/>
        </w:rPr>
        <w:t>超出违约金数额的</w:t>
      </w:r>
      <w:r>
        <w:rPr>
          <w:rFonts w:hint="eastAsia"/>
          <w:sz w:val="24"/>
          <w:highlight w:val="none"/>
        </w:rPr>
        <w:t>全部损失：</w:t>
      </w:r>
    </w:p>
    <w:p>
      <w:pPr>
        <w:numPr>
          <w:ilvl w:val="1"/>
          <w:numId w:val="25"/>
        </w:numPr>
        <w:tabs>
          <w:tab w:val="left" w:pos="567"/>
          <w:tab w:val="left" w:pos="993"/>
        </w:tabs>
        <w:snapToGrid w:val="0"/>
        <w:spacing w:before="72" w:beforeLines="30" w:after="72" w:afterLines="30" w:line="360" w:lineRule="auto"/>
        <w:ind w:left="567" w:firstLine="0"/>
        <w:rPr>
          <w:sz w:val="24"/>
          <w:highlight w:val="none"/>
        </w:rPr>
      </w:pPr>
      <w:r>
        <w:rPr>
          <w:rFonts w:hint="eastAsia"/>
          <w:sz w:val="24"/>
          <w:highlight w:val="none"/>
        </w:rPr>
        <w:t>卖方未按照合同的规定提供货物和相关服务；</w:t>
      </w:r>
    </w:p>
    <w:p>
      <w:pPr>
        <w:numPr>
          <w:ilvl w:val="1"/>
          <w:numId w:val="25"/>
        </w:numPr>
        <w:tabs>
          <w:tab w:val="left" w:pos="567"/>
          <w:tab w:val="left" w:pos="993"/>
        </w:tabs>
        <w:snapToGrid w:val="0"/>
        <w:spacing w:before="72" w:beforeLines="30" w:after="72" w:afterLines="30" w:line="360" w:lineRule="auto"/>
        <w:ind w:left="567" w:firstLine="0"/>
        <w:rPr>
          <w:sz w:val="24"/>
          <w:highlight w:val="none"/>
        </w:rPr>
      </w:pPr>
      <w:r>
        <w:rPr>
          <w:rFonts w:hint="eastAsia"/>
          <w:sz w:val="24"/>
          <w:highlight w:val="none"/>
        </w:rPr>
        <w:t>卖方提供的货物不合格，且卖方未根据合同规定及时更换为合格产品；</w:t>
      </w:r>
    </w:p>
    <w:p>
      <w:pPr>
        <w:numPr>
          <w:ilvl w:val="1"/>
          <w:numId w:val="25"/>
        </w:numPr>
        <w:tabs>
          <w:tab w:val="left" w:pos="567"/>
          <w:tab w:val="left" w:pos="993"/>
        </w:tabs>
        <w:snapToGrid w:val="0"/>
        <w:spacing w:before="72" w:beforeLines="30" w:after="72" w:afterLines="30" w:line="360" w:lineRule="auto"/>
        <w:ind w:left="567" w:firstLine="0"/>
        <w:rPr>
          <w:sz w:val="24"/>
          <w:highlight w:val="none"/>
        </w:rPr>
      </w:pPr>
      <w:r>
        <w:rPr>
          <w:rFonts w:hint="eastAsia"/>
          <w:sz w:val="24"/>
          <w:highlight w:val="none"/>
        </w:rPr>
        <w:t>卖方违反本合同规定的承诺、保证或其它义务。</w:t>
      </w:r>
    </w:p>
    <w:p>
      <w:pPr>
        <w:numPr>
          <w:ilvl w:val="0"/>
          <w:numId w:val="24"/>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就卖方的上述违约行为</w:t>
      </w:r>
      <w:r>
        <w:rPr>
          <w:rFonts w:hint="eastAsia"/>
          <w:sz w:val="24"/>
          <w:highlight w:val="none"/>
        </w:rPr>
        <w:t>，买方除有权依据本合同第12.1款要求卖方承担违约责任外，有权</w:t>
      </w:r>
      <w:r>
        <w:rPr>
          <w:sz w:val="24"/>
          <w:highlight w:val="none"/>
        </w:rPr>
        <w:t>向卖方出具书面通知，要求卖方进行更正或整改</w:t>
      </w:r>
      <w:r>
        <w:rPr>
          <w:rFonts w:hint="eastAsia"/>
          <w:sz w:val="24"/>
          <w:highlight w:val="none"/>
        </w:rPr>
        <w:t>。如</w:t>
      </w:r>
      <w:r>
        <w:rPr>
          <w:sz w:val="24"/>
          <w:highlight w:val="none"/>
        </w:rPr>
        <w:t>卖方</w:t>
      </w:r>
      <w:r>
        <w:rPr>
          <w:rFonts w:hint="eastAsia"/>
          <w:sz w:val="24"/>
          <w:highlight w:val="none"/>
        </w:rPr>
        <w:t>收到该等通知后【</w:t>
      </w:r>
      <w:r>
        <w:rPr>
          <w:rFonts w:hint="eastAsia"/>
          <w:i/>
          <w:sz w:val="24"/>
          <w:highlight w:val="none"/>
        </w:rPr>
        <w:t>填入工作日数，如十（</w:t>
      </w:r>
      <w:r>
        <w:rPr>
          <w:i/>
          <w:sz w:val="24"/>
          <w:highlight w:val="none"/>
        </w:rPr>
        <w:t>10</w:t>
      </w:r>
      <w:r>
        <w:rPr>
          <w:rFonts w:hint="eastAsia"/>
          <w:i/>
          <w:sz w:val="24"/>
          <w:highlight w:val="none"/>
        </w:rPr>
        <w:t>）</w:t>
      </w:r>
      <w:r>
        <w:rPr>
          <w:rFonts w:hint="eastAsia"/>
          <w:sz w:val="24"/>
          <w:highlight w:val="none"/>
        </w:rPr>
        <w:t>】</w:t>
      </w:r>
      <w:r>
        <w:rPr>
          <w:sz w:val="24"/>
          <w:highlight w:val="none"/>
        </w:rPr>
        <w:t>个工作日内未按照买方要求</w:t>
      </w:r>
      <w:r>
        <w:rPr>
          <w:rFonts w:hint="eastAsia"/>
          <w:sz w:val="24"/>
          <w:highlight w:val="none"/>
        </w:rPr>
        <w:t>作出</w:t>
      </w:r>
      <w:r>
        <w:rPr>
          <w:sz w:val="24"/>
          <w:highlight w:val="none"/>
        </w:rPr>
        <w:t>更正或进行整改的，买方有权立即</w:t>
      </w:r>
      <w:r>
        <w:rPr>
          <w:rFonts w:hint="eastAsia"/>
          <w:sz w:val="24"/>
          <w:highlight w:val="none"/>
        </w:rPr>
        <w:t>解除</w:t>
      </w:r>
      <w:r>
        <w:rPr>
          <w:sz w:val="24"/>
          <w:highlight w:val="none"/>
        </w:rPr>
        <w:t>本合同，卖方应赔偿买方</w:t>
      </w:r>
      <w:r>
        <w:rPr>
          <w:rFonts w:hint="eastAsia"/>
          <w:sz w:val="24"/>
          <w:highlight w:val="none"/>
        </w:rPr>
        <w:t>因此</w:t>
      </w:r>
      <w:r>
        <w:rPr>
          <w:sz w:val="24"/>
          <w:highlight w:val="none"/>
        </w:rPr>
        <w:t>而遭受的</w:t>
      </w:r>
      <w:r>
        <w:rPr>
          <w:rFonts w:hint="eastAsia"/>
          <w:bCs/>
          <w:sz w:val="24"/>
          <w:highlight w:val="none"/>
        </w:rPr>
        <w:t>超出违约金数额的</w:t>
      </w:r>
      <w:r>
        <w:rPr>
          <w:sz w:val="24"/>
          <w:highlight w:val="none"/>
        </w:rPr>
        <w:t>全部损失。</w:t>
      </w:r>
    </w:p>
    <w:p>
      <w:pPr>
        <w:numPr>
          <w:ilvl w:val="0"/>
          <w:numId w:val="24"/>
        </w:numPr>
        <w:tabs>
          <w:tab w:val="left" w:pos="567"/>
          <w:tab w:val="left" w:pos="709"/>
          <w:tab w:val="left" w:pos="3060"/>
        </w:tabs>
        <w:spacing w:before="72" w:beforeLines="30" w:after="72" w:afterLines="30" w:line="360" w:lineRule="auto"/>
        <w:ind w:left="567" w:hanging="567"/>
        <w:rPr>
          <w:rFonts w:hAnsi="宋体"/>
          <w:bCs/>
          <w:sz w:val="24"/>
          <w:highlight w:val="none"/>
        </w:rPr>
      </w:pPr>
      <w:r>
        <w:rPr>
          <w:rFonts w:hint="eastAsia"/>
          <w:sz w:val="24"/>
          <w:highlight w:val="none"/>
        </w:rPr>
        <w:t>如卖方未能在交付日期交付货物，每延期交付一日，卖方应向买方支付合同总价的【</w:t>
      </w:r>
      <w:r>
        <w:rPr>
          <w:rFonts w:hint="eastAsia"/>
          <w:i/>
          <w:sz w:val="24"/>
          <w:highlight w:val="none"/>
        </w:rPr>
        <w:t>填入百分比</w:t>
      </w:r>
      <w:r>
        <w:rPr>
          <w:rFonts w:hint="eastAsia"/>
          <w:sz w:val="24"/>
          <w:highlight w:val="none"/>
        </w:rPr>
        <w:t>】作为延期违约金，但是，该等延期违约金最高不得超过合同总价的【</w:t>
      </w:r>
      <w:r>
        <w:rPr>
          <w:rFonts w:hint="eastAsia"/>
          <w:i/>
          <w:sz w:val="24"/>
          <w:highlight w:val="none"/>
        </w:rPr>
        <w:t>填入百分比</w:t>
      </w:r>
      <w:r>
        <w:rPr>
          <w:rFonts w:hint="eastAsia"/>
          <w:sz w:val="24"/>
          <w:highlight w:val="none"/>
        </w:rPr>
        <w:t>】。</w:t>
      </w:r>
      <w:r>
        <w:rPr>
          <w:rFonts w:hint="eastAsia" w:hAnsi="宋体"/>
          <w:bCs/>
          <w:sz w:val="24"/>
          <w:highlight w:val="none"/>
        </w:rPr>
        <w:t>如延期超过</w:t>
      </w:r>
      <w:r>
        <w:rPr>
          <w:rFonts w:hAnsi="宋体"/>
          <w:bCs/>
          <w:sz w:val="24"/>
          <w:highlight w:val="none"/>
        </w:rPr>
        <w:t>【</w:t>
      </w:r>
      <w:r>
        <w:rPr>
          <w:rFonts w:hint="eastAsia" w:hAnsi="宋体"/>
          <w:bCs/>
          <w:i/>
          <w:sz w:val="24"/>
          <w:highlight w:val="none"/>
        </w:rPr>
        <w:t>填入天数</w:t>
      </w:r>
      <w:r>
        <w:rPr>
          <w:rFonts w:hAnsi="宋体"/>
          <w:bCs/>
          <w:sz w:val="24"/>
          <w:highlight w:val="none"/>
        </w:rPr>
        <w:t>】</w:t>
      </w:r>
      <w:r>
        <w:rPr>
          <w:rFonts w:hint="eastAsia" w:hAnsi="宋体"/>
          <w:bCs/>
          <w:sz w:val="24"/>
          <w:highlight w:val="none"/>
        </w:rPr>
        <w:t>日，除要求卖方支付违约金外，买方有权解除本合同，并有权要求卖方赔偿买方因此遭受的</w:t>
      </w:r>
      <w:r>
        <w:rPr>
          <w:rFonts w:hint="eastAsia"/>
          <w:bCs/>
          <w:sz w:val="24"/>
          <w:highlight w:val="none"/>
        </w:rPr>
        <w:t>超出违约金数额的</w:t>
      </w:r>
      <w:r>
        <w:rPr>
          <w:rFonts w:hint="eastAsia" w:hAnsi="宋体"/>
          <w:bCs/>
          <w:sz w:val="24"/>
          <w:highlight w:val="none"/>
        </w:rPr>
        <w:t>全部损失。</w:t>
      </w:r>
    </w:p>
    <w:p>
      <w:pPr>
        <w:numPr>
          <w:ilvl w:val="0"/>
          <w:numId w:val="24"/>
        </w:numPr>
        <w:tabs>
          <w:tab w:val="left" w:pos="567"/>
          <w:tab w:val="left" w:pos="709"/>
          <w:tab w:val="left" w:pos="3060"/>
        </w:tabs>
        <w:spacing w:before="72" w:beforeLines="30" w:after="72" w:afterLines="30" w:line="360" w:lineRule="auto"/>
        <w:ind w:left="567" w:hanging="567"/>
        <w:rPr>
          <w:sz w:val="24"/>
          <w:highlight w:val="none"/>
        </w:rPr>
      </w:pPr>
      <w:r>
        <w:rPr>
          <w:rFonts w:hint="eastAsia"/>
          <w:sz w:val="24"/>
          <w:highlight w:val="none"/>
        </w:rPr>
        <w:t>如仅因买方原因，买方逾期向卖方付款，卖方应向买方发出书面催款通知，买方应在收到该等通知后【填入天数】日内付款，否则，即应自该等【填入天数】日期间结束之日起，按合同订立时1年期贷款市场报价利率计算并支付应付未付合同价款的利息，最高不超过相关应付未付合同价款的【填入百分比】。双方同意，该等利息的支付是买方就未能如期支付相关合同价款所需承担的全部责任。</w:t>
      </w:r>
    </w:p>
    <w:p>
      <w:pPr>
        <w:numPr>
          <w:ilvl w:val="0"/>
          <w:numId w:val="24"/>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卖方根据本合同的规定应承担违约金或赔偿责任的，买方有权从合同总价余额</w:t>
      </w:r>
      <w:r>
        <w:rPr>
          <w:rFonts w:hint="eastAsia"/>
          <w:sz w:val="24"/>
          <w:highlight w:val="none"/>
        </w:rPr>
        <w:t>中直接扣除</w:t>
      </w:r>
      <w:r>
        <w:rPr>
          <w:sz w:val="24"/>
          <w:highlight w:val="none"/>
        </w:rPr>
        <w:t>。</w:t>
      </w:r>
    </w:p>
    <w:p>
      <w:pPr>
        <w:pStyle w:val="15"/>
        <w:numPr>
          <w:ilvl w:val="0"/>
          <w:numId w:val="9"/>
        </w:numPr>
        <w:tabs>
          <w:tab w:val="left" w:pos="993"/>
        </w:tabs>
        <w:spacing w:before="72" w:beforeLines="30" w:after="72" w:afterLines="30" w:line="360" w:lineRule="auto"/>
        <w:ind w:left="567" w:hanging="567"/>
        <w:jc w:val="left"/>
        <w:rPr>
          <w:sz w:val="24"/>
          <w:szCs w:val="24"/>
          <w:highlight w:val="none"/>
        </w:rPr>
      </w:pPr>
      <w:r>
        <w:rPr>
          <w:rFonts w:hint="eastAsia"/>
          <w:sz w:val="24"/>
          <w:highlight w:val="none"/>
        </w:rPr>
        <w:t xml:space="preserve"> </w:t>
      </w:r>
      <w:bookmarkStart w:id="98" w:name="_Toc306354321"/>
      <w:r>
        <w:rPr>
          <w:rFonts w:hint="eastAsia" w:ascii="Times New Roman" w:hAnsi="Times New Roman"/>
          <w:sz w:val="24"/>
          <w:szCs w:val="24"/>
          <w:highlight w:val="none"/>
        </w:rPr>
        <w:t>合同的解除和</w:t>
      </w:r>
      <w:r>
        <w:rPr>
          <w:sz w:val="24"/>
          <w:szCs w:val="24"/>
          <w:highlight w:val="none"/>
        </w:rPr>
        <w:t>终止</w:t>
      </w:r>
      <w:bookmarkEnd w:id="98"/>
    </w:p>
    <w:p>
      <w:pPr>
        <w:numPr>
          <w:ilvl w:val="0"/>
          <w:numId w:val="26"/>
        </w:numPr>
        <w:tabs>
          <w:tab w:val="left" w:pos="567"/>
          <w:tab w:val="left" w:pos="709"/>
        </w:tabs>
        <w:spacing w:before="72" w:beforeLines="30" w:after="72" w:afterLines="30" w:line="360" w:lineRule="auto"/>
        <w:ind w:left="567" w:hanging="567"/>
        <w:rPr>
          <w:rFonts w:hAnsi="宋体"/>
          <w:color w:val="000000"/>
          <w:sz w:val="24"/>
          <w:highlight w:val="none"/>
        </w:rPr>
      </w:pPr>
      <w:r>
        <w:rPr>
          <w:rFonts w:hint="eastAsia" w:hAnsi="宋体"/>
          <w:color w:val="000000"/>
          <w:sz w:val="24"/>
          <w:highlight w:val="none"/>
        </w:rPr>
        <w:t>如</w:t>
      </w:r>
      <w:r>
        <w:rPr>
          <w:rFonts w:hAnsi="宋体"/>
          <w:color w:val="000000"/>
          <w:sz w:val="24"/>
          <w:highlight w:val="none"/>
        </w:rPr>
        <w:t>发生以下任</w:t>
      </w:r>
      <w:r>
        <w:rPr>
          <w:rFonts w:hint="eastAsia" w:hAnsi="宋体"/>
          <w:color w:val="000000"/>
          <w:sz w:val="24"/>
          <w:highlight w:val="none"/>
        </w:rPr>
        <w:t>一情形，经书面通知卖方，</w:t>
      </w:r>
      <w:r>
        <w:rPr>
          <w:rFonts w:hAnsi="宋体"/>
          <w:color w:val="000000"/>
          <w:sz w:val="24"/>
          <w:highlight w:val="none"/>
        </w:rPr>
        <w:t>买方</w:t>
      </w:r>
      <w:r>
        <w:rPr>
          <w:rFonts w:hint="eastAsia" w:hAnsi="宋体"/>
          <w:color w:val="000000"/>
          <w:sz w:val="24"/>
          <w:highlight w:val="none"/>
        </w:rPr>
        <w:t>有权解除本</w:t>
      </w:r>
      <w:r>
        <w:rPr>
          <w:rFonts w:hAnsi="宋体"/>
          <w:color w:val="000000"/>
          <w:sz w:val="24"/>
          <w:highlight w:val="none"/>
        </w:rPr>
        <w:t>合同：</w:t>
      </w:r>
      <w:r>
        <w:rPr>
          <w:rFonts w:hint="eastAsia" w:hAnsi="宋体"/>
          <w:color w:val="000000"/>
          <w:sz w:val="24"/>
          <w:highlight w:val="none"/>
        </w:rPr>
        <w:t xml:space="preserve"> </w:t>
      </w:r>
    </w:p>
    <w:p>
      <w:pPr>
        <w:widowControl/>
        <w:numPr>
          <w:ilvl w:val="0"/>
          <w:numId w:val="27"/>
        </w:numPr>
        <w:tabs>
          <w:tab w:val="left" w:pos="993"/>
          <w:tab w:val="clear" w:pos="840"/>
        </w:tabs>
        <w:spacing w:before="72" w:beforeLines="30" w:after="72" w:afterLines="30" w:line="360" w:lineRule="auto"/>
        <w:ind w:left="1378" w:leftChars="270" w:hanging="811" w:hangingChars="338"/>
        <w:jc w:val="left"/>
        <w:rPr>
          <w:sz w:val="24"/>
          <w:highlight w:val="none"/>
        </w:rPr>
      </w:pPr>
      <w:r>
        <w:rPr>
          <w:rFonts w:hint="eastAsia"/>
          <w:sz w:val="24"/>
          <w:highlight w:val="none"/>
        </w:rPr>
        <w:t>本合同明确规定买方有权解除合同的情形；</w:t>
      </w:r>
    </w:p>
    <w:p>
      <w:pPr>
        <w:widowControl/>
        <w:numPr>
          <w:ilvl w:val="0"/>
          <w:numId w:val="27"/>
        </w:numPr>
        <w:tabs>
          <w:tab w:val="left" w:pos="993"/>
          <w:tab w:val="clear" w:pos="840"/>
        </w:tabs>
        <w:spacing w:before="72" w:beforeLines="30" w:after="72" w:afterLines="30" w:line="360" w:lineRule="auto"/>
        <w:ind w:left="1378" w:leftChars="270" w:hanging="811" w:hangingChars="338"/>
        <w:jc w:val="left"/>
        <w:rPr>
          <w:sz w:val="24"/>
          <w:highlight w:val="none"/>
        </w:rPr>
      </w:pPr>
      <w:r>
        <w:rPr>
          <w:sz w:val="24"/>
          <w:highlight w:val="none"/>
        </w:rPr>
        <w:t>卖方破产、资不抵债、停业清理、解散、被兼并、被查封</w:t>
      </w:r>
      <w:r>
        <w:rPr>
          <w:rFonts w:hint="eastAsia"/>
          <w:sz w:val="24"/>
          <w:highlight w:val="none"/>
        </w:rPr>
        <w:t>；</w:t>
      </w:r>
    </w:p>
    <w:p>
      <w:pPr>
        <w:widowControl/>
        <w:numPr>
          <w:ilvl w:val="0"/>
          <w:numId w:val="27"/>
        </w:numPr>
        <w:tabs>
          <w:tab w:val="left" w:pos="993"/>
          <w:tab w:val="clear" w:pos="840"/>
        </w:tabs>
        <w:spacing w:before="72" w:beforeLines="30" w:after="72" w:afterLines="30" w:line="360" w:lineRule="auto"/>
        <w:ind w:left="1378" w:leftChars="270" w:hanging="811" w:hangingChars="338"/>
        <w:jc w:val="left"/>
        <w:rPr>
          <w:sz w:val="24"/>
          <w:highlight w:val="none"/>
        </w:rPr>
      </w:pPr>
      <w:r>
        <w:rPr>
          <w:sz w:val="24"/>
          <w:highlight w:val="none"/>
        </w:rPr>
        <w:t>卖方</w:t>
      </w:r>
      <w:r>
        <w:rPr>
          <w:rFonts w:hint="eastAsia"/>
          <w:sz w:val="24"/>
          <w:highlight w:val="none"/>
        </w:rPr>
        <w:t>发生其它严重违约</w:t>
      </w:r>
      <w:r>
        <w:rPr>
          <w:sz w:val="24"/>
          <w:highlight w:val="none"/>
        </w:rPr>
        <w:t>，</w:t>
      </w:r>
      <w:r>
        <w:rPr>
          <w:rFonts w:hint="eastAsia"/>
          <w:sz w:val="24"/>
          <w:highlight w:val="none"/>
        </w:rPr>
        <w:t>且未在买方要求的合理期限内纠正；</w:t>
      </w:r>
    </w:p>
    <w:p>
      <w:pPr>
        <w:widowControl/>
        <w:numPr>
          <w:ilvl w:val="0"/>
          <w:numId w:val="27"/>
        </w:numPr>
        <w:tabs>
          <w:tab w:val="left" w:pos="993"/>
          <w:tab w:val="clear" w:pos="840"/>
        </w:tabs>
        <w:spacing w:before="72" w:beforeLines="30" w:after="72" w:afterLines="30" w:line="360" w:lineRule="auto"/>
        <w:ind w:left="1378" w:leftChars="270" w:hanging="811" w:hangingChars="338"/>
        <w:jc w:val="left"/>
        <w:rPr>
          <w:sz w:val="24"/>
          <w:highlight w:val="none"/>
        </w:rPr>
      </w:pPr>
      <w:r>
        <w:rPr>
          <w:rFonts w:hint="eastAsia"/>
          <w:sz w:val="24"/>
          <w:highlight w:val="none"/>
        </w:rPr>
        <w:t>不可抗力</w:t>
      </w:r>
      <w:r>
        <w:rPr>
          <w:sz w:val="24"/>
          <w:highlight w:val="none"/>
        </w:rPr>
        <w:t>持续超过【</w:t>
      </w:r>
      <w:r>
        <w:rPr>
          <w:rFonts w:hint="eastAsia"/>
          <w:i/>
          <w:sz w:val="24"/>
          <w:highlight w:val="none"/>
        </w:rPr>
        <w:t>填入天数，如六十（60）</w:t>
      </w:r>
      <w:r>
        <w:rPr>
          <w:sz w:val="24"/>
          <w:highlight w:val="none"/>
        </w:rPr>
        <w:t>】</w:t>
      </w:r>
      <w:r>
        <w:rPr>
          <w:rFonts w:hint="eastAsia"/>
          <w:sz w:val="24"/>
          <w:highlight w:val="none"/>
        </w:rPr>
        <w:t>日。</w:t>
      </w:r>
    </w:p>
    <w:p>
      <w:pPr>
        <w:numPr>
          <w:ilvl w:val="0"/>
          <w:numId w:val="26"/>
        </w:numPr>
        <w:tabs>
          <w:tab w:val="left" w:pos="567"/>
          <w:tab w:val="left" w:pos="709"/>
        </w:tabs>
        <w:spacing w:before="72" w:beforeLines="30" w:after="72" w:afterLines="30" w:line="360" w:lineRule="auto"/>
        <w:ind w:left="567" w:hanging="567"/>
        <w:rPr>
          <w:rFonts w:hAnsi="宋体"/>
          <w:color w:val="000000"/>
          <w:sz w:val="24"/>
          <w:highlight w:val="none"/>
        </w:rPr>
      </w:pPr>
      <w:r>
        <w:rPr>
          <w:rFonts w:hint="eastAsia" w:hAnsi="宋体"/>
          <w:color w:val="000000"/>
          <w:sz w:val="24"/>
          <w:highlight w:val="none"/>
        </w:rPr>
        <w:t>如因卖方违约买方解除本合同，</w:t>
      </w:r>
      <w:r>
        <w:rPr>
          <w:rFonts w:hAnsi="宋体"/>
          <w:color w:val="000000"/>
          <w:sz w:val="24"/>
          <w:highlight w:val="none"/>
        </w:rPr>
        <w:t>卖方应退回买方已经支付的</w:t>
      </w:r>
      <w:r>
        <w:rPr>
          <w:rFonts w:hint="eastAsia" w:hAnsi="宋体"/>
          <w:color w:val="000000"/>
          <w:sz w:val="24"/>
          <w:highlight w:val="none"/>
        </w:rPr>
        <w:t>全部款项，并根据本合同规定支付违约金，并且买方有权要求卖方赔偿其因此遭受的</w:t>
      </w:r>
      <w:r>
        <w:rPr>
          <w:rFonts w:hint="eastAsia"/>
          <w:bCs/>
          <w:sz w:val="24"/>
          <w:highlight w:val="none"/>
        </w:rPr>
        <w:t>超出违约金数额的</w:t>
      </w:r>
      <w:r>
        <w:rPr>
          <w:rFonts w:hint="eastAsia" w:hAnsi="宋体"/>
          <w:color w:val="000000"/>
          <w:sz w:val="24"/>
          <w:highlight w:val="none"/>
        </w:rPr>
        <w:t>全部损失。</w:t>
      </w:r>
      <w:r>
        <w:rPr>
          <w:rFonts w:hAnsi="宋体"/>
          <w:color w:val="000000"/>
          <w:sz w:val="24"/>
          <w:highlight w:val="none"/>
        </w:rPr>
        <w:t>买方</w:t>
      </w:r>
      <w:r>
        <w:rPr>
          <w:rFonts w:hint="eastAsia" w:hAnsi="宋体"/>
          <w:color w:val="000000"/>
          <w:sz w:val="24"/>
          <w:highlight w:val="none"/>
        </w:rPr>
        <w:t>有权以</w:t>
      </w:r>
      <w:r>
        <w:rPr>
          <w:rFonts w:hAnsi="宋体"/>
          <w:color w:val="000000"/>
          <w:sz w:val="24"/>
          <w:highlight w:val="none"/>
        </w:rPr>
        <w:t>适当的条件和方式</w:t>
      </w:r>
      <w:r>
        <w:rPr>
          <w:rFonts w:hint="eastAsia" w:hAnsi="宋体"/>
          <w:color w:val="000000"/>
          <w:sz w:val="24"/>
          <w:highlight w:val="none"/>
        </w:rPr>
        <w:t>购买同等货物</w:t>
      </w:r>
      <w:r>
        <w:rPr>
          <w:rFonts w:hAnsi="宋体"/>
          <w:color w:val="000000"/>
          <w:sz w:val="24"/>
          <w:highlight w:val="none"/>
        </w:rPr>
        <w:t>，卖方应</w:t>
      </w:r>
      <w:r>
        <w:rPr>
          <w:rFonts w:hint="eastAsia" w:hAnsi="宋体"/>
          <w:color w:val="000000"/>
          <w:sz w:val="24"/>
          <w:highlight w:val="none"/>
        </w:rPr>
        <w:t>承</w:t>
      </w:r>
      <w:r>
        <w:rPr>
          <w:rFonts w:hAnsi="宋体"/>
          <w:color w:val="000000"/>
          <w:sz w:val="24"/>
          <w:highlight w:val="none"/>
        </w:rPr>
        <w:t>担</w:t>
      </w:r>
      <w:r>
        <w:rPr>
          <w:rFonts w:hint="eastAsia" w:hAnsi="宋体"/>
          <w:color w:val="000000"/>
          <w:sz w:val="24"/>
          <w:highlight w:val="none"/>
        </w:rPr>
        <w:t>买方</w:t>
      </w:r>
      <w:r>
        <w:rPr>
          <w:rFonts w:hAnsi="宋体"/>
          <w:color w:val="000000"/>
          <w:sz w:val="24"/>
          <w:highlight w:val="none"/>
        </w:rPr>
        <w:t>购买</w:t>
      </w:r>
      <w:r>
        <w:rPr>
          <w:rFonts w:hint="eastAsia" w:hAnsi="宋体"/>
          <w:color w:val="000000"/>
          <w:sz w:val="24"/>
          <w:highlight w:val="none"/>
        </w:rPr>
        <w:t>同等货物的差额费用</w:t>
      </w:r>
      <w:r>
        <w:rPr>
          <w:rFonts w:hAnsi="宋体"/>
          <w:color w:val="000000"/>
          <w:sz w:val="24"/>
          <w:highlight w:val="none"/>
        </w:rPr>
        <w:t>。</w:t>
      </w:r>
    </w:p>
    <w:p>
      <w:pPr>
        <w:numPr>
          <w:ilvl w:val="0"/>
          <w:numId w:val="26"/>
        </w:numPr>
        <w:tabs>
          <w:tab w:val="left" w:pos="567"/>
          <w:tab w:val="left" w:pos="709"/>
        </w:tabs>
        <w:spacing w:before="72" w:beforeLines="30" w:after="72" w:afterLines="30" w:line="360" w:lineRule="auto"/>
        <w:ind w:left="567" w:hanging="567"/>
        <w:rPr>
          <w:rFonts w:hAnsi="宋体"/>
          <w:color w:val="000000"/>
          <w:sz w:val="24"/>
          <w:highlight w:val="none"/>
        </w:rPr>
      </w:pPr>
      <w:r>
        <w:rPr>
          <w:rFonts w:hint="eastAsia" w:hAnsi="宋体"/>
          <w:color w:val="000000"/>
          <w:sz w:val="24"/>
          <w:highlight w:val="none"/>
        </w:rPr>
        <w:t>无论基于何种原因，经</w:t>
      </w:r>
      <w:r>
        <w:rPr>
          <w:rFonts w:hAnsi="宋体"/>
          <w:color w:val="000000"/>
          <w:sz w:val="24"/>
          <w:highlight w:val="none"/>
        </w:rPr>
        <w:t>提前【</w:t>
      </w:r>
      <w:r>
        <w:rPr>
          <w:rFonts w:hint="eastAsia" w:hAnsi="宋体"/>
          <w:i/>
          <w:color w:val="000000"/>
          <w:sz w:val="24"/>
          <w:highlight w:val="none"/>
        </w:rPr>
        <w:t>填入天数，如十五（15）</w:t>
      </w:r>
      <w:r>
        <w:rPr>
          <w:rFonts w:hAnsi="宋体"/>
          <w:color w:val="000000"/>
          <w:sz w:val="24"/>
          <w:highlight w:val="none"/>
        </w:rPr>
        <w:t>】</w:t>
      </w:r>
      <w:r>
        <w:rPr>
          <w:rFonts w:hint="eastAsia" w:hAnsi="宋体"/>
          <w:color w:val="000000"/>
          <w:sz w:val="24"/>
          <w:highlight w:val="none"/>
        </w:rPr>
        <w:t>日</w:t>
      </w:r>
      <w:r>
        <w:rPr>
          <w:rFonts w:hAnsi="宋体"/>
          <w:color w:val="000000"/>
          <w:sz w:val="24"/>
          <w:highlight w:val="none"/>
        </w:rPr>
        <w:t>书面通知</w:t>
      </w:r>
      <w:r>
        <w:rPr>
          <w:rFonts w:hint="eastAsia" w:hAnsi="宋体"/>
          <w:color w:val="000000"/>
          <w:sz w:val="24"/>
          <w:highlight w:val="none"/>
        </w:rPr>
        <w:t>卖方</w:t>
      </w:r>
      <w:r>
        <w:rPr>
          <w:rFonts w:hAnsi="宋体"/>
          <w:color w:val="000000"/>
          <w:sz w:val="24"/>
          <w:highlight w:val="none"/>
        </w:rPr>
        <w:t>，买方有权随时</w:t>
      </w:r>
      <w:r>
        <w:rPr>
          <w:rFonts w:hint="eastAsia" w:hAnsi="宋体"/>
          <w:color w:val="000000"/>
          <w:sz w:val="24"/>
          <w:highlight w:val="none"/>
        </w:rPr>
        <w:t>终止</w:t>
      </w:r>
      <w:r>
        <w:rPr>
          <w:rFonts w:hAnsi="宋体"/>
          <w:color w:val="000000"/>
          <w:sz w:val="24"/>
          <w:highlight w:val="none"/>
        </w:rPr>
        <w:t>合同。卖方</w:t>
      </w:r>
      <w:r>
        <w:rPr>
          <w:rFonts w:hint="eastAsia" w:hAnsi="宋体"/>
          <w:color w:val="000000"/>
          <w:sz w:val="24"/>
          <w:highlight w:val="none"/>
        </w:rPr>
        <w:t>收到</w:t>
      </w:r>
      <w:r>
        <w:rPr>
          <w:rFonts w:hAnsi="宋体"/>
          <w:color w:val="000000"/>
          <w:sz w:val="24"/>
          <w:highlight w:val="none"/>
        </w:rPr>
        <w:t>买方</w:t>
      </w:r>
      <w:r>
        <w:rPr>
          <w:rFonts w:hint="eastAsia" w:hAnsi="宋体"/>
          <w:color w:val="000000"/>
          <w:sz w:val="24"/>
          <w:highlight w:val="none"/>
        </w:rPr>
        <w:t>终止</w:t>
      </w:r>
      <w:r>
        <w:rPr>
          <w:rFonts w:hAnsi="宋体"/>
          <w:color w:val="000000"/>
          <w:sz w:val="24"/>
          <w:highlight w:val="none"/>
        </w:rPr>
        <w:t>合同的</w:t>
      </w:r>
      <w:r>
        <w:rPr>
          <w:rFonts w:hint="eastAsia" w:hAnsi="宋体"/>
          <w:color w:val="000000"/>
          <w:sz w:val="24"/>
          <w:highlight w:val="none"/>
        </w:rPr>
        <w:t>书面</w:t>
      </w:r>
      <w:r>
        <w:rPr>
          <w:rFonts w:hAnsi="宋体"/>
          <w:color w:val="000000"/>
          <w:sz w:val="24"/>
          <w:highlight w:val="none"/>
        </w:rPr>
        <w:t>通知</w:t>
      </w:r>
      <w:r>
        <w:rPr>
          <w:rFonts w:hint="eastAsia" w:hAnsi="宋体"/>
          <w:color w:val="000000"/>
          <w:sz w:val="24"/>
          <w:highlight w:val="none"/>
        </w:rPr>
        <w:t>后，</w:t>
      </w:r>
      <w:r>
        <w:rPr>
          <w:rFonts w:hAnsi="宋体"/>
          <w:color w:val="000000"/>
          <w:sz w:val="24"/>
          <w:highlight w:val="none"/>
        </w:rPr>
        <w:t>应立即停止</w:t>
      </w:r>
      <w:r>
        <w:rPr>
          <w:rFonts w:hint="eastAsia" w:hAnsi="宋体"/>
          <w:color w:val="000000"/>
          <w:sz w:val="24"/>
          <w:highlight w:val="none"/>
        </w:rPr>
        <w:t>实施与</w:t>
      </w:r>
      <w:r>
        <w:rPr>
          <w:rFonts w:hAnsi="宋体"/>
          <w:color w:val="000000"/>
          <w:sz w:val="24"/>
          <w:highlight w:val="none"/>
        </w:rPr>
        <w:t>本合同</w:t>
      </w:r>
      <w:r>
        <w:rPr>
          <w:rFonts w:hint="eastAsia" w:hAnsi="宋体"/>
          <w:color w:val="000000"/>
          <w:sz w:val="24"/>
          <w:highlight w:val="none"/>
        </w:rPr>
        <w:t>有</w:t>
      </w:r>
      <w:r>
        <w:rPr>
          <w:rFonts w:hAnsi="宋体"/>
          <w:color w:val="000000"/>
          <w:sz w:val="24"/>
          <w:highlight w:val="none"/>
        </w:rPr>
        <w:t>关的工作并对</w:t>
      </w:r>
      <w:r>
        <w:rPr>
          <w:rFonts w:hint="eastAsia" w:hAnsi="宋体"/>
          <w:color w:val="000000"/>
          <w:sz w:val="24"/>
          <w:highlight w:val="none"/>
        </w:rPr>
        <w:t>已履行</w:t>
      </w:r>
      <w:r>
        <w:rPr>
          <w:rFonts w:hAnsi="宋体"/>
          <w:color w:val="000000"/>
          <w:sz w:val="24"/>
          <w:highlight w:val="none"/>
        </w:rPr>
        <w:t>的</w:t>
      </w:r>
      <w:r>
        <w:rPr>
          <w:rFonts w:hint="eastAsia" w:hAnsi="宋体"/>
          <w:color w:val="000000"/>
          <w:sz w:val="24"/>
          <w:highlight w:val="none"/>
        </w:rPr>
        <w:t>部分</w:t>
      </w:r>
      <w:r>
        <w:rPr>
          <w:rFonts w:hAnsi="宋体"/>
          <w:color w:val="000000"/>
          <w:sz w:val="24"/>
          <w:highlight w:val="none"/>
        </w:rPr>
        <w:t>进行结算。买方收到卖方的结算</w:t>
      </w:r>
      <w:r>
        <w:rPr>
          <w:rFonts w:hint="eastAsia" w:hAnsi="宋体"/>
          <w:color w:val="000000"/>
          <w:sz w:val="24"/>
          <w:highlight w:val="none"/>
        </w:rPr>
        <w:t>要求</w:t>
      </w:r>
      <w:r>
        <w:rPr>
          <w:rFonts w:hAnsi="宋体"/>
          <w:color w:val="000000"/>
          <w:sz w:val="24"/>
          <w:highlight w:val="none"/>
        </w:rPr>
        <w:t>后，</w:t>
      </w:r>
      <w:r>
        <w:rPr>
          <w:rFonts w:hint="eastAsia" w:hAnsi="宋体"/>
          <w:color w:val="000000"/>
          <w:sz w:val="24"/>
          <w:highlight w:val="none"/>
        </w:rPr>
        <w:t>应</w:t>
      </w:r>
      <w:r>
        <w:rPr>
          <w:rFonts w:hAnsi="宋体"/>
          <w:color w:val="000000"/>
          <w:sz w:val="24"/>
          <w:highlight w:val="none"/>
        </w:rPr>
        <w:t>与卖方协商结算</w:t>
      </w:r>
      <w:r>
        <w:rPr>
          <w:rFonts w:hint="eastAsia" w:hAnsi="宋体"/>
          <w:color w:val="000000"/>
          <w:sz w:val="24"/>
          <w:highlight w:val="none"/>
        </w:rPr>
        <w:t>数额、</w:t>
      </w:r>
      <w:r>
        <w:rPr>
          <w:rFonts w:hAnsi="宋体"/>
          <w:color w:val="000000"/>
          <w:sz w:val="24"/>
          <w:highlight w:val="none"/>
        </w:rPr>
        <w:t>因买方终止合同</w:t>
      </w:r>
      <w:r>
        <w:rPr>
          <w:rFonts w:hint="eastAsia" w:hAnsi="宋体"/>
          <w:color w:val="000000"/>
          <w:sz w:val="24"/>
          <w:highlight w:val="none"/>
        </w:rPr>
        <w:t>需向</w:t>
      </w:r>
      <w:r>
        <w:rPr>
          <w:rFonts w:hAnsi="宋体"/>
          <w:color w:val="000000"/>
          <w:sz w:val="24"/>
          <w:highlight w:val="none"/>
        </w:rPr>
        <w:t>卖方</w:t>
      </w:r>
      <w:r>
        <w:rPr>
          <w:rFonts w:hint="eastAsia" w:hAnsi="宋体"/>
          <w:color w:val="000000"/>
          <w:sz w:val="24"/>
          <w:highlight w:val="none"/>
        </w:rPr>
        <w:t>支付</w:t>
      </w:r>
      <w:r>
        <w:rPr>
          <w:rFonts w:hAnsi="宋体"/>
          <w:color w:val="000000"/>
          <w:sz w:val="24"/>
          <w:highlight w:val="none"/>
        </w:rPr>
        <w:t>的补偿</w:t>
      </w:r>
      <w:r>
        <w:rPr>
          <w:rFonts w:hint="eastAsia" w:hAnsi="宋体"/>
          <w:color w:val="000000"/>
          <w:sz w:val="24"/>
          <w:highlight w:val="none"/>
        </w:rPr>
        <w:t>款等事项</w:t>
      </w:r>
      <w:r>
        <w:rPr>
          <w:rFonts w:hAnsi="宋体"/>
          <w:color w:val="000000"/>
          <w:sz w:val="24"/>
          <w:highlight w:val="none"/>
        </w:rPr>
        <w:t>。</w:t>
      </w:r>
      <w:r>
        <w:rPr>
          <w:rFonts w:hint="eastAsia" w:hAnsi="宋体"/>
          <w:color w:val="000000"/>
          <w:sz w:val="24"/>
          <w:highlight w:val="none"/>
        </w:rPr>
        <w:t>买方因终止合同向</w:t>
      </w:r>
      <w:r>
        <w:rPr>
          <w:rFonts w:hAnsi="宋体"/>
          <w:color w:val="000000"/>
          <w:sz w:val="24"/>
          <w:highlight w:val="none"/>
        </w:rPr>
        <w:t>卖方</w:t>
      </w:r>
      <w:r>
        <w:rPr>
          <w:rFonts w:hint="eastAsia" w:hAnsi="宋体"/>
          <w:color w:val="000000"/>
          <w:sz w:val="24"/>
          <w:highlight w:val="none"/>
        </w:rPr>
        <w:t>支付的补偿款以卖方为</w:t>
      </w:r>
      <w:r>
        <w:rPr>
          <w:rFonts w:hAnsi="宋体"/>
          <w:color w:val="000000"/>
          <w:sz w:val="24"/>
          <w:highlight w:val="none"/>
        </w:rPr>
        <w:t>履行合同已</w:t>
      </w:r>
      <w:r>
        <w:rPr>
          <w:rFonts w:hint="eastAsia" w:hAnsi="宋体"/>
          <w:color w:val="000000"/>
          <w:sz w:val="24"/>
          <w:highlight w:val="none"/>
        </w:rPr>
        <w:t>实际</w:t>
      </w:r>
      <w:r>
        <w:rPr>
          <w:rFonts w:hAnsi="宋体"/>
          <w:color w:val="000000"/>
          <w:sz w:val="24"/>
          <w:highlight w:val="none"/>
        </w:rPr>
        <w:t>发生</w:t>
      </w:r>
      <w:r>
        <w:rPr>
          <w:rFonts w:hint="eastAsia" w:hAnsi="宋体"/>
          <w:color w:val="000000"/>
          <w:sz w:val="24"/>
          <w:highlight w:val="none"/>
        </w:rPr>
        <w:t>的</w:t>
      </w:r>
      <w:r>
        <w:rPr>
          <w:rFonts w:hAnsi="宋体"/>
          <w:color w:val="000000"/>
          <w:sz w:val="24"/>
          <w:highlight w:val="none"/>
        </w:rPr>
        <w:t>直接、合理费用</w:t>
      </w:r>
      <w:r>
        <w:rPr>
          <w:rFonts w:hint="eastAsia" w:hAnsi="宋体"/>
          <w:color w:val="000000"/>
          <w:sz w:val="24"/>
          <w:highlight w:val="none"/>
        </w:rPr>
        <w:t>为限。</w:t>
      </w:r>
      <w:r>
        <w:rPr>
          <w:rFonts w:hAnsi="宋体"/>
          <w:color w:val="000000"/>
          <w:sz w:val="24"/>
          <w:highlight w:val="none"/>
        </w:rPr>
        <w:t>买方向卖方支付的</w:t>
      </w:r>
      <w:r>
        <w:rPr>
          <w:rFonts w:hint="eastAsia" w:hAnsi="宋体"/>
          <w:color w:val="000000"/>
          <w:sz w:val="24"/>
          <w:highlight w:val="none"/>
        </w:rPr>
        <w:t>该等补偿款</w:t>
      </w:r>
      <w:r>
        <w:rPr>
          <w:rFonts w:hAnsi="宋体"/>
          <w:color w:val="000000"/>
          <w:sz w:val="24"/>
          <w:highlight w:val="none"/>
        </w:rPr>
        <w:t>系买方</w:t>
      </w:r>
      <w:r>
        <w:rPr>
          <w:rFonts w:hint="eastAsia" w:hAnsi="宋体"/>
          <w:color w:val="000000"/>
          <w:sz w:val="24"/>
          <w:highlight w:val="none"/>
        </w:rPr>
        <w:t>根据本款规定</w:t>
      </w:r>
      <w:r>
        <w:rPr>
          <w:rFonts w:hAnsi="宋体"/>
          <w:color w:val="000000"/>
          <w:sz w:val="24"/>
          <w:highlight w:val="none"/>
        </w:rPr>
        <w:t>终止合同时</w:t>
      </w:r>
      <w:r>
        <w:rPr>
          <w:rFonts w:hint="eastAsia" w:hAnsi="宋体"/>
          <w:color w:val="000000"/>
          <w:sz w:val="24"/>
          <w:highlight w:val="none"/>
        </w:rPr>
        <w:t>，</w:t>
      </w:r>
      <w:r>
        <w:rPr>
          <w:rFonts w:hAnsi="宋体"/>
          <w:color w:val="000000"/>
          <w:sz w:val="24"/>
          <w:highlight w:val="none"/>
        </w:rPr>
        <w:t>卖方可获得的</w:t>
      </w:r>
      <w:r>
        <w:rPr>
          <w:rFonts w:hint="eastAsia" w:hAnsi="宋体"/>
          <w:color w:val="000000"/>
          <w:sz w:val="24"/>
          <w:highlight w:val="none"/>
        </w:rPr>
        <w:t>全部赔偿。任何时候卖方均无权要求买方赔偿因合同终止引起的预期利润的损失或损害。</w:t>
      </w:r>
    </w:p>
    <w:p>
      <w:pPr>
        <w:numPr>
          <w:ilvl w:val="0"/>
          <w:numId w:val="26"/>
        </w:numPr>
        <w:tabs>
          <w:tab w:val="left" w:pos="567"/>
          <w:tab w:val="left" w:pos="709"/>
        </w:tabs>
        <w:spacing w:before="72" w:beforeLines="30" w:after="72" w:afterLines="30" w:line="360" w:lineRule="auto"/>
        <w:ind w:left="567" w:hanging="567"/>
        <w:rPr>
          <w:rFonts w:hAnsi="宋体"/>
          <w:color w:val="000000"/>
          <w:sz w:val="24"/>
          <w:highlight w:val="none"/>
        </w:rPr>
      </w:pPr>
      <w:bookmarkStart w:id="99" w:name="_DV_C932"/>
      <w:r>
        <w:rPr>
          <w:rFonts w:hint="eastAsia" w:hAnsi="宋体"/>
          <w:color w:val="000000"/>
          <w:sz w:val="24"/>
          <w:highlight w:val="none"/>
        </w:rPr>
        <w:t>如果本合同根据本条第13</w:t>
      </w:r>
      <w:r>
        <w:rPr>
          <w:rFonts w:hAnsi="宋体"/>
          <w:color w:val="000000"/>
          <w:sz w:val="24"/>
          <w:highlight w:val="none"/>
        </w:rPr>
        <w:t>.3款</w:t>
      </w:r>
      <w:r>
        <w:rPr>
          <w:rFonts w:hint="eastAsia" w:hAnsi="宋体"/>
          <w:color w:val="000000"/>
          <w:sz w:val="24"/>
          <w:highlight w:val="none"/>
        </w:rPr>
        <w:t>终止，对于合同终止前买方已经支付合同价款或提供补偿费用的货物，卖方应立即移交给买方，买方拥有相关货物的全部权益。</w:t>
      </w:r>
      <w:bookmarkEnd w:id="99"/>
    </w:p>
    <w:p>
      <w:pPr>
        <w:pStyle w:val="15"/>
        <w:numPr>
          <w:ilvl w:val="0"/>
          <w:numId w:val="9"/>
        </w:numPr>
        <w:tabs>
          <w:tab w:val="left" w:pos="993"/>
        </w:tabs>
        <w:spacing w:before="72" w:beforeLines="30" w:after="72" w:afterLines="30" w:line="360" w:lineRule="auto"/>
        <w:ind w:left="567" w:hanging="567"/>
        <w:jc w:val="left"/>
        <w:rPr>
          <w:sz w:val="24"/>
          <w:szCs w:val="24"/>
          <w:highlight w:val="none"/>
        </w:rPr>
      </w:pPr>
      <w:bookmarkStart w:id="100" w:name="_Toc306354322"/>
      <w:r>
        <w:rPr>
          <w:rFonts w:hint="eastAsia"/>
          <w:sz w:val="24"/>
          <w:szCs w:val="24"/>
          <w:highlight w:val="none"/>
        </w:rPr>
        <w:t xml:space="preserve"> 健康、安全和环保</w:t>
      </w:r>
      <w:bookmarkEnd w:id="100"/>
    </w:p>
    <w:p>
      <w:pPr>
        <w:numPr>
          <w:ilvl w:val="0"/>
          <w:numId w:val="28"/>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卖方应确保在货物制造过程中使用的材料和制作工艺符合国家标准</w:t>
      </w:r>
      <w:r>
        <w:rPr>
          <w:rFonts w:hint="eastAsia"/>
          <w:sz w:val="24"/>
          <w:highlight w:val="none"/>
        </w:rPr>
        <w:t>，保证货物制造现场符合法律法规的要求</w:t>
      </w:r>
      <w:r>
        <w:rPr>
          <w:sz w:val="24"/>
          <w:highlight w:val="none"/>
        </w:rPr>
        <w:t>。</w:t>
      </w:r>
    </w:p>
    <w:p>
      <w:pPr>
        <w:numPr>
          <w:ilvl w:val="0"/>
          <w:numId w:val="28"/>
        </w:numPr>
        <w:tabs>
          <w:tab w:val="left" w:pos="567"/>
          <w:tab w:val="left" w:pos="709"/>
          <w:tab w:val="left" w:pos="3060"/>
        </w:tabs>
        <w:spacing w:before="72" w:beforeLines="30" w:after="72" w:afterLines="30" w:line="360" w:lineRule="auto"/>
        <w:ind w:left="567" w:hanging="567"/>
        <w:rPr>
          <w:sz w:val="24"/>
          <w:highlight w:val="none"/>
        </w:rPr>
      </w:pPr>
      <w:r>
        <w:rPr>
          <w:sz w:val="24"/>
          <w:highlight w:val="none"/>
        </w:rPr>
        <w:t>卖方向买方提供的货物必须符合</w:t>
      </w:r>
      <w:r>
        <w:rPr>
          <w:rFonts w:hint="eastAsia"/>
          <w:sz w:val="24"/>
          <w:highlight w:val="none"/>
        </w:rPr>
        <w:t>中国</w:t>
      </w:r>
      <w:r>
        <w:rPr>
          <w:sz w:val="24"/>
          <w:highlight w:val="none"/>
        </w:rPr>
        <w:t>有关健康、安全、环保法律法规的规定。对</w:t>
      </w:r>
      <w:r>
        <w:rPr>
          <w:rFonts w:hint="eastAsia"/>
          <w:sz w:val="24"/>
          <w:highlight w:val="none"/>
        </w:rPr>
        <w:t>于</w:t>
      </w:r>
      <w:r>
        <w:rPr>
          <w:sz w:val="24"/>
          <w:highlight w:val="none"/>
        </w:rPr>
        <w:t>根据有关法律法规必须持证生产或经营的</w:t>
      </w:r>
      <w:r>
        <w:rPr>
          <w:rFonts w:hint="eastAsia"/>
          <w:sz w:val="24"/>
          <w:highlight w:val="none"/>
        </w:rPr>
        <w:t>货物</w:t>
      </w:r>
      <w:r>
        <w:rPr>
          <w:sz w:val="24"/>
          <w:highlight w:val="none"/>
        </w:rPr>
        <w:t>，卖方在生产或经营时应持有全套有效的生产许可证或经营许可证。</w:t>
      </w:r>
    </w:p>
    <w:p>
      <w:pPr>
        <w:pStyle w:val="15"/>
        <w:numPr>
          <w:ilvl w:val="0"/>
          <w:numId w:val="9"/>
        </w:numPr>
        <w:tabs>
          <w:tab w:val="left" w:pos="993"/>
        </w:tabs>
        <w:spacing w:before="72" w:beforeLines="30" w:after="72" w:afterLines="30" w:line="360" w:lineRule="auto"/>
        <w:ind w:left="567" w:hanging="567"/>
        <w:jc w:val="left"/>
        <w:rPr>
          <w:sz w:val="24"/>
          <w:szCs w:val="24"/>
          <w:highlight w:val="none"/>
        </w:rPr>
      </w:pPr>
      <w:bookmarkStart w:id="101" w:name="_Toc306354323"/>
      <w:r>
        <w:rPr>
          <w:rFonts w:hint="eastAsia" w:ascii="Times New Roman" w:hAnsi="Times New Roman"/>
          <w:sz w:val="24"/>
          <w:szCs w:val="24"/>
          <w:highlight w:val="none"/>
        </w:rPr>
        <w:t xml:space="preserve"> 转让</w:t>
      </w:r>
      <w:r>
        <w:rPr>
          <w:rFonts w:hint="eastAsia"/>
          <w:sz w:val="24"/>
          <w:szCs w:val="24"/>
          <w:highlight w:val="none"/>
        </w:rPr>
        <w:t>和分包</w:t>
      </w:r>
      <w:bookmarkEnd w:id="101"/>
    </w:p>
    <w:p>
      <w:pPr>
        <w:widowControl/>
        <w:numPr>
          <w:ilvl w:val="0"/>
          <w:numId w:val="29"/>
        </w:numPr>
        <w:tabs>
          <w:tab w:val="left" w:pos="567"/>
          <w:tab w:val="left" w:pos="709"/>
        </w:tabs>
        <w:spacing w:before="72" w:beforeLines="30" w:after="72" w:afterLines="30" w:line="360" w:lineRule="auto"/>
        <w:ind w:left="567" w:hanging="567"/>
        <w:rPr>
          <w:sz w:val="24"/>
          <w:highlight w:val="none"/>
        </w:rPr>
      </w:pPr>
      <w:r>
        <w:rPr>
          <w:sz w:val="24"/>
          <w:highlight w:val="none"/>
        </w:rPr>
        <w:t>未经买方</w:t>
      </w:r>
      <w:r>
        <w:rPr>
          <w:rFonts w:hint="eastAsia"/>
          <w:sz w:val="24"/>
          <w:highlight w:val="none"/>
        </w:rPr>
        <w:t>事先</w:t>
      </w:r>
      <w:r>
        <w:rPr>
          <w:sz w:val="24"/>
          <w:highlight w:val="none"/>
        </w:rPr>
        <w:t>书面同意，卖方不得</w:t>
      </w:r>
      <w:r>
        <w:rPr>
          <w:rFonts w:hint="eastAsia"/>
          <w:sz w:val="24"/>
          <w:highlight w:val="none"/>
        </w:rPr>
        <w:t>将</w:t>
      </w:r>
      <w:r>
        <w:rPr>
          <w:sz w:val="24"/>
          <w:highlight w:val="none"/>
        </w:rPr>
        <w:t>其</w:t>
      </w:r>
      <w:r>
        <w:rPr>
          <w:rFonts w:hint="eastAsia"/>
          <w:sz w:val="24"/>
          <w:highlight w:val="none"/>
        </w:rPr>
        <w:t>在本</w:t>
      </w:r>
      <w:r>
        <w:rPr>
          <w:sz w:val="24"/>
          <w:highlight w:val="none"/>
        </w:rPr>
        <w:t>合同</w:t>
      </w:r>
      <w:r>
        <w:rPr>
          <w:rFonts w:hint="eastAsia"/>
          <w:sz w:val="24"/>
          <w:highlight w:val="none"/>
        </w:rPr>
        <w:t>项下</w:t>
      </w:r>
      <w:r>
        <w:rPr>
          <w:sz w:val="24"/>
          <w:highlight w:val="none"/>
        </w:rPr>
        <w:t>的</w:t>
      </w:r>
      <w:r>
        <w:rPr>
          <w:rFonts w:hint="eastAsia"/>
          <w:sz w:val="24"/>
          <w:highlight w:val="none"/>
        </w:rPr>
        <w:t>任何权利和</w:t>
      </w:r>
      <w:r>
        <w:rPr>
          <w:sz w:val="24"/>
          <w:highlight w:val="none"/>
        </w:rPr>
        <w:t>义务</w:t>
      </w:r>
      <w:r>
        <w:rPr>
          <w:rFonts w:hint="eastAsia"/>
          <w:sz w:val="24"/>
          <w:highlight w:val="none"/>
        </w:rPr>
        <w:t>全部或部分转让给任何第三方，包括卖方的关联企业</w:t>
      </w:r>
      <w:r>
        <w:rPr>
          <w:sz w:val="24"/>
          <w:highlight w:val="none"/>
        </w:rPr>
        <w:t>。</w:t>
      </w:r>
      <w:r>
        <w:rPr>
          <w:rFonts w:hint="eastAsia"/>
          <w:sz w:val="24"/>
          <w:highlight w:val="none"/>
        </w:rPr>
        <w:t>买方</w:t>
      </w:r>
      <w:r>
        <w:rPr>
          <w:sz w:val="24"/>
          <w:highlight w:val="none"/>
        </w:rPr>
        <w:t>可以</w:t>
      </w:r>
      <w:r>
        <w:rPr>
          <w:rFonts w:hint="eastAsia"/>
          <w:sz w:val="24"/>
          <w:highlight w:val="none"/>
        </w:rPr>
        <w:t>将其在</w:t>
      </w:r>
      <w:r>
        <w:rPr>
          <w:sz w:val="24"/>
          <w:highlight w:val="none"/>
        </w:rPr>
        <w:t>本合同</w:t>
      </w:r>
      <w:r>
        <w:rPr>
          <w:rFonts w:hint="eastAsia"/>
          <w:sz w:val="24"/>
          <w:highlight w:val="none"/>
        </w:rPr>
        <w:t>项下的</w:t>
      </w:r>
      <w:r>
        <w:rPr>
          <w:sz w:val="24"/>
          <w:highlight w:val="none"/>
        </w:rPr>
        <w:t>权利和义务</w:t>
      </w:r>
      <w:r>
        <w:rPr>
          <w:rFonts w:hint="eastAsia"/>
          <w:sz w:val="24"/>
          <w:highlight w:val="none"/>
        </w:rPr>
        <w:t>全部或部分</w:t>
      </w:r>
      <w:r>
        <w:rPr>
          <w:sz w:val="24"/>
          <w:highlight w:val="none"/>
        </w:rPr>
        <w:t>转让给</w:t>
      </w:r>
      <w:r>
        <w:rPr>
          <w:rFonts w:hint="eastAsia"/>
          <w:sz w:val="24"/>
          <w:highlight w:val="none"/>
        </w:rPr>
        <w:t>其关联企业</w:t>
      </w:r>
      <w:r>
        <w:rPr>
          <w:sz w:val="24"/>
          <w:highlight w:val="none"/>
        </w:rPr>
        <w:t>，</w:t>
      </w:r>
      <w:r>
        <w:rPr>
          <w:rFonts w:hint="eastAsia"/>
          <w:sz w:val="24"/>
          <w:highlight w:val="none"/>
        </w:rPr>
        <w:t>且无需</w:t>
      </w:r>
      <w:r>
        <w:rPr>
          <w:sz w:val="24"/>
          <w:highlight w:val="none"/>
        </w:rPr>
        <w:t>事先征得</w:t>
      </w:r>
      <w:r>
        <w:rPr>
          <w:rFonts w:hint="eastAsia"/>
          <w:sz w:val="24"/>
          <w:highlight w:val="none"/>
        </w:rPr>
        <w:t>卖方</w:t>
      </w:r>
      <w:r>
        <w:rPr>
          <w:sz w:val="24"/>
          <w:highlight w:val="none"/>
        </w:rPr>
        <w:t>的同意，但应书面通知</w:t>
      </w:r>
      <w:r>
        <w:rPr>
          <w:rFonts w:hint="eastAsia"/>
          <w:sz w:val="24"/>
          <w:highlight w:val="none"/>
        </w:rPr>
        <w:t>卖方</w:t>
      </w:r>
      <w:r>
        <w:rPr>
          <w:sz w:val="24"/>
          <w:highlight w:val="none"/>
        </w:rPr>
        <w:t>。</w:t>
      </w:r>
    </w:p>
    <w:p>
      <w:pPr>
        <w:widowControl/>
        <w:numPr>
          <w:ilvl w:val="0"/>
          <w:numId w:val="29"/>
        </w:numPr>
        <w:tabs>
          <w:tab w:val="left" w:pos="567"/>
          <w:tab w:val="left" w:pos="709"/>
        </w:tabs>
        <w:spacing w:before="72" w:beforeLines="30" w:after="72" w:afterLines="30" w:line="360" w:lineRule="auto"/>
        <w:ind w:left="567" w:hanging="567"/>
        <w:rPr>
          <w:sz w:val="24"/>
          <w:highlight w:val="none"/>
        </w:rPr>
      </w:pPr>
      <w:r>
        <w:rPr>
          <w:rFonts w:hint="eastAsia"/>
          <w:sz w:val="24"/>
          <w:highlight w:val="none"/>
        </w:rPr>
        <w:t>未经买方事先书面同意，卖方不得将其在本合同项下的任何义务分包给任何第三方，包括卖方的关联企业。</w:t>
      </w:r>
      <w:bookmarkStart w:id="102" w:name="_DV_C867"/>
      <w:r>
        <w:rPr>
          <w:rFonts w:hint="eastAsia"/>
          <w:sz w:val="24"/>
          <w:highlight w:val="none"/>
        </w:rPr>
        <w:t>卖方不得将本合同转包给任何第三方，包括其关联企业。</w:t>
      </w:r>
      <w:bookmarkEnd w:id="102"/>
    </w:p>
    <w:bookmarkEnd w:id="91"/>
    <w:bookmarkEnd w:id="92"/>
    <w:bookmarkEnd w:id="93"/>
    <w:bookmarkEnd w:id="94"/>
    <w:bookmarkEnd w:id="95"/>
    <w:p>
      <w:pPr>
        <w:pStyle w:val="15"/>
        <w:numPr>
          <w:ilvl w:val="0"/>
          <w:numId w:val="9"/>
        </w:numPr>
        <w:tabs>
          <w:tab w:val="left" w:pos="993"/>
        </w:tabs>
        <w:spacing w:before="72" w:beforeLines="30" w:after="72" w:afterLines="30" w:line="360" w:lineRule="auto"/>
        <w:ind w:left="567" w:hanging="567"/>
        <w:jc w:val="left"/>
        <w:rPr>
          <w:rFonts w:hAnsi="宋体"/>
          <w:color w:val="000000"/>
          <w:sz w:val="24"/>
          <w:szCs w:val="24"/>
          <w:highlight w:val="none"/>
        </w:rPr>
      </w:pPr>
      <w:bookmarkStart w:id="103" w:name="_Toc306354324"/>
      <w:r>
        <w:rPr>
          <w:rFonts w:hint="eastAsia" w:hAnsi="宋体"/>
          <w:color w:val="000000"/>
          <w:sz w:val="24"/>
          <w:szCs w:val="24"/>
          <w:highlight w:val="none"/>
        </w:rPr>
        <w:t xml:space="preserve"> 不可抗力</w:t>
      </w:r>
      <w:bookmarkEnd w:id="103"/>
    </w:p>
    <w:p>
      <w:pPr>
        <w:pStyle w:val="9"/>
        <w:widowControl/>
        <w:numPr>
          <w:ilvl w:val="0"/>
          <w:numId w:val="30"/>
        </w:numPr>
        <w:tabs>
          <w:tab w:val="left" w:pos="567"/>
        </w:tabs>
        <w:spacing w:before="72" w:beforeLines="30" w:after="72" w:afterLines="30" w:line="360" w:lineRule="auto"/>
        <w:ind w:left="567" w:hanging="567"/>
        <w:rPr>
          <w:sz w:val="24"/>
          <w:highlight w:val="none"/>
        </w:rPr>
      </w:pPr>
      <w:r>
        <w:rPr>
          <w:rFonts w:hint="eastAsia"/>
          <w:sz w:val="24"/>
          <w:highlight w:val="none"/>
        </w:rPr>
        <w:t>不可抗力系指本合同的履行过程中，任何一方经合理努力仍不可预见、不可避免并不能克服的客观情况。</w:t>
      </w:r>
      <w:r>
        <w:rPr>
          <w:sz w:val="24"/>
          <w:highlight w:val="none"/>
        </w:rPr>
        <w:t>任何一方因不可抗力不能或延迟履行本合同，不承担违约责任。</w:t>
      </w:r>
    </w:p>
    <w:p>
      <w:pPr>
        <w:pStyle w:val="9"/>
        <w:widowControl/>
        <w:numPr>
          <w:ilvl w:val="0"/>
          <w:numId w:val="30"/>
        </w:numPr>
        <w:tabs>
          <w:tab w:val="left" w:pos="567"/>
        </w:tabs>
        <w:spacing w:before="72" w:beforeLines="30" w:after="72" w:afterLines="30" w:line="360" w:lineRule="auto"/>
        <w:ind w:left="567" w:hanging="567"/>
        <w:rPr>
          <w:sz w:val="24"/>
          <w:highlight w:val="none"/>
        </w:rPr>
      </w:pPr>
      <w:r>
        <w:rPr>
          <w:sz w:val="24"/>
          <w:highlight w:val="none"/>
        </w:rPr>
        <w:t>如果一方遭受不可抗力，应立即（不迟于24小时内）通知另一方，并采取一切合理、必要的措施减少损失及不可抗力的影响，恢复合同的履行。</w:t>
      </w:r>
      <w:r>
        <w:rPr>
          <w:rFonts w:hint="eastAsia"/>
          <w:sz w:val="24"/>
          <w:highlight w:val="none"/>
        </w:rPr>
        <w:t>不可抗力结束后</w:t>
      </w:r>
      <w:r>
        <w:rPr>
          <w:sz w:val="24"/>
          <w:highlight w:val="none"/>
        </w:rPr>
        <w:t>48</w:t>
      </w:r>
      <w:r>
        <w:rPr>
          <w:rFonts w:hint="eastAsia"/>
          <w:sz w:val="24"/>
          <w:highlight w:val="none"/>
        </w:rPr>
        <w:t>小时内，遭受不可抗力的一方应向另一方通报不可抗力的情况，包括不可抗力造成的损害、延续时间、合同设备受影响的范围、补救措施等，如不可抗力持续发生，遭受不可抗力的一方应及时更新该等信息。</w:t>
      </w:r>
    </w:p>
    <w:p>
      <w:pPr>
        <w:pStyle w:val="9"/>
        <w:widowControl/>
        <w:numPr>
          <w:ilvl w:val="0"/>
          <w:numId w:val="30"/>
        </w:numPr>
        <w:tabs>
          <w:tab w:val="left" w:pos="567"/>
        </w:tabs>
        <w:spacing w:before="72" w:beforeLines="30" w:after="72" w:afterLines="30" w:line="360" w:lineRule="auto"/>
        <w:ind w:left="567" w:hanging="567"/>
        <w:rPr>
          <w:sz w:val="24"/>
          <w:highlight w:val="none"/>
        </w:rPr>
      </w:pPr>
      <w:r>
        <w:rPr>
          <w:rFonts w:hint="eastAsia"/>
          <w:sz w:val="24"/>
          <w:highlight w:val="none"/>
        </w:rPr>
        <w:t>如发生不可抗力，双方各自承担其人员和财产损失。一旦不可抗力停止或者影响消除，双方应立即履行其义务，合同的期限应该相应顺延。如果不可抗力的影响持续超过【</w:t>
      </w:r>
      <w:r>
        <w:rPr>
          <w:rFonts w:hint="eastAsia"/>
          <w:i/>
          <w:sz w:val="24"/>
          <w:highlight w:val="none"/>
        </w:rPr>
        <w:t>填入天数</w:t>
      </w:r>
      <w:r>
        <w:rPr>
          <w:rFonts w:hint="eastAsia"/>
          <w:sz w:val="24"/>
          <w:highlight w:val="none"/>
        </w:rPr>
        <w:t>】日，双方应该共同商议应对措施。</w:t>
      </w:r>
    </w:p>
    <w:p>
      <w:pPr>
        <w:pStyle w:val="9"/>
        <w:widowControl/>
        <w:numPr>
          <w:ilvl w:val="0"/>
          <w:numId w:val="30"/>
        </w:numPr>
        <w:tabs>
          <w:tab w:val="left" w:pos="567"/>
        </w:tabs>
        <w:spacing w:before="72" w:beforeLines="30" w:after="72" w:afterLines="30" w:line="360" w:lineRule="auto"/>
        <w:ind w:left="567" w:hanging="567"/>
        <w:rPr>
          <w:sz w:val="24"/>
          <w:highlight w:val="none"/>
        </w:rPr>
      </w:pPr>
      <w:r>
        <w:rPr>
          <w:rFonts w:hint="eastAsia"/>
          <w:sz w:val="24"/>
          <w:highlight w:val="none"/>
        </w:rPr>
        <w:t>任何一方迟延履行合同后遭受不可抗力的，不得减少、免除该方在本合同项下的任何义务和责任。</w:t>
      </w:r>
    </w:p>
    <w:p>
      <w:pPr>
        <w:pStyle w:val="15"/>
        <w:numPr>
          <w:ilvl w:val="0"/>
          <w:numId w:val="9"/>
        </w:numPr>
        <w:tabs>
          <w:tab w:val="left" w:pos="993"/>
        </w:tabs>
        <w:spacing w:before="72" w:beforeLines="30" w:after="72" w:afterLines="30" w:line="360" w:lineRule="auto"/>
        <w:ind w:left="567" w:hanging="567"/>
        <w:jc w:val="left"/>
        <w:rPr>
          <w:sz w:val="24"/>
          <w:szCs w:val="24"/>
          <w:highlight w:val="none"/>
        </w:rPr>
      </w:pPr>
      <w:bookmarkStart w:id="104" w:name="_Toc306354326"/>
      <w:bookmarkStart w:id="105" w:name="_Toc298158360"/>
      <w:r>
        <w:rPr>
          <w:rFonts w:hint="eastAsia"/>
          <w:sz w:val="24"/>
          <w:szCs w:val="24"/>
          <w:highlight w:val="none"/>
        </w:rPr>
        <w:t xml:space="preserve"> 保密</w:t>
      </w:r>
      <w:bookmarkEnd w:id="104"/>
      <w:bookmarkEnd w:id="105"/>
    </w:p>
    <w:p>
      <w:pPr>
        <w:numPr>
          <w:ilvl w:val="0"/>
          <w:numId w:val="31"/>
        </w:numPr>
        <w:tabs>
          <w:tab w:val="left" w:pos="567"/>
          <w:tab w:val="left" w:pos="709"/>
        </w:tabs>
        <w:spacing w:before="72" w:beforeLines="30" w:after="72" w:afterLines="30" w:line="360" w:lineRule="auto"/>
        <w:ind w:left="567" w:hanging="567"/>
        <w:rPr>
          <w:sz w:val="24"/>
          <w:highlight w:val="none"/>
        </w:rPr>
      </w:pPr>
      <w:r>
        <w:rPr>
          <w:sz w:val="24"/>
          <w:highlight w:val="none"/>
        </w:rPr>
        <w:t>除非法律法规、政府机关另行强制要求，未经</w:t>
      </w:r>
      <w:r>
        <w:rPr>
          <w:rFonts w:hint="eastAsia"/>
          <w:sz w:val="24"/>
          <w:highlight w:val="none"/>
        </w:rPr>
        <w:t>买方</w:t>
      </w:r>
      <w:r>
        <w:rPr>
          <w:sz w:val="24"/>
          <w:highlight w:val="none"/>
        </w:rPr>
        <w:t>同意，</w:t>
      </w:r>
      <w:r>
        <w:rPr>
          <w:rFonts w:hint="eastAsia"/>
          <w:sz w:val="24"/>
          <w:highlight w:val="none"/>
        </w:rPr>
        <w:t>卖方</w:t>
      </w:r>
      <w:r>
        <w:rPr>
          <w:sz w:val="24"/>
          <w:highlight w:val="none"/>
        </w:rPr>
        <w:t>不得将</w:t>
      </w:r>
      <w:r>
        <w:rPr>
          <w:rFonts w:hint="eastAsia"/>
          <w:sz w:val="24"/>
          <w:highlight w:val="none"/>
        </w:rPr>
        <w:t>买</w:t>
      </w:r>
      <w:r>
        <w:rPr>
          <w:sz w:val="24"/>
          <w:highlight w:val="none"/>
        </w:rPr>
        <w:t>方保密信息披露给任何第三方（包括与合同无关的</w:t>
      </w:r>
      <w:r>
        <w:rPr>
          <w:rFonts w:hint="eastAsia"/>
          <w:sz w:val="24"/>
          <w:highlight w:val="none"/>
        </w:rPr>
        <w:t>卖</w:t>
      </w:r>
      <w:r>
        <w:rPr>
          <w:sz w:val="24"/>
          <w:highlight w:val="none"/>
        </w:rPr>
        <w:t>方员工和政府部门），亦不得将该等信息用于与本合同无关的用途。保密信息包括但不限于：合同内容；</w:t>
      </w:r>
      <w:r>
        <w:rPr>
          <w:rFonts w:hint="eastAsia"/>
          <w:sz w:val="24"/>
          <w:highlight w:val="none"/>
        </w:rPr>
        <w:t>买方提供的</w:t>
      </w:r>
      <w:r>
        <w:rPr>
          <w:sz w:val="24"/>
          <w:highlight w:val="none"/>
        </w:rPr>
        <w:t>与本合同有关的任何技术信息、图纸、样本、资料等；</w:t>
      </w:r>
      <w:r>
        <w:rPr>
          <w:rFonts w:hint="eastAsia"/>
          <w:sz w:val="24"/>
          <w:highlight w:val="none"/>
        </w:rPr>
        <w:t>买方</w:t>
      </w:r>
      <w:r>
        <w:rPr>
          <w:sz w:val="24"/>
          <w:highlight w:val="none"/>
        </w:rPr>
        <w:t>提供的或</w:t>
      </w:r>
      <w:r>
        <w:rPr>
          <w:rFonts w:hint="eastAsia"/>
          <w:sz w:val="24"/>
          <w:highlight w:val="none"/>
        </w:rPr>
        <w:t>卖方</w:t>
      </w:r>
      <w:r>
        <w:rPr>
          <w:sz w:val="24"/>
          <w:highlight w:val="none"/>
        </w:rPr>
        <w:t>获得的与项目或买方有关的任何技术和商务信息。</w:t>
      </w:r>
    </w:p>
    <w:p>
      <w:pPr>
        <w:pStyle w:val="15"/>
        <w:numPr>
          <w:ilvl w:val="0"/>
          <w:numId w:val="9"/>
        </w:numPr>
        <w:tabs>
          <w:tab w:val="left" w:pos="993"/>
        </w:tabs>
        <w:spacing w:before="72" w:beforeLines="30" w:after="72" w:afterLines="30" w:line="360" w:lineRule="auto"/>
        <w:ind w:left="567" w:hanging="567"/>
        <w:jc w:val="left"/>
        <w:rPr>
          <w:sz w:val="24"/>
          <w:szCs w:val="24"/>
          <w:highlight w:val="none"/>
        </w:rPr>
      </w:pPr>
      <w:bookmarkStart w:id="106" w:name="_Toc306354328"/>
      <w:r>
        <w:rPr>
          <w:rFonts w:hint="eastAsia"/>
          <w:sz w:val="24"/>
          <w:szCs w:val="24"/>
          <w:highlight w:val="none"/>
        </w:rPr>
        <w:t xml:space="preserve"> 审计、禁止商业贿赂和反腐败</w:t>
      </w:r>
    </w:p>
    <w:p>
      <w:pPr>
        <w:pStyle w:val="35"/>
        <w:numPr>
          <w:ilvl w:val="0"/>
          <w:numId w:val="32"/>
        </w:numPr>
        <w:adjustRightInd w:val="0"/>
        <w:snapToGrid w:val="0"/>
        <w:spacing w:before="72" w:beforeLines="30" w:after="72" w:afterLines="30" w:line="360" w:lineRule="auto"/>
        <w:ind w:left="567" w:hanging="567" w:firstLineChars="0"/>
        <w:rPr>
          <w:rFonts w:asciiTheme="minorEastAsia" w:hAnsiTheme="minorEastAsia" w:eastAsiaTheme="minorEastAsia"/>
          <w:sz w:val="24"/>
          <w:highlight w:val="none"/>
        </w:rPr>
      </w:pPr>
      <w:r>
        <w:rPr>
          <w:rFonts w:hint="eastAsia" w:asciiTheme="minorEastAsia" w:hAnsiTheme="minorEastAsia" w:eastAsiaTheme="minorEastAsia"/>
          <w:kern w:val="0"/>
          <w:sz w:val="24"/>
          <w:highlight w:val="none"/>
        </w:rPr>
        <w:t>卖方应根据买方要求，接受和配合买方或买方委</w:t>
      </w:r>
      <w:r>
        <w:rPr>
          <w:rFonts w:hint="eastAsia" w:asciiTheme="minorEastAsia" w:hAnsiTheme="minorEastAsia" w:eastAsiaTheme="minorEastAsia"/>
          <w:sz w:val="24"/>
          <w:highlight w:val="none"/>
        </w:rPr>
        <w:t>托的会计师事务所进行的与本合同相关的审计。</w:t>
      </w:r>
    </w:p>
    <w:p>
      <w:pPr>
        <w:pStyle w:val="35"/>
        <w:numPr>
          <w:ilvl w:val="0"/>
          <w:numId w:val="32"/>
        </w:numPr>
        <w:adjustRightInd w:val="0"/>
        <w:snapToGrid w:val="0"/>
        <w:spacing w:before="72" w:beforeLines="30" w:after="72" w:afterLines="30" w:line="360" w:lineRule="auto"/>
        <w:ind w:left="567" w:hanging="567" w:firstLineChars="0"/>
        <w:rPr>
          <w:rFonts w:asciiTheme="minorEastAsia" w:hAnsiTheme="minorEastAsia" w:eastAsiaTheme="minorEastAsia"/>
          <w:sz w:val="24"/>
          <w:highlight w:val="none"/>
        </w:rPr>
      </w:pPr>
      <w:r>
        <w:rPr>
          <w:rFonts w:hint="eastAsia" w:asciiTheme="minorEastAsia" w:hAnsiTheme="minorEastAsia" w:eastAsiaTheme="minorEastAsia"/>
          <w:kern w:val="0"/>
          <w:sz w:val="24"/>
          <w:highlight w:val="none"/>
        </w:rPr>
        <w:t>卖方应保存与本合同相关的记录和账目，保存期限为本合同终止后【</w:t>
      </w:r>
      <w:r>
        <w:rPr>
          <w:rFonts w:hint="eastAsia" w:asciiTheme="minorEastAsia" w:hAnsiTheme="minorEastAsia" w:eastAsiaTheme="minorEastAsia"/>
          <w:i/>
          <w:kern w:val="0"/>
          <w:sz w:val="24"/>
          <w:highlight w:val="none"/>
        </w:rPr>
        <w:t>填入年数，如十（</w:t>
      </w:r>
      <w:r>
        <w:rPr>
          <w:rFonts w:asciiTheme="minorEastAsia" w:hAnsiTheme="minorEastAsia" w:eastAsiaTheme="minorEastAsia"/>
          <w:i/>
          <w:kern w:val="0"/>
          <w:sz w:val="24"/>
          <w:highlight w:val="none"/>
        </w:rPr>
        <w:t>10</w:t>
      </w:r>
      <w:r>
        <w:rPr>
          <w:rFonts w:hint="eastAsia" w:asciiTheme="minorEastAsia" w:hAnsiTheme="minorEastAsia" w:eastAsiaTheme="minorEastAsia"/>
          <w:i/>
          <w:kern w:val="0"/>
          <w:sz w:val="24"/>
          <w:highlight w:val="none"/>
        </w:rPr>
        <w:t>）</w:t>
      </w:r>
      <w:r>
        <w:rPr>
          <w:rFonts w:hint="eastAsia" w:asciiTheme="minorEastAsia" w:hAnsiTheme="minorEastAsia" w:eastAsiaTheme="minorEastAsia"/>
          <w:kern w:val="0"/>
          <w:sz w:val="24"/>
          <w:highlight w:val="none"/>
        </w:rPr>
        <w:t>】年或遵从所在国相关规定。经提前通知，买方或买方委托的会计师事务所有权检查并复制该等记录和账目。</w:t>
      </w:r>
    </w:p>
    <w:p>
      <w:pPr>
        <w:pStyle w:val="35"/>
        <w:numPr>
          <w:ilvl w:val="0"/>
          <w:numId w:val="32"/>
        </w:numPr>
        <w:spacing w:line="360" w:lineRule="auto"/>
        <w:ind w:left="567" w:hanging="567" w:firstLineChars="0"/>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双方确认并承诺，双方熟悉并了解合同签订地和履行地关于禁止商业贿赂和反腐败的法律、法规及商业政策，双方承诺双方的高级职员、员工、授权代表或者代理商将会严格遵守前述禁止商业贿赂和反腐败的法律、法规及商业政策。卖方应在其分包合同（如有）中要求分包商遵守相同的禁止商业贿赂及反腐败要求。违反禁止商业贿赂和反腐败法律、法规及商业政策的一方将承担相应的法律责任及所有不利后果，且守约方有权因此随时终止本合同。</w:t>
      </w:r>
    </w:p>
    <w:p>
      <w:pPr>
        <w:pStyle w:val="15"/>
        <w:numPr>
          <w:ilvl w:val="0"/>
          <w:numId w:val="9"/>
        </w:numPr>
        <w:tabs>
          <w:tab w:val="left" w:pos="993"/>
        </w:tabs>
        <w:spacing w:before="72" w:beforeLines="30" w:after="72" w:afterLines="30" w:line="360" w:lineRule="auto"/>
        <w:ind w:left="567" w:hanging="567"/>
        <w:jc w:val="left"/>
        <w:rPr>
          <w:sz w:val="24"/>
          <w:szCs w:val="24"/>
          <w:highlight w:val="none"/>
        </w:rPr>
      </w:pPr>
      <w:r>
        <w:rPr>
          <w:rFonts w:hint="eastAsia"/>
          <w:sz w:val="24"/>
          <w:szCs w:val="24"/>
          <w:highlight w:val="none"/>
        </w:rPr>
        <w:t xml:space="preserve"> 通知</w:t>
      </w:r>
      <w:bookmarkEnd w:id="106"/>
    </w:p>
    <w:p>
      <w:pPr>
        <w:widowControl/>
        <w:numPr>
          <w:ilvl w:val="0"/>
          <w:numId w:val="33"/>
        </w:numPr>
        <w:tabs>
          <w:tab w:val="left" w:pos="567"/>
          <w:tab w:val="left" w:pos="709"/>
        </w:tabs>
        <w:autoSpaceDE w:val="0"/>
        <w:autoSpaceDN w:val="0"/>
        <w:spacing w:before="72" w:beforeLines="30" w:after="72" w:afterLines="30" w:line="360" w:lineRule="auto"/>
        <w:ind w:left="567" w:hanging="567"/>
        <w:jc w:val="left"/>
        <w:textAlignment w:val="bottom"/>
        <w:rPr>
          <w:sz w:val="24"/>
          <w:highlight w:val="none"/>
        </w:rPr>
      </w:pPr>
      <w:r>
        <w:rPr>
          <w:rFonts w:hint="eastAsia"/>
          <w:sz w:val="24"/>
          <w:highlight w:val="none"/>
        </w:rPr>
        <w:t>通知应根据本合同规定以亲自递送、特快专递、传真等方式送达。</w:t>
      </w:r>
      <w:r>
        <w:rPr>
          <w:sz w:val="24"/>
          <w:highlight w:val="none"/>
        </w:rPr>
        <w:t>通知在下列情况视为</w:t>
      </w:r>
      <w:r>
        <w:rPr>
          <w:rFonts w:hint="eastAsia"/>
          <w:sz w:val="24"/>
          <w:highlight w:val="none"/>
        </w:rPr>
        <w:t>送达</w:t>
      </w:r>
      <w:r>
        <w:rPr>
          <w:sz w:val="24"/>
          <w:highlight w:val="none"/>
        </w:rPr>
        <w:t>：</w:t>
      </w:r>
    </w:p>
    <w:p>
      <w:pPr>
        <w:widowControl/>
        <w:numPr>
          <w:ilvl w:val="1"/>
          <w:numId w:val="34"/>
        </w:numPr>
        <w:tabs>
          <w:tab w:val="left" w:pos="567"/>
          <w:tab w:val="left" w:pos="993"/>
        </w:tabs>
        <w:spacing w:before="72" w:beforeLines="30" w:after="72" w:afterLines="30" w:line="360" w:lineRule="auto"/>
        <w:ind w:left="567" w:firstLine="0"/>
        <w:jc w:val="left"/>
        <w:rPr>
          <w:sz w:val="24"/>
          <w:highlight w:val="none"/>
        </w:rPr>
      </w:pPr>
      <w:r>
        <w:rPr>
          <w:sz w:val="24"/>
          <w:highlight w:val="none"/>
        </w:rPr>
        <w:t>如采</w:t>
      </w:r>
      <w:r>
        <w:rPr>
          <w:rFonts w:hint="eastAsia"/>
          <w:sz w:val="24"/>
          <w:highlight w:val="none"/>
        </w:rPr>
        <w:t>用</w:t>
      </w:r>
      <w:r>
        <w:rPr>
          <w:sz w:val="24"/>
          <w:highlight w:val="none"/>
        </w:rPr>
        <w:t>亲自递送方式，于</w:t>
      </w:r>
      <w:r>
        <w:rPr>
          <w:rFonts w:hint="eastAsia"/>
          <w:sz w:val="24"/>
          <w:highlight w:val="none"/>
        </w:rPr>
        <w:t>签收确认</w:t>
      </w:r>
      <w:r>
        <w:rPr>
          <w:sz w:val="24"/>
          <w:highlight w:val="none"/>
        </w:rPr>
        <w:t>之时；</w:t>
      </w:r>
    </w:p>
    <w:p>
      <w:pPr>
        <w:widowControl/>
        <w:numPr>
          <w:ilvl w:val="1"/>
          <w:numId w:val="34"/>
        </w:numPr>
        <w:tabs>
          <w:tab w:val="left" w:pos="567"/>
          <w:tab w:val="left" w:pos="993"/>
        </w:tabs>
        <w:spacing w:before="72" w:beforeLines="30" w:after="72" w:afterLines="30" w:line="360" w:lineRule="auto"/>
        <w:ind w:left="567" w:firstLine="0"/>
        <w:jc w:val="left"/>
        <w:rPr>
          <w:sz w:val="24"/>
          <w:highlight w:val="none"/>
        </w:rPr>
      </w:pPr>
      <w:r>
        <w:rPr>
          <w:sz w:val="24"/>
          <w:highlight w:val="none"/>
        </w:rPr>
        <w:t>如采</w:t>
      </w:r>
      <w:r>
        <w:rPr>
          <w:rFonts w:hint="eastAsia"/>
          <w:sz w:val="24"/>
          <w:highlight w:val="none"/>
        </w:rPr>
        <w:t>用特快专递</w:t>
      </w:r>
      <w:r>
        <w:rPr>
          <w:sz w:val="24"/>
          <w:highlight w:val="none"/>
        </w:rPr>
        <w:t>方式，于</w:t>
      </w:r>
      <w:r>
        <w:rPr>
          <w:rFonts w:hint="eastAsia"/>
          <w:sz w:val="24"/>
          <w:highlight w:val="none"/>
        </w:rPr>
        <w:t>收件人签收</w:t>
      </w:r>
      <w:r>
        <w:rPr>
          <w:sz w:val="24"/>
          <w:highlight w:val="none"/>
        </w:rPr>
        <w:t>之时</w:t>
      </w:r>
      <w:r>
        <w:rPr>
          <w:rFonts w:hint="eastAsia"/>
          <w:sz w:val="24"/>
          <w:highlight w:val="none"/>
        </w:rPr>
        <w:t>；</w:t>
      </w:r>
    </w:p>
    <w:p>
      <w:pPr>
        <w:widowControl/>
        <w:numPr>
          <w:ilvl w:val="1"/>
          <w:numId w:val="34"/>
        </w:numPr>
        <w:tabs>
          <w:tab w:val="left" w:pos="567"/>
          <w:tab w:val="left" w:pos="993"/>
        </w:tabs>
        <w:spacing w:before="72" w:beforeLines="30" w:after="72" w:afterLines="30" w:line="360" w:lineRule="auto"/>
        <w:ind w:left="567" w:firstLine="0"/>
        <w:jc w:val="left"/>
        <w:rPr>
          <w:sz w:val="24"/>
          <w:highlight w:val="none"/>
        </w:rPr>
      </w:pPr>
      <w:r>
        <w:rPr>
          <w:sz w:val="24"/>
          <w:highlight w:val="none"/>
        </w:rPr>
        <w:t>如采</w:t>
      </w:r>
      <w:r>
        <w:rPr>
          <w:rFonts w:hint="eastAsia"/>
          <w:sz w:val="24"/>
          <w:highlight w:val="none"/>
        </w:rPr>
        <w:t>用</w:t>
      </w:r>
      <w:r>
        <w:rPr>
          <w:sz w:val="24"/>
          <w:highlight w:val="none"/>
        </w:rPr>
        <w:t>传真方式，于确认传输之时</w:t>
      </w:r>
      <w:r>
        <w:rPr>
          <w:rFonts w:hint="eastAsia"/>
          <w:sz w:val="24"/>
          <w:highlight w:val="none"/>
        </w:rPr>
        <w:t>。</w:t>
      </w:r>
    </w:p>
    <w:p>
      <w:pPr>
        <w:widowControl/>
        <w:numPr>
          <w:ilvl w:val="0"/>
          <w:numId w:val="33"/>
        </w:numPr>
        <w:tabs>
          <w:tab w:val="left" w:pos="567"/>
          <w:tab w:val="left" w:pos="709"/>
        </w:tabs>
        <w:autoSpaceDE w:val="0"/>
        <w:autoSpaceDN w:val="0"/>
        <w:spacing w:before="72" w:beforeLines="30" w:after="72" w:afterLines="30" w:line="360" w:lineRule="auto"/>
        <w:ind w:left="567" w:hanging="567"/>
        <w:jc w:val="left"/>
        <w:textAlignment w:val="bottom"/>
        <w:rPr>
          <w:sz w:val="24"/>
          <w:highlight w:val="none"/>
        </w:rPr>
      </w:pPr>
      <w:r>
        <w:rPr>
          <w:rFonts w:ascii="宋体" w:hAnsi="宋体"/>
          <w:sz w:val="24"/>
          <w:highlight w:val="none"/>
        </w:rPr>
        <w:t>除非一方另行</w:t>
      </w:r>
      <w:r>
        <w:rPr>
          <w:rFonts w:hint="eastAsia" w:ascii="宋体" w:hAnsi="宋体"/>
          <w:sz w:val="24"/>
          <w:highlight w:val="none"/>
        </w:rPr>
        <w:t>明确</w:t>
      </w:r>
      <w:r>
        <w:rPr>
          <w:rFonts w:ascii="宋体" w:hAnsi="宋体"/>
          <w:sz w:val="24"/>
          <w:highlight w:val="none"/>
        </w:rPr>
        <w:t>要求，双方可通过互联网电子邮件进行通讯联系或传送文件。因不能合理控制的原因导致任何互联网电子邮件遗失、延误、被截取、破坏或修改的，</w:t>
      </w:r>
      <w:r>
        <w:rPr>
          <w:rFonts w:hint="eastAsia" w:ascii="宋体" w:hAnsi="宋体"/>
          <w:sz w:val="24"/>
          <w:highlight w:val="none"/>
        </w:rPr>
        <w:t>通知发出方不承担</w:t>
      </w:r>
      <w:r>
        <w:rPr>
          <w:rFonts w:ascii="宋体" w:hAnsi="宋体"/>
          <w:sz w:val="24"/>
          <w:highlight w:val="none"/>
        </w:rPr>
        <w:t>因此造成的任何损失、损害、费用、伤害或不便。</w:t>
      </w:r>
    </w:p>
    <w:p>
      <w:pPr>
        <w:numPr>
          <w:ilvl w:val="0"/>
          <w:numId w:val="33"/>
        </w:numPr>
        <w:adjustRightInd w:val="0"/>
        <w:snapToGrid w:val="0"/>
        <w:spacing w:line="360" w:lineRule="auto"/>
        <w:ind w:left="567" w:hanging="567"/>
        <w:jc w:val="left"/>
        <w:textAlignment w:val="baseline"/>
        <w:outlineLvl w:val="3"/>
        <w:rPr>
          <w:sz w:val="24"/>
          <w:highlight w:val="none"/>
        </w:rPr>
      </w:pPr>
      <w:r>
        <w:rPr>
          <w:rFonts w:hint="eastAsia" w:hAnsi="宋体"/>
          <w:bCs/>
          <w:kern w:val="0"/>
          <w:sz w:val="24"/>
          <w:highlight w:val="none"/>
        </w:rPr>
        <w:t>本合同送达地址适用范围包括就本合同发生争议时相关文件和法律文书的 送达（包括在争议进入仲裁、民事诉讼程序后的一审、二审、再审和执行程序）。</w:t>
      </w:r>
    </w:p>
    <w:p>
      <w:pPr>
        <w:pStyle w:val="15"/>
        <w:numPr>
          <w:ilvl w:val="0"/>
          <w:numId w:val="9"/>
        </w:numPr>
        <w:tabs>
          <w:tab w:val="left" w:pos="567"/>
        </w:tabs>
        <w:spacing w:before="72" w:beforeLines="30" w:after="72" w:afterLines="30" w:line="360" w:lineRule="auto"/>
        <w:ind w:left="567" w:hanging="567"/>
        <w:jc w:val="left"/>
        <w:rPr>
          <w:sz w:val="24"/>
          <w:szCs w:val="24"/>
          <w:highlight w:val="none"/>
        </w:rPr>
      </w:pPr>
      <w:bookmarkStart w:id="107" w:name="_Toc306354329"/>
      <w:r>
        <w:rPr>
          <w:sz w:val="24"/>
          <w:szCs w:val="24"/>
          <w:highlight w:val="none"/>
        </w:rPr>
        <w:t>法律适用</w:t>
      </w:r>
      <w:r>
        <w:rPr>
          <w:rFonts w:hint="eastAsia"/>
          <w:sz w:val="24"/>
          <w:szCs w:val="24"/>
          <w:highlight w:val="none"/>
        </w:rPr>
        <w:t>和</w:t>
      </w:r>
      <w:r>
        <w:rPr>
          <w:sz w:val="24"/>
          <w:szCs w:val="24"/>
          <w:highlight w:val="none"/>
        </w:rPr>
        <w:t>争议解决</w:t>
      </w:r>
      <w:bookmarkEnd w:id="107"/>
    </w:p>
    <w:p>
      <w:pPr>
        <w:numPr>
          <w:ilvl w:val="1"/>
          <w:numId w:val="35"/>
        </w:numPr>
        <w:tabs>
          <w:tab w:val="left" w:pos="567"/>
        </w:tabs>
        <w:spacing w:before="72" w:beforeLines="30" w:after="72" w:afterLines="30" w:line="360" w:lineRule="auto"/>
        <w:ind w:left="567" w:hanging="567"/>
        <w:rPr>
          <w:rFonts w:ascii="宋体" w:hAnsi="宋体"/>
          <w:sz w:val="24"/>
          <w:highlight w:val="none"/>
        </w:rPr>
      </w:pPr>
      <w:bookmarkStart w:id="108" w:name="_Toc296959346"/>
      <w:bookmarkStart w:id="109" w:name="_Toc296955884"/>
      <w:r>
        <w:rPr>
          <w:rFonts w:hint="eastAsia" w:ascii="宋体" w:hAnsi="宋体"/>
          <w:sz w:val="24"/>
          <w:highlight w:val="none"/>
        </w:rPr>
        <w:t>本合同适用中华人民共和国（不含香港特别行政区、澳门特别行政区和台湾地区）法律。</w:t>
      </w:r>
    </w:p>
    <w:p>
      <w:pPr>
        <w:numPr>
          <w:ilvl w:val="1"/>
          <w:numId w:val="35"/>
        </w:numPr>
        <w:tabs>
          <w:tab w:val="left" w:pos="567"/>
        </w:tabs>
        <w:spacing w:before="72" w:beforeLines="30" w:after="72" w:afterLines="30" w:line="360" w:lineRule="auto"/>
        <w:ind w:left="567" w:hanging="567"/>
        <w:rPr>
          <w:rFonts w:ascii="宋体" w:hAnsi="宋体"/>
          <w:sz w:val="24"/>
          <w:highlight w:val="none"/>
        </w:rPr>
      </w:pPr>
      <w:r>
        <w:rPr>
          <w:rFonts w:ascii="宋体" w:hAnsi="宋体"/>
          <w:sz w:val="24"/>
          <w:highlight w:val="none"/>
        </w:rPr>
        <w:t>因履行</w:t>
      </w:r>
      <w:r>
        <w:rPr>
          <w:rFonts w:hint="eastAsia" w:ascii="宋体" w:hAnsi="宋体"/>
          <w:sz w:val="24"/>
          <w:highlight w:val="none"/>
        </w:rPr>
        <w:t>本</w:t>
      </w:r>
      <w:r>
        <w:rPr>
          <w:rFonts w:ascii="宋体" w:hAnsi="宋体"/>
          <w:sz w:val="24"/>
          <w:highlight w:val="none"/>
        </w:rPr>
        <w:t>合同发生的或与本合同有关的一切争议，双方</w:t>
      </w:r>
      <w:r>
        <w:rPr>
          <w:rFonts w:hint="eastAsia" w:ascii="宋体" w:hAnsi="宋体"/>
          <w:sz w:val="24"/>
          <w:highlight w:val="none"/>
        </w:rPr>
        <w:t>首先应</w:t>
      </w:r>
      <w:r>
        <w:rPr>
          <w:rFonts w:ascii="宋体" w:hAnsi="宋体"/>
          <w:sz w:val="24"/>
          <w:highlight w:val="none"/>
        </w:rPr>
        <w:t>友好协商解决，</w:t>
      </w:r>
      <w:r>
        <w:rPr>
          <w:rFonts w:hint="eastAsia" w:ascii="宋体" w:hAnsi="宋体"/>
          <w:sz w:val="24"/>
          <w:highlight w:val="none"/>
        </w:rPr>
        <w:t>如</w:t>
      </w:r>
      <w:r>
        <w:rPr>
          <w:rFonts w:ascii="宋体" w:hAnsi="宋体"/>
          <w:sz w:val="24"/>
          <w:highlight w:val="none"/>
        </w:rPr>
        <w:t>经协商</w:t>
      </w:r>
      <w:r>
        <w:rPr>
          <w:rFonts w:hint="eastAsia" w:ascii="宋体" w:hAnsi="宋体"/>
          <w:sz w:val="24"/>
          <w:highlight w:val="none"/>
        </w:rPr>
        <w:t>【</w:t>
      </w:r>
      <w:r>
        <w:rPr>
          <w:rFonts w:hint="eastAsia" w:ascii="宋体" w:hAnsi="宋体"/>
          <w:i/>
          <w:sz w:val="24"/>
          <w:highlight w:val="none"/>
        </w:rPr>
        <w:t>填入天数，如</w:t>
      </w:r>
      <w:r>
        <w:rPr>
          <w:rFonts w:hAnsi="宋体"/>
          <w:i/>
          <w:sz w:val="24"/>
          <w:highlight w:val="none"/>
        </w:rPr>
        <w:t>六十（</w:t>
      </w:r>
      <w:r>
        <w:rPr>
          <w:i/>
          <w:sz w:val="24"/>
          <w:highlight w:val="none"/>
        </w:rPr>
        <w:t>60</w:t>
      </w:r>
      <w:r>
        <w:rPr>
          <w:rFonts w:hAnsi="宋体"/>
          <w:i/>
          <w:sz w:val="24"/>
          <w:highlight w:val="none"/>
        </w:rPr>
        <w:t>）</w:t>
      </w:r>
      <w:r>
        <w:rPr>
          <w:rFonts w:hint="eastAsia" w:ascii="宋体" w:hAnsi="宋体"/>
          <w:sz w:val="24"/>
          <w:highlight w:val="none"/>
        </w:rPr>
        <w:t>】日内</w:t>
      </w:r>
      <w:r>
        <w:rPr>
          <w:rFonts w:ascii="宋体" w:hAnsi="宋体"/>
          <w:sz w:val="24"/>
          <w:highlight w:val="none"/>
        </w:rPr>
        <w:t>仍不能解决</w:t>
      </w:r>
      <w:r>
        <w:rPr>
          <w:rFonts w:hint="eastAsia" w:ascii="宋体" w:hAnsi="宋体"/>
          <w:sz w:val="24"/>
          <w:highlight w:val="none"/>
        </w:rPr>
        <w:t>，</w:t>
      </w:r>
      <w:r>
        <w:rPr>
          <w:rFonts w:ascii="宋体" w:hAnsi="宋体"/>
          <w:sz w:val="24"/>
          <w:highlight w:val="none"/>
        </w:rPr>
        <w:t>双方同意：</w:t>
      </w:r>
    </w:p>
    <w:p>
      <w:pPr>
        <w:spacing w:before="72" w:beforeLines="30" w:after="72" w:afterLines="30" w:line="360" w:lineRule="auto"/>
        <w:ind w:left="567"/>
        <w:rPr>
          <w:bCs/>
          <w:i/>
          <w:kern w:val="0"/>
          <w:sz w:val="24"/>
          <w:highlight w:val="none"/>
          <w:u w:val="single"/>
        </w:rPr>
      </w:pPr>
      <w:r>
        <w:rPr>
          <w:rFonts w:hint="eastAsia"/>
          <w:bCs/>
          <w:i/>
          <w:kern w:val="0"/>
          <w:sz w:val="24"/>
          <w:highlight w:val="none"/>
          <w:u w:val="single"/>
        </w:rPr>
        <w:t>请根据实际情况从下列选项中选择其中一项，并将不适用的删除</w:t>
      </w:r>
    </w:p>
    <w:p>
      <w:pPr>
        <w:spacing w:before="72" w:beforeLines="30" w:after="72" w:afterLines="30" w:line="360" w:lineRule="auto"/>
        <w:ind w:left="567"/>
        <w:rPr>
          <w:rFonts w:ascii="宋体" w:hAnsi="宋体"/>
          <w:i/>
          <w:sz w:val="24"/>
          <w:highlight w:val="none"/>
          <w:u w:val="single"/>
        </w:rPr>
      </w:pPr>
      <w:r>
        <w:rPr>
          <w:rFonts w:hint="eastAsia" w:ascii="宋体" w:hAnsi="宋体"/>
          <w:i/>
          <w:sz w:val="24"/>
          <w:highlight w:val="none"/>
          <w:u w:val="single"/>
        </w:rPr>
        <w:t>选项一:诉讼</w:t>
      </w:r>
    </w:p>
    <w:p>
      <w:pPr>
        <w:spacing w:before="72" w:beforeLines="30" w:after="72" w:afterLines="30" w:line="360" w:lineRule="auto"/>
        <w:ind w:left="567"/>
        <w:rPr>
          <w:rFonts w:ascii="宋体" w:hAnsi="宋体"/>
          <w:sz w:val="24"/>
          <w:highlight w:val="none"/>
        </w:rPr>
      </w:pPr>
      <w:r>
        <w:rPr>
          <w:rFonts w:ascii="宋体" w:hAnsi="宋体"/>
          <w:sz w:val="24"/>
          <w:highlight w:val="none"/>
        </w:rPr>
        <w:t>向买方所在地人民法院起诉。</w:t>
      </w:r>
    </w:p>
    <w:p>
      <w:pPr>
        <w:spacing w:before="72" w:beforeLines="30" w:after="72" w:afterLines="30" w:line="360" w:lineRule="auto"/>
        <w:ind w:left="567"/>
        <w:rPr>
          <w:rFonts w:ascii="宋体" w:hAnsi="宋体"/>
          <w:i/>
          <w:sz w:val="24"/>
          <w:highlight w:val="none"/>
          <w:u w:val="single"/>
        </w:rPr>
      </w:pPr>
      <w:r>
        <w:rPr>
          <w:rFonts w:hint="eastAsia" w:ascii="宋体" w:hAnsi="宋体"/>
          <w:i/>
          <w:sz w:val="24"/>
          <w:highlight w:val="none"/>
          <w:u w:val="single"/>
        </w:rPr>
        <w:t>选项二：仲裁</w:t>
      </w:r>
    </w:p>
    <w:p>
      <w:pPr>
        <w:spacing w:before="72" w:beforeLines="30" w:after="72" w:afterLines="30" w:line="360" w:lineRule="auto"/>
        <w:ind w:left="567"/>
        <w:rPr>
          <w:sz w:val="24"/>
          <w:highlight w:val="none"/>
        </w:rPr>
      </w:pPr>
      <w:r>
        <w:rPr>
          <w:rFonts w:ascii="宋体" w:hAnsi="宋体"/>
          <w:sz w:val="24"/>
          <w:highlight w:val="none"/>
        </w:rPr>
        <w:t>提交</w:t>
      </w:r>
      <w:r>
        <w:rPr>
          <w:rFonts w:hint="eastAsia" w:ascii="宋体" w:hAnsi="宋体"/>
          <w:sz w:val="24"/>
          <w:highlight w:val="none"/>
        </w:rPr>
        <w:t>【□中国国际经济贸易仲裁委员会；□北京仲裁委员会；□天津仲裁委员会】</w:t>
      </w:r>
      <w:r>
        <w:rPr>
          <w:rFonts w:ascii="宋体" w:hAnsi="宋体"/>
          <w:sz w:val="24"/>
          <w:highlight w:val="none"/>
        </w:rPr>
        <w:t>进行仲裁。</w:t>
      </w:r>
      <w:r>
        <w:rPr>
          <w:rFonts w:hint="eastAsia"/>
          <w:bCs/>
          <w:sz w:val="24"/>
          <w:highlight w:val="none"/>
        </w:rPr>
        <w:t>仲裁应根据申请仲裁时该仲裁委员会现行有效的仲裁规则进行。仲裁员人数为【</w:t>
      </w:r>
      <w:r>
        <w:rPr>
          <w:rFonts w:hint="eastAsia"/>
          <w:bCs/>
          <w:i/>
          <w:sz w:val="24"/>
          <w:highlight w:val="none"/>
        </w:rPr>
        <w:t>请根据选择的仲裁机构现行有效的规定填写，简单合同可选择独任仲裁员</w:t>
      </w:r>
      <w:r>
        <w:rPr>
          <w:rFonts w:hint="eastAsia"/>
          <w:bCs/>
          <w:sz w:val="24"/>
          <w:highlight w:val="none"/>
        </w:rPr>
        <w:t>】名。庭审地为【</w:t>
      </w:r>
      <w:r>
        <w:rPr>
          <w:rFonts w:hint="eastAsia"/>
          <w:bCs/>
          <w:i/>
          <w:sz w:val="24"/>
          <w:highlight w:val="none"/>
        </w:rPr>
        <w:t>根据委托方所在地，从委托方便利的角度填入庭审地</w:t>
      </w:r>
      <w:r>
        <w:rPr>
          <w:rFonts w:hint="eastAsia"/>
          <w:bCs/>
          <w:sz w:val="24"/>
          <w:highlight w:val="none"/>
        </w:rPr>
        <w:t>】。仲裁裁决是终局的，对双方均有约束力。</w:t>
      </w:r>
    </w:p>
    <w:p>
      <w:pPr>
        <w:numPr>
          <w:ilvl w:val="1"/>
          <w:numId w:val="35"/>
        </w:numPr>
        <w:tabs>
          <w:tab w:val="left" w:pos="567"/>
        </w:tabs>
        <w:spacing w:before="72" w:beforeLines="30" w:after="72" w:afterLines="30" w:line="360" w:lineRule="auto"/>
        <w:ind w:left="567" w:hanging="567"/>
        <w:rPr>
          <w:b/>
          <w:sz w:val="24"/>
          <w:highlight w:val="none"/>
        </w:rPr>
      </w:pPr>
      <w:r>
        <w:rPr>
          <w:rFonts w:hint="eastAsia" w:ascii="宋体" w:hAnsi="宋体"/>
          <w:sz w:val="24"/>
          <w:highlight w:val="none"/>
        </w:rPr>
        <w:t>争议解决期间</w:t>
      </w:r>
      <w:r>
        <w:rPr>
          <w:rFonts w:ascii="宋体" w:hAnsi="宋体"/>
          <w:sz w:val="24"/>
          <w:highlight w:val="none"/>
        </w:rPr>
        <w:t>，除争议事项外，双方应继续履行本合同。</w:t>
      </w:r>
    </w:p>
    <w:bookmarkEnd w:id="108"/>
    <w:bookmarkEnd w:id="109"/>
    <w:p>
      <w:pPr>
        <w:pStyle w:val="15"/>
        <w:numPr>
          <w:ilvl w:val="0"/>
          <w:numId w:val="9"/>
        </w:numPr>
        <w:tabs>
          <w:tab w:val="left" w:pos="567"/>
        </w:tabs>
        <w:spacing w:before="72" w:beforeLines="30" w:after="72" w:afterLines="30" w:line="360" w:lineRule="auto"/>
        <w:ind w:left="567" w:hanging="567"/>
        <w:jc w:val="left"/>
        <w:rPr>
          <w:sz w:val="24"/>
          <w:szCs w:val="24"/>
          <w:highlight w:val="none"/>
        </w:rPr>
      </w:pPr>
      <w:bookmarkStart w:id="110" w:name="_Toc306354330"/>
      <w:r>
        <w:rPr>
          <w:rFonts w:hint="eastAsia"/>
          <w:sz w:val="24"/>
          <w:szCs w:val="24"/>
          <w:highlight w:val="none"/>
        </w:rPr>
        <w:t xml:space="preserve"> </w:t>
      </w:r>
      <w:r>
        <w:rPr>
          <w:sz w:val="24"/>
          <w:szCs w:val="24"/>
          <w:highlight w:val="none"/>
        </w:rPr>
        <w:t>其它</w:t>
      </w:r>
      <w:bookmarkEnd w:id="110"/>
    </w:p>
    <w:p>
      <w:pPr>
        <w:numPr>
          <w:ilvl w:val="1"/>
          <w:numId w:val="36"/>
        </w:numPr>
        <w:tabs>
          <w:tab w:val="left" w:pos="567"/>
        </w:tabs>
        <w:spacing w:before="72" w:beforeLines="30" w:after="72" w:afterLines="30" w:line="360" w:lineRule="auto"/>
        <w:ind w:left="567" w:hanging="567"/>
        <w:rPr>
          <w:sz w:val="24"/>
          <w:highlight w:val="none"/>
        </w:rPr>
      </w:pPr>
      <w:r>
        <w:rPr>
          <w:rFonts w:hint="eastAsia"/>
          <w:sz w:val="24"/>
          <w:highlight w:val="none"/>
        </w:rPr>
        <w:t>在本合同签订时如卖方属于《保障中小企业款项支付条例》（“条例”）规定的中小企业，本合同所约定的付款期限、方式、条件和违约责任等交易条件应遵守该条例的规定。如本合同约定的任何交易条件违反该条例，买方应按照符合该条例规定的交易条件履行合同，并应按照条例的规定与卖方协商变更本合同的该等交易条件，以保障卖方享有条例规定的合法权益。</w:t>
      </w:r>
    </w:p>
    <w:p>
      <w:pPr>
        <w:numPr>
          <w:ilvl w:val="1"/>
          <w:numId w:val="36"/>
        </w:numPr>
        <w:tabs>
          <w:tab w:val="left" w:pos="567"/>
        </w:tabs>
        <w:spacing w:before="72" w:beforeLines="30" w:after="72" w:afterLines="30" w:line="360" w:lineRule="auto"/>
        <w:ind w:left="567" w:hanging="567"/>
        <w:rPr>
          <w:sz w:val="24"/>
          <w:highlight w:val="none"/>
        </w:rPr>
      </w:pPr>
      <w:r>
        <w:rPr>
          <w:sz w:val="24"/>
          <w:highlight w:val="none"/>
        </w:rPr>
        <w:t>本合同自买卖双方</w:t>
      </w:r>
      <w:r>
        <w:rPr>
          <w:rFonts w:hint="eastAsia"/>
          <w:sz w:val="24"/>
          <w:highlight w:val="none"/>
        </w:rPr>
        <w:t>法定代表人或授权代表</w:t>
      </w:r>
      <w:r>
        <w:rPr>
          <w:sz w:val="24"/>
          <w:highlight w:val="none"/>
        </w:rPr>
        <w:t>签</w:t>
      </w:r>
      <w:r>
        <w:rPr>
          <w:rFonts w:hint="eastAsia"/>
          <w:sz w:val="24"/>
          <w:highlight w:val="none"/>
        </w:rPr>
        <w:t>字并盖章</w:t>
      </w:r>
      <w:r>
        <w:rPr>
          <w:sz w:val="24"/>
          <w:highlight w:val="none"/>
        </w:rPr>
        <w:t>之日起生效</w:t>
      </w:r>
      <w:r>
        <w:rPr>
          <w:rFonts w:hint="eastAsia"/>
          <w:sz w:val="24"/>
          <w:highlight w:val="none"/>
        </w:rPr>
        <w:t>，</w:t>
      </w:r>
      <w:bookmarkStart w:id="111" w:name="OLE_LINK11"/>
      <w:bookmarkStart w:id="112" w:name="OLE_LINK12"/>
      <w:r>
        <w:rPr>
          <w:rFonts w:hint="eastAsia" w:ascii="宋体" w:hAnsi="宋体"/>
          <w:sz w:val="24"/>
          <w:highlight w:val="none"/>
        </w:rPr>
        <w:t>自双方履行完本合同项下全部权利和义务后终止</w:t>
      </w:r>
      <w:bookmarkEnd w:id="111"/>
      <w:bookmarkEnd w:id="112"/>
      <w:r>
        <w:rPr>
          <w:sz w:val="24"/>
          <w:highlight w:val="none"/>
        </w:rPr>
        <w:t>。</w:t>
      </w:r>
    </w:p>
    <w:p>
      <w:pPr>
        <w:numPr>
          <w:ilvl w:val="1"/>
          <w:numId w:val="36"/>
        </w:numPr>
        <w:tabs>
          <w:tab w:val="left" w:pos="567"/>
        </w:tabs>
        <w:spacing w:before="72" w:beforeLines="30" w:after="72" w:afterLines="30" w:line="360" w:lineRule="auto"/>
        <w:ind w:left="567" w:hanging="567"/>
        <w:rPr>
          <w:sz w:val="24"/>
          <w:highlight w:val="none"/>
        </w:rPr>
      </w:pPr>
      <w:r>
        <w:rPr>
          <w:rFonts w:hint="eastAsia"/>
          <w:sz w:val="24"/>
          <w:highlight w:val="none"/>
        </w:rPr>
        <w:t>本合同签署以前双方就本合同约定的货物买卖及</w:t>
      </w:r>
      <w:r>
        <w:rPr>
          <w:sz w:val="24"/>
          <w:highlight w:val="none"/>
        </w:rPr>
        <w:t>相关事宜</w:t>
      </w:r>
      <w:r>
        <w:rPr>
          <w:rFonts w:hint="eastAsia"/>
          <w:sz w:val="24"/>
          <w:highlight w:val="none"/>
        </w:rPr>
        <w:t>达成的所有口头和</w:t>
      </w:r>
      <w:r>
        <w:rPr>
          <w:sz w:val="24"/>
          <w:highlight w:val="none"/>
        </w:rPr>
        <w:t>/</w:t>
      </w:r>
      <w:r>
        <w:rPr>
          <w:rFonts w:hint="eastAsia"/>
          <w:sz w:val="24"/>
          <w:highlight w:val="none"/>
        </w:rPr>
        <w:t>或书面的声明、文件、信件及双方其它形式的通信在本合同生效后自动失效。</w:t>
      </w:r>
    </w:p>
    <w:p>
      <w:pPr>
        <w:numPr>
          <w:ilvl w:val="1"/>
          <w:numId w:val="36"/>
        </w:numPr>
        <w:tabs>
          <w:tab w:val="left" w:pos="567"/>
        </w:tabs>
        <w:spacing w:before="72" w:beforeLines="30" w:after="72" w:afterLines="30" w:line="360" w:lineRule="auto"/>
        <w:ind w:left="567" w:hanging="567"/>
        <w:rPr>
          <w:rFonts w:ascii="宋体" w:hAnsi="宋体"/>
          <w:sz w:val="24"/>
          <w:highlight w:val="none"/>
        </w:rPr>
      </w:pPr>
      <w:r>
        <w:rPr>
          <w:rFonts w:ascii="宋体" w:hAnsi="宋体"/>
          <w:sz w:val="24"/>
          <w:highlight w:val="none"/>
        </w:rPr>
        <w:t>未经另一方事先书面同意，任何一方不得以任何方式使用另一方的名称、商品商标、服务商标、企业标志、商号或品牌。</w:t>
      </w:r>
    </w:p>
    <w:p>
      <w:pPr>
        <w:numPr>
          <w:ilvl w:val="1"/>
          <w:numId w:val="36"/>
        </w:numPr>
        <w:tabs>
          <w:tab w:val="left" w:pos="567"/>
        </w:tabs>
        <w:spacing w:before="72" w:beforeLines="30" w:after="72" w:afterLines="30" w:line="360" w:lineRule="auto"/>
        <w:ind w:left="567" w:hanging="567"/>
        <w:rPr>
          <w:sz w:val="24"/>
          <w:highlight w:val="none"/>
        </w:rPr>
      </w:pPr>
      <w:r>
        <w:rPr>
          <w:sz w:val="24"/>
          <w:highlight w:val="none"/>
        </w:rPr>
        <w:t>如</w:t>
      </w:r>
      <w:r>
        <w:rPr>
          <w:rFonts w:hint="eastAsia"/>
          <w:sz w:val="24"/>
          <w:highlight w:val="none"/>
        </w:rPr>
        <w:t>果</w:t>
      </w:r>
      <w:r>
        <w:rPr>
          <w:sz w:val="24"/>
          <w:highlight w:val="none"/>
        </w:rPr>
        <w:t>本合同</w:t>
      </w:r>
      <w:r>
        <w:rPr>
          <w:rFonts w:hint="eastAsia"/>
          <w:sz w:val="24"/>
          <w:highlight w:val="none"/>
        </w:rPr>
        <w:t>的</w:t>
      </w:r>
      <w:r>
        <w:rPr>
          <w:sz w:val="24"/>
          <w:highlight w:val="none"/>
        </w:rPr>
        <w:t>任何条款</w:t>
      </w:r>
      <w:r>
        <w:rPr>
          <w:rFonts w:hint="eastAsia"/>
          <w:sz w:val="24"/>
          <w:highlight w:val="none"/>
        </w:rPr>
        <w:t>或规定</w:t>
      </w:r>
      <w:r>
        <w:rPr>
          <w:sz w:val="24"/>
          <w:highlight w:val="none"/>
        </w:rPr>
        <w:t>被裁定</w:t>
      </w:r>
      <w:r>
        <w:rPr>
          <w:rFonts w:hint="eastAsia"/>
          <w:sz w:val="24"/>
          <w:highlight w:val="none"/>
        </w:rPr>
        <w:t>为</w:t>
      </w:r>
      <w:r>
        <w:rPr>
          <w:sz w:val="24"/>
          <w:highlight w:val="none"/>
        </w:rPr>
        <w:t>无效、不合法或不可</w:t>
      </w:r>
      <w:r>
        <w:rPr>
          <w:rFonts w:hint="eastAsia"/>
          <w:sz w:val="24"/>
          <w:highlight w:val="none"/>
        </w:rPr>
        <w:t>强制</w:t>
      </w:r>
      <w:r>
        <w:rPr>
          <w:sz w:val="24"/>
          <w:highlight w:val="none"/>
        </w:rPr>
        <w:t>执行，</w:t>
      </w:r>
      <w:r>
        <w:rPr>
          <w:rFonts w:hint="eastAsia"/>
          <w:sz w:val="24"/>
          <w:highlight w:val="none"/>
        </w:rPr>
        <w:t>该条款或规定应视为被删除，本合同</w:t>
      </w:r>
      <w:r>
        <w:rPr>
          <w:sz w:val="24"/>
          <w:highlight w:val="none"/>
        </w:rPr>
        <w:t>其它条款</w:t>
      </w:r>
      <w:r>
        <w:rPr>
          <w:rFonts w:hint="eastAsia"/>
          <w:sz w:val="24"/>
          <w:highlight w:val="none"/>
        </w:rPr>
        <w:t>不受影响，</w:t>
      </w:r>
      <w:r>
        <w:rPr>
          <w:sz w:val="24"/>
          <w:highlight w:val="none"/>
        </w:rPr>
        <w:t>仍</w:t>
      </w:r>
      <w:r>
        <w:rPr>
          <w:rFonts w:hint="eastAsia"/>
          <w:sz w:val="24"/>
          <w:highlight w:val="none"/>
        </w:rPr>
        <w:t>继续</w:t>
      </w:r>
      <w:r>
        <w:rPr>
          <w:sz w:val="24"/>
          <w:highlight w:val="none"/>
        </w:rPr>
        <w:t>有效。</w:t>
      </w:r>
    </w:p>
    <w:p>
      <w:pPr>
        <w:numPr>
          <w:ilvl w:val="1"/>
          <w:numId w:val="36"/>
        </w:numPr>
        <w:tabs>
          <w:tab w:val="left" w:pos="567"/>
        </w:tabs>
        <w:spacing w:before="72" w:beforeLines="30" w:after="72" w:afterLines="30" w:line="360" w:lineRule="auto"/>
        <w:ind w:left="567" w:hanging="567"/>
        <w:rPr>
          <w:sz w:val="24"/>
          <w:highlight w:val="none"/>
        </w:rPr>
      </w:pPr>
      <w:r>
        <w:rPr>
          <w:sz w:val="24"/>
          <w:highlight w:val="none"/>
        </w:rPr>
        <w:t>本合同履行过程中，</w:t>
      </w:r>
      <w:r>
        <w:rPr>
          <w:rFonts w:hint="eastAsia"/>
          <w:sz w:val="24"/>
          <w:highlight w:val="none"/>
        </w:rPr>
        <w:t>如</w:t>
      </w:r>
      <w:r>
        <w:rPr>
          <w:sz w:val="24"/>
          <w:highlight w:val="none"/>
        </w:rPr>
        <w:t>卖方</w:t>
      </w:r>
      <w:r>
        <w:rPr>
          <w:rFonts w:hint="eastAsia"/>
          <w:sz w:val="24"/>
          <w:highlight w:val="none"/>
        </w:rPr>
        <w:t>发生重组、</w:t>
      </w:r>
      <w:r>
        <w:rPr>
          <w:sz w:val="24"/>
          <w:highlight w:val="none"/>
        </w:rPr>
        <w:t>合并、</w:t>
      </w:r>
      <w:r>
        <w:rPr>
          <w:rFonts w:hint="eastAsia"/>
          <w:sz w:val="24"/>
          <w:highlight w:val="none"/>
        </w:rPr>
        <w:t>分立、重大股权或资产转让，应及时通知买方。经买方事先书面同意，卖方应安排具有相应资质的主体继续履行本合同，否则卖方不得执行前述重组、合并、分立或转让。卖方应根据买方的要求，为继续履行本合同的主体安排履约担保。</w:t>
      </w:r>
    </w:p>
    <w:p>
      <w:pPr>
        <w:numPr>
          <w:ilvl w:val="1"/>
          <w:numId w:val="36"/>
        </w:numPr>
        <w:tabs>
          <w:tab w:val="left" w:pos="567"/>
        </w:tabs>
        <w:spacing w:before="72" w:beforeLines="30" w:after="72" w:afterLines="30" w:line="360" w:lineRule="auto"/>
        <w:ind w:left="567" w:hanging="567"/>
        <w:rPr>
          <w:sz w:val="24"/>
          <w:highlight w:val="none"/>
        </w:rPr>
      </w:pPr>
      <w:r>
        <w:rPr>
          <w:sz w:val="24"/>
          <w:highlight w:val="none"/>
        </w:rPr>
        <w:t>本合同</w:t>
      </w:r>
      <w:r>
        <w:rPr>
          <w:rFonts w:hint="eastAsia"/>
          <w:sz w:val="24"/>
          <w:highlight w:val="none"/>
        </w:rPr>
        <w:t>解除或终止</w:t>
      </w:r>
      <w:r>
        <w:rPr>
          <w:sz w:val="24"/>
          <w:highlight w:val="none"/>
        </w:rPr>
        <w:t>后</w:t>
      </w:r>
      <w:r>
        <w:rPr>
          <w:rFonts w:hint="eastAsia"/>
          <w:sz w:val="24"/>
          <w:highlight w:val="none"/>
        </w:rPr>
        <w:t>，本合同项下关于知识产权、保密、保证、责任、法律适用、争议解决和其它具有持续性效力的条款继续</w:t>
      </w:r>
      <w:r>
        <w:rPr>
          <w:sz w:val="24"/>
          <w:highlight w:val="none"/>
        </w:rPr>
        <w:t>有效。</w:t>
      </w:r>
    </w:p>
    <w:p>
      <w:pPr>
        <w:numPr>
          <w:ilvl w:val="1"/>
          <w:numId w:val="36"/>
        </w:numPr>
        <w:tabs>
          <w:tab w:val="left" w:pos="567"/>
        </w:tabs>
        <w:spacing w:before="72" w:beforeLines="30" w:after="72" w:afterLines="30" w:line="360" w:lineRule="auto"/>
        <w:ind w:left="567" w:hanging="567"/>
        <w:rPr>
          <w:sz w:val="24"/>
          <w:highlight w:val="none"/>
        </w:rPr>
      </w:pPr>
      <w:r>
        <w:rPr>
          <w:rFonts w:hint="eastAsia"/>
          <w:sz w:val="24"/>
          <w:highlight w:val="none"/>
        </w:rPr>
        <w:t>本</w:t>
      </w:r>
      <w:r>
        <w:rPr>
          <w:sz w:val="24"/>
          <w:highlight w:val="none"/>
        </w:rPr>
        <w:t>合同未尽事宜，应由双方协商</w:t>
      </w:r>
      <w:r>
        <w:rPr>
          <w:rFonts w:hint="eastAsia"/>
          <w:sz w:val="24"/>
          <w:highlight w:val="none"/>
        </w:rPr>
        <w:t>确定</w:t>
      </w:r>
      <w:r>
        <w:rPr>
          <w:sz w:val="24"/>
          <w:highlight w:val="none"/>
        </w:rPr>
        <w:t>，并签订补充协议，补充协议与本合同具有同等法律效力。</w:t>
      </w:r>
    </w:p>
    <w:p>
      <w:pPr>
        <w:numPr>
          <w:ilvl w:val="1"/>
          <w:numId w:val="36"/>
        </w:numPr>
        <w:tabs>
          <w:tab w:val="left" w:pos="567"/>
        </w:tabs>
        <w:spacing w:before="72" w:beforeLines="30" w:after="72" w:afterLines="30" w:line="360" w:lineRule="auto"/>
        <w:ind w:left="567" w:hanging="567"/>
        <w:rPr>
          <w:sz w:val="24"/>
          <w:highlight w:val="none"/>
        </w:rPr>
      </w:pPr>
      <w:r>
        <w:rPr>
          <w:sz w:val="24"/>
          <w:highlight w:val="none"/>
        </w:rPr>
        <w:t>本合同的任何变更、修改或增减，须经双方协商</w:t>
      </w:r>
      <w:r>
        <w:rPr>
          <w:rFonts w:hint="eastAsia"/>
          <w:sz w:val="24"/>
          <w:highlight w:val="none"/>
        </w:rPr>
        <w:t>一致、法定代表人或</w:t>
      </w:r>
      <w:r>
        <w:rPr>
          <w:sz w:val="24"/>
          <w:highlight w:val="none"/>
        </w:rPr>
        <w:t>授权代表签署书面文件</w:t>
      </w:r>
      <w:r>
        <w:rPr>
          <w:rFonts w:hint="eastAsia"/>
          <w:sz w:val="24"/>
          <w:highlight w:val="none"/>
        </w:rPr>
        <w:t>并盖章</w:t>
      </w:r>
      <w:r>
        <w:rPr>
          <w:sz w:val="24"/>
          <w:highlight w:val="none"/>
        </w:rPr>
        <w:t>后</w:t>
      </w:r>
      <w:r>
        <w:rPr>
          <w:rFonts w:hint="eastAsia"/>
          <w:sz w:val="24"/>
          <w:highlight w:val="none"/>
        </w:rPr>
        <w:t>生</w:t>
      </w:r>
      <w:r>
        <w:rPr>
          <w:sz w:val="24"/>
          <w:highlight w:val="none"/>
        </w:rPr>
        <w:t>效。</w:t>
      </w:r>
    </w:p>
    <w:p>
      <w:pPr>
        <w:numPr>
          <w:ilvl w:val="1"/>
          <w:numId w:val="36"/>
        </w:numPr>
        <w:tabs>
          <w:tab w:val="left" w:pos="567"/>
        </w:tabs>
        <w:spacing w:before="72" w:beforeLines="30" w:after="72" w:afterLines="30" w:line="360" w:lineRule="auto"/>
        <w:ind w:left="567" w:hanging="567"/>
        <w:rPr>
          <w:sz w:val="24"/>
          <w:highlight w:val="none"/>
        </w:rPr>
      </w:pPr>
      <w:r>
        <w:rPr>
          <w:rFonts w:hint="eastAsia"/>
          <w:sz w:val="24"/>
          <w:highlight w:val="none"/>
        </w:rPr>
        <w:t>任何一方未行使或延迟行使本合同项下的任何权利，不视为该方对该等权利的放弃。任何一方部分行使其在本合同项下的任何权利不妨碍其将来进一步行使该等权利或合同约定的其它权利。</w:t>
      </w:r>
    </w:p>
    <w:p>
      <w:pPr>
        <w:numPr>
          <w:ilvl w:val="1"/>
          <w:numId w:val="36"/>
        </w:numPr>
        <w:tabs>
          <w:tab w:val="left" w:pos="567"/>
        </w:tabs>
        <w:spacing w:before="72" w:beforeLines="30" w:after="72" w:afterLines="30" w:line="360" w:lineRule="auto"/>
        <w:ind w:left="567" w:hanging="567"/>
        <w:rPr>
          <w:sz w:val="24"/>
          <w:highlight w:val="none"/>
        </w:rPr>
      </w:pPr>
      <w:r>
        <w:rPr>
          <w:rFonts w:hint="eastAsia"/>
          <w:sz w:val="24"/>
          <w:highlight w:val="none"/>
        </w:rPr>
        <w:t>本合同系双方协商、讨论的结果，合同内容非一方当事人单方拟定。本合同不属于格式合同，条款内容不属于格式条款。</w:t>
      </w:r>
    </w:p>
    <w:p>
      <w:pPr>
        <w:numPr>
          <w:ilvl w:val="1"/>
          <w:numId w:val="36"/>
        </w:numPr>
        <w:tabs>
          <w:tab w:val="left" w:pos="567"/>
        </w:tabs>
        <w:spacing w:before="72" w:beforeLines="30" w:after="72" w:afterLines="30" w:line="360" w:lineRule="auto"/>
        <w:ind w:left="567" w:hanging="567"/>
        <w:rPr>
          <w:sz w:val="24"/>
          <w:highlight w:val="none"/>
        </w:rPr>
      </w:pPr>
      <w:r>
        <w:rPr>
          <w:rFonts w:hint="eastAsia"/>
          <w:sz w:val="24"/>
          <w:highlight w:val="none"/>
        </w:rPr>
        <w:t>本合同正文、附件及其后的修改文件和补充文件均应采用中文书写。附件及其后的修改文件和补充文件作为本合同不可分割的组成部分，与本合同正文具有同等法律效力。</w:t>
      </w:r>
    </w:p>
    <w:p>
      <w:pPr>
        <w:widowControl/>
        <w:numPr>
          <w:ilvl w:val="1"/>
          <w:numId w:val="36"/>
        </w:numPr>
        <w:tabs>
          <w:tab w:val="left" w:pos="567"/>
        </w:tabs>
        <w:spacing w:before="72" w:beforeLines="30" w:after="72" w:afterLines="30" w:line="360" w:lineRule="auto"/>
        <w:ind w:left="567" w:hanging="567"/>
        <w:jc w:val="left"/>
        <w:rPr>
          <w:sz w:val="24"/>
          <w:highlight w:val="none"/>
        </w:rPr>
      </w:pPr>
      <w:r>
        <w:rPr>
          <w:sz w:val="24"/>
          <w:highlight w:val="none"/>
        </w:rPr>
        <w:t>本合同一式</w:t>
      </w:r>
      <w:r>
        <w:rPr>
          <w:rFonts w:hint="eastAsia"/>
          <w:sz w:val="24"/>
          <w:highlight w:val="none"/>
        </w:rPr>
        <w:t>【</w:t>
      </w:r>
      <w:r>
        <w:rPr>
          <w:rFonts w:hint="eastAsia"/>
          <w:i/>
          <w:sz w:val="24"/>
          <w:highlight w:val="none"/>
        </w:rPr>
        <w:t>填入合同份数</w:t>
      </w:r>
      <w:r>
        <w:rPr>
          <w:rFonts w:hint="eastAsia"/>
          <w:sz w:val="24"/>
          <w:highlight w:val="none"/>
        </w:rPr>
        <w:t>】</w:t>
      </w:r>
      <w:r>
        <w:rPr>
          <w:sz w:val="24"/>
          <w:highlight w:val="none"/>
        </w:rPr>
        <w:t>份，</w:t>
      </w:r>
      <w:r>
        <w:rPr>
          <w:rFonts w:hint="eastAsia"/>
          <w:sz w:val="24"/>
          <w:highlight w:val="none"/>
        </w:rPr>
        <w:t>买卖双方各持【</w:t>
      </w:r>
      <w:r>
        <w:rPr>
          <w:rFonts w:hint="eastAsia"/>
          <w:i/>
          <w:sz w:val="24"/>
          <w:highlight w:val="none"/>
        </w:rPr>
        <w:t>填入合同份数</w:t>
      </w:r>
      <w:r>
        <w:rPr>
          <w:rFonts w:hint="eastAsia"/>
          <w:sz w:val="24"/>
          <w:highlight w:val="none"/>
        </w:rPr>
        <w:t>】份</w:t>
      </w:r>
      <w:r>
        <w:rPr>
          <w:sz w:val="24"/>
          <w:highlight w:val="none"/>
        </w:rPr>
        <w:t>，具有同等效力。</w:t>
      </w:r>
    </w:p>
    <w:p>
      <w:pPr>
        <w:widowControl/>
        <w:spacing w:before="72" w:beforeLines="30" w:after="72" w:afterLines="30" w:line="360" w:lineRule="auto"/>
        <w:jc w:val="left"/>
        <w:rPr>
          <w:sz w:val="24"/>
          <w:highlight w:val="none"/>
        </w:rPr>
      </w:pPr>
      <w:r>
        <w:rPr>
          <w:sz w:val="24"/>
          <w:highlight w:val="none"/>
        </w:rPr>
        <w:br w:type="page"/>
      </w:r>
    </w:p>
    <w:p>
      <w:pPr>
        <w:tabs>
          <w:tab w:val="left" w:pos="850"/>
        </w:tabs>
        <w:autoSpaceDE w:val="0"/>
        <w:autoSpaceDN w:val="0"/>
        <w:spacing w:before="72" w:beforeLines="30" w:after="72" w:afterLines="30" w:line="360" w:lineRule="auto"/>
        <w:jc w:val="center"/>
        <w:textAlignment w:val="bottom"/>
        <w:rPr>
          <w:b/>
          <w:sz w:val="24"/>
          <w:highlight w:val="none"/>
        </w:rPr>
      </w:pPr>
      <w:r>
        <w:rPr>
          <w:rFonts w:hint="eastAsia"/>
          <w:b/>
          <w:sz w:val="24"/>
          <w:highlight w:val="none"/>
        </w:rPr>
        <w:t>（本页无正文，为签章页）</w:t>
      </w:r>
    </w:p>
    <w:p>
      <w:pPr>
        <w:tabs>
          <w:tab w:val="left" w:pos="850"/>
        </w:tabs>
        <w:autoSpaceDE w:val="0"/>
        <w:autoSpaceDN w:val="0"/>
        <w:spacing w:before="72" w:beforeLines="30" w:after="72" w:afterLines="30" w:line="360" w:lineRule="auto"/>
        <w:ind w:firstLine="600"/>
        <w:textAlignment w:val="bottom"/>
        <w:rPr>
          <w:sz w:val="24"/>
          <w:highlight w:val="none"/>
        </w:rPr>
      </w:pPr>
    </w:p>
    <w:tbl>
      <w:tblPr>
        <w:tblStyle w:val="18"/>
        <w:tblW w:w="5000" w:type="pct"/>
        <w:tblInd w:w="0" w:type="dxa"/>
        <w:tblLayout w:type="autofit"/>
        <w:tblCellMar>
          <w:top w:w="0" w:type="dxa"/>
          <w:left w:w="108" w:type="dxa"/>
          <w:bottom w:w="0" w:type="dxa"/>
          <w:right w:w="108" w:type="dxa"/>
        </w:tblCellMar>
      </w:tblPr>
      <w:tblGrid>
        <w:gridCol w:w="4437"/>
        <w:gridCol w:w="4085"/>
      </w:tblGrid>
      <w:tr>
        <w:tblPrEx>
          <w:tblCellMar>
            <w:top w:w="0" w:type="dxa"/>
            <w:left w:w="108" w:type="dxa"/>
            <w:bottom w:w="0" w:type="dxa"/>
            <w:right w:w="108" w:type="dxa"/>
          </w:tblCellMar>
        </w:tblPrEx>
        <w:trPr>
          <w:trHeight w:val="2653" w:hRule="atLeast"/>
        </w:trPr>
        <w:tc>
          <w:tcPr>
            <w:tcW w:w="2603" w:type="pct"/>
          </w:tcPr>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r>
              <w:rPr>
                <w:sz w:val="24"/>
                <w:highlight w:val="none"/>
              </w:rPr>
              <w:t>买方</w:t>
            </w:r>
            <w:r>
              <w:rPr>
                <w:rFonts w:hint="eastAsia"/>
                <w:sz w:val="24"/>
                <w:highlight w:val="none"/>
              </w:rPr>
              <w:t>（盖章）</w:t>
            </w:r>
          </w:p>
        </w:tc>
        <w:tc>
          <w:tcPr>
            <w:tcW w:w="2397" w:type="pct"/>
          </w:tcPr>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r>
              <w:rPr>
                <w:sz w:val="24"/>
                <w:highlight w:val="none"/>
              </w:rPr>
              <w:t>卖方</w:t>
            </w:r>
            <w:r>
              <w:rPr>
                <w:rFonts w:hint="eastAsia"/>
                <w:sz w:val="24"/>
                <w:highlight w:val="none"/>
              </w:rPr>
              <w:t>（盖章）</w:t>
            </w:r>
          </w:p>
          <w:p>
            <w:pPr>
              <w:tabs>
                <w:tab w:val="left" w:pos="850"/>
              </w:tabs>
              <w:autoSpaceDE w:val="0"/>
              <w:autoSpaceDN w:val="0"/>
              <w:spacing w:before="72" w:beforeLines="30" w:after="72" w:afterLines="30" w:line="360" w:lineRule="auto"/>
              <w:textAlignment w:val="bottom"/>
              <w:rPr>
                <w:sz w:val="24"/>
                <w:highlight w:val="none"/>
              </w:rPr>
            </w:pPr>
          </w:p>
        </w:tc>
      </w:tr>
      <w:tr>
        <w:tblPrEx>
          <w:tblCellMar>
            <w:top w:w="0" w:type="dxa"/>
            <w:left w:w="108" w:type="dxa"/>
            <w:bottom w:w="0" w:type="dxa"/>
            <w:right w:w="108" w:type="dxa"/>
          </w:tblCellMar>
        </w:tblPrEx>
        <w:trPr>
          <w:trHeight w:val="1084" w:hRule="atLeast"/>
        </w:trPr>
        <w:tc>
          <w:tcPr>
            <w:tcW w:w="2603" w:type="pct"/>
            <w:vAlign w:val="center"/>
          </w:tcPr>
          <w:p>
            <w:pPr>
              <w:tabs>
                <w:tab w:val="left" w:pos="850"/>
              </w:tabs>
              <w:autoSpaceDE w:val="0"/>
              <w:autoSpaceDN w:val="0"/>
              <w:spacing w:before="72" w:beforeLines="30" w:after="72" w:afterLines="30" w:line="360" w:lineRule="auto"/>
              <w:textAlignment w:val="bottom"/>
              <w:rPr>
                <w:sz w:val="24"/>
                <w:highlight w:val="none"/>
              </w:rPr>
            </w:pPr>
            <w:r>
              <w:rPr>
                <w:sz w:val="24"/>
                <w:highlight w:val="none"/>
              </w:rPr>
              <w:t>法定代表人或授权代表签字：</w:t>
            </w: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r>
              <w:rPr>
                <w:sz w:val="24"/>
                <w:highlight w:val="none"/>
                <w:u w:val="single"/>
              </w:rPr>
              <w:t xml:space="preserve">         </w:t>
            </w:r>
            <w:r>
              <w:rPr>
                <w:rFonts w:hint="eastAsia"/>
                <w:sz w:val="24"/>
                <w:highlight w:val="none"/>
                <w:u w:val="single"/>
              </w:rPr>
              <w:t xml:space="preserve">                     </w:t>
            </w:r>
            <w:r>
              <w:rPr>
                <w:sz w:val="24"/>
                <w:highlight w:val="none"/>
                <w:u w:val="single"/>
              </w:rPr>
              <w:t xml:space="preserve">    </w:t>
            </w:r>
          </w:p>
        </w:tc>
        <w:tc>
          <w:tcPr>
            <w:tcW w:w="2397" w:type="pct"/>
            <w:vAlign w:val="center"/>
          </w:tcPr>
          <w:p>
            <w:pPr>
              <w:tabs>
                <w:tab w:val="left" w:pos="850"/>
              </w:tabs>
              <w:autoSpaceDE w:val="0"/>
              <w:autoSpaceDN w:val="0"/>
              <w:spacing w:before="72" w:beforeLines="30" w:after="72" w:afterLines="30" w:line="360" w:lineRule="auto"/>
              <w:textAlignment w:val="bottom"/>
              <w:rPr>
                <w:sz w:val="24"/>
                <w:highlight w:val="none"/>
              </w:rPr>
            </w:pPr>
            <w:r>
              <w:rPr>
                <w:sz w:val="24"/>
                <w:highlight w:val="none"/>
              </w:rPr>
              <w:t>法定代表人或授权代表签字：</w:t>
            </w: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p>
          <w:p>
            <w:pPr>
              <w:tabs>
                <w:tab w:val="left" w:pos="850"/>
              </w:tabs>
              <w:autoSpaceDE w:val="0"/>
              <w:autoSpaceDN w:val="0"/>
              <w:spacing w:before="72" w:beforeLines="30" w:after="72" w:afterLines="30" w:line="360" w:lineRule="auto"/>
              <w:textAlignment w:val="bottom"/>
              <w:rPr>
                <w:sz w:val="24"/>
                <w:highlight w:val="none"/>
              </w:rPr>
            </w:pPr>
            <w:r>
              <w:rPr>
                <w:sz w:val="24"/>
                <w:highlight w:val="none"/>
                <w:u w:val="single"/>
              </w:rPr>
              <w:t xml:space="preserve">            </w:t>
            </w:r>
            <w:r>
              <w:rPr>
                <w:rFonts w:hint="eastAsia"/>
                <w:sz w:val="24"/>
                <w:highlight w:val="none"/>
                <w:u w:val="single"/>
              </w:rPr>
              <w:t xml:space="preserve">                 </w:t>
            </w:r>
            <w:r>
              <w:rPr>
                <w:sz w:val="24"/>
                <w:highlight w:val="none"/>
                <w:u w:val="single"/>
              </w:rPr>
              <w:t xml:space="preserve">   </w:t>
            </w:r>
          </w:p>
        </w:tc>
      </w:tr>
    </w:tbl>
    <w:p>
      <w:pPr>
        <w:spacing w:before="72" w:beforeLines="30" w:after="72" w:afterLines="30" w:line="360" w:lineRule="auto"/>
        <w:rPr>
          <w:sz w:val="24"/>
          <w:highlight w:val="none"/>
        </w:rPr>
      </w:pPr>
      <w:r>
        <w:rPr>
          <w:rFonts w:hint="eastAsia"/>
          <w:sz w:val="24"/>
          <w:highlight w:val="none"/>
        </w:rPr>
        <w:t>姓名：</w:t>
      </w:r>
      <w:r>
        <w:rPr>
          <w:rFonts w:hint="eastAsia"/>
          <w:sz w:val="24"/>
          <w:highlight w:val="none"/>
          <w:u w:val="single"/>
        </w:rPr>
        <w:t xml:space="preserve">                     </w:t>
      </w:r>
      <w:r>
        <w:rPr>
          <w:rFonts w:hint="eastAsia"/>
          <w:sz w:val="24"/>
          <w:highlight w:val="none"/>
        </w:rPr>
        <w:tab/>
      </w:r>
      <w:r>
        <w:rPr>
          <w:rFonts w:hint="eastAsia"/>
          <w:sz w:val="24"/>
          <w:highlight w:val="none"/>
        </w:rPr>
        <w:tab/>
      </w:r>
      <w:r>
        <w:rPr>
          <w:rFonts w:hint="eastAsia"/>
          <w:sz w:val="24"/>
          <w:highlight w:val="none"/>
        </w:rPr>
        <w:t xml:space="preserve">          姓名：</w:t>
      </w:r>
      <w:r>
        <w:rPr>
          <w:rFonts w:hint="eastAsia"/>
          <w:sz w:val="24"/>
          <w:highlight w:val="none"/>
          <w:u w:val="single"/>
        </w:rPr>
        <w:t xml:space="preserve">                       </w:t>
      </w:r>
    </w:p>
    <w:p>
      <w:pPr>
        <w:spacing w:before="72" w:beforeLines="30" w:after="72" w:afterLines="30" w:line="360" w:lineRule="auto"/>
        <w:rPr>
          <w:sz w:val="24"/>
          <w:highlight w:val="none"/>
        </w:rPr>
      </w:pPr>
      <w:r>
        <w:rPr>
          <w:rFonts w:hint="eastAsia"/>
          <w:sz w:val="24"/>
          <w:highlight w:val="none"/>
        </w:rPr>
        <w:t>职务：</w:t>
      </w:r>
      <w:r>
        <w:rPr>
          <w:rFonts w:hint="eastAsia"/>
          <w:sz w:val="24"/>
          <w:highlight w:val="none"/>
          <w:u w:val="single"/>
        </w:rPr>
        <w:t xml:space="preserve">                     </w:t>
      </w:r>
      <w:r>
        <w:rPr>
          <w:rFonts w:hint="eastAsia"/>
          <w:sz w:val="24"/>
          <w:highlight w:val="none"/>
        </w:rPr>
        <w:tab/>
      </w:r>
      <w:r>
        <w:rPr>
          <w:rFonts w:hint="eastAsia"/>
          <w:sz w:val="24"/>
          <w:highlight w:val="none"/>
        </w:rPr>
        <w:tab/>
      </w:r>
      <w:r>
        <w:rPr>
          <w:rFonts w:hint="eastAsia"/>
          <w:sz w:val="24"/>
          <w:highlight w:val="none"/>
        </w:rPr>
        <w:t xml:space="preserve">          职务：</w:t>
      </w:r>
      <w:r>
        <w:rPr>
          <w:rFonts w:hint="eastAsia"/>
          <w:sz w:val="24"/>
          <w:highlight w:val="none"/>
          <w:u w:val="single"/>
        </w:rPr>
        <w:t xml:space="preserve">                       </w:t>
      </w: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sz w:val="24"/>
          <w:highlight w:val="none"/>
        </w:rPr>
      </w:pPr>
    </w:p>
    <w:p>
      <w:pPr>
        <w:widowControl/>
        <w:spacing w:before="72" w:beforeLines="30" w:after="72" w:afterLines="30" w:line="360" w:lineRule="auto"/>
        <w:jc w:val="left"/>
        <w:rPr>
          <w:b/>
          <w:bCs/>
          <w:iCs/>
          <w:kern w:val="0"/>
          <w:sz w:val="24"/>
          <w:highlight w:val="none"/>
        </w:rPr>
      </w:pPr>
      <w:bookmarkStart w:id="113" w:name="_Toc358987523"/>
      <w:bookmarkStart w:id="114" w:name="_Toc296955897"/>
      <w:bookmarkStart w:id="115" w:name="_Toc366251493"/>
      <w:bookmarkStart w:id="116" w:name="_Toc300670376"/>
      <w:bookmarkStart w:id="117" w:name="_Toc291435885"/>
      <w:bookmarkStart w:id="118" w:name="_Toc300670448"/>
      <w:bookmarkStart w:id="119" w:name="_Toc291435952"/>
      <w:r>
        <w:rPr>
          <w:rFonts w:hint="eastAsia"/>
          <w:b/>
          <w:bCs/>
          <w:iCs/>
          <w:kern w:val="0"/>
          <w:sz w:val="24"/>
          <w:highlight w:val="none"/>
        </w:rPr>
        <w:t>附件一：</w:t>
      </w:r>
      <w:bookmarkEnd w:id="113"/>
      <w:bookmarkEnd w:id="114"/>
      <w:bookmarkEnd w:id="115"/>
      <w:bookmarkEnd w:id="116"/>
      <w:bookmarkEnd w:id="117"/>
      <w:bookmarkEnd w:id="118"/>
      <w:bookmarkEnd w:id="119"/>
      <w:r>
        <w:rPr>
          <w:rFonts w:hint="eastAsia"/>
          <w:b/>
          <w:bCs/>
          <w:iCs/>
          <w:kern w:val="0"/>
          <w:sz w:val="24"/>
          <w:highlight w:val="none"/>
        </w:rPr>
        <w:t>价格表</w:t>
      </w:r>
    </w:p>
    <w:p>
      <w:pPr>
        <w:widowControl/>
        <w:spacing w:before="72" w:beforeLines="30" w:after="72" w:afterLines="30" w:line="360" w:lineRule="auto"/>
        <w:jc w:val="left"/>
        <w:rPr>
          <w:sz w:val="24"/>
          <w:highlight w:val="none"/>
        </w:rPr>
      </w:pPr>
      <w:r>
        <w:rPr>
          <w:rFonts w:hint="eastAsia"/>
          <w:b/>
          <w:bCs/>
          <w:iCs/>
          <w:kern w:val="0"/>
          <w:sz w:val="24"/>
          <w:highlight w:val="none"/>
        </w:rPr>
        <w:t>附件二：技术服务</w:t>
      </w:r>
    </w:p>
    <w:p>
      <w:pPr>
        <w:rPr>
          <w:highlight w:val="none"/>
          <w:lang w:val="en-US" w:eastAsia="zh-CN"/>
        </w:rPr>
      </w:pPr>
      <w:r>
        <w:rPr>
          <w:rFonts w:hint="eastAsia"/>
          <w:b/>
          <w:bCs/>
          <w:iCs/>
          <w:kern w:val="0"/>
          <w:sz w:val="24"/>
          <w:highlight w:val="none"/>
        </w:rPr>
        <w:t>附件三：付款进度</w:t>
      </w:r>
    </w:p>
    <w:p>
      <w:pPr>
        <w:pStyle w:val="3"/>
        <w:rPr>
          <w:highlight w:val="none"/>
          <w:lang w:val="en-US" w:eastAsia="zh-CN"/>
        </w:rPr>
      </w:pPr>
    </w:p>
    <w:p>
      <w:pPr>
        <w:rPr>
          <w:highlight w:val="none"/>
          <w:lang w:val="en-US" w:eastAsia="zh-CN"/>
        </w:rPr>
      </w:pPr>
    </w:p>
    <w:p>
      <w:pPr>
        <w:pStyle w:val="3"/>
        <w:rPr>
          <w:highlight w:val="none"/>
          <w:lang w:val="en-US" w:eastAsia="zh-CN"/>
        </w:rPr>
      </w:pPr>
    </w:p>
    <w:p>
      <w:pPr>
        <w:pStyle w:val="3"/>
        <w:rPr>
          <w:highlight w:val="none"/>
          <w:lang w:val="en-US" w:eastAsia="zh-CN"/>
        </w:rPr>
      </w:pPr>
    </w:p>
    <w:p>
      <w:pPr>
        <w:rPr>
          <w:rFonts w:hint="eastAsia"/>
          <w:b/>
          <w:strike w:val="0"/>
          <w:dstrike w:val="0"/>
          <w:sz w:val="24"/>
          <w:lang w:val="en-US" w:eastAsia="zh-CN"/>
        </w:rPr>
      </w:pPr>
      <w:r>
        <w:rPr>
          <w:rFonts w:hint="eastAsia"/>
          <w:b/>
          <w:strike w:val="0"/>
          <w:dstrike w:val="0"/>
          <w:sz w:val="24"/>
          <w:highlight w:val="none"/>
          <w:lang w:val="en-US" w:eastAsia="zh-CN"/>
        </w:rPr>
        <w:br w:type="page"/>
      </w:r>
    </w:p>
    <w:p>
      <w:pPr>
        <w:pStyle w:val="35"/>
        <w:keepNext w:val="0"/>
        <w:keepLines w:val="0"/>
        <w:pageBreakBefore w:val="0"/>
        <w:widowControl/>
        <w:kinsoku/>
        <w:wordWrap/>
        <w:overflowPunct/>
        <w:topLinePunct w:val="0"/>
        <w:autoSpaceDE/>
        <w:autoSpaceDN/>
        <w:bidi w:val="0"/>
        <w:adjustRightInd/>
        <w:snapToGrid/>
        <w:spacing w:before="240" w:after="240" w:line="360" w:lineRule="auto"/>
        <w:jc w:val="left"/>
        <w:textAlignment w:val="auto"/>
        <w:outlineLvl w:val="0"/>
        <w:rPr>
          <w:rFonts w:hint="eastAsia" w:ascii="宋体" w:hAnsi="宋体" w:eastAsia="宋体" w:cs="宋体"/>
          <w:b/>
          <w:strike w:val="0"/>
          <w:dstrike w:val="0"/>
          <w:sz w:val="21"/>
          <w:lang w:eastAsia="zh-CN"/>
        </w:rPr>
      </w:pPr>
      <w:r>
        <w:rPr>
          <w:rFonts w:hint="eastAsia" w:ascii="宋体" w:hAnsi="宋体" w:cs="宋体"/>
          <w:b/>
          <w:strike w:val="0"/>
          <w:dstrike w:val="0"/>
          <w:sz w:val="21"/>
          <w:highlight w:val="none"/>
          <w:lang w:val="en-US" w:eastAsia="zh-CN"/>
        </w:rPr>
        <w:t xml:space="preserve">附件4： </w:t>
      </w:r>
      <w:r>
        <w:rPr>
          <w:rFonts w:hint="eastAsia" w:ascii="宋体" w:hAnsi="宋体" w:cs="宋体"/>
          <w:b/>
          <w:strike w:val="0"/>
          <w:dstrike w:val="0"/>
          <w:sz w:val="21"/>
          <w:highlight w:val="none"/>
        </w:rPr>
        <w:t>供应商履约异常处罚方式</w:t>
      </w:r>
      <w:r>
        <w:rPr>
          <w:rFonts w:hint="eastAsia" w:ascii="宋体" w:hAnsi="宋体" w:cs="宋体"/>
          <w:b/>
          <w:strike w:val="0"/>
          <w:dstrike w:val="0"/>
          <w:sz w:val="21"/>
          <w:lang w:val="en-US" w:eastAsia="zh-CN"/>
        </w:rPr>
        <w:t xml:space="preserve"> </w:t>
      </w:r>
    </w:p>
    <w:tbl>
      <w:tblPr>
        <w:tblStyle w:val="18"/>
        <w:tblpPr w:leftFromText="180" w:rightFromText="180" w:vertAnchor="text" w:horzAnchor="page" w:tblpX="1113" w:tblpY="376"/>
        <w:tblOverlap w:val="never"/>
        <w:tblW w:w="96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2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6" w:hRule="atLeast"/>
        </w:trPr>
        <w:tc>
          <w:tcPr>
            <w:tcW w:w="9620" w:type="dxa"/>
            <w:tcBorders>
              <w:tl2br w:val="nil"/>
              <w:tr2bl w:val="nil"/>
            </w:tcBorders>
            <w:shd w:val="clear" w:color="auto" w:fill="auto"/>
            <w:vAlign w:val="center"/>
          </w:tcPr>
          <w:p>
            <w:pPr>
              <w:textAlignment w:val="center"/>
              <w:rPr>
                <w:rFonts w:hint="eastAsia" w:ascii="宋体" w:hAnsi="宋体" w:eastAsia="宋体" w:cs="宋体"/>
                <w:b/>
                <w:bCs/>
                <w:sz w:val="21"/>
                <w:szCs w:val="21"/>
                <w:lang w:bidi="ar"/>
              </w:rPr>
            </w:pPr>
            <w:r>
              <w:rPr>
                <w:rFonts w:hint="eastAsia" w:ascii="宋体" w:hAnsi="宋体" w:eastAsia="宋体" w:cs="宋体"/>
                <w:b/>
                <w:bCs/>
                <w:sz w:val="21"/>
                <w:szCs w:val="21"/>
                <w:lang w:val="en-US" w:eastAsia="zh-CN" w:bidi="ar"/>
              </w:rPr>
              <w:t>一、履约异常供应商处理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9620" w:type="dxa"/>
            <w:tcBorders>
              <w:tl2br w:val="nil"/>
              <w:tr2bl w:val="nil"/>
            </w:tcBorders>
            <w:shd w:val="clear" w:color="auto" w:fill="auto"/>
            <w:vAlign w:val="center"/>
          </w:tcPr>
          <w:tbl>
            <w:tblPr>
              <w:tblStyle w:val="18"/>
              <w:tblW w:w="9644" w:type="dxa"/>
              <w:tblInd w:w="-1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3"/>
              <w:gridCol w:w="2345"/>
              <w:gridCol w:w="4895"/>
              <w:gridCol w:w="1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63" w:type="dxa"/>
                  <w:shd w:val="clear" w:color="auto" w:fill="auto"/>
                  <w:vAlign w:val="center"/>
                </w:tcPr>
                <w:p>
                  <w:pPr>
                    <w:pStyle w:val="4"/>
                    <w:numPr>
                      <w:ilvl w:val="0"/>
                      <w:numId w:val="0"/>
                    </w:numPr>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bidi="ar"/>
                    </w:rPr>
                    <w:t>序号</w:t>
                  </w:r>
                </w:p>
              </w:tc>
              <w:tc>
                <w:tcPr>
                  <w:tcW w:w="2345" w:type="dxa"/>
                  <w:shd w:val="clear" w:color="auto" w:fill="auto"/>
                  <w:vAlign w:val="center"/>
                </w:tcPr>
                <w:p>
                  <w:pPr>
                    <w:pStyle w:val="4"/>
                    <w:numPr>
                      <w:ilvl w:val="0"/>
                      <w:numId w:val="0"/>
                    </w:numPr>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bidi="ar"/>
                    </w:rPr>
                    <w:t>违规类型</w:t>
                  </w:r>
                </w:p>
              </w:tc>
              <w:tc>
                <w:tcPr>
                  <w:tcW w:w="4895" w:type="dxa"/>
                  <w:shd w:val="clear" w:color="auto" w:fill="auto"/>
                  <w:vAlign w:val="center"/>
                </w:tcPr>
                <w:p>
                  <w:pPr>
                    <w:pStyle w:val="4"/>
                    <w:numPr>
                      <w:ilvl w:val="0"/>
                      <w:numId w:val="0"/>
                    </w:numPr>
                    <w:jc w:val="center"/>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bidi="ar"/>
                    </w:rPr>
                    <w:t>违规情形说明</w:t>
                  </w:r>
                </w:p>
              </w:tc>
              <w:tc>
                <w:tcPr>
                  <w:tcW w:w="1941" w:type="dxa"/>
                  <w:shd w:val="clear" w:color="auto" w:fill="auto"/>
                  <w:vAlign w:val="center"/>
                </w:tcPr>
                <w:p>
                  <w:pPr>
                    <w:pStyle w:val="4"/>
                    <w:numPr>
                      <w:ilvl w:val="0"/>
                      <w:numId w:val="0"/>
                    </w:numPr>
                    <w:ind w:firstLineChars="200"/>
                    <w:textAlignment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lang w:bidi="ar"/>
                    </w:rPr>
                    <w:t>处理方式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463"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bidi="ar"/>
                    </w:rPr>
                  </w:pPr>
                  <w:r>
                    <w:rPr>
                      <w:rFonts w:hint="eastAsia" w:ascii="宋体" w:hAnsi="宋体" w:eastAsia="宋体" w:cs="宋体"/>
                      <w:color w:val="000000"/>
                      <w:sz w:val="21"/>
                      <w:szCs w:val="21"/>
                      <w:lang w:bidi="ar"/>
                    </w:rPr>
                    <w:t>1</w:t>
                  </w:r>
                </w:p>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提供虚假资料</w:t>
                  </w:r>
                </w:p>
              </w:tc>
              <w:tc>
                <w:tcPr>
                  <w:tcW w:w="4895" w:type="dxa"/>
                  <w:shd w:val="clear" w:color="auto" w:fill="auto"/>
                  <w:vAlign w:val="center"/>
                </w:tcPr>
                <w:p>
                  <w:pPr>
                    <w:pStyle w:val="4"/>
                    <w:numPr>
                      <w:ilvl w:val="0"/>
                      <w:numId w:val="0"/>
                    </w:numPr>
                    <w:rPr>
                      <w:rFonts w:hint="eastAsia" w:ascii="宋体" w:hAnsi="宋体" w:eastAsia="宋体" w:cs="宋体"/>
                      <w:bCs w:val="0"/>
                      <w:color w:val="000000"/>
                      <w:kern w:val="0"/>
                      <w:sz w:val="21"/>
                      <w:szCs w:val="21"/>
                      <w:lang w:val="en-US" w:eastAsia="zh-CN" w:bidi="ar"/>
                    </w:rPr>
                  </w:pPr>
                  <w:r>
                    <w:rPr>
                      <w:rFonts w:hint="eastAsia" w:ascii="宋体" w:hAnsi="宋体" w:eastAsia="宋体" w:cs="宋体"/>
                      <w:bCs w:val="0"/>
                      <w:color w:val="000000"/>
                      <w:kern w:val="0"/>
                      <w:sz w:val="21"/>
                      <w:szCs w:val="21"/>
                      <w:lang w:val="en-US" w:eastAsia="zh-CN" w:bidi="ar"/>
                    </w:rPr>
                    <w:t>提供虚假材料（资质文件、业绩、财务状况、书面承诺等）进行供应商注册、资格审查或参与采购项目，未签订合同的，未造成实质性影响的（有效竞争人不少于3家的）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2"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pPr>
                    <w:pStyle w:val="4"/>
                    <w:numPr>
                      <w:ilvl w:val="0"/>
                      <w:numId w:val="0"/>
                    </w:numPr>
                    <w:jc w:val="cente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rPr>
                      <w:rFonts w:hint="default" w:ascii="宋体" w:hAnsi="宋体" w:eastAsia="宋体" w:cs="宋体"/>
                      <w:bCs w:val="0"/>
                      <w:color w:val="000000"/>
                      <w:kern w:val="0"/>
                      <w:sz w:val="21"/>
                      <w:szCs w:val="21"/>
                      <w:lang w:val="en-US" w:eastAsia="zh-CN" w:bidi="ar"/>
                    </w:rPr>
                  </w:pPr>
                  <w:r>
                    <w:rPr>
                      <w:rFonts w:hint="eastAsia" w:ascii="宋体" w:hAnsi="宋体" w:eastAsia="宋体" w:cs="宋体"/>
                      <w:bCs w:val="0"/>
                      <w:color w:val="000000"/>
                      <w:kern w:val="0"/>
                      <w:sz w:val="21"/>
                      <w:szCs w:val="21"/>
                      <w:lang w:val="en-US" w:eastAsia="zh-CN" w:bidi="ar"/>
                    </w:rPr>
                    <w:t>提供虚假材料（资质文件、业绩、财务状况、书面承诺等）进行供应商注册、资格审查或参与采购项目，未签订合同的，造成实质性影响的（有效竞争人少于3家的）或已签订合同且已执行的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bidi="ar"/>
                    </w:rPr>
                    <w:t>禁用两年</w:t>
                  </w:r>
                  <w:r>
                    <w:rPr>
                      <w:rFonts w:hint="eastAsia" w:ascii="宋体" w:hAnsi="宋体" w:eastAsia="宋体" w:cs="宋体"/>
                      <w:color w:val="000000"/>
                      <w:sz w:val="21"/>
                      <w:szCs w:val="21"/>
                      <w:lang w:eastAsia="zh-CN" w:bidi="ar"/>
                    </w:rPr>
                    <w:t>，</w:t>
                  </w:r>
                  <w:r>
                    <w:rPr>
                      <w:rFonts w:hint="eastAsia" w:ascii="宋体" w:hAnsi="宋体" w:eastAsia="宋体" w:cs="宋体"/>
                      <w:color w:val="000000" w:themeColor="text1"/>
                      <w:kern w:val="0"/>
                      <w:sz w:val="21"/>
                      <w:szCs w:val="21"/>
                      <w14:textFill>
                        <w14:solidFill>
                          <w14:schemeClr w14:val="tx1"/>
                        </w14:solidFill>
                      </w14:textFill>
                    </w:rPr>
                    <w:t>造成损失根据损失程度再增加对其处理。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trPr>
              <w:tc>
                <w:tcPr>
                  <w:tcW w:w="463"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bidi="ar"/>
                    </w:rPr>
                    <w:t>2</w:t>
                  </w:r>
                </w:p>
              </w:tc>
              <w:tc>
                <w:tcPr>
                  <w:tcW w:w="2345"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恶意串通</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为达到不正当目的相互恶意串通，未签订合同的或已签订合同且已执行但未造成合同额外损失的。</w:t>
                  </w:r>
                  <w:r>
                    <w:rPr>
                      <w:rFonts w:hint="eastAsia" w:ascii="宋体" w:hAnsi="宋体" w:eastAsia="宋体" w:cs="宋体"/>
                      <w:color w:val="000000"/>
                      <w:sz w:val="21"/>
                      <w:szCs w:val="21"/>
                      <w:highlight w:val="none"/>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pPr>
                    <w:pStyle w:val="4"/>
                    <w:numPr>
                      <w:ilvl w:val="0"/>
                      <w:numId w:val="0"/>
                    </w:numPr>
                    <w:jc w:val="cente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highlight w:val="none"/>
                    </w:rPr>
                  </w:pPr>
                  <w:r>
                    <w:rPr>
                      <w:rFonts w:hint="eastAsia" w:ascii="宋体" w:hAnsi="宋体" w:eastAsia="宋体" w:cs="宋体"/>
                      <w:i w:val="0"/>
                      <w:iCs w:val="0"/>
                      <w:color w:val="000000"/>
                      <w:kern w:val="0"/>
                      <w:sz w:val="21"/>
                      <w:szCs w:val="21"/>
                      <w:highlight w:val="none"/>
                      <w:u w:val="none"/>
                      <w:lang w:val="en-US" w:eastAsia="zh-CN" w:bidi="ar"/>
                    </w:rPr>
                    <w:t>为达到不正当目的相互恶意串通，已签订合同且已执行并造成合同额外损失的。</w:t>
                  </w:r>
                  <w:r>
                    <w:rPr>
                      <w:rFonts w:hint="eastAsia" w:ascii="宋体" w:hAnsi="宋体" w:eastAsia="宋体" w:cs="宋体"/>
                      <w:color w:val="000000"/>
                      <w:sz w:val="21"/>
                      <w:szCs w:val="21"/>
                      <w:highlight w:val="none"/>
                      <w:lang w:bidi="ar"/>
                    </w:rPr>
                    <w:t>恶意串通包括：①供应商与采购人或招标机构串通，由采购人或招标机构提出有利于特定供应商中标的要求；②供应商与采购人、招标机构或其他供应商串通陪标的；③供应商之间相互串通，以不正当的手段排挤其他供应商</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2"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bidi="ar"/>
                    </w:rPr>
                  </w:pPr>
                </w:p>
              </w:tc>
              <w:tc>
                <w:tcPr>
                  <w:tcW w:w="2345" w:type="dxa"/>
                  <w:vMerge w:val="continue"/>
                  <w:shd w:val="clear" w:color="auto" w:fill="auto"/>
                  <w:vAlign w:val="center"/>
                </w:tcPr>
                <w:p>
                  <w:pPr>
                    <w:pStyle w:val="4"/>
                    <w:numPr>
                      <w:ilvl w:val="0"/>
                      <w:numId w:val="0"/>
                    </w:numPr>
                    <w:jc w:val="cente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textAlignment w:val="center"/>
                    <w:rPr>
                      <w:rFonts w:hint="eastAsia" w:ascii="宋体" w:hAnsi="宋体" w:eastAsia="宋体" w:cs="宋体"/>
                      <w:strike/>
                      <w:color w:val="000000"/>
                      <w:sz w:val="21"/>
                      <w:szCs w:val="21"/>
                      <w:highlight w:val="none"/>
                      <w:lang w:bidi="ar"/>
                    </w:rPr>
                  </w:pPr>
                  <w:r>
                    <w:rPr>
                      <w:rFonts w:hint="eastAsia" w:ascii="宋体" w:hAnsi="宋体" w:eastAsia="宋体" w:cs="宋体"/>
                      <w:i w:val="0"/>
                      <w:iCs w:val="0"/>
                      <w:color w:val="000000"/>
                      <w:kern w:val="0"/>
                      <w:sz w:val="21"/>
                      <w:szCs w:val="21"/>
                      <w:u w:val="none"/>
                      <w:lang w:val="en-US" w:eastAsia="zh-CN" w:bidi="ar"/>
                    </w:rPr>
                    <w:t>为达到不正当目的相互恶意串通的注册供应商。恶意串通包括：①供应商与采购人或招标机构串通，由采购人或招标机构提出有利于特定供应商中标的要求；②供应商与采购人、招标机构或其他供应商串通陪标的；③供应商之间相互串通，以不正当的手段排挤其他供应商；</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63" w:hRule="atLeast"/>
              </w:trPr>
              <w:tc>
                <w:tcPr>
                  <w:tcW w:w="463" w:type="dxa"/>
                  <w:shd w:val="clear" w:color="auto" w:fill="auto"/>
                  <w:vAlign w:val="center"/>
                </w:tcPr>
                <w:p>
                  <w:pPr>
                    <w:pStyle w:val="4"/>
                    <w:numPr>
                      <w:ilvl w:val="0"/>
                      <w:numId w:val="0"/>
                    </w:numPr>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bidi="ar"/>
                    </w:rPr>
                    <w:t>3</w:t>
                  </w:r>
                </w:p>
              </w:tc>
              <w:tc>
                <w:tcPr>
                  <w:tcW w:w="2345" w:type="dxa"/>
                  <w:shd w:val="clear" w:color="auto" w:fill="auto"/>
                  <w:vAlign w:val="center"/>
                </w:tcPr>
                <w:p>
                  <w:pPr>
                    <w:pStyle w:val="4"/>
                    <w:numPr>
                      <w:ilvl w:val="0"/>
                      <w:numId w:val="0"/>
                    </w:numPr>
                    <w:ind w:firstLineChars="0"/>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行贿</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向采购交易所涉及的相关方或能产生实际影响的相关方行贿。</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对供应商给予“禁用两年”或“长期禁用”处理，行贿判定的依据为公司内部执纪部门书面通知等。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463" w:type="dxa"/>
                  <w:shd w:val="clear" w:color="auto" w:fill="auto"/>
                  <w:vAlign w:val="center"/>
                </w:tcPr>
                <w:p>
                  <w:pPr>
                    <w:pStyle w:val="4"/>
                    <w:numPr>
                      <w:ilvl w:val="0"/>
                      <w:numId w:val="0"/>
                    </w:numPr>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bidi="ar"/>
                    </w:rPr>
                    <w:t>4</w:t>
                  </w:r>
                </w:p>
              </w:tc>
              <w:tc>
                <w:tcPr>
                  <w:tcW w:w="2345" w:type="dxa"/>
                  <w:shd w:val="clear" w:color="auto" w:fill="auto"/>
                  <w:vAlign w:val="center"/>
                </w:tcPr>
                <w:p>
                  <w:pPr>
                    <w:pStyle w:val="4"/>
                    <w:numPr>
                      <w:ilvl w:val="0"/>
                      <w:numId w:val="0"/>
                    </w:numPr>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排挤其他供应商</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在采购结果公布之前，违法违规获得非公开评标信息，或采取不正当手段妨碍、排挤其他供应商</w:t>
                  </w:r>
                  <w:r>
                    <w:rPr>
                      <w:rFonts w:hint="eastAsia" w:ascii="宋体" w:hAnsi="宋体" w:eastAsia="宋体" w:cs="宋体"/>
                      <w:color w:val="000000"/>
                      <w:sz w:val="21"/>
                      <w:szCs w:val="21"/>
                      <w:lang w:eastAsia="zh-CN" w:bidi="ar"/>
                    </w:rPr>
                    <w:t>应答</w:t>
                  </w:r>
                  <w:r>
                    <w:rPr>
                      <w:rFonts w:hint="eastAsia" w:ascii="宋体" w:hAnsi="宋体" w:eastAsia="宋体" w:cs="宋体"/>
                      <w:color w:val="000000"/>
                      <w:sz w:val="21"/>
                      <w:szCs w:val="21"/>
                      <w:lang w:bidi="ar"/>
                    </w:rPr>
                    <w:t>或中标的，证据确凿的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463"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bidi="ar"/>
                    </w:rPr>
                    <w:t>5</w:t>
                  </w:r>
                </w:p>
              </w:tc>
              <w:tc>
                <w:tcPr>
                  <w:tcW w:w="2345"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bidi="ar"/>
                    </w:rPr>
                    <w:t>中途撤销</w:t>
                  </w:r>
                  <w:r>
                    <w:rPr>
                      <w:rFonts w:hint="eastAsia" w:ascii="宋体" w:hAnsi="宋体" w:eastAsia="宋体" w:cs="宋体"/>
                      <w:color w:val="000000"/>
                      <w:sz w:val="21"/>
                      <w:szCs w:val="21"/>
                      <w:lang w:eastAsia="zh-CN" w:bidi="ar"/>
                    </w:rPr>
                    <w:t>应答</w:t>
                  </w:r>
                </w:p>
              </w:tc>
              <w:tc>
                <w:tcPr>
                  <w:tcW w:w="4895" w:type="dxa"/>
                  <w:shd w:val="clear" w:color="auto" w:fill="auto"/>
                  <w:vAlign w:val="center"/>
                </w:tcPr>
                <w:p>
                  <w:pPr>
                    <w:pStyle w:val="4"/>
                    <w:numPr>
                      <w:ilvl w:val="0"/>
                      <w:numId w:val="0"/>
                    </w:numP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应答截止后撤销应答文件的，以及在中标公示或公告阶段，中标候选人放弃中标资格,未对采办过程造成影响的（有效竞争人不少于3家的）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pPr>
                    <w:pStyle w:val="4"/>
                    <w:numPr>
                      <w:ilvl w:val="0"/>
                      <w:numId w:val="0"/>
                    </w:numPr>
                    <w:jc w:val="cente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rPr>
                      <w:rFonts w:hint="eastAsia" w:ascii="宋体" w:hAnsi="宋体" w:eastAsia="宋体" w:cs="宋体"/>
                      <w:szCs w:val="21"/>
                    </w:rPr>
                  </w:pPr>
                  <w:r>
                    <w:rPr>
                      <w:rFonts w:hint="eastAsia" w:ascii="宋体" w:hAnsi="宋体" w:eastAsia="宋体" w:cs="宋体"/>
                      <w:i w:val="0"/>
                      <w:iCs w:val="0"/>
                      <w:color w:val="000000"/>
                      <w:kern w:val="0"/>
                      <w:sz w:val="21"/>
                      <w:szCs w:val="21"/>
                      <w:u w:val="none"/>
                      <w:lang w:val="en-US" w:eastAsia="zh-CN" w:bidi="ar"/>
                    </w:rPr>
                    <w:t>应答截止后撤销应答文件的，以及在中标公示或公告阶段，中标候选人放弃中标资格,且对采办过程造成影响的（有效竞争人少于3家的）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shd w:val="clear" w:color="auto" w:fill="auto"/>
                  <w:vAlign w:val="center"/>
                </w:tcPr>
                <w:p>
                  <w:pPr>
                    <w:pStyle w:val="4"/>
                    <w:numPr>
                      <w:ilvl w:val="0"/>
                      <w:numId w:val="0"/>
                    </w:numPr>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bidi="ar"/>
                    </w:rPr>
                    <w:t>6</w:t>
                  </w:r>
                </w:p>
              </w:tc>
              <w:tc>
                <w:tcPr>
                  <w:tcW w:w="2345" w:type="dxa"/>
                  <w:shd w:val="clear" w:color="auto" w:fill="auto"/>
                  <w:vAlign w:val="center"/>
                </w:tcPr>
                <w:p>
                  <w:pPr>
                    <w:pStyle w:val="4"/>
                    <w:numPr>
                      <w:ilvl w:val="0"/>
                      <w:numId w:val="0"/>
                    </w:numPr>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拒不签订合同</w:t>
                  </w:r>
                </w:p>
              </w:tc>
              <w:tc>
                <w:tcPr>
                  <w:tcW w:w="4895" w:type="dxa"/>
                  <w:shd w:val="clear" w:color="auto" w:fill="auto"/>
                  <w:vAlign w:val="center"/>
                </w:tcPr>
                <w:p>
                  <w:pPr>
                    <w:pStyle w:val="4"/>
                    <w:numPr>
                      <w:ilvl w:val="0"/>
                      <w:numId w:val="0"/>
                    </w:numP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获取中标资格或成交资格拒绝签订合同的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463" w:type="dxa"/>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val="en-US" w:eastAsia="zh-CN" w:bidi="ar"/>
                    </w:rPr>
                    <w:t>7</w:t>
                  </w:r>
                </w:p>
              </w:tc>
              <w:tc>
                <w:tcPr>
                  <w:tcW w:w="2345" w:type="dxa"/>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不遵守招</w:t>
                  </w:r>
                  <w:r>
                    <w:rPr>
                      <w:rFonts w:hint="eastAsia" w:ascii="宋体" w:hAnsi="宋体" w:eastAsia="宋体" w:cs="宋体"/>
                      <w:color w:val="000000"/>
                      <w:sz w:val="21"/>
                      <w:szCs w:val="21"/>
                      <w:lang w:eastAsia="zh-CN" w:bidi="ar"/>
                    </w:rPr>
                    <w:t>应答</w:t>
                  </w:r>
                  <w:r>
                    <w:rPr>
                      <w:rFonts w:hint="eastAsia" w:ascii="宋体" w:hAnsi="宋体" w:eastAsia="宋体" w:cs="宋体"/>
                      <w:color w:val="000000"/>
                      <w:sz w:val="21"/>
                      <w:szCs w:val="21"/>
                      <w:lang w:bidi="ar"/>
                    </w:rPr>
                    <w:t>纪律</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strike w:val="0"/>
                      <w:color w:val="000000"/>
                      <w:kern w:val="0"/>
                      <w:sz w:val="21"/>
                      <w:szCs w:val="21"/>
                      <w:u w:val="none"/>
                      <w:lang w:val="en-US" w:eastAsia="zh-CN" w:bidi="ar"/>
                    </w:rPr>
                    <w:t>不</w:t>
                  </w:r>
                  <w:r>
                    <w:rPr>
                      <w:rFonts w:hint="eastAsia" w:ascii="宋体" w:hAnsi="宋体" w:eastAsia="宋体" w:cs="宋体"/>
                      <w:i w:val="0"/>
                      <w:iCs w:val="0"/>
                      <w:color w:val="000000"/>
                      <w:kern w:val="0"/>
                      <w:sz w:val="21"/>
                      <w:szCs w:val="21"/>
                      <w:u w:val="none"/>
                      <w:lang w:val="en-US" w:eastAsia="zh-CN" w:bidi="ar"/>
                    </w:rPr>
                    <w:t>遵守招应答相关纪律或工作要求：如在开标、评标现场无理取闹，违反招应答程序,不遵守招应答秩序等情形。</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restart"/>
                  <w:shd w:val="clear" w:color="auto" w:fill="auto"/>
                  <w:vAlign w:val="center"/>
                </w:tcPr>
                <w:p>
                  <w:pPr>
                    <w:pStyle w:val="4"/>
                    <w:numPr>
                      <w:ilvl w:val="0"/>
                      <w:numId w:val="0"/>
                    </w:numPr>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bidi="ar"/>
                    </w:rPr>
                    <w:t>8</w:t>
                  </w:r>
                </w:p>
              </w:tc>
              <w:tc>
                <w:tcPr>
                  <w:tcW w:w="2345" w:type="dxa"/>
                  <w:vMerge w:val="restart"/>
                  <w:shd w:val="clear" w:color="auto" w:fill="auto"/>
                  <w:vAlign w:val="center"/>
                </w:tcPr>
                <w:p>
                  <w:pPr>
                    <w:pStyle w:val="4"/>
                    <w:numPr>
                      <w:ilvl w:val="0"/>
                      <w:numId w:val="0"/>
                    </w:numPr>
                    <w:rPr>
                      <w:rFonts w:hint="eastAsia" w:ascii="宋体" w:hAnsi="宋体" w:eastAsia="宋体" w:cs="宋体"/>
                      <w:color w:val="auto"/>
                      <w:kern w:val="44"/>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无事实依据对采购过程、采购结果或供应商处理结果进行乱投诉、举报的缠诉、滥诉行为。</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情节较轻的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kern w:val="0"/>
                      <w:sz w:val="21"/>
                      <w:szCs w:val="21"/>
                      <w:lang w:val="en-US" w:eastAsia="zh-CN" w:bidi="ar-SA"/>
                    </w:rPr>
                  </w:pPr>
                </w:p>
              </w:tc>
              <w:tc>
                <w:tcPr>
                  <w:tcW w:w="2345"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bidi="ar"/>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恶意投诉、举报的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kern w:val="0"/>
                      <w:sz w:val="21"/>
                      <w:szCs w:val="21"/>
                      <w:lang w:val="en-US" w:eastAsia="zh-CN" w:bidi="ar-SA"/>
                    </w:rPr>
                  </w:pPr>
                </w:p>
              </w:tc>
              <w:tc>
                <w:tcPr>
                  <w:tcW w:w="2345"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bidi="ar"/>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对伪造证据、捏造事实、诬陷招标方或供应商管理、供应商使用单位人员的，一经查证</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trPr>
              <w:tc>
                <w:tcPr>
                  <w:tcW w:w="463"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bidi="ar"/>
                    </w:rPr>
                    <w:t>9</w:t>
                  </w:r>
                </w:p>
              </w:tc>
              <w:tc>
                <w:tcPr>
                  <w:tcW w:w="2345"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擅自变更、不按照合同规定履行或者擅自终止合同的</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情节较轻的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pPr>
                    <w:pStyle w:val="4"/>
                    <w:numPr>
                      <w:ilvl w:val="0"/>
                      <w:numId w:val="0"/>
                    </w:numPr>
                    <w:jc w:val="cente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情节严重的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trPr>
              <w:tc>
                <w:tcPr>
                  <w:tcW w:w="463"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bidi="ar"/>
                    </w:rPr>
                    <w:t>10</w:t>
                  </w:r>
                </w:p>
              </w:tc>
              <w:tc>
                <w:tcPr>
                  <w:tcW w:w="2345"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strike w:val="0"/>
                      <w:color w:val="000000"/>
                      <w:sz w:val="21"/>
                      <w:szCs w:val="21"/>
                      <w:lang w:bidi="ar"/>
                    </w:rPr>
                    <w:t>擅自降低标的功能标准或改变功能结构</w:t>
                  </w:r>
                  <w:r>
                    <w:rPr>
                      <w:rFonts w:hint="eastAsia" w:ascii="宋体" w:hAnsi="宋体" w:eastAsia="宋体" w:cs="宋体"/>
                      <w:strike w:val="0"/>
                      <w:color w:val="000000"/>
                      <w:sz w:val="21"/>
                      <w:szCs w:val="21"/>
                      <w:lang w:val="en-US" w:eastAsia="zh-CN" w:bidi="ar"/>
                    </w:rPr>
                    <w:t>。</w:t>
                  </w:r>
                  <w:r>
                    <w:rPr>
                      <w:rFonts w:hint="eastAsia" w:ascii="宋体" w:hAnsi="宋体" w:eastAsia="宋体" w:cs="宋体"/>
                      <w:i w:val="0"/>
                      <w:iCs w:val="0"/>
                      <w:color w:val="000000"/>
                      <w:kern w:val="0"/>
                      <w:sz w:val="21"/>
                      <w:szCs w:val="21"/>
                      <w:u w:val="none"/>
                      <w:lang w:val="en-US" w:eastAsia="zh-CN" w:bidi="ar"/>
                    </w:rPr>
                    <w:t>供应商在提供工程、货物、服务时，擅自降低原来规定的功能标准，改变功能结构，使采购原有的功能要求得不到保证</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及时整改</w:t>
                  </w:r>
                  <w:r>
                    <w:rPr>
                      <w:rFonts w:hint="eastAsia" w:ascii="宋体" w:hAnsi="宋体" w:eastAsia="宋体" w:cs="宋体"/>
                      <w:color w:val="000000"/>
                      <w:sz w:val="21"/>
                      <w:szCs w:val="21"/>
                      <w:lang w:val="en-US" w:eastAsia="zh-CN" w:bidi="ar"/>
                    </w:rPr>
                    <w:t>且</w:t>
                  </w:r>
                  <w:r>
                    <w:rPr>
                      <w:rFonts w:hint="eastAsia" w:ascii="宋体" w:hAnsi="宋体" w:eastAsia="宋体" w:cs="宋体"/>
                      <w:color w:val="000000"/>
                      <w:sz w:val="21"/>
                      <w:szCs w:val="21"/>
                      <w:lang w:bidi="ar"/>
                    </w:rPr>
                    <w:t>未造成影响的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pPr>
                    <w:pStyle w:val="4"/>
                    <w:numPr>
                      <w:ilvl w:val="0"/>
                      <w:numId w:val="0"/>
                    </w:numPr>
                    <w:jc w:val="cente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及时整改但造成一定影响的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7"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pPr>
                    <w:pStyle w:val="4"/>
                    <w:numPr>
                      <w:ilvl w:val="0"/>
                      <w:numId w:val="0"/>
                    </w:numPr>
                    <w:jc w:val="cente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及时整改但影响较重的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pPr>
                    <w:pStyle w:val="4"/>
                    <w:numPr>
                      <w:ilvl w:val="0"/>
                      <w:numId w:val="0"/>
                    </w:numPr>
                    <w:jc w:val="cente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eastAsia="zh-CN"/>
                    </w:rPr>
                  </w:pPr>
                  <w:r>
                    <w:rPr>
                      <w:rFonts w:hint="eastAsia" w:ascii="宋体" w:hAnsi="宋体" w:eastAsia="宋体" w:cs="宋体"/>
                      <w:color w:val="000000"/>
                      <w:sz w:val="21"/>
                      <w:szCs w:val="21"/>
                      <w:lang w:bidi="ar"/>
                    </w:rPr>
                    <w:t>拒不整改的</w:t>
                  </w:r>
                  <w:r>
                    <w:rPr>
                      <w:rFonts w:hint="eastAsia" w:ascii="宋体" w:hAnsi="宋体" w:eastAsia="宋体" w:cs="宋体"/>
                      <w:i w:val="0"/>
                      <w:iCs w:val="0"/>
                      <w:color w:val="000000"/>
                      <w:kern w:val="0"/>
                      <w:sz w:val="21"/>
                      <w:szCs w:val="21"/>
                      <w:highlight w:val="none"/>
                      <w:u w:val="none"/>
                      <w:lang w:val="en-US" w:eastAsia="zh-CN" w:bidi="ar"/>
                    </w:rPr>
                    <w:t>，或未及时整改且影响较重的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63"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bidi="ar"/>
                    </w:rPr>
                    <w:t>11</w:t>
                  </w:r>
                </w:p>
              </w:tc>
              <w:tc>
                <w:tcPr>
                  <w:tcW w:w="2345" w:type="dxa"/>
                  <w:vMerge w:val="restart"/>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假冒其他厂家品牌，提供伪劣商品、以假乱真弄虚作假的</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对生产经营造成影响较小</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pPr>
                    <w:pStyle w:val="4"/>
                    <w:numPr>
                      <w:ilvl w:val="0"/>
                      <w:numId w:val="0"/>
                    </w:numP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对生产经营影响较大</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bidi="ar"/>
                    </w:rPr>
                    <w:t>12</w:t>
                  </w:r>
                </w:p>
              </w:tc>
              <w:tc>
                <w:tcPr>
                  <w:tcW w:w="2345" w:type="dxa"/>
                  <w:vMerge w:val="restart"/>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出现供给不足（即“短斤少两”行为）</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及时整改未产生影响的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不予处理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pPr>
                    <w:pStyle w:val="4"/>
                    <w:numPr>
                      <w:ilvl w:val="0"/>
                      <w:numId w:val="0"/>
                    </w:numP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整改但产生影响的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对供应商或相关品类给予“禁用一年”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pPr>
                    <w:pStyle w:val="4"/>
                    <w:numPr>
                      <w:ilvl w:val="0"/>
                      <w:numId w:val="0"/>
                    </w:numP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拒不更正的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restart"/>
                  <w:shd w:val="clear" w:color="auto" w:fill="auto"/>
                  <w:vAlign w:val="center"/>
                </w:tcPr>
                <w:p>
                  <w:pPr>
                    <w:pStyle w:val="4"/>
                    <w:numPr>
                      <w:ilvl w:val="0"/>
                      <w:numId w:val="0"/>
                    </w:numPr>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bidi="ar"/>
                    </w:rPr>
                    <w:t>13</w:t>
                  </w:r>
                </w:p>
              </w:tc>
              <w:tc>
                <w:tcPr>
                  <w:tcW w:w="2345" w:type="dxa"/>
                  <w:vMerge w:val="restart"/>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提供虚假进度报告</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未造成实质影响的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kern w:val="0"/>
                      <w:sz w:val="21"/>
                      <w:szCs w:val="21"/>
                      <w:lang w:val="en-US" w:eastAsia="zh-CN" w:bidi="ar-SA"/>
                    </w:rPr>
                  </w:pPr>
                </w:p>
              </w:tc>
              <w:tc>
                <w:tcPr>
                  <w:tcW w:w="2345" w:type="dxa"/>
                  <w:vMerge w:val="continue"/>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造成实质性影响的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bidi="ar"/>
                    </w:rPr>
                    <w:t>14</w:t>
                  </w:r>
                </w:p>
              </w:tc>
              <w:tc>
                <w:tcPr>
                  <w:tcW w:w="2345" w:type="dxa"/>
                  <w:vMerge w:val="restart"/>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strike w:val="0"/>
                      <w:color w:val="000000"/>
                      <w:sz w:val="21"/>
                      <w:szCs w:val="21"/>
                      <w:lang w:bidi="ar"/>
                    </w:rPr>
                    <w:t>违反规定</w:t>
                  </w:r>
                  <w:r>
                    <w:rPr>
                      <w:rFonts w:hint="eastAsia" w:ascii="宋体" w:hAnsi="宋体" w:eastAsia="宋体" w:cs="宋体"/>
                      <w:strike w:val="0"/>
                      <w:color w:val="000000"/>
                      <w:sz w:val="21"/>
                      <w:szCs w:val="21"/>
                      <w:lang w:val="en-US" w:eastAsia="zh-CN" w:bidi="ar"/>
                    </w:rPr>
                    <w:t>将</w:t>
                  </w:r>
                  <w:r>
                    <w:rPr>
                      <w:rFonts w:hint="eastAsia" w:ascii="宋体" w:hAnsi="宋体" w:eastAsia="宋体" w:cs="宋体"/>
                      <w:strike w:val="0"/>
                      <w:color w:val="000000"/>
                      <w:sz w:val="21"/>
                      <w:szCs w:val="21"/>
                      <w:lang w:bidi="ar"/>
                    </w:rPr>
                    <w:t>中标项目或合同转让、转包、分包</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及时更正其违规行为的</w:t>
                  </w:r>
                  <w:r>
                    <w:rPr>
                      <w:rFonts w:hint="eastAsia" w:ascii="宋体" w:hAnsi="宋体" w:eastAsia="宋体" w:cs="宋体"/>
                      <w:i w:val="0"/>
                      <w:iCs w:val="0"/>
                      <w:color w:val="000000"/>
                      <w:kern w:val="0"/>
                      <w:sz w:val="21"/>
                      <w:szCs w:val="21"/>
                      <w:u w:val="none"/>
                      <w:lang w:val="en-US" w:eastAsia="zh-CN" w:bidi="ar"/>
                    </w:rPr>
                    <w:t>，对生产经营未产生影响的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kern w:val="0"/>
                      <w:sz w:val="21"/>
                      <w:szCs w:val="21"/>
                      <w:lang w:val="en-US" w:eastAsia="zh-CN" w:bidi="ar-SA"/>
                    </w:rPr>
                  </w:pPr>
                </w:p>
              </w:tc>
              <w:tc>
                <w:tcPr>
                  <w:tcW w:w="2345" w:type="dxa"/>
                  <w:vMerge w:val="continue"/>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及时更正其违规行为的，对生产经营产生影响的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bidi="ar"/>
                    </w:rPr>
                  </w:pPr>
                </w:p>
              </w:tc>
              <w:tc>
                <w:tcPr>
                  <w:tcW w:w="2345" w:type="dxa"/>
                  <w:vMerge w:val="continue"/>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未及时更正其违规行为的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kern w:val="0"/>
                      <w:sz w:val="21"/>
                      <w:szCs w:val="21"/>
                      <w:lang w:val="en-US" w:eastAsia="zh-CN" w:bidi="ar-SA"/>
                    </w:rPr>
                  </w:pPr>
                </w:p>
              </w:tc>
              <w:tc>
                <w:tcPr>
                  <w:tcW w:w="2345" w:type="dxa"/>
                  <w:vMerge w:val="continue"/>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拒绝更正其违规行为的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restart"/>
                  <w:shd w:val="clear" w:color="auto" w:fill="auto"/>
                  <w:vAlign w:val="center"/>
                </w:tcPr>
                <w:p>
                  <w:pPr>
                    <w:pStyle w:val="4"/>
                    <w:numPr>
                      <w:ilvl w:val="0"/>
                      <w:numId w:val="0"/>
                    </w:numPr>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bidi="ar"/>
                    </w:rPr>
                    <w:t>15</w:t>
                  </w:r>
                </w:p>
              </w:tc>
              <w:tc>
                <w:tcPr>
                  <w:tcW w:w="2345" w:type="dxa"/>
                  <w:vMerge w:val="restart"/>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未经同意拖延交工、交货日期，延缓执行合同的期限</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未造成实质影响</w:t>
                  </w:r>
                  <w:r>
                    <w:rPr>
                      <w:rFonts w:hint="eastAsia" w:ascii="宋体" w:hAnsi="宋体" w:eastAsia="宋体" w:cs="宋体"/>
                      <w:color w:val="000000"/>
                      <w:sz w:val="21"/>
                      <w:szCs w:val="21"/>
                      <w:lang w:bidi="ar"/>
                    </w:rPr>
                    <w:t>且愿意协商解决或承担赔偿责任的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kern w:val="0"/>
                      <w:sz w:val="21"/>
                      <w:szCs w:val="21"/>
                      <w:lang w:val="en-US" w:eastAsia="zh-CN" w:bidi="ar-SA"/>
                    </w:rPr>
                  </w:pPr>
                </w:p>
              </w:tc>
              <w:tc>
                <w:tcPr>
                  <w:tcW w:w="2345" w:type="dxa"/>
                  <w:vMerge w:val="continue"/>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造成较轻影响但愿意协商解决的</w:t>
                  </w:r>
                </w:p>
              </w:tc>
              <w:tc>
                <w:tcPr>
                  <w:tcW w:w="1941" w:type="dxa"/>
                  <w:shd w:val="clear" w:color="auto" w:fill="auto"/>
                  <w:vAlign w:val="center"/>
                </w:tcPr>
                <w:p>
                  <w:pPr>
                    <w:pStyle w:val="4"/>
                    <w:numPr>
                      <w:ilvl w:val="0"/>
                      <w:numId w:val="0"/>
                      <w:ins w:id="0" w:author="liuxl62" w:date=""/>
                    </w:numP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1"/>
                      <w:szCs w:val="21"/>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kern w:val="0"/>
                      <w:sz w:val="21"/>
                      <w:szCs w:val="21"/>
                      <w:lang w:val="en-US" w:eastAsia="zh-CN" w:bidi="ar-SA"/>
                    </w:rPr>
                  </w:pPr>
                </w:p>
              </w:tc>
              <w:tc>
                <w:tcPr>
                  <w:tcW w:w="2345" w:type="dxa"/>
                  <w:vMerge w:val="continue"/>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造成较重影响但愿意协商解决的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bidi="ar"/>
                    </w:rPr>
                  </w:pPr>
                </w:p>
              </w:tc>
              <w:tc>
                <w:tcPr>
                  <w:tcW w:w="2345" w:type="dxa"/>
                  <w:vMerge w:val="continue"/>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造成严重影响的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restart"/>
                  <w:shd w:val="clear" w:color="auto" w:fill="auto"/>
                  <w:vAlign w:val="center"/>
                </w:tcPr>
                <w:p>
                  <w:pPr>
                    <w:pStyle w:val="4"/>
                    <w:numPr>
                      <w:ilvl w:val="0"/>
                      <w:numId w:val="0"/>
                    </w:numPr>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bidi="ar"/>
                    </w:rPr>
                    <w:t>16</w:t>
                  </w:r>
                </w:p>
              </w:tc>
              <w:tc>
                <w:tcPr>
                  <w:tcW w:w="2345" w:type="dxa"/>
                  <w:vMerge w:val="restart"/>
                  <w:shd w:val="clear" w:color="auto" w:fill="auto"/>
                  <w:vAlign w:val="center"/>
                </w:tcPr>
                <w:p>
                  <w:pPr>
                    <w:pStyle w:val="4"/>
                    <w:numPr>
                      <w:ilvl w:val="0"/>
                      <w:numId w:val="0"/>
                    </w:numPr>
                    <w:rPr>
                      <w:rFonts w:hint="eastAsia" w:ascii="宋体" w:hAnsi="宋体" w:eastAsia="宋体" w:cs="宋体"/>
                      <w:szCs w:val="21"/>
                      <w:lang w:val="en-US" w:eastAsia="zh-CN"/>
                    </w:rPr>
                  </w:pPr>
                  <w:r>
                    <w:rPr>
                      <w:rFonts w:hint="eastAsia" w:ascii="宋体" w:hAnsi="宋体" w:eastAsia="宋体" w:cs="宋体"/>
                      <w:i w:val="0"/>
                      <w:iCs w:val="0"/>
                      <w:color w:val="000000"/>
                      <w:kern w:val="0"/>
                      <w:sz w:val="21"/>
                      <w:szCs w:val="21"/>
                      <w:u w:val="none"/>
                      <w:lang w:val="en-US" w:eastAsia="zh-CN" w:bidi="ar"/>
                    </w:rPr>
                    <w:t>拒绝中国海油管理部门的监督检查或不如实反映情况、提供材料的</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情节较轻的（可根据监督检查机构或部门建议判定）</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bidi="ar"/>
                    </w:rPr>
                  </w:pPr>
                </w:p>
              </w:tc>
              <w:tc>
                <w:tcPr>
                  <w:tcW w:w="2345" w:type="dxa"/>
                  <w:vMerge w:val="continue"/>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情节较重的（可根据监督检查机构或部门建议判定）</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463" w:type="dxa"/>
                  <w:shd w:val="clear" w:color="auto" w:fill="auto"/>
                  <w:vAlign w:val="center"/>
                </w:tcPr>
                <w:p>
                  <w:pPr>
                    <w:pStyle w:val="4"/>
                    <w:numPr>
                      <w:ilvl w:val="0"/>
                      <w:numId w:val="0"/>
                    </w:numPr>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bidi="ar"/>
                    </w:rPr>
                    <w:t>17</w:t>
                  </w:r>
                </w:p>
              </w:tc>
              <w:tc>
                <w:tcPr>
                  <w:tcW w:w="234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使用禁用供应商</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参与或承揽中国海油业务时，在已知晓或应当知晓的情况下，仍代理被中国海油禁用其他供应商的产品、服务，或将已获取的合同对其分包的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463" w:type="dxa"/>
                  <w:shd w:val="clear" w:color="auto" w:fill="auto"/>
                  <w:vAlign w:val="center"/>
                </w:tcPr>
                <w:p>
                  <w:pPr>
                    <w:pStyle w:val="4"/>
                    <w:numPr>
                      <w:ilvl w:val="0"/>
                      <w:numId w:val="0"/>
                    </w:numPr>
                    <w:jc w:val="center"/>
                    <w:textAlignment w:val="center"/>
                    <w:rPr>
                      <w:rFonts w:hint="default"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val="en-US" w:eastAsia="zh-CN" w:bidi="ar"/>
                    </w:rPr>
                    <w:t>18</w:t>
                  </w:r>
                </w:p>
              </w:tc>
              <w:tc>
                <w:tcPr>
                  <w:tcW w:w="234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拒绝履行售后义务</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拒绝履行售后服务义务并拒绝协商解决的情况，及其他因供应商的原因导致中国海油受损，并拒绝协商解决和赔偿责任的情况</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463"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bidi="ar"/>
                    </w:rPr>
                    <w:t>19</w:t>
                  </w:r>
                </w:p>
              </w:tc>
              <w:tc>
                <w:tcPr>
                  <w:tcW w:w="2345" w:type="dxa"/>
                  <w:vMerge w:val="restart"/>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所提供的产品存在严重质量问题，影响安全生产或对工程建设造成实质性影响的</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对安全生产或工程建设影响较轻的</w:t>
                  </w:r>
                  <w:r>
                    <w:rPr>
                      <w:rFonts w:hint="eastAsia" w:ascii="宋体" w:hAnsi="宋体" w:eastAsia="宋体" w:cs="宋体"/>
                      <w:i w:val="0"/>
                      <w:iCs w:val="0"/>
                      <w:color w:val="000000"/>
                      <w:kern w:val="0"/>
                      <w:sz w:val="21"/>
                      <w:szCs w:val="21"/>
                      <w:u w:val="none"/>
                      <w:lang w:val="en-US" w:eastAsia="zh-CN" w:bidi="ar"/>
                    </w:rPr>
                    <w:t>（可根据专业机构调查结论）</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对供应商或相关品类给予“禁用两年”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pPr>
                    <w:pStyle w:val="4"/>
                    <w:numPr>
                      <w:ilvl w:val="0"/>
                      <w:numId w:val="0"/>
                    </w:numP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对安全生产或工程建设影响较重的</w:t>
                  </w:r>
                  <w:r>
                    <w:rPr>
                      <w:rFonts w:hint="eastAsia" w:ascii="宋体" w:hAnsi="宋体" w:eastAsia="宋体" w:cs="宋体"/>
                      <w:i w:val="0"/>
                      <w:iCs w:val="0"/>
                      <w:color w:val="000000"/>
                      <w:kern w:val="0"/>
                      <w:sz w:val="21"/>
                      <w:szCs w:val="21"/>
                      <w:u w:val="none"/>
                      <w:lang w:val="en-US" w:eastAsia="zh-CN" w:bidi="ar"/>
                    </w:rPr>
                    <w:t>（可根据专业机构调查结论）</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对供应商或相关品类给予“长期禁用”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463"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20</w:t>
                  </w:r>
                </w:p>
              </w:tc>
              <w:tc>
                <w:tcPr>
                  <w:tcW w:w="2345" w:type="dxa"/>
                  <w:vMerge w:val="restart"/>
                  <w:shd w:val="clear" w:color="auto" w:fill="auto"/>
                  <w:vAlign w:val="center"/>
                </w:tcPr>
                <w:p>
                  <w:pPr>
                    <w:pStyle w:val="4"/>
                    <w:numPr>
                      <w:ilvl w:val="0"/>
                      <w:numId w:val="0"/>
                    </w:numPr>
                    <w:textAlignment w:val="center"/>
                    <w:rPr>
                      <w:rFonts w:ascii="宋体" w:hAnsi="宋体" w:eastAsia="宋体" w:cs="宋体"/>
                      <w:color w:val="000000"/>
                      <w:kern w:val="0"/>
                      <w:sz w:val="21"/>
                      <w:szCs w:val="21"/>
                      <w:lang w:val="en-US" w:eastAsia="zh-CN" w:bidi="ar-SA"/>
                    </w:rPr>
                  </w:pPr>
                  <w:r>
                    <w:rPr>
                      <w:rFonts w:hint="eastAsia" w:ascii="宋体" w:hAnsi="宋体" w:eastAsia="宋体" w:cs="宋体"/>
                      <w:color w:val="000000"/>
                      <w:sz w:val="21"/>
                      <w:szCs w:val="21"/>
                      <w:lang w:bidi="ar"/>
                    </w:rPr>
                    <w:t>提供的产品/服务出现安全隐患，且拒绝整改或整改不及时、不到位的</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存在安全隐患且整改不到位的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pPr>
                    <w:pStyle w:val="4"/>
                    <w:numPr>
                      <w:ilvl w:val="0"/>
                      <w:numId w:val="0"/>
                    </w:numP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存在严重安全隐患且整改不到位的</w:t>
                  </w:r>
                </w:p>
              </w:tc>
              <w:tc>
                <w:tcPr>
                  <w:tcW w:w="1941" w:type="dxa"/>
                  <w:shd w:val="clear" w:color="auto" w:fill="auto"/>
                  <w:vAlign w:val="center"/>
                </w:tcPr>
                <w:p>
                  <w:pPr>
                    <w:pStyle w:val="4"/>
                    <w:numPr>
                      <w:ilvl w:val="0"/>
                      <w:numId w:val="0"/>
                    </w:numPr>
                    <w:textAlignment w:val="center"/>
                    <w:rPr>
                      <w:rFonts w:hint="eastAsia" w:ascii="宋体" w:hAnsi="宋体" w:eastAsia="宋体" w:cs="宋体"/>
                      <w:strike/>
                      <w:color w:val="000000"/>
                      <w:sz w:val="21"/>
                      <w:szCs w:val="21"/>
                      <w:lang w:bidi="ar"/>
                    </w:rPr>
                  </w:pPr>
                  <w:r>
                    <w:rPr>
                      <w:rFonts w:hint="eastAsia" w:ascii="宋体" w:hAnsi="宋体" w:eastAsia="宋体" w:cs="宋体"/>
                      <w:i w:val="0"/>
                      <w:iCs w:val="0"/>
                      <w:color w:val="000000"/>
                      <w:kern w:val="0"/>
                      <w:sz w:val="21"/>
                      <w:szCs w:val="21"/>
                      <w:u w:val="none"/>
                      <w:lang w:val="en-US" w:eastAsia="zh-CN"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bidi="ar"/>
                    </w:rPr>
                    <w:t>21</w:t>
                  </w:r>
                </w:p>
              </w:tc>
              <w:tc>
                <w:tcPr>
                  <w:tcW w:w="2345" w:type="dxa"/>
                  <w:vMerge w:val="restart"/>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strike w:val="0"/>
                      <w:color w:val="000000"/>
                      <w:sz w:val="21"/>
                      <w:szCs w:val="21"/>
                      <w:u w:val="none"/>
                      <w:lang w:bidi="ar"/>
                    </w:rPr>
                    <w:t>未经许可，对外披露中国海油商业秘密信息的</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情节较轻的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pPr>
                    <w:pStyle w:val="4"/>
                    <w:numPr>
                      <w:ilvl w:val="0"/>
                      <w:numId w:val="0"/>
                    </w:numP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textAlignment w:val="center"/>
                    <w:rPr>
                      <w:rFonts w:hint="eastAsia" w:ascii="宋体" w:hAnsi="宋体" w:eastAsia="宋体" w:cs="宋体"/>
                      <w:strike/>
                      <w:color w:val="000000"/>
                      <w:sz w:val="21"/>
                      <w:szCs w:val="21"/>
                      <w:lang w:bidi="ar"/>
                    </w:rPr>
                  </w:pPr>
                  <w:r>
                    <w:rPr>
                      <w:rFonts w:hint="eastAsia" w:ascii="宋体" w:hAnsi="宋体" w:eastAsia="宋体" w:cs="宋体"/>
                      <w:i w:val="0"/>
                      <w:iCs w:val="0"/>
                      <w:color w:val="000000"/>
                      <w:kern w:val="0"/>
                      <w:sz w:val="21"/>
                      <w:szCs w:val="21"/>
                      <w:u w:val="none"/>
                      <w:lang w:val="en-US" w:eastAsia="zh-CN" w:bidi="ar"/>
                    </w:rPr>
                    <w:t>情节较重的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pPr>
                    <w:pStyle w:val="4"/>
                    <w:numPr>
                      <w:ilvl w:val="0"/>
                      <w:numId w:val="0"/>
                    </w:numP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情节严重的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63"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bidi="ar"/>
                    </w:rPr>
                    <w:t>22</w:t>
                  </w:r>
                </w:p>
              </w:tc>
              <w:tc>
                <w:tcPr>
                  <w:tcW w:w="2345" w:type="dxa"/>
                  <w:vMerge w:val="restart"/>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由于供应商的</w:t>
                  </w:r>
                  <w:r>
                    <w:rPr>
                      <w:rFonts w:hint="eastAsia" w:ascii="宋体" w:hAnsi="宋体" w:eastAsia="宋体" w:cs="宋体"/>
                      <w:i w:val="0"/>
                      <w:iCs w:val="0"/>
                      <w:color w:val="000000"/>
                      <w:kern w:val="0"/>
                      <w:sz w:val="21"/>
                      <w:szCs w:val="21"/>
                      <w:u w:val="none"/>
                      <w:lang w:val="en-US" w:eastAsia="zh-CN" w:bidi="ar"/>
                    </w:rPr>
                    <w:t>原因</w:t>
                  </w:r>
                  <w:r>
                    <w:rPr>
                      <w:rFonts w:hint="eastAsia" w:ascii="宋体" w:hAnsi="宋体" w:eastAsia="宋体" w:cs="宋体"/>
                      <w:color w:val="000000"/>
                      <w:sz w:val="21"/>
                      <w:szCs w:val="21"/>
                      <w:lang w:bidi="ar"/>
                    </w:rPr>
                    <w:t>，与中国海油及所属单位产生法律诉讼的</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未造成实质损失的（可依据法律部门或所属单位建议）</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val="en-US" w:eastAsia="zh-CN"/>
                    </w:rPr>
                  </w:pPr>
                </w:p>
              </w:tc>
              <w:tc>
                <w:tcPr>
                  <w:tcW w:w="2345" w:type="dxa"/>
                  <w:vMerge w:val="continue"/>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造成实质损失的（可依据法律部门或所属单位建议）</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2" w:hRule="atLeast"/>
              </w:trPr>
              <w:tc>
                <w:tcPr>
                  <w:tcW w:w="463"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val="en-US" w:bidi="ar"/>
                    </w:rPr>
                  </w:pPr>
                  <w:r>
                    <w:rPr>
                      <w:rFonts w:hint="eastAsia" w:ascii="宋体" w:hAnsi="宋体" w:eastAsia="宋体" w:cs="宋体"/>
                      <w:color w:val="000000"/>
                      <w:sz w:val="21"/>
                      <w:szCs w:val="21"/>
                      <w:lang w:val="en-US" w:eastAsia="zh-CN" w:bidi="ar"/>
                    </w:rPr>
                    <w:t>23</w:t>
                  </w:r>
                </w:p>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restart"/>
                  <w:shd w:val="clear" w:color="auto" w:fill="auto"/>
                  <w:vAlign w:val="center"/>
                </w:tcPr>
                <w:p>
                  <w:pPr>
                    <w:pStyle w:val="4"/>
                    <w:numPr>
                      <w:ilvl w:val="0"/>
                      <w:numId w:val="0"/>
                    </w:numPr>
                    <w:textAlignment w:val="center"/>
                    <w:rPr>
                      <w:rFonts w:hint="eastAsia" w:ascii="宋体" w:hAnsi="宋体" w:eastAsia="宋体" w:cs="宋体"/>
                      <w:strike/>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发生安全事故且负主要责任的供应商</w:t>
                  </w:r>
                </w:p>
                <w:p>
                  <w:pPr>
                    <w:pStyle w:val="4"/>
                    <w:numPr>
                      <w:ilvl w:val="0"/>
                      <w:numId w:val="0"/>
                    </w:numPr>
                    <w:textAlignment w:val="cente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公司安全生产部门或所属单位通知采办共享中心，发生“一般A级”以下级别安全事故，造成实质影响</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kern w:val="0"/>
                      <w:sz w:val="21"/>
                      <w:szCs w:val="21"/>
                      <w:lang w:val="en-US" w:eastAsia="zh-CN" w:bidi="ar-SA"/>
                    </w:rPr>
                  </w:pPr>
                  <w:r>
                    <w:rPr>
                      <w:rFonts w:hint="eastAsia" w:ascii="宋体" w:hAnsi="宋体" w:eastAsia="宋体" w:cs="宋体"/>
                      <w:i w:val="0"/>
                      <w:iCs w:val="0"/>
                      <w:color w:val="000000"/>
                      <w:kern w:val="0"/>
                      <w:sz w:val="21"/>
                      <w:szCs w:val="21"/>
                      <w:u w:val="none"/>
                      <w:lang w:val="en-US" w:eastAsia="zh-CN"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bidi="ar"/>
                    </w:rPr>
                  </w:pPr>
                </w:p>
              </w:tc>
              <w:tc>
                <w:tcPr>
                  <w:tcW w:w="2345" w:type="dxa"/>
                  <w:vMerge w:val="continue"/>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公司安全生产部门或所属单位通知采办共享中心，发生“一般A级”及以上安全事故，情节较轻的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bidi="ar"/>
                    </w:rPr>
                  </w:pPr>
                </w:p>
              </w:tc>
              <w:tc>
                <w:tcPr>
                  <w:tcW w:w="2345" w:type="dxa"/>
                  <w:vMerge w:val="continue"/>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公司安全生产部门或所属单位通知采办共享中心，发生“一般A级”及以上安全事故，情节较重的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bidi="ar"/>
                    </w:rPr>
                  </w:pPr>
                </w:p>
              </w:tc>
              <w:tc>
                <w:tcPr>
                  <w:tcW w:w="2345" w:type="dxa"/>
                  <w:vMerge w:val="continue"/>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公司安全生产部门或所属单位通知采办共享中心，发生“一般A级”及以上安全事故，情节严重的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p>
              </w:tc>
              <w:tc>
                <w:tcPr>
                  <w:tcW w:w="6836" w:type="dxa"/>
                  <w:gridSpan w:val="2"/>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i w:val="0"/>
                      <w:iCs w:val="0"/>
                      <w:color w:val="000000"/>
                      <w:kern w:val="0"/>
                      <w:sz w:val="21"/>
                      <w:szCs w:val="21"/>
                      <w:u w:val="none"/>
                      <w:lang w:val="en-US" w:eastAsia="zh-CN" w:bidi="ar"/>
                    </w:rPr>
                    <w:t>公司安全生产部门或所属单位通知采办共享中心，发生“一般A级”以下级别安全事故，未造成实质影响，对供应商进行约谈。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463"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val="en-US"/>
                    </w:rPr>
                  </w:pPr>
                  <w:r>
                    <w:rPr>
                      <w:rFonts w:hint="eastAsia" w:ascii="宋体" w:hAnsi="宋体" w:eastAsia="宋体" w:cs="宋体"/>
                      <w:color w:val="000000"/>
                      <w:sz w:val="21"/>
                      <w:szCs w:val="21"/>
                      <w:lang w:val="en-US" w:eastAsia="zh-CN" w:bidi="ar"/>
                    </w:rPr>
                    <w:t>24</w:t>
                  </w:r>
                </w:p>
              </w:tc>
              <w:tc>
                <w:tcPr>
                  <w:tcW w:w="2345" w:type="dxa"/>
                  <w:vMerge w:val="restart"/>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供应商在提报中国海油员工、员工亲属、离职退休的领导人员在本单位的任职和持股情况时</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存在瞒报相关情况的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rPr>
                  </w:pPr>
                </w:p>
              </w:tc>
              <w:tc>
                <w:tcPr>
                  <w:tcW w:w="2345" w:type="dxa"/>
                  <w:vMerge w:val="continue"/>
                  <w:shd w:val="clear" w:color="auto" w:fill="auto"/>
                  <w:vAlign w:val="center"/>
                </w:tcPr>
                <w:p>
                  <w:pPr>
                    <w:pStyle w:val="4"/>
                    <w:numPr>
                      <w:ilvl w:val="0"/>
                      <w:numId w:val="0"/>
                    </w:numPr>
                    <w:rPr>
                      <w:rFonts w:hint="eastAsia" w:ascii="宋体" w:hAnsi="宋体" w:eastAsia="宋体" w:cs="宋体"/>
                      <w:color w:val="000000"/>
                      <w:sz w:val="21"/>
                      <w:szCs w:val="21"/>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存在利用中国海油人员的职务之便牟取不正当利益情形的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rPr>
                  </w:pPr>
                  <w:r>
                    <w:rPr>
                      <w:rFonts w:hint="eastAsia" w:ascii="宋体" w:hAnsi="宋体" w:eastAsia="宋体" w:cs="宋体"/>
                      <w:color w:val="000000"/>
                      <w:sz w:val="21"/>
                      <w:szCs w:val="21"/>
                      <w:lang w:bidi="ar"/>
                    </w:rPr>
                    <w:t>长期禁用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25</w:t>
                  </w:r>
                </w:p>
              </w:tc>
              <w:tc>
                <w:tcPr>
                  <w:tcW w:w="2345" w:type="dxa"/>
                  <w:vMerge w:val="restart"/>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在承揽的中国海油业务中，存在拖欠农民工工资行为的</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未造成不良影响并及时整改的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bidi="ar"/>
                    </w:rPr>
                  </w:pPr>
                </w:p>
              </w:tc>
              <w:tc>
                <w:tcPr>
                  <w:tcW w:w="2345" w:type="dxa"/>
                  <w:vMerge w:val="continue"/>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整改不及时或影响较大的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禁用一年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bidi="ar"/>
                    </w:rPr>
                  </w:pPr>
                </w:p>
              </w:tc>
              <w:tc>
                <w:tcPr>
                  <w:tcW w:w="2345" w:type="dxa"/>
                  <w:vMerge w:val="continue"/>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整改不及时或影响严重的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禁用两年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restart"/>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val="en-US" w:eastAsia="zh-CN" w:bidi="ar"/>
                    </w:rPr>
                  </w:pPr>
                  <w:r>
                    <w:rPr>
                      <w:rFonts w:hint="eastAsia" w:ascii="宋体" w:hAnsi="宋体" w:eastAsia="宋体" w:cs="宋体"/>
                      <w:color w:val="000000"/>
                      <w:sz w:val="21"/>
                      <w:szCs w:val="21"/>
                      <w:lang w:val="en-US" w:eastAsia="zh-CN" w:bidi="ar"/>
                    </w:rPr>
                    <w:t>26</w:t>
                  </w:r>
                </w:p>
              </w:tc>
              <w:tc>
                <w:tcPr>
                  <w:tcW w:w="2345" w:type="dxa"/>
                  <w:vMerge w:val="restart"/>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对存在其他不当行为可能给中国海油带来风险</w:t>
                  </w:r>
                </w:p>
              </w:tc>
              <w:tc>
                <w:tcPr>
                  <w:tcW w:w="4895"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对存在其它不当行为可能给中国海油带来较高风险的</w:t>
                  </w:r>
                </w:p>
              </w:tc>
              <w:tc>
                <w:tcPr>
                  <w:tcW w:w="1941" w:type="dxa"/>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警告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vMerge w:val="continue"/>
                  <w:shd w:val="clear" w:color="auto" w:fill="auto"/>
                  <w:vAlign w:val="center"/>
                </w:tcPr>
                <w:p>
                  <w:pPr>
                    <w:pStyle w:val="4"/>
                    <w:numPr>
                      <w:ilvl w:val="0"/>
                      <w:numId w:val="0"/>
                    </w:numPr>
                    <w:jc w:val="center"/>
                    <w:textAlignment w:val="center"/>
                    <w:rPr>
                      <w:rFonts w:hint="eastAsia" w:ascii="宋体" w:hAnsi="宋体" w:eastAsia="宋体" w:cs="宋体"/>
                      <w:color w:val="000000"/>
                      <w:sz w:val="21"/>
                      <w:szCs w:val="21"/>
                      <w:lang w:bidi="ar"/>
                    </w:rPr>
                  </w:pPr>
                </w:p>
              </w:tc>
              <w:tc>
                <w:tcPr>
                  <w:tcW w:w="2345" w:type="dxa"/>
                  <w:vMerge w:val="continue"/>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p>
              </w:tc>
              <w:tc>
                <w:tcPr>
                  <w:tcW w:w="6836" w:type="dxa"/>
                  <w:gridSpan w:val="2"/>
                  <w:shd w:val="clear" w:color="auto" w:fill="auto"/>
                  <w:vAlign w:val="center"/>
                </w:tcPr>
                <w:p>
                  <w:pPr>
                    <w:pStyle w:val="4"/>
                    <w:numPr>
                      <w:ilvl w:val="0"/>
                      <w:numId w:val="0"/>
                    </w:numPr>
                    <w:textAlignment w:val="center"/>
                    <w:rPr>
                      <w:rFonts w:hint="eastAsia" w:ascii="宋体" w:hAnsi="宋体" w:eastAsia="宋体" w:cs="宋体"/>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对存在其它不当行为可能给中国海油带来较低风险的，对供应商进行约谈。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63" w:type="dxa"/>
                  <w:shd w:val="clear" w:color="auto" w:fill="auto"/>
                  <w:vAlign w:val="center"/>
                </w:tcPr>
                <w:p>
                  <w:pPr>
                    <w:pStyle w:val="4"/>
                    <w:numPr>
                      <w:ilvl w:val="0"/>
                      <w:numId w:val="0"/>
                    </w:numPr>
                    <w:jc w:val="center"/>
                    <w:textAlignment w:val="center"/>
                    <w:rPr>
                      <w:rFonts w:hint="eastAsia" w:ascii="宋体" w:hAnsi="宋体" w:eastAsia="宋体" w:cs="宋体"/>
                      <w:strike w:val="0"/>
                      <w:dstrike w:val="0"/>
                      <w:color w:val="000000"/>
                      <w:sz w:val="21"/>
                      <w:szCs w:val="21"/>
                      <w:lang w:val="en-US" w:eastAsia="zh-CN" w:bidi="ar"/>
                    </w:rPr>
                  </w:pPr>
                  <w:r>
                    <w:rPr>
                      <w:rFonts w:hint="eastAsia" w:ascii="宋体" w:hAnsi="宋体" w:eastAsia="宋体" w:cs="宋体"/>
                      <w:strike w:val="0"/>
                      <w:dstrike w:val="0"/>
                      <w:color w:val="000000"/>
                      <w:sz w:val="21"/>
                      <w:szCs w:val="21"/>
                      <w:lang w:val="en-US" w:eastAsia="zh-CN" w:bidi="ar"/>
                    </w:rPr>
                    <w:t>27</w:t>
                  </w:r>
                </w:p>
                <w:p>
                  <w:pPr>
                    <w:pStyle w:val="4"/>
                    <w:numPr>
                      <w:ilvl w:val="0"/>
                      <w:numId w:val="0"/>
                    </w:numPr>
                    <w:jc w:val="center"/>
                    <w:textAlignment w:val="center"/>
                    <w:rPr>
                      <w:rFonts w:hint="eastAsia" w:ascii="宋体" w:hAnsi="宋体" w:eastAsia="宋体" w:cs="宋体"/>
                      <w:strike/>
                      <w:dstrike w:val="0"/>
                      <w:color w:val="000000"/>
                      <w:sz w:val="21"/>
                      <w:szCs w:val="21"/>
                      <w:lang w:val="en-US" w:eastAsia="zh-CN" w:bidi="ar"/>
                    </w:rPr>
                  </w:pPr>
                </w:p>
              </w:tc>
              <w:tc>
                <w:tcPr>
                  <w:tcW w:w="2345" w:type="dxa"/>
                  <w:shd w:val="clear" w:color="auto" w:fill="auto"/>
                  <w:vAlign w:val="center"/>
                </w:tcPr>
                <w:p>
                  <w:pPr>
                    <w:pStyle w:val="4"/>
                    <w:numPr>
                      <w:ilvl w:val="0"/>
                      <w:numId w:val="0"/>
                    </w:numP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其他违反国家法律法规及集团公司规章制度的行为</w:t>
                  </w:r>
                </w:p>
                <w:p>
                  <w:pPr>
                    <w:pStyle w:val="4"/>
                    <w:numPr>
                      <w:ilvl w:val="0"/>
                      <w:numId w:val="0"/>
                    </w:numPr>
                    <w:textAlignment w:val="center"/>
                    <w:rPr>
                      <w:rFonts w:hint="eastAsia" w:ascii="宋体" w:hAnsi="宋体" w:eastAsia="宋体" w:cs="宋体"/>
                      <w:strike/>
                      <w:dstrike w:val="0"/>
                      <w:color w:val="000000"/>
                      <w:sz w:val="21"/>
                      <w:szCs w:val="21"/>
                      <w:lang w:bidi="ar"/>
                    </w:rPr>
                  </w:pPr>
                </w:p>
              </w:tc>
              <w:tc>
                <w:tcPr>
                  <w:tcW w:w="4895" w:type="dxa"/>
                  <w:shd w:val="clear" w:color="auto" w:fill="auto"/>
                  <w:vAlign w:val="center"/>
                </w:tcPr>
                <w:p>
                  <w:pPr>
                    <w:pStyle w:val="4"/>
                    <w:numPr>
                      <w:ilvl w:val="0"/>
                      <w:numId w:val="0"/>
                    </w:numPr>
                    <w:textAlignment w:val="center"/>
                    <w:rPr>
                      <w:rFonts w:hint="eastAsia" w:ascii="宋体" w:hAnsi="宋体" w:eastAsia="宋体" w:cs="宋体"/>
                      <w:strike/>
                      <w:dstrike w:val="0"/>
                      <w:color w:val="000000"/>
                      <w:sz w:val="21"/>
                      <w:szCs w:val="21"/>
                      <w:lang w:bidi="ar"/>
                    </w:rPr>
                  </w:pPr>
                  <w:r>
                    <w:rPr>
                      <w:rFonts w:hint="eastAsia" w:ascii="宋体" w:hAnsi="宋体" w:eastAsia="宋体" w:cs="宋体"/>
                      <w:i w:val="0"/>
                      <w:iCs w:val="0"/>
                      <w:color w:val="000000"/>
                      <w:kern w:val="0"/>
                      <w:sz w:val="21"/>
                      <w:szCs w:val="21"/>
                      <w:u w:val="none"/>
                      <w:lang w:val="en-US" w:eastAsia="zh-CN" w:bidi="ar"/>
                    </w:rPr>
                    <w:t>其他违反国家法律法规及集团公司规章制度的行为，包括国家、审计、纪检监察、巡视等函件反映问题。</w:t>
                  </w:r>
                </w:p>
              </w:tc>
              <w:tc>
                <w:tcPr>
                  <w:tcW w:w="1941" w:type="dxa"/>
                  <w:shd w:val="clear" w:color="auto" w:fill="auto"/>
                  <w:vAlign w:val="center"/>
                </w:tcPr>
                <w:p>
                  <w:pPr>
                    <w:pStyle w:val="4"/>
                    <w:numPr>
                      <w:ilvl w:val="0"/>
                      <w:numId w:val="0"/>
                    </w:numPr>
                    <w:textAlignment w:val="center"/>
                    <w:rPr>
                      <w:rFonts w:hint="eastAsia" w:ascii="宋体" w:hAnsi="宋体" w:eastAsia="宋体" w:cs="宋体"/>
                      <w:strike/>
                      <w:dstrike w:val="0"/>
                      <w:color w:val="000000"/>
                      <w:sz w:val="21"/>
                      <w:szCs w:val="21"/>
                      <w:lang w:bidi="ar"/>
                    </w:rPr>
                  </w:pPr>
                  <w:r>
                    <w:rPr>
                      <w:rFonts w:hint="eastAsia" w:ascii="宋体" w:hAnsi="宋体" w:eastAsia="宋体" w:cs="宋体"/>
                      <w:i w:val="0"/>
                      <w:iCs w:val="0"/>
                      <w:color w:val="000000"/>
                      <w:kern w:val="0"/>
                      <w:sz w:val="21"/>
                      <w:szCs w:val="21"/>
                      <w:u w:val="none"/>
                      <w:lang w:val="en-US" w:eastAsia="zh-CN" w:bidi="ar"/>
                    </w:rPr>
                    <w:t>由集团公司工程与物装部组织相关管理部门及所属单位，对供应商问题性质及业务实际情况判定，进行相应处理。</w:t>
                  </w:r>
                </w:p>
              </w:tc>
            </w:tr>
          </w:tbl>
          <w:p>
            <w:pPr>
              <w:pStyle w:val="4"/>
              <w:numPr>
                <w:ilvl w:val="0"/>
                <w:numId w:val="0"/>
              </w:numPr>
              <w:textAlignment w:val="center"/>
              <w:rPr>
                <w:rStyle w:val="43"/>
                <w:rFonts w:hint="eastAsia" w:ascii="宋体" w:hAnsi="宋体" w:eastAsia="宋体" w:cs="宋体"/>
                <w:sz w:val="21"/>
                <w:szCs w:val="21"/>
                <w:lang w:bidi="ar"/>
              </w:rPr>
            </w:pPr>
            <w:r>
              <w:rPr>
                <w:rFonts w:hint="eastAsia" w:ascii="宋体" w:hAnsi="宋体" w:eastAsia="宋体" w:cs="宋体"/>
                <w:sz w:val="21"/>
                <w:szCs w:val="21"/>
                <w:lang w:val="en-US" w:eastAsia="zh-CN"/>
              </w:rPr>
              <w:t>注：在合同执行阶段，供应商违规情形是否造成影响及影响程度由合同执行单位进行判定，并出具经二级单位主管领导确认的判定结果。</w:t>
            </w:r>
          </w:p>
        </w:tc>
      </w:tr>
    </w:tbl>
    <w:p/>
    <w:p/>
    <w:p>
      <w:pPr>
        <w:pStyle w:val="3"/>
      </w:pPr>
    </w:p>
    <w:p/>
    <w:p>
      <w:pPr>
        <w:keepNext w:val="0"/>
        <w:keepLines w:val="0"/>
        <w:pageBreakBefore w:val="0"/>
        <w:widowControl/>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r>
        <w:rPr>
          <w:rFonts w:hint="eastAsia" w:ascii="黑体" w:hAnsi="黑体" w:eastAsia="黑体"/>
          <w:b/>
          <w:bCs/>
          <w:sz w:val="24"/>
          <w:szCs w:val="24"/>
          <w:highlight w:val="none"/>
          <w:lang w:val="en-US" w:eastAsia="zh-CN"/>
        </w:rPr>
        <w:t>附件5：</w:t>
      </w:r>
      <w:r>
        <w:rPr>
          <w:rFonts w:hint="eastAsia" w:ascii="黑体" w:hAnsi="黑体" w:eastAsia="黑体"/>
          <w:b/>
          <w:bCs/>
          <w:sz w:val="24"/>
          <w:szCs w:val="24"/>
          <w:lang w:val="en-US" w:eastAsia="zh-CN"/>
        </w:rPr>
        <w:t>商务文件</w:t>
      </w:r>
    </w:p>
    <w:p>
      <w:pPr>
        <w:pStyle w:val="34"/>
        <w:rPr>
          <w:rFonts w:hint="eastAsia"/>
          <w:lang w:val="en-US" w:eastAsia="zh-CN"/>
        </w:rPr>
      </w:pPr>
    </w:p>
    <w:p>
      <w:pPr>
        <w:autoSpaceDE/>
        <w:autoSpaceDN/>
        <w:adjustRightInd/>
        <w:jc w:val="both"/>
        <w:outlineLvl w:val="0"/>
        <w:rPr>
          <w:rFonts w:hint="eastAsia" w:ascii="宋体" w:hAnsi="宋体" w:eastAsiaTheme="minorEastAsia" w:cstheme="minorBidi"/>
          <w:b w:val="0"/>
          <w:bCs w:val="0"/>
          <w:color w:val="000000"/>
          <w:sz w:val="21"/>
          <w:szCs w:val="22"/>
          <w:highlight w:val="none"/>
          <w:lang w:eastAsia="zh-CN"/>
        </w:rPr>
      </w:pPr>
      <w:r>
        <w:rPr>
          <w:rFonts w:hint="eastAsia" w:ascii="宋体" w:hAnsi="宋体" w:eastAsiaTheme="minorEastAsia" w:cstheme="minorBidi"/>
          <w:b w:val="0"/>
          <w:bCs w:val="0"/>
          <w:color w:val="000000"/>
          <w:kern w:val="2"/>
          <w:sz w:val="21"/>
          <w:szCs w:val="22"/>
          <w:highlight w:val="none"/>
          <w:lang w:val="en-US" w:eastAsia="zh-CN"/>
        </w:rPr>
        <w:t>5.1：</w:t>
      </w:r>
      <w:r>
        <w:rPr>
          <w:rFonts w:hint="eastAsia" w:ascii="宋体" w:hAnsi="宋体" w:eastAsiaTheme="minorEastAsia" w:cstheme="minorBidi"/>
          <w:bCs w:val="0"/>
          <w:color w:val="000000"/>
          <w:sz w:val="21"/>
          <w:szCs w:val="22"/>
          <w:highlight w:val="none"/>
          <w:lang w:eastAsia="zh-CN"/>
        </w:rPr>
        <w:t>营业执照</w:t>
      </w:r>
    </w:p>
    <w:p>
      <w:pPr>
        <w:adjustRightInd/>
        <w:jc w:val="both"/>
        <w:outlineLvl w:val="0"/>
        <w:rPr>
          <w:rFonts w:hint="default"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b w:val="0"/>
          <w:bCs w:val="0"/>
          <w:color w:val="000000"/>
          <w:kern w:val="2"/>
          <w:sz w:val="21"/>
          <w:szCs w:val="22"/>
          <w:lang w:val="en-US" w:eastAsia="zh-CN"/>
        </w:rPr>
        <w:t>5.2：</w:t>
      </w:r>
      <w:r>
        <w:rPr>
          <w:rFonts w:hint="eastAsia" w:ascii="宋体" w:hAnsi="宋体" w:eastAsiaTheme="minorEastAsia" w:cstheme="minorBidi"/>
          <w:color w:val="000000"/>
          <w:kern w:val="2"/>
          <w:sz w:val="21"/>
          <w:szCs w:val="22"/>
          <w:highlight w:val="none"/>
          <w:lang w:val="en-US" w:eastAsia="zh-CN" w:bidi="ar-SA"/>
        </w:rPr>
        <w:t>法定代表人（单位负责人）身份证明</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5.3：法定代表人授权委托书（如涉及）</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kern w:val="2"/>
          <w:sz w:val="21"/>
          <w:szCs w:val="22"/>
          <w:highlight w:val="none"/>
          <w:lang w:val="en-US" w:eastAsia="zh-CN" w:bidi="ar-SA"/>
        </w:rPr>
      </w:pPr>
      <w:r>
        <w:rPr>
          <w:rFonts w:hint="eastAsia" w:ascii="宋体" w:hAnsi="宋体" w:eastAsiaTheme="minorEastAsia" w:cstheme="minorBidi"/>
          <w:color w:val="000000"/>
          <w:kern w:val="2"/>
          <w:sz w:val="21"/>
          <w:szCs w:val="22"/>
          <w:highlight w:val="none"/>
          <w:lang w:val="en-US" w:eastAsia="zh-CN" w:bidi="ar-SA"/>
        </w:rPr>
        <w:t>5.4：专业资质（如涉及）</w:t>
      </w:r>
    </w:p>
    <w:p>
      <w:pPr>
        <w:adjustRightInd/>
        <w:jc w:val="both"/>
        <w:outlineLvl w:val="0"/>
        <w:rPr>
          <w:rFonts w:hint="eastAsia" w:ascii="宋体" w:hAnsi="宋体" w:eastAsiaTheme="minorEastAsia" w:cstheme="minorBidi"/>
          <w:color w:val="000000"/>
          <w:sz w:val="21"/>
          <w:szCs w:val="22"/>
          <w:highlight w:val="none"/>
          <w:lang w:eastAsia="zh-CN"/>
        </w:rPr>
      </w:pPr>
      <w:r>
        <w:rPr>
          <w:rFonts w:hint="eastAsia" w:ascii="宋体" w:hAnsi="宋体" w:eastAsiaTheme="minorEastAsia" w:cstheme="minorBidi"/>
          <w:color w:val="000000"/>
          <w:kern w:val="2"/>
          <w:sz w:val="21"/>
          <w:szCs w:val="22"/>
          <w:highlight w:val="none"/>
          <w:lang w:val="en-US" w:eastAsia="zh-CN" w:bidi="ar-SA"/>
        </w:rPr>
        <w:t>5.</w:t>
      </w:r>
      <w:r>
        <w:rPr>
          <w:rFonts w:hint="eastAsia" w:ascii="宋体" w:hAnsi="宋体" w:cstheme="minorBidi"/>
          <w:color w:val="000000"/>
          <w:kern w:val="2"/>
          <w:sz w:val="21"/>
          <w:szCs w:val="22"/>
          <w:highlight w:val="none"/>
          <w:lang w:val="en-US" w:eastAsia="zh-CN" w:bidi="ar-SA"/>
        </w:rPr>
        <w:t>5</w:t>
      </w:r>
      <w:r>
        <w:rPr>
          <w:rFonts w:hint="eastAsia" w:ascii="宋体" w:hAnsi="宋体" w:eastAsiaTheme="minorEastAsia" w:cstheme="minorBidi"/>
          <w:color w:val="000000"/>
          <w:kern w:val="2"/>
          <w:sz w:val="21"/>
          <w:szCs w:val="22"/>
          <w:highlight w:val="none"/>
          <w:lang w:val="en-US" w:eastAsia="zh-CN" w:bidi="ar-SA"/>
        </w:rPr>
        <w:t>：</w:t>
      </w:r>
      <w:r>
        <w:rPr>
          <w:rFonts w:hint="eastAsia" w:ascii="宋体" w:hAnsi="宋体" w:cstheme="minorBidi"/>
          <w:color w:val="000000"/>
          <w:kern w:val="2"/>
          <w:sz w:val="21"/>
          <w:szCs w:val="22"/>
          <w:highlight w:val="none"/>
          <w:lang w:val="en-US" w:eastAsia="zh-CN" w:bidi="ar-SA"/>
        </w:rPr>
        <w:t>质量健康安全环境体系文件</w:t>
      </w:r>
      <w:r>
        <w:rPr>
          <w:rFonts w:hint="eastAsia" w:ascii="宋体" w:hAnsi="宋体" w:eastAsiaTheme="minorEastAsia" w:cstheme="minorBidi"/>
          <w:color w:val="000000"/>
          <w:kern w:val="2"/>
          <w:sz w:val="21"/>
          <w:szCs w:val="22"/>
          <w:highlight w:val="none"/>
          <w:lang w:val="en-US" w:eastAsia="zh-CN" w:bidi="ar-SA"/>
        </w:rPr>
        <w:t>（如涉及）</w:t>
      </w:r>
    </w:p>
    <w:p>
      <w:pPr>
        <w:adjustRightInd/>
        <w:jc w:val="both"/>
        <w:outlineLvl w:val="0"/>
        <w:rPr>
          <w:rFonts w:hint="eastAsia" w:ascii="宋体" w:hAnsi="宋体" w:eastAsiaTheme="minorEastAsia" w:cstheme="minorBidi"/>
          <w:strike w:val="0"/>
          <w:dstrike w:val="0"/>
          <w:color w:val="000000"/>
          <w:sz w:val="21"/>
          <w:szCs w:val="22"/>
          <w:highlight w:val="none"/>
          <w:lang w:val="en-US" w:eastAsia="zh-CN"/>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6</w:t>
      </w:r>
      <w:r>
        <w:rPr>
          <w:rFonts w:hint="eastAsia" w:ascii="宋体" w:hAnsi="宋体" w:eastAsiaTheme="minorEastAsia" w:cstheme="minorBidi"/>
          <w:color w:val="000000"/>
          <w:sz w:val="21"/>
          <w:szCs w:val="22"/>
          <w:highlight w:val="none"/>
          <w:lang w:val="en-US" w:eastAsia="zh-CN"/>
        </w:rPr>
        <w:t>：</w:t>
      </w:r>
      <w:r>
        <w:rPr>
          <w:rFonts w:hint="eastAsia" w:ascii="宋体" w:hAnsi="宋体" w:eastAsiaTheme="minorEastAsia" w:cstheme="minorBidi"/>
          <w:strike w:val="0"/>
          <w:dstrike w:val="0"/>
          <w:color w:val="000000"/>
          <w:sz w:val="21"/>
          <w:szCs w:val="22"/>
          <w:highlight w:val="none"/>
          <w:lang w:val="en-US" w:eastAsia="zh-CN"/>
        </w:rPr>
        <w:t>股权证明文件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b w:val="0"/>
          <w:bCs w:val="0"/>
          <w:color w:val="000000"/>
          <w:sz w:val="21"/>
          <w:szCs w:val="22"/>
          <w:highlight w:val="none"/>
          <w:lang w:val="en-US" w:eastAsia="zh-CN"/>
        </w:rPr>
      </w:pPr>
      <w:r>
        <w:rPr>
          <w:rFonts w:hint="eastAsia" w:ascii="宋体" w:hAnsi="宋体" w:eastAsiaTheme="minorEastAsia" w:cstheme="minorBidi"/>
          <w:strike w:val="0"/>
          <w:dstrike w:val="0"/>
          <w:color w:val="000000"/>
          <w:sz w:val="21"/>
          <w:szCs w:val="22"/>
          <w:highlight w:val="none"/>
          <w:lang w:val="en-US" w:eastAsia="zh-CN"/>
        </w:rPr>
        <w:t>5.</w:t>
      </w:r>
      <w:r>
        <w:rPr>
          <w:rFonts w:hint="eastAsia" w:ascii="宋体" w:hAnsi="宋体" w:cstheme="minorBidi"/>
          <w:strike w:val="0"/>
          <w:dstrike w:val="0"/>
          <w:color w:val="000000"/>
          <w:sz w:val="21"/>
          <w:szCs w:val="22"/>
          <w:highlight w:val="none"/>
          <w:lang w:val="en-US" w:eastAsia="zh-CN"/>
        </w:rPr>
        <w:t>7</w:t>
      </w:r>
      <w:r>
        <w:rPr>
          <w:rFonts w:hint="eastAsia" w:ascii="宋体" w:hAnsi="宋体" w:eastAsiaTheme="minorEastAsia" w:cstheme="minorBidi"/>
          <w:strike w:val="0"/>
          <w:dstrike w:val="0"/>
          <w:color w:val="000000"/>
          <w:sz w:val="21"/>
          <w:szCs w:val="22"/>
          <w:highlight w:val="none"/>
          <w:lang w:val="en-US" w:eastAsia="zh-CN"/>
        </w:rPr>
        <w:t>：</w:t>
      </w:r>
      <w:r>
        <w:rPr>
          <w:rFonts w:hint="eastAsia" w:ascii="宋体" w:hAnsi="宋体" w:eastAsiaTheme="minorEastAsia" w:cstheme="minorBidi"/>
          <w:b w:val="0"/>
          <w:bCs w:val="0"/>
          <w:color w:val="000000"/>
          <w:sz w:val="21"/>
          <w:szCs w:val="22"/>
          <w:highlight w:val="none"/>
          <w:lang w:val="en-US" w:eastAsia="zh-CN"/>
        </w:rPr>
        <w:t>供应商承诺书</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stheme="minorBidi"/>
          <w:color w:val="000000"/>
          <w:sz w:val="21"/>
          <w:szCs w:val="22"/>
          <w:highlight w:val="none"/>
          <w:lang w:val="en-US" w:eastAsia="zh-CN"/>
        </w:rPr>
      </w:pPr>
      <w:r>
        <w:rPr>
          <w:rFonts w:hint="eastAsia" w:ascii="宋体" w:hAnsi="宋体" w:cstheme="minorBidi"/>
          <w:color w:val="000000"/>
          <w:sz w:val="21"/>
          <w:szCs w:val="22"/>
          <w:lang w:val="en-US" w:eastAsia="zh-CN"/>
        </w:rPr>
        <w:t>5.8： 制造商属性证明书及相关支持文件</w:t>
      </w:r>
      <w:r>
        <w:rPr>
          <w:rFonts w:hint="eastAsia" w:ascii="宋体" w:hAnsi="宋体" w:cstheme="minorBidi"/>
          <w:color w:val="000000"/>
          <w:kern w:val="2"/>
          <w:sz w:val="21"/>
          <w:szCs w:val="22"/>
          <w:lang w:val="en-US" w:eastAsia="zh-CN" w:bidi="ar-SA"/>
        </w:rPr>
        <w:t>——详见附件</w:t>
      </w:r>
    </w:p>
    <w:p>
      <w:pPr>
        <w:adjustRightInd/>
        <w:jc w:val="both"/>
        <w:outlineLvl w:val="0"/>
        <w:rPr>
          <w:rFonts w:hint="eastAsia" w:ascii="宋体" w:hAnsi="宋体" w:eastAsiaTheme="minorEastAsia"/>
          <w:color w:val="000000"/>
          <w:sz w:val="21"/>
          <w:szCs w:val="22"/>
        </w:rPr>
      </w:pPr>
      <w:r>
        <w:rPr>
          <w:rFonts w:hint="eastAsia" w:ascii="宋体" w:hAnsi="宋体" w:eastAsiaTheme="minorEastAsia" w:cstheme="minorBidi"/>
          <w:color w:val="000000"/>
          <w:sz w:val="21"/>
          <w:szCs w:val="22"/>
          <w:highlight w:val="none"/>
          <w:lang w:val="en-US" w:eastAsia="zh-CN"/>
        </w:rPr>
        <w:t>5.</w:t>
      </w:r>
      <w:r>
        <w:rPr>
          <w:rFonts w:hint="eastAsia" w:ascii="宋体" w:hAnsi="宋体" w:cstheme="minorBidi"/>
          <w:color w:val="000000"/>
          <w:sz w:val="21"/>
          <w:szCs w:val="22"/>
          <w:highlight w:val="none"/>
          <w:lang w:val="en-US" w:eastAsia="zh-CN"/>
        </w:rPr>
        <w:t>9</w:t>
      </w:r>
      <w:r>
        <w:rPr>
          <w:rFonts w:hint="eastAsia" w:ascii="宋体" w:hAnsi="宋体" w:cstheme="minorBidi"/>
          <w:color w:val="000000"/>
          <w:sz w:val="21"/>
          <w:szCs w:val="22"/>
          <w:lang w:val="en-US" w:eastAsia="zh-CN"/>
        </w:rPr>
        <w:t>：</w:t>
      </w:r>
      <w:r>
        <w:rPr>
          <w:rFonts w:hint="eastAsia" w:ascii="宋体" w:hAnsi="宋体" w:eastAsiaTheme="minorEastAsia" w:cstheme="minorBidi"/>
          <w:b w:val="0"/>
          <w:bCs w:val="0"/>
          <w:color w:val="000000"/>
          <w:sz w:val="21"/>
          <w:szCs w:val="22"/>
          <w:highlight w:val="none"/>
          <w:lang w:eastAsia="zh-CN"/>
        </w:rPr>
        <w:t>业绩</w:t>
      </w:r>
      <w:r>
        <w:rPr>
          <w:rFonts w:hint="eastAsia" w:ascii="宋体" w:hAnsi="宋体" w:cstheme="minorBidi"/>
          <w:b w:val="0"/>
          <w:bCs w:val="0"/>
          <w:color w:val="000000"/>
          <w:sz w:val="21"/>
          <w:szCs w:val="22"/>
          <w:highlight w:val="none"/>
          <w:lang w:eastAsia="zh-CN"/>
        </w:rPr>
        <w:t>文件</w:t>
      </w:r>
    </w:p>
    <w:p>
      <w:pPr>
        <w:adjustRightInd/>
        <w:jc w:val="both"/>
        <w:outlineLvl w:val="0"/>
        <w:rPr>
          <w:rFonts w:hint="eastAsia" w:ascii="宋体" w:hAnsi="宋体" w:cstheme="minorBidi"/>
          <w:color w:val="000000"/>
          <w:kern w:val="2"/>
          <w:sz w:val="21"/>
          <w:szCs w:val="22"/>
          <w:lang w:val="en-US" w:eastAsia="zh-CN" w:bidi="ar-SA"/>
        </w:rPr>
      </w:pPr>
      <w:r>
        <w:rPr>
          <w:rFonts w:hint="eastAsia" w:ascii="宋体" w:hAnsi="宋体" w:eastAsiaTheme="minorEastAsia"/>
          <w:color w:val="000000"/>
          <w:sz w:val="21"/>
          <w:szCs w:val="22"/>
          <w:lang w:val="en-US" w:eastAsia="zh-CN"/>
        </w:rPr>
        <w:t>5.</w:t>
      </w:r>
      <w:r>
        <w:rPr>
          <w:rFonts w:hint="eastAsia" w:ascii="宋体" w:hAnsi="宋体"/>
          <w:color w:val="000000"/>
          <w:sz w:val="21"/>
          <w:szCs w:val="22"/>
          <w:lang w:val="en-US" w:eastAsia="zh-CN"/>
        </w:rPr>
        <w:t>10</w:t>
      </w:r>
      <w:r>
        <w:rPr>
          <w:rFonts w:hint="eastAsia" w:ascii="宋体" w:hAnsi="宋体" w:eastAsiaTheme="minorEastAsia"/>
          <w:color w:val="000000"/>
          <w:sz w:val="21"/>
          <w:szCs w:val="22"/>
          <w:lang w:val="en-US" w:eastAsia="zh-CN"/>
        </w:rPr>
        <w:t>：</w:t>
      </w:r>
      <w:r>
        <w:rPr>
          <w:rFonts w:hint="eastAsia" w:ascii="宋体" w:hAnsi="宋体" w:eastAsiaTheme="minorEastAsia" w:cstheme="minorBidi"/>
          <w:color w:val="000000"/>
          <w:sz w:val="21"/>
          <w:szCs w:val="22"/>
          <w:highlight w:val="none"/>
          <w:lang w:val="en-US" w:eastAsia="zh-CN"/>
        </w:rPr>
        <w:t>商务偏离表</w:t>
      </w:r>
      <w:r>
        <w:rPr>
          <w:rFonts w:hint="eastAsia" w:ascii="宋体" w:hAnsi="宋体" w:cstheme="minorBidi"/>
          <w:color w:val="000000"/>
          <w:kern w:val="2"/>
          <w:sz w:val="21"/>
          <w:szCs w:val="22"/>
          <w:lang w:val="en-US" w:eastAsia="zh-CN" w:bidi="ar-SA"/>
        </w:rPr>
        <w:t>——详见附件</w:t>
      </w:r>
    </w:p>
    <w:p>
      <w:pPr>
        <w:pStyle w:val="34"/>
        <w:adjustRightInd/>
        <w:jc w:val="both"/>
        <w:outlineLvl w:val="1"/>
        <w:rPr>
          <w:rFonts w:hint="default" w:asciiTheme="minorHAnsi" w:hAnsiTheme="minorHAnsi" w:eastAsiaTheme="minorEastAsia" w:cstheme="minorBidi"/>
          <w:b w:val="0"/>
          <w:bCs w:val="0"/>
          <w:color w:val="000000" w:themeColor="text1"/>
          <w:kern w:val="2"/>
          <w:sz w:val="21"/>
          <w:szCs w:val="22"/>
          <w:highlight w:val="none"/>
          <w:lang w:val="en-US" w:eastAsia="zh-CN"/>
          <w14:textFill>
            <w14:solidFill>
              <w14:schemeClr w14:val="tx1"/>
            </w14:solidFill>
          </w14:textFill>
        </w:rPr>
      </w:pPr>
      <w:r>
        <w:rPr>
          <w:rFonts w:hint="eastAsia" w:ascii="宋体" w:hAnsi="宋体" w:cstheme="minorBidi"/>
          <w:color w:val="000000"/>
          <w:kern w:val="2"/>
          <w:sz w:val="21"/>
          <w:szCs w:val="22"/>
          <w:lang w:val="en-US" w:eastAsia="zh-CN" w:bidi="ar-SA"/>
        </w:rPr>
        <w:t>5.11：其他补充</w:t>
      </w: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2"/>
        <w:rPr>
          <w:rFonts w:hint="eastAsia"/>
          <w:lang w:val="en-US" w:eastAsia="zh-CN"/>
        </w:rPr>
      </w:pPr>
    </w:p>
    <w:p>
      <w:pPr>
        <w:pStyle w:val="3"/>
        <w:rPr>
          <w:rFonts w:hint="eastAsia"/>
          <w:lang w:val="en-US" w:eastAsia="zh-CN"/>
        </w:rPr>
      </w:pPr>
    </w:p>
    <w:p>
      <w:pPr>
        <w:rPr>
          <w:rFonts w:hint="eastAsia"/>
          <w:lang w:val="en-US" w:eastAsia="zh-CN"/>
        </w:rPr>
      </w:pPr>
    </w:p>
    <w:p>
      <w:pPr>
        <w:pStyle w:val="34"/>
        <w:rPr>
          <w:rFonts w:hint="eastAsia"/>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5.1</w:t>
      </w:r>
      <w:r>
        <w:rPr>
          <w:rFonts w:hint="eastAsia" w:ascii="黑体" w:hAnsi="黑体" w:eastAsia="黑体"/>
          <w:b/>
          <w:bCs/>
          <w:sz w:val="24"/>
          <w:szCs w:val="24"/>
          <w:lang w:val="en-US" w:eastAsia="zh-CN"/>
        </w:rPr>
        <w:t>：营业执照</w:t>
      </w:r>
    </w:p>
    <w:p>
      <w:pPr>
        <w:pStyle w:val="9"/>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pPr>
        <w:pStyle w:val="3"/>
        <w:rPr>
          <w:rFonts w:ascii="微软雅黑" w:hAnsi="微软雅黑" w:eastAsia="微软雅黑"/>
          <w:b/>
          <w:spacing w:val="2"/>
          <w:sz w:val="32"/>
          <w:szCs w:val="32"/>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pStyle w:val="2"/>
        <w:rPr>
          <w:rFonts w:hint="eastAsia" w:ascii="黑体" w:hAnsi="黑体" w:eastAsia="黑体"/>
          <w:b/>
          <w:bCs/>
          <w:sz w:val="24"/>
          <w:szCs w:val="24"/>
          <w:lang w:val="en-US" w:eastAsia="zh-CN"/>
        </w:rPr>
      </w:pPr>
    </w:p>
    <w:p>
      <w:pPr>
        <w:pStyle w:val="3"/>
        <w:rPr>
          <w:rFonts w:hint="eastAsia" w:ascii="黑体" w:hAnsi="黑体" w:eastAsia="黑体"/>
          <w:b/>
          <w:bCs/>
          <w:sz w:val="24"/>
          <w:szCs w:val="24"/>
          <w:lang w:val="en-US" w:eastAsia="zh-CN"/>
        </w:rPr>
      </w:pPr>
    </w:p>
    <w:p>
      <w:pPr>
        <w:rPr>
          <w:rFonts w:hint="eastAsia" w:ascii="黑体" w:hAnsi="黑体" w:eastAsia="黑体"/>
          <w:b/>
          <w:bCs/>
          <w:sz w:val="24"/>
          <w:szCs w:val="24"/>
          <w:lang w:val="en-US" w:eastAsia="zh-CN"/>
        </w:rPr>
      </w:pPr>
    </w:p>
    <w:p>
      <w:pPr>
        <w:pStyle w:val="2"/>
        <w:rPr>
          <w:rFonts w:hint="eastAsia" w:ascii="黑体" w:hAnsi="黑体" w:eastAsia="黑体"/>
          <w:b/>
          <w:bCs/>
          <w:sz w:val="24"/>
          <w:szCs w:val="24"/>
          <w:lang w:val="en-US" w:eastAsia="zh-CN"/>
        </w:rPr>
      </w:pPr>
    </w:p>
    <w:p>
      <w:pPr>
        <w:pStyle w:val="3"/>
        <w:rPr>
          <w:rFonts w:hint="eastAsia" w:ascii="黑体" w:hAnsi="黑体" w:eastAsia="黑体"/>
          <w:b/>
          <w:bCs/>
          <w:sz w:val="24"/>
          <w:szCs w:val="24"/>
          <w:lang w:val="en-US" w:eastAsia="zh-CN"/>
        </w:rPr>
      </w:pPr>
    </w:p>
    <w:p>
      <w:pPr>
        <w:rPr>
          <w:rFonts w:hint="eastAsia" w:ascii="黑体" w:hAnsi="黑体" w:eastAsia="黑体"/>
          <w:b/>
          <w:bCs/>
          <w:sz w:val="24"/>
          <w:szCs w:val="24"/>
          <w:lang w:val="en-US" w:eastAsia="zh-CN"/>
        </w:rPr>
      </w:pPr>
    </w:p>
    <w:p>
      <w:pPr>
        <w:pStyle w:val="2"/>
        <w:rPr>
          <w:rFonts w:hint="eastAsia" w:ascii="黑体" w:hAnsi="黑体" w:eastAsia="黑体"/>
          <w:b/>
          <w:bCs/>
          <w:sz w:val="24"/>
          <w:szCs w:val="24"/>
          <w:lang w:val="en-US" w:eastAsia="zh-CN"/>
        </w:rPr>
      </w:pPr>
    </w:p>
    <w:p>
      <w:pPr>
        <w:pStyle w:val="3"/>
        <w:rPr>
          <w:rFonts w:hint="eastAsia" w:ascii="黑体" w:hAnsi="黑体" w:eastAsia="黑体"/>
          <w:b/>
          <w:bCs/>
          <w:sz w:val="24"/>
          <w:szCs w:val="24"/>
          <w:lang w:val="en-US" w:eastAsia="zh-CN"/>
        </w:rPr>
      </w:pPr>
    </w:p>
    <w:p>
      <w:pPr>
        <w:rPr>
          <w:rFonts w:hint="eastAsia" w:ascii="黑体" w:hAnsi="黑体" w:eastAsia="黑体"/>
          <w:b/>
          <w:bCs/>
          <w:sz w:val="24"/>
          <w:szCs w:val="24"/>
          <w:lang w:val="en-US" w:eastAsia="zh-CN"/>
        </w:rPr>
      </w:pPr>
    </w:p>
    <w:p>
      <w:pPr>
        <w:pStyle w:val="2"/>
        <w:rPr>
          <w:rFonts w:hint="eastAsia" w:ascii="黑体" w:hAnsi="黑体" w:eastAsia="黑体"/>
          <w:b/>
          <w:bCs/>
          <w:sz w:val="24"/>
          <w:szCs w:val="24"/>
          <w:lang w:val="en-US" w:eastAsia="zh-CN"/>
        </w:rPr>
      </w:pPr>
    </w:p>
    <w:p>
      <w:pPr>
        <w:pStyle w:val="3"/>
        <w:rPr>
          <w:rFonts w:hint="eastAsia" w:ascii="黑体" w:hAnsi="黑体" w:eastAsia="黑体"/>
          <w:b/>
          <w:bCs/>
          <w:sz w:val="24"/>
          <w:szCs w:val="24"/>
          <w:lang w:val="en-US" w:eastAsia="zh-CN"/>
        </w:rPr>
      </w:pPr>
    </w:p>
    <w:p>
      <w:pPr>
        <w:rPr>
          <w:rFonts w:hint="eastAsia" w:ascii="黑体" w:hAnsi="黑体" w:eastAsia="黑体"/>
          <w:b/>
          <w:bCs/>
          <w:sz w:val="24"/>
          <w:szCs w:val="24"/>
          <w:lang w:val="en-US" w:eastAsia="zh-CN"/>
        </w:rPr>
      </w:pPr>
    </w:p>
    <w:p>
      <w:pPr>
        <w:pStyle w:val="2"/>
        <w:rPr>
          <w:rFonts w:hint="eastAsia" w:ascii="黑体" w:hAnsi="黑体" w:eastAsia="黑体"/>
          <w:b/>
          <w:bCs/>
          <w:sz w:val="24"/>
          <w:szCs w:val="24"/>
          <w:lang w:val="en-US" w:eastAsia="zh-CN"/>
        </w:rPr>
      </w:pPr>
    </w:p>
    <w:p>
      <w:pPr>
        <w:pStyle w:val="3"/>
        <w:rPr>
          <w:rFonts w:hint="eastAsia" w:ascii="黑体" w:hAnsi="黑体" w:eastAsia="黑体"/>
          <w:b/>
          <w:bCs/>
          <w:sz w:val="24"/>
          <w:szCs w:val="24"/>
          <w:lang w:val="en-US" w:eastAsia="zh-CN"/>
        </w:rPr>
      </w:pPr>
    </w:p>
    <w:p>
      <w:pPr>
        <w:rPr>
          <w:rFonts w:hint="eastAsia" w:ascii="黑体" w:hAnsi="黑体" w:eastAsia="黑体"/>
          <w:b/>
          <w:bCs/>
          <w:sz w:val="24"/>
          <w:szCs w:val="24"/>
          <w:lang w:val="en-US" w:eastAsia="zh-CN"/>
        </w:rPr>
      </w:pPr>
    </w:p>
    <w:p>
      <w:pPr>
        <w:pStyle w:val="2"/>
        <w:rPr>
          <w:rFonts w:hint="eastAsia" w:ascii="黑体" w:hAnsi="黑体" w:eastAsia="黑体"/>
          <w:b/>
          <w:bCs/>
          <w:sz w:val="24"/>
          <w:szCs w:val="24"/>
          <w:lang w:val="en-US" w:eastAsia="zh-CN"/>
        </w:rPr>
      </w:pPr>
    </w:p>
    <w:p>
      <w:pPr>
        <w:pStyle w:val="3"/>
        <w:rPr>
          <w:rFonts w:hint="eastAsia" w:ascii="黑体" w:hAnsi="黑体" w:eastAsia="黑体"/>
          <w:b/>
          <w:bCs/>
          <w:sz w:val="24"/>
          <w:szCs w:val="24"/>
          <w:lang w:val="en-US" w:eastAsia="zh-CN"/>
        </w:rPr>
      </w:pPr>
    </w:p>
    <w:p>
      <w:pPr>
        <w:rPr>
          <w:rFonts w:hint="eastAsia" w:ascii="黑体" w:hAnsi="黑体" w:eastAsia="黑体"/>
          <w:b/>
          <w:bCs/>
          <w:sz w:val="24"/>
          <w:szCs w:val="24"/>
          <w:lang w:val="en-US" w:eastAsia="zh-CN"/>
        </w:rPr>
      </w:pPr>
    </w:p>
    <w:p>
      <w:pPr>
        <w:pStyle w:val="2"/>
        <w:rPr>
          <w:rFonts w:hint="eastAsia" w:ascii="黑体" w:hAnsi="黑体" w:eastAsia="黑体"/>
          <w:b/>
          <w:bCs/>
          <w:sz w:val="24"/>
          <w:szCs w:val="24"/>
          <w:lang w:val="en-US" w:eastAsia="zh-CN"/>
        </w:rPr>
      </w:pPr>
    </w:p>
    <w:p>
      <w:pPr>
        <w:pStyle w:val="3"/>
        <w:rPr>
          <w:rFonts w:hint="eastAsia" w:ascii="黑体" w:hAnsi="黑体" w:eastAsia="黑体"/>
          <w:b/>
          <w:bCs/>
          <w:sz w:val="24"/>
          <w:szCs w:val="24"/>
          <w:lang w:val="en-US" w:eastAsia="zh-CN"/>
        </w:rPr>
      </w:pPr>
    </w:p>
    <w:p>
      <w:pPr>
        <w:rPr>
          <w:rFonts w:hint="eastAsia" w:ascii="黑体" w:hAnsi="黑体" w:eastAsia="黑体"/>
          <w:b/>
          <w:bCs/>
          <w:sz w:val="24"/>
          <w:szCs w:val="24"/>
          <w:lang w:val="en-US" w:eastAsia="zh-CN"/>
        </w:rPr>
      </w:pPr>
    </w:p>
    <w:p>
      <w:pPr>
        <w:pStyle w:val="2"/>
        <w:rPr>
          <w:rFonts w:hint="eastAsia" w:ascii="黑体" w:hAnsi="黑体" w:eastAsia="黑体"/>
          <w:b/>
          <w:bCs/>
          <w:sz w:val="24"/>
          <w:szCs w:val="24"/>
          <w:lang w:val="en-US" w:eastAsia="zh-CN"/>
        </w:rPr>
      </w:pPr>
    </w:p>
    <w:p>
      <w:pPr>
        <w:pStyle w:val="3"/>
        <w:rPr>
          <w:rFonts w:hint="eastAsia" w:ascii="黑体" w:hAnsi="黑体" w:eastAsia="黑体"/>
          <w:b/>
          <w:bCs/>
          <w:sz w:val="24"/>
          <w:szCs w:val="24"/>
          <w:lang w:val="en-US" w:eastAsia="zh-CN"/>
        </w:rPr>
      </w:pPr>
    </w:p>
    <w:p>
      <w:pPr>
        <w:rPr>
          <w:rFonts w:hint="eastAsia" w:ascii="黑体" w:hAnsi="黑体" w:eastAsia="黑体"/>
          <w:b/>
          <w:bCs/>
          <w:sz w:val="24"/>
          <w:szCs w:val="24"/>
          <w:lang w:val="en-US" w:eastAsia="zh-CN"/>
        </w:rPr>
      </w:pPr>
    </w:p>
    <w:p>
      <w:pPr>
        <w:pStyle w:val="2"/>
        <w:rPr>
          <w:rFonts w:hint="eastAsia" w:ascii="黑体" w:hAnsi="黑体" w:eastAsia="黑体"/>
          <w:b/>
          <w:bCs/>
          <w:sz w:val="24"/>
          <w:szCs w:val="24"/>
          <w:lang w:val="en-US" w:eastAsia="zh-CN"/>
        </w:rPr>
      </w:pPr>
    </w:p>
    <w:p>
      <w:pPr>
        <w:pStyle w:val="3"/>
        <w:rPr>
          <w:rFonts w:hint="eastAsia" w:ascii="黑体" w:hAnsi="黑体" w:eastAsia="黑体"/>
          <w:b/>
          <w:bCs/>
          <w:sz w:val="24"/>
          <w:szCs w:val="24"/>
          <w:lang w:val="en-US" w:eastAsia="zh-CN"/>
        </w:rPr>
      </w:pPr>
    </w:p>
    <w:p>
      <w:pPr>
        <w:rPr>
          <w:rFonts w:hint="eastAsia" w:ascii="黑体" w:hAnsi="黑体" w:eastAsia="黑体"/>
          <w:b/>
          <w:bCs/>
          <w:sz w:val="24"/>
          <w:szCs w:val="24"/>
          <w:lang w:val="en-US" w:eastAsia="zh-CN"/>
        </w:rPr>
      </w:pPr>
    </w:p>
    <w:p>
      <w:pPr>
        <w:pStyle w:val="2"/>
        <w:rPr>
          <w:rFonts w:hint="eastAsia" w:ascii="黑体" w:hAnsi="黑体" w:eastAsia="黑体"/>
          <w:b/>
          <w:bCs/>
          <w:sz w:val="24"/>
          <w:szCs w:val="24"/>
          <w:lang w:val="en-US" w:eastAsia="zh-CN"/>
        </w:rPr>
      </w:pPr>
    </w:p>
    <w:p>
      <w:pPr>
        <w:pStyle w:val="3"/>
        <w:rPr>
          <w:rFonts w:hint="eastAsia" w:ascii="黑体" w:hAnsi="黑体" w:eastAsia="黑体"/>
          <w:b/>
          <w:bCs/>
          <w:sz w:val="24"/>
          <w:szCs w:val="24"/>
          <w:lang w:val="en-US" w:eastAsia="zh-CN"/>
        </w:rPr>
      </w:pPr>
    </w:p>
    <w:p>
      <w:pPr>
        <w:rPr>
          <w:rFonts w:hint="eastAsia" w:ascii="黑体" w:hAnsi="黑体" w:eastAsia="黑体"/>
          <w:b/>
          <w:bCs/>
          <w:sz w:val="24"/>
          <w:szCs w:val="24"/>
          <w:lang w:val="en-US" w:eastAsia="zh-CN"/>
        </w:rPr>
      </w:pPr>
    </w:p>
    <w:p>
      <w:pPr>
        <w:pStyle w:val="2"/>
        <w:rPr>
          <w:rFonts w:hint="eastAsia" w:ascii="黑体" w:hAnsi="黑体" w:eastAsia="黑体"/>
          <w:b/>
          <w:bCs/>
          <w:sz w:val="24"/>
          <w:szCs w:val="24"/>
          <w:lang w:val="en-US" w:eastAsia="zh-CN"/>
        </w:rPr>
      </w:pPr>
    </w:p>
    <w:p>
      <w:pPr>
        <w:pStyle w:val="3"/>
        <w:rPr>
          <w:rFonts w:hint="eastAsia" w:ascii="黑体" w:hAnsi="黑体" w:eastAsia="黑体"/>
          <w:b/>
          <w:bCs/>
          <w:sz w:val="24"/>
          <w:szCs w:val="24"/>
          <w:lang w:val="en-US" w:eastAsia="zh-CN"/>
        </w:rPr>
      </w:pPr>
    </w:p>
    <w:p>
      <w:pPr>
        <w:rPr>
          <w:rFonts w:hint="eastAsia" w:ascii="黑体" w:hAnsi="黑体" w:eastAsia="黑体"/>
          <w:b/>
          <w:bCs/>
          <w:sz w:val="24"/>
          <w:szCs w:val="24"/>
          <w:lang w:val="en-US" w:eastAsia="zh-CN"/>
        </w:rPr>
      </w:pPr>
    </w:p>
    <w:p>
      <w:pPr>
        <w:pStyle w:val="2"/>
        <w:rPr>
          <w:rFonts w:hint="eastAsia" w:ascii="黑体" w:hAnsi="黑体" w:eastAsia="黑体"/>
          <w:b/>
          <w:bCs/>
          <w:sz w:val="24"/>
          <w:szCs w:val="24"/>
          <w:lang w:val="en-US" w:eastAsia="zh-CN"/>
        </w:rPr>
      </w:pPr>
    </w:p>
    <w:p>
      <w:pPr>
        <w:pStyle w:val="3"/>
        <w:rPr>
          <w:rFonts w:hint="eastAsia" w:ascii="黑体" w:hAnsi="黑体" w:eastAsia="黑体"/>
          <w:b/>
          <w:bCs/>
          <w:sz w:val="24"/>
          <w:szCs w:val="24"/>
          <w:lang w:val="en-US" w:eastAsia="zh-CN"/>
        </w:rPr>
      </w:pPr>
    </w:p>
    <w:p>
      <w:pPr>
        <w:rPr>
          <w:rFonts w:hint="eastAsia" w:ascii="黑体" w:hAnsi="黑体" w:eastAsia="黑体"/>
          <w:b/>
          <w:bCs/>
          <w:sz w:val="24"/>
          <w:szCs w:val="24"/>
          <w:lang w:val="en-US" w:eastAsia="zh-CN"/>
        </w:rPr>
      </w:pPr>
    </w:p>
    <w:p>
      <w:pPr>
        <w:pStyle w:val="2"/>
        <w:rPr>
          <w:rFonts w:hint="eastAsia" w:ascii="黑体" w:hAnsi="黑体" w:eastAsia="黑体"/>
          <w:b/>
          <w:bCs/>
          <w:sz w:val="24"/>
          <w:szCs w:val="24"/>
          <w:lang w:val="en-US" w:eastAsia="zh-CN"/>
        </w:rPr>
      </w:pPr>
    </w:p>
    <w:p>
      <w:pPr>
        <w:pStyle w:val="3"/>
        <w:rPr>
          <w:rFonts w:hint="eastAsia"/>
          <w:lang w:val="en-US" w:eastAsia="zh-CN"/>
        </w:rPr>
      </w:pPr>
    </w:p>
    <w:p>
      <w:pPr>
        <w:pStyle w:val="34"/>
        <w:rPr>
          <w:rFonts w:hint="eastAsia"/>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color w:val="000000" w:themeColor="text1"/>
          <w:sz w:val="24"/>
          <w:szCs w:val="24"/>
          <w:highlight w:val="none"/>
          <w:lang w:val="en-US" w:eastAsia="zh-CN"/>
          <w14:textFill>
            <w14:solidFill>
              <w14:schemeClr w14:val="tx1"/>
            </w14:solidFill>
          </w14:textFill>
        </w:rPr>
        <w:t>5.2</w:t>
      </w:r>
      <w:r>
        <w:rPr>
          <w:rFonts w:hint="eastAsia" w:ascii="黑体" w:hAnsi="黑体" w:eastAsia="黑体"/>
          <w:b/>
          <w:bCs/>
          <w:sz w:val="24"/>
          <w:szCs w:val="24"/>
          <w:lang w:val="en-US" w:eastAsia="zh-CN"/>
        </w:rPr>
        <w:t>：法定代表人（单位负责人）身份证明</w:t>
      </w:r>
    </w:p>
    <w:p>
      <w:pPr>
        <w:pStyle w:val="9"/>
        <w:keepNext w:val="0"/>
        <w:keepLines w:val="0"/>
        <w:pageBreakBefore w:val="0"/>
        <w:widowControl w:val="0"/>
        <w:kinsoku/>
        <w:wordWrap/>
        <w:overflowPunct/>
        <w:topLinePunct w:val="0"/>
        <w:autoSpaceDE/>
        <w:autoSpaceDN/>
        <w:bidi w:val="0"/>
        <w:adjustRightInd/>
        <w:snapToGrid/>
        <w:ind w:left="782"/>
        <w:textAlignment w:val="auto"/>
        <w:rPr>
          <w:rFonts w:hint="eastAsia"/>
          <w:lang w:val="en-US" w:eastAsia="zh-CN"/>
        </w:rPr>
      </w:pPr>
    </w:p>
    <w:p>
      <w:pPr>
        <w:pStyle w:val="3"/>
        <w:rPr>
          <w:rFonts w:ascii="微软雅黑" w:hAnsi="微软雅黑" w:eastAsia="微软雅黑"/>
          <w:b/>
          <w:spacing w:val="2"/>
          <w:sz w:val="32"/>
          <w:szCs w:val="32"/>
        </w:rPr>
      </w:pPr>
    </w:p>
    <w:p>
      <w:pPr>
        <w:pStyle w:val="3"/>
        <w:rPr>
          <w:rFonts w:ascii="微软雅黑" w:hAnsi="微软雅黑" w:eastAsia="微软雅黑"/>
          <w:b/>
          <w:spacing w:val="2"/>
          <w:sz w:val="32"/>
          <w:szCs w:val="32"/>
        </w:rPr>
      </w:pPr>
    </w:p>
    <w:p>
      <w:pPr>
        <w:spacing w:before="120" w:beforeLines="50" w:after="120" w:afterLines="50"/>
        <w:ind w:right="11"/>
        <w:jc w:val="center"/>
        <w:rPr>
          <w:rFonts w:ascii="微软雅黑" w:hAnsi="微软雅黑" w:eastAsia="微软雅黑"/>
          <w:b/>
          <w:sz w:val="32"/>
          <w:szCs w:val="32"/>
        </w:rPr>
      </w:pPr>
      <w:r>
        <w:rPr>
          <w:rFonts w:ascii="微软雅黑" w:hAnsi="微软雅黑" w:eastAsia="微软雅黑"/>
          <w:b/>
          <w:spacing w:val="2"/>
          <w:sz w:val="32"/>
          <w:szCs w:val="32"/>
        </w:rPr>
        <w:t>法定代表</w:t>
      </w:r>
      <w:r>
        <w:rPr>
          <w:rFonts w:ascii="微软雅黑" w:hAnsi="微软雅黑" w:eastAsia="微软雅黑"/>
          <w:b/>
          <w:sz w:val="32"/>
          <w:szCs w:val="32"/>
        </w:rPr>
        <w:t>人</w:t>
      </w:r>
      <w:r>
        <w:rPr>
          <w:rFonts w:ascii="微软雅黑" w:hAnsi="微软雅黑" w:eastAsia="微软雅黑"/>
          <w:b/>
          <w:spacing w:val="2"/>
          <w:sz w:val="32"/>
          <w:szCs w:val="32"/>
        </w:rPr>
        <w:t>（单位负责人</w:t>
      </w:r>
      <w:r>
        <w:rPr>
          <w:rFonts w:ascii="微软雅黑" w:hAnsi="微软雅黑" w:eastAsia="微软雅黑"/>
          <w:b/>
          <w:sz w:val="32"/>
          <w:szCs w:val="32"/>
        </w:rPr>
        <w:t>）</w:t>
      </w:r>
      <w:r>
        <w:rPr>
          <w:rFonts w:ascii="微软雅黑" w:hAnsi="微软雅黑" w:eastAsia="微软雅黑"/>
          <w:b/>
          <w:spacing w:val="2"/>
          <w:sz w:val="32"/>
          <w:szCs w:val="32"/>
        </w:rPr>
        <w:t>身份证</w:t>
      </w:r>
      <w:r>
        <w:rPr>
          <w:rFonts w:ascii="微软雅黑" w:hAnsi="微软雅黑" w:eastAsia="微软雅黑"/>
          <w:b/>
          <w:sz w:val="32"/>
          <w:szCs w:val="32"/>
        </w:rPr>
        <w:t>明</w:t>
      </w:r>
    </w:p>
    <w:p>
      <w:pPr>
        <w:tabs>
          <w:tab w:val="left" w:pos="142"/>
        </w:tabs>
        <w:spacing w:line="200" w:lineRule="exact"/>
        <w:ind w:right="11"/>
        <w:jc w:val="center"/>
        <w:rPr>
          <w:rFonts w:ascii="微软雅黑" w:hAnsi="微软雅黑" w:eastAsia="微软雅黑"/>
          <w:sz w:val="20"/>
          <w:szCs w:val="20"/>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20"/>
        <w:jc w:val="left"/>
        <w:rPr>
          <w:rFonts w:ascii="微软雅黑" w:hAnsi="微软雅黑" w:eastAsia="微软雅黑" w:cstheme="minorBidi"/>
          <w:kern w:val="0"/>
          <w:sz w:val="21"/>
          <w:szCs w:val="21"/>
          <w:lang w:val="en-US" w:eastAsia="zh-CN" w:bidi="ar-SA"/>
        </w:rPr>
      </w:pPr>
    </w:p>
    <w:p>
      <w:pPr>
        <w:widowControl w:val="0"/>
        <w:tabs>
          <w:tab w:val="left" w:pos="142"/>
          <w:tab w:val="left" w:pos="3880"/>
        </w:tabs>
        <w:spacing w:before="36"/>
        <w:ind w:left="780" w:right="11" w:firstLine="480"/>
        <w:jc w:val="lef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3"/>
          <w:kern w:val="0"/>
          <w:sz w:val="24"/>
          <w:szCs w:val="24"/>
          <w:lang w:val="en-US" w:eastAsia="zh-CN" w:bidi="ar-SA"/>
        </w:rPr>
        <w:t>称</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412"/>
          <w:tab w:val="left" w:pos="3883"/>
          <w:tab w:val="left" w:pos="5352"/>
          <w:tab w:val="left" w:pos="6821"/>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姓名</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性别</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年</w:t>
      </w:r>
      <w:r>
        <w:rPr>
          <w:rFonts w:ascii="微软雅黑" w:hAnsi="微软雅黑" w:eastAsia="微软雅黑" w:cstheme="minorBidi"/>
          <w:spacing w:val="-3"/>
          <w:kern w:val="0"/>
          <w:sz w:val="24"/>
          <w:szCs w:val="24"/>
          <w:lang w:val="en-US" w:eastAsia="zh-CN" w:bidi="ar-SA"/>
        </w:rPr>
        <w:t>龄</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职</w:t>
      </w:r>
      <w:r>
        <w:rPr>
          <w:rFonts w:ascii="微软雅黑" w:hAnsi="微软雅黑" w:eastAsia="微软雅黑" w:cstheme="minorBidi"/>
          <w:spacing w:val="-3"/>
          <w:kern w:val="0"/>
          <w:sz w:val="24"/>
          <w:szCs w:val="24"/>
          <w:lang w:val="en-US" w:eastAsia="zh-CN" w:bidi="ar-SA"/>
        </w:rPr>
        <w:t>务</w:t>
      </w:r>
      <w:r>
        <w:rPr>
          <w:rFonts w:ascii="微软雅黑" w:hAnsi="微软雅黑" w:eastAsia="微软雅黑" w:cstheme="minorBidi"/>
          <w:spacing w:val="-1"/>
          <w:kern w:val="0"/>
          <w:sz w:val="24"/>
          <w:szCs w:val="24"/>
          <w:lang w:val="en-US" w:eastAsia="zh-CN" w:bidi="ar-SA"/>
        </w:rPr>
        <w:t>：</w:t>
      </w:r>
      <w:r>
        <w:rPr>
          <w:rFonts w:ascii="微软雅黑" w:hAnsi="微软雅黑" w:eastAsia="微软雅黑" w:cstheme="minorBidi"/>
          <w:w w:val="225"/>
          <w:kern w:val="0"/>
          <w:sz w:val="24"/>
          <w:szCs w:val="24"/>
          <w:u w:val="single" w:color="000000"/>
          <w:lang w:val="en-US" w:eastAsia="zh-CN" w:bidi="ar-SA"/>
        </w:rPr>
        <w:t xml:space="preserve"> </w:t>
      </w:r>
      <w:r>
        <w:rPr>
          <w:rFonts w:ascii="微软雅黑" w:hAnsi="微软雅黑" w:eastAsia="微软雅黑" w:cstheme="minorBidi"/>
          <w:kern w:val="0"/>
          <w:sz w:val="24"/>
          <w:szCs w:val="24"/>
          <w:u w:val="single" w:color="000000"/>
          <w:lang w:val="en-US" w:eastAsia="zh-CN" w:bidi="ar-SA"/>
        </w:rPr>
        <w:tab/>
      </w:r>
    </w:p>
    <w:p>
      <w:pPr>
        <w:widowControl w:val="0"/>
        <w:tabs>
          <w:tab w:val="left" w:pos="142"/>
          <w:tab w:val="left" w:pos="2831"/>
        </w:tabs>
        <w:spacing w:before="36"/>
        <w:ind w:left="780" w:right="11" w:firstLine="476"/>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6"/>
          <w:kern w:val="0"/>
          <w:sz w:val="24"/>
          <w:szCs w:val="24"/>
          <w:lang w:val="en-US" w:eastAsia="zh-CN" w:bidi="ar-SA"/>
        </w:rPr>
        <w:t>）</w:t>
      </w:r>
      <w:r>
        <w:rPr>
          <w:rFonts w:ascii="微软雅黑" w:hAnsi="微软雅黑" w:eastAsia="微软雅黑" w:cstheme="minorBidi"/>
          <w:kern w:val="0"/>
          <w:sz w:val="24"/>
          <w:szCs w:val="24"/>
          <w:lang w:val="en-US" w:eastAsia="zh-CN" w:bidi="ar-SA"/>
        </w:rPr>
        <w:t>。</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特此</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明。</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 xml:space="preserve">。 </w:t>
      </w: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p>
    <w:p>
      <w:pPr>
        <w:widowControl w:val="0"/>
        <w:tabs>
          <w:tab w:val="left" w:pos="142"/>
        </w:tabs>
        <w:spacing w:before="36"/>
        <w:ind w:left="780" w:right="11" w:firstLine="480"/>
        <w:jc w:val="left"/>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注：</w:t>
      </w:r>
      <w:r>
        <w:rPr>
          <w:rFonts w:ascii="微软雅黑" w:hAnsi="微软雅黑" w:eastAsia="微软雅黑" w:cstheme="minorBidi"/>
          <w:spacing w:val="-3"/>
          <w:kern w:val="0"/>
          <w:sz w:val="24"/>
          <w:szCs w:val="24"/>
          <w:lang w:val="en-US" w:eastAsia="zh-CN" w:bidi="ar-SA"/>
        </w:rPr>
        <w:t>本</w:t>
      </w:r>
      <w:r>
        <w:rPr>
          <w:rFonts w:ascii="微软雅黑" w:hAnsi="微软雅黑" w:eastAsia="微软雅黑" w:cstheme="minorBidi"/>
          <w:kern w:val="0"/>
          <w:sz w:val="24"/>
          <w:szCs w:val="24"/>
          <w:lang w:val="en-US" w:eastAsia="zh-CN" w:bidi="ar-SA"/>
        </w:rPr>
        <w:t>身</w:t>
      </w:r>
      <w:r>
        <w:rPr>
          <w:rFonts w:ascii="微软雅黑" w:hAnsi="微软雅黑" w:eastAsia="微软雅黑" w:cstheme="minorBidi"/>
          <w:spacing w:val="-3"/>
          <w:kern w:val="0"/>
          <w:sz w:val="24"/>
          <w:szCs w:val="24"/>
          <w:lang w:val="en-US" w:eastAsia="zh-CN" w:bidi="ar-SA"/>
        </w:rPr>
        <w:t>份</w:t>
      </w:r>
      <w:r>
        <w:rPr>
          <w:rFonts w:ascii="微软雅黑" w:hAnsi="微软雅黑" w:eastAsia="微软雅黑" w:cstheme="minorBidi"/>
          <w:kern w:val="0"/>
          <w:sz w:val="24"/>
          <w:szCs w:val="24"/>
          <w:lang w:val="en-US" w:eastAsia="zh-CN" w:bidi="ar-SA"/>
        </w:rPr>
        <w:t>证</w:t>
      </w:r>
      <w:r>
        <w:rPr>
          <w:rFonts w:ascii="微软雅黑" w:hAnsi="微软雅黑" w:eastAsia="微软雅黑" w:cstheme="minorBidi"/>
          <w:spacing w:val="-3"/>
          <w:kern w:val="0"/>
          <w:sz w:val="24"/>
          <w:szCs w:val="24"/>
          <w:lang w:val="en-US" w:eastAsia="zh-CN" w:bidi="ar-SA"/>
        </w:rPr>
        <w:t>明</w:t>
      </w:r>
      <w:r>
        <w:rPr>
          <w:rFonts w:ascii="微软雅黑" w:hAnsi="微软雅黑" w:eastAsia="微软雅黑" w:cstheme="minorBidi"/>
          <w:kern w:val="0"/>
          <w:sz w:val="24"/>
          <w:szCs w:val="24"/>
          <w:lang w:val="en-US" w:eastAsia="zh-CN" w:bidi="ar-SA"/>
        </w:rPr>
        <w:t>需</w:t>
      </w:r>
      <w:r>
        <w:rPr>
          <w:rFonts w:ascii="微软雅黑" w:hAnsi="微软雅黑" w:eastAsia="微软雅黑" w:cstheme="minorBidi"/>
          <w:spacing w:val="-3"/>
          <w:kern w:val="0"/>
          <w:sz w:val="24"/>
          <w:szCs w:val="24"/>
          <w:lang w:val="en-US" w:eastAsia="zh-CN" w:bidi="ar-SA"/>
        </w:rPr>
        <w:t>由</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kern w:val="0"/>
          <w:sz w:val="24"/>
          <w:szCs w:val="24"/>
          <w:lang w:val="en-US" w:eastAsia="zh-CN" w:bidi="ar-SA"/>
        </w:rPr>
        <w:t>加</w:t>
      </w:r>
      <w:r>
        <w:rPr>
          <w:rFonts w:ascii="微软雅黑" w:hAnsi="微软雅黑" w:eastAsia="微软雅黑" w:cstheme="minorBidi"/>
          <w:spacing w:val="-3"/>
          <w:kern w:val="0"/>
          <w:sz w:val="24"/>
          <w:szCs w:val="24"/>
          <w:lang w:val="en-US" w:eastAsia="zh-CN" w:bidi="ar-SA"/>
        </w:rPr>
        <w:t>盖</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tabs>
          <w:tab w:val="left" w:pos="142"/>
        </w:tabs>
        <w:ind w:right="11"/>
        <w:rPr>
          <w:rFonts w:ascii="微软雅黑" w:hAnsi="微软雅黑" w:eastAsia="微软雅黑"/>
          <w:sz w:val="24"/>
          <w:szCs w:val="24"/>
        </w:rPr>
      </w:pPr>
    </w:p>
    <w:p>
      <w:pPr>
        <w:widowControl w:val="0"/>
        <w:tabs>
          <w:tab w:val="left" w:pos="142"/>
          <w:tab w:val="left" w:pos="6521"/>
        </w:tabs>
        <w:spacing w:before="36" w:after="120" w:afterLines="50"/>
        <w:ind w:left="780" w:right="11" w:firstLine="468"/>
        <w:jc w:val="right"/>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spacing w:val="-3"/>
          <w:kern w:val="0"/>
          <w:sz w:val="24"/>
          <w:szCs w:val="24"/>
          <w:lang w:val="en-US" w:eastAsia="zh-CN" w:bidi="ar-SA"/>
        </w:rPr>
        <w:t>应答人</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widowControl w:val="0"/>
        <w:tabs>
          <w:tab w:val="left" w:pos="142"/>
          <w:tab w:val="left" w:pos="5352"/>
          <w:tab w:val="left" w:pos="6192"/>
          <w:tab w:val="left" w:pos="7032"/>
        </w:tabs>
        <w:spacing w:before="36" w:after="120" w:afterLines="50"/>
        <w:ind w:left="780" w:right="11" w:firstLine="1080"/>
        <w:jc w:val="right"/>
      </w:pPr>
      <w:r>
        <w:rPr>
          <w:rFonts w:hint="eastAsia" w:ascii="微软雅黑" w:hAnsi="微软雅黑" w:eastAsia="微软雅黑" w:cstheme="minorBidi"/>
          <w:w w:val="225"/>
          <w:kern w:val="0"/>
          <w:sz w:val="24"/>
          <w:szCs w:val="24"/>
          <w:lang w:val="en-US" w:eastAsia="zh-CN" w:bidi="ar-SA"/>
        </w:rPr>
        <w:t>____</w:t>
      </w:r>
      <w:r>
        <w:rPr>
          <w:rFonts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lang w:val="en-US" w:eastAsia="zh-CN" w:bidi="ar-SA"/>
        </w:rPr>
        <w:t>_______</w:t>
      </w:r>
      <w:r>
        <w:rPr>
          <w:rFonts w:ascii="微软雅黑" w:hAnsi="微软雅黑" w:eastAsia="微软雅黑" w:cstheme="minorBidi"/>
          <w:kern w:val="0"/>
          <w:sz w:val="24"/>
          <w:szCs w:val="24"/>
          <w:lang w:val="en-US" w:eastAsia="zh-CN" w:bidi="ar-SA"/>
        </w:rPr>
        <w:t>月</w:t>
      </w:r>
      <w:r>
        <w:rPr>
          <w:rFonts w:hint="eastAsia" w:ascii="微软雅黑" w:hAnsi="微软雅黑" w:eastAsia="微软雅黑" w:cstheme="minorBidi"/>
          <w:kern w:val="0"/>
          <w:sz w:val="24"/>
          <w:szCs w:val="24"/>
          <w:lang w:val="en-US" w:eastAsia="zh-CN" w:bidi="ar-SA"/>
        </w:rPr>
        <w:t>______</w:t>
      </w:r>
      <w:r>
        <w:rPr>
          <w:rFonts w:ascii="微软雅黑" w:hAnsi="微软雅黑" w:eastAsia="微软雅黑" w:cstheme="minorBidi"/>
          <w:kern w:val="0"/>
          <w:sz w:val="24"/>
          <w:szCs w:val="24"/>
          <w:lang w:val="en-US" w:eastAsia="zh-CN" w:bidi="ar-SA"/>
        </w:rPr>
        <w:t>日</w:t>
      </w: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9"/>
        <w:rPr>
          <w:rFonts w:hint="eastAsia" w:ascii="黑体" w:hAnsi="黑体" w:eastAsia="黑体"/>
          <w:b/>
          <w:bCs/>
          <w:sz w:val="24"/>
          <w:szCs w:val="24"/>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1"/>
        <w:rPr>
          <w:rFonts w:hint="default" w:ascii="黑体" w:hAnsi="黑体" w:eastAsia="黑体"/>
          <w:b/>
          <w:bCs/>
          <w:sz w:val="24"/>
          <w:szCs w:val="24"/>
          <w:lang w:val="en-US" w:eastAsia="zh-CN"/>
        </w:rPr>
      </w:pPr>
      <w:r>
        <w:rPr>
          <w:rFonts w:hint="eastAsia" w:ascii="黑体" w:hAnsi="黑体" w:eastAsia="黑体"/>
          <w:b/>
          <w:bCs/>
          <w:sz w:val="24"/>
          <w:szCs w:val="24"/>
          <w:lang w:val="en-US" w:eastAsia="zh-CN"/>
        </w:rPr>
        <w:t>5.3：授权委托书</w:t>
      </w:r>
    </w:p>
    <w:p>
      <w:pPr>
        <w:pStyle w:val="49"/>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p>
    <w:p>
      <w:pPr>
        <w:pStyle w:val="49"/>
        <w:keepNext w:val="0"/>
        <w:keepLines w:val="0"/>
        <w:pageBreakBefore w:val="0"/>
        <w:widowControl w:val="0"/>
        <w:tabs>
          <w:tab w:val="left" w:pos="142"/>
        </w:tabs>
        <w:kinsoku/>
        <w:overflowPunct/>
        <w:topLinePunct w:val="0"/>
        <w:autoSpaceDE/>
        <w:autoSpaceDN/>
        <w:bidi w:val="0"/>
        <w:adjustRightInd/>
        <w:snapToGrid/>
        <w:spacing w:before="120" w:beforeLines="50" w:after="120" w:afterLines="50"/>
        <w:ind w:right="10"/>
        <w:jc w:val="center"/>
        <w:textAlignment w:val="auto"/>
        <w:outlineLvl w:val="9"/>
        <w:rPr>
          <w:rFonts w:ascii="微软雅黑" w:hAnsi="微软雅黑" w:eastAsia="微软雅黑"/>
          <w:b/>
          <w:spacing w:val="2"/>
          <w:lang w:eastAsia="zh-CN"/>
        </w:rPr>
      </w:pPr>
      <w:r>
        <w:rPr>
          <w:rFonts w:ascii="微软雅黑" w:hAnsi="微软雅黑" w:eastAsia="微软雅黑"/>
          <w:b/>
          <w:spacing w:val="2"/>
          <w:lang w:eastAsia="zh-CN"/>
        </w:rPr>
        <w:t>授权委托书</w:t>
      </w:r>
    </w:p>
    <w:p>
      <w:pPr>
        <w:keepNext w:val="0"/>
        <w:keepLines w:val="0"/>
        <w:pageBreakBefore w:val="0"/>
        <w:widowControl w:val="0"/>
        <w:tabs>
          <w:tab w:val="left" w:pos="142"/>
          <w:tab w:val="left" w:pos="2421"/>
          <w:tab w:val="left" w:pos="5585"/>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本人</w:t>
      </w:r>
      <w:r>
        <w:rPr>
          <w:rFonts w:ascii="微软雅黑" w:hAnsi="微软雅黑" w:eastAsia="微软雅黑" w:cstheme="minorBidi"/>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姓</w:t>
      </w:r>
      <w:r>
        <w:rPr>
          <w:rFonts w:ascii="微软雅黑" w:hAnsi="微软雅黑" w:eastAsia="微软雅黑" w:cstheme="minorBidi"/>
          <w:kern w:val="0"/>
          <w:sz w:val="24"/>
          <w:szCs w:val="24"/>
          <w:lang w:val="en-US" w:eastAsia="zh-CN" w:bidi="ar-SA"/>
        </w:rPr>
        <w:t>名）</w:t>
      </w:r>
      <w:r>
        <w:rPr>
          <w:rFonts w:ascii="微软雅黑" w:hAnsi="微软雅黑" w:eastAsia="微软雅黑" w:cstheme="minorBidi"/>
          <w:spacing w:val="-1"/>
          <w:kern w:val="0"/>
          <w:sz w:val="24"/>
          <w:szCs w:val="24"/>
          <w:lang w:val="en-US" w:eastAsia="zh-CN" w:bidi="ar-SA"/>
        </w:rPr>
        <w:t>系</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名</w:t>
      </w:r>
      <w:r>
        <w:rPr>
          <w:rFonts w:ascii="微软雅黑" w:hAnsi="微软雅黑" w:eastAsia="微软雅黑" w:cstheme="minorBidi"/>
          <w:kern w:val="0"/>
          <w:sz w:val="24"/>
          <w:szCs w:val="24"/>
          <w:lang w:val="en-US" w:eastAsia="zh-CN" w:bidi="ar-SA"/>
        </w:rPr>
        <w:t>称）的</w:t>
      </w:r>
      <w:r>
        <w:rPr>
          <w:rFonts w:ascii="微软雅黑" w:hAnsi="微软雅黑" w:eastAsia="微软雅黑" w:cstheme="minorBidi"/>
          <w:spacing w:val="-3"/>
          <w:kern w:val="0"/>
          <w:sz w:val="24"/>
          <w:szCs w:val="24"/>
          <w:lang w:val="en-US" w:eastAsia="zh-CN" w:bidi="ar-SA"/>
        </w:rPr>
        <w:t>法定</w:t>
      </w:r>
      <w:r>
        <w:rPr>
          <w:rFonts w:ascii="微软雅黑" w:hAnsi="微软雅黑" w:eastAsia="微软雅黑" w:cstheme="minorBidi"/>
          <w:kern w:val="0"/>
          <w:sz w:val="24"/>
          <w:szCs w:val="24"/>
          <w:lang w:val="en-US" w:eastAsia="zh-CN" w:bidi="ar-SA"/>
        </w:rPr>
        <w:t>代表人</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单位负责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4"/>
          <w:kern w:val="0"/>
          <w:sz w:val="24"/>
          <w:szCs w:val="24"/>
          <w:lang w:val="en-US" w:eastAsia="zh-CN" w:bidi="ar-SA"/>
        </w:rPr>
        <w:t>）</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现</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1"/>
          <w:kern w:val="0"/>
          <w:sz w:val="24"/>
          <w:szCs w:val="24"/>
          <w:lang w:val="en-US" w:eastAsia="zh-CN" w:bidi="ar-SA"/>
        </w:rPr>
        <w:t>托</w:t>
      </w:r>
      <w:r>
        <w:rPr>
          <w:rFonts w:ascii="微软雅黑" w:hAnsi="微软雅黑" w:eastAsia="微软雅黑" w:cstheme="minorBidi"/>
          <w:spacing w:val="-1"/>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（姓名）为我</w:t>
      </w:r>
      <w:r>
        <w:rPr>
          <w:rFonts w:ascii="微软雅黑" w:hAnsi="微软雅黑" w:eastAsia="微软雅黑" w:cstheme="minorBidi"/>
          <w:spacing w:val="-3"/>
          <w:kern w:val="0"/>
          <w:sz w:val="24"/>
          <w:szCs w:val="24"/>
          <w:lang w:val="en-US" w:eastAsia="zh-CN" w:bidi="ar-SA"/>
        </w:rPr>
        <w:t>方代</w:t>
      </w:r>
      <w:r>
        <w:rPr>
          <w:rFonts w:ascii="微软雅黑" w:hAnsi="微软雅黑" w:eastAsia="微软雅黑" w:cstheme="minorBidi"/>
          <w:kern w:val="0"/>
          <w:sz w:val="24"/>
          <w:szCs w:val="24"/>
          <w:lang w:val="en-US" w:eastAsia="zh-CN" w:bidi="ar-SA"/>
        </w:rPr>
        <w:t>理人。代理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根据授</w:t>
      </w:r>
      <w:r>
        <w:rPr>
          <w:rFonts w:ascii="微软雅黑" w:hAnsi="微软雅黑" w:eastAsia="微软雅黑" w:cstheme="minorBidi"/>
          <w:spacing w:val="-3"/>
          <w:kern w:val="0"/>
          <w:sz w:val="24"/>
          <w:szCs w:val="24"/>
          <w:lang w:val="en-US" w:eastAsia="zh-CN" w:bidi="ar-SA"/>
        </w:rPr>
        <w:t>权，</w:t>
      </w:r>
      <w:r>
        <w:rPr>
          <w:rFonts w:ascii="微软雅黑" w:hAnsi="微软雅黑" w:eastAsia="微软雅黑" w:cstheme="minorBidi"/>
          <w:kern w:val="0"/>
          <w:sz w:val="24"/>
          <w:szCs w:val="24"/>
          <w:lang w:val="en-US" w:eastAsia="zh-CN" w:bidi="ar-SA"/>
        </w:rPr>
        <w:t>以我方名义</w:t>
      </w:r>
      <w:r>
        <w:rPr>
          <w:rFonts w:ascii="微软雅黑" w:hAnsi="微软雅黑" w:eastAsia="微软雅黑" w:cstheme="minorBidi"/>
          <w:spacing w:val="-3"/>
          <w:kern w:val="0"/>
          <w:sz w:val="24"/>
          <w:szCs w:val="24"/>
          <w:lang w:val="en-US" w:eastAsia="zh-CN" w:bidi="ar-SA"/>
        </w:rPr>
        <w:t>签</w:t>
      </w:r>
      <w:r>
        <w:rPr>
          <w:rFonts w:ascii="微软雅黑" w:hAnsi="微软雅黑" w:eastAsia="微软雅黑" w:cstheme="minorBidi"/>
          <w:kern w:val="0"/>
          <w:sz w:val="24"/>
          <w:szCs w:val="24"/>
          <w:lang w:val="en-US" w:eastAsia="zh-CN" w:bidi="ar-SA"/>
        </w:rPr>
        <w:t>署、澄清</w:t>
      </w:r>
      <w:r>
        <w:rPr>
          <w:rFonts w:hint="eastAsia" w:ascii="微软雅黑" w:hAnsi="微软雅黑" w:eastAsia="微软雅黑" w:cstheme="minorBidi"/>
          <w:kern w:val="0"/>
          <w:sz w:val="24"/>
          <w:szCs w:val="24"/>
          <w:lang w:val="en-US" w:eastAsia="zh-CN" w:bidi="ar-SA"/>
        </w:rPr>
        <w:t>、</w:t>
      </w:r>
      <w:r>
        <w:rPr>
          <w:rFonts w:ascii="微软雅黑" w:hAnsi="微软雅黑" w:eastAsia="微软雅黑" w:cstheme="minorBidi"/>
          <w:kern w:val="0"/>
          <w:sz w:val="24"/>
          <w:szCs w:val="24"/>
          <w:lang w:val="en-US" w:eastAsia="zh-CN" w:bidi="ar-SA"/>
        </w:rPr>
        <w:t>确认、递交</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撤回</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kern w:val="0"/>
          <w:sz w:val="24"/>
          <w:szCs w:val="24"/>
          <w:lang w:val="en-US" w:eastAsia="zh-CN" w:bidi="ar-SA"/>
        </w:rPr>
        <w:t>修改</w:t>
      </w:r>
      <w:r>
        <w:rPr>
          <w:rFonts w:hint="eastAsia" w:ascii="微软雅黑" w:hAnsi="微软雅黑" w:eastAsia="微软雅黑" w:cstheme="minorBidi"/>
          <w:kern w:val="0"/>
          <w:sz w:val="24"/>
          <w:szCs w:val="24"/>
          <w:lang w:val="en-US" w:eastAsia="zh-CN" w:bidi="ar-SA"/>
        </w:rPr>
        <w:t>服务</w:t>
      </w:r>
      <w:r>
        <w:rPr>
          <w:rFonts w:ascii="微软雅黑" w:hAnsi="微软雅黑" w:eastAsia="微软雅黑" w:cstheme="minorBidi"/>
          <w:kern w:val="0"/>
          <w:sz w:val="24"/>
          <w:szCs w:val="24"/>
          <w:lang w:val="en-US" w:eastAsia="zh-CN" w:bidi="ar-SA"/>
        </w:rPr>
        <w:t>采购</w:t>
      </w:r>
      <w:r>
        <w:rPr>
          <w:rFonts w:hint="eastAsia" w:ascii="微软雅黑" w:hAnsi="微软雅黑" w:eastAsia="微软雅黑" w:cstheme="minorBidi"/>
          <w:kern w:val="0"/>
          <w:sz w:val="24"/>
          <w:szCs w:val="24"/>
          <w:lang w:val="en-US" w:eastAsia="zh-CN" w:bidi="ar-SA"/>
        </w:rPr>
        <w:t>询比</w:t>
      </w:r>
      <w:r>
        <w:rPr>
          <w:rFonts w:ascii="微软雅黑" w:hAnsi="微软雅黑" w:eastAsia="微软雅黑" w:cstheme="minorBidi"/>
          <w:kern w:val="0"/>
          <w:sz w:val="24"/>
          <w:szCs w:val="24"/>
          <w:lang w:val="en-US" w:eastAsia="zh-CN" w:bidi="ar-SA"/>
        </w:rPr>
        <w:t>项目</w:t>
      </w:r>
      <w:r>
        <w:rPr>
          <w:rFonts w:hint="eastAsia" w:ascii="微软雅黑" w:hAnsi="微软雅黑" w:eastAsia="微软雅黑" w:cstheme="minorBidi"/>
          <w:kern w:val="0"/>
          <w:sz w:val="24"/>
          <w:szCs w:val="24"/>
          <w:lang w:val="en-US" w:eastAsia="zh-CN" w:bidi="ar-SA"/>
        </w:rPr>
        <w:t>报价</w:t>
      </w:r>
      <w:r>
        <w:rPr>
          <w:rFonts w:ascii="微软雅黑" w:hAnsi="微软雅黑" w:eastAsia="微软雅黑" w:cstheme="minorBidi"/>
          <w:kern w:val="0"/>
          <w:sz w:val="24"/>
          <w:szCs w:val="24"/>
          <w:lang w:val="en-US" w:eastAsia="zh-CN" w:bidi="ar-SA"/>
        </w:rPr>
        <w:t>文件、签订合</w:t>
      </w:r>
      <w:r>
        <w:rPr>
          <w:rFonts w:ascii="微软雅黑" w:hAnsi="微软雅黑" w:eastAsia="微软雅黑" w:cstheme="minorBidi"/>
          <w:spacing w:val="-3"/>
          <w:kern w:val="0"/>
          <w:sz w:val="24"/>
          <w:szCs w:val="24"/>
          <w:lang w:val="en-US" w:eastAsia="zh-CN" w:bidi="ar-SA"/>
        </w:rPr>
        <w:t>同</w:t>
      </w:r>
      <w:r>
        <w:rPr>
          <w:rFonts w:ascii="微软雅黑" w:hAnsi="微软雅黑" w:eastAsia="微软雅黑" w:cstheme="minorBidi"/>
          <w:kern w:val="0"/>
          <w:sz w:val="24"/>
          <w:szCs w:val="24"/>
          <w:lang w:val="en-US" w:eastAsia="zh-CN" w:bidi="ar-SA"/>
        </w:rPr>
        <w:t>和处</w:t>
      </w:r>
      <w:r>
        <w:rPr>
          <w:rFonts w:ascii="微软雅黑" w:hAnsi="微软雅黑" w:eastAsia="微软雅黑" w:cstheme="minorBidi"/>
          <w:spacing w:val="-3"/>
          <w:kern w:val="0"/>
          <w:sz w:val="24"/>
          <w:szCs w:val="24"/>
          <w:lang w:val="en-US" w:eastAsia="zh-CN" w:bidi="ar-SA"/>
        </w:rPr>
        <w:t>理</w:t>
      </w:r>
      <w:r>
        <w:rPr>
          <w:rFonts w:ascii="微软雅黑" w:hAnsi="微软雅黑" w:eastAsia="微软雅黑" w:cstheme="minorBidi"/>
          <w:kern w:val="0"/>
          <w:sz w:val="24"/>
          <w:szCs w:val="24"/>
          <w:lang w:val="en-US" w:eastAsia="zh-CN" w:bidi="ar-SA"/>
        </w:rPr>
        <w:t>有关事宜，其</w:t>
      </w:r>
      <w:r>
        <w:rPr>
          <w:rFonts w:ascii="微软雅黑" w:hAnsi="微软雅黑" w:eastAsia="微软雅黑" w:cstheme="minorBidi"/>
          <w:spacing w:val="-3"/>
          <w:kern w:val="0"/>
          <w:sz w:val="24"/>
          <w:szCs w:val="24"/>
          <w:lang w:val="en-US" w:eastAsia="zh-CN" w:bidi="ar-SA"/>
        </w:rPr>
        <w:t>法</w:t>
      </w:r>
      <w:r>
        <w:rPr>
          <w:rFonts w:ascii="微软雅黑" w:hAnsi="微软雅黑" w:eastAsia="微软雅黑" w:cstheme="minorBidi"/>
          <w:kern w:val="0"/>
          <w:sz w:val="24"/>
          <w:szCs w:val="24"/>
          <w:lang w:val="en-US" w:eastAsia="zh-CN" w:bidi="ar-SA"/>
        </w:rPr>
        <w:t>律后果</w:t>
      </w:r>
      <w:r>
        <w:rPr>
          <w:rFonts w:ascii="微软雅黑" w:hAnsi="微软雅黑" w:eastAsia="微软雅黑" w:cstheme="minorBidi"/>
          <w:spacing w:val="-3"/>
          <w:kern w:val="0"/>
          <w:sz w:val="24"/>
          <w:szCs w:val="24"/>
          <w:lang w:val="en-US" w:eastAsia="zh-CN" w:bidi="ar-SA"/>
        </w:rPr>
        <w:t>由</w:t>
      </w:r>
      <w:r>
        <w:rPr>
          <w:rFonts w:ascii="微软雅黑" w:hAnsi="微软雅黑" w:eastAsia="微软雅黑" w:cstheme="minorBidi"/>
          <w:kern w:val="0"/>
          <w:sz w:val="24"/>
          <w:szCs w:val="24"/>
          <w:lang w:val="en-US" w:eastAsia="zh-CN" w:bidi="ar-SA"/>
        </w:rPr>
        <w:t>我</w:t>
      </w:r>
      <w:r>
        <w:rPr>
          <w:rFonts w:ascii="微软雅黑" w:hAnsi="微软雅黑" w:eastAsia="微软雅黑" w:cstheme="minorBidi"/>
          <w:spacing w:val="-3"/>
          <w:kern w:val="0"/>
          <w:sz w:val="24"/>
          <w:szCs w:val="24"/>
          <w:lang w:val="en-US" w:eastAsia="zh-CN" w:bidi="ar-SA"/>
        </w:rPr>
        <w:t>方</w:t>
      </w:r>
      <w:r>
        <w:rPr>
          <w:rFonts w:ascii="微软雅黑" w:hAnsi="微软雅黑" w:eastAsia="微软雅黑" w:cstheme="minorBidi"/>
          <w:kern w:val="0"/>
          <w:sz w:val="24"/>
          <w:szCs w:val="24"/>
          <w:lang w:val="en-US" w:eastAsia="zh-CN" w:bidi="ar-SA"/>
        </w:rPr>
        <w:t>承</w:t>
      </w:r>
      <w:r>
        <w:rPr>
          <w:rFonts w:ascii="微软雅黑" w:hAnsi="微软雅黑" w:eastAsia="微软雅黑" w:cstheme="minorBidi"/>
          <w:spacing w:val="-3"/>
          <w:kern w:val="0"/>
          <w:sz w:val="24"/>
          <w:szCs w:val="24"/>
          <w:lang w:val="en-US" w:eastAsia="zh-CN" w:bidi="ar-SA"/>
        </w:rPr>
        <w:t>担</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3566"/>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期</w:t>
      </w:r>
      <w:r>
        <w:rPr>
          <w:rFonts w:ascii="微软雅黑" w:hAnsi="微软雅黑" w:eastAsia="微软雅黑" w:cstheme="minorBidi"/>
          <w:kern w:val="0"/>
          <w:sz w:val="24"/>
          <w:szCs w:val="24"/>
          <w:lang w:val="en-US" w:eastAsia="zh-CN" w:bidi="ar-SA"/>
        </w:rPr>
        <w:t>限</w:t>
      </w:r>
      <w:r>
        <w:rPr>
          <w:rFonts w:ascii="微软雅黑" w:hAnsi="微软雅黑" w:eastAsia="微软雅黑" w:cstheme="minorBidi"/>
          <w:spacing w:val="-3"/>
          <w:kern w:val="0"/>
          <w:sz w:val="24"/>
          <w:szCs w:val="24"/>
          <w:lang w:val="en-US" w:eastAsia="zh-CN" w:bidi="ar-SA"/>
        </w:rPr>
        <w:t>：</w:t>
      </w:r>
      <w:r>
        <w:rPr>
          <w:rFonts w:ascii="微软雅黑" w:hAnsi="微软雅黑" w:eastAsia="微软雅黑" w:cstheme="minorBidi"/>
          <w:spacing w:val="-3"/>
          <w:kern w:val="0"/>
          <w:sz w:val="24"/>
          <w:szCs w:val="24"/>
          <w:u w:val="single" w:color="000000"/>
          <w:lang w:val="en-US" w:eastAsia="zh-CN" w:bidi="ar-SA"/>
        </w:rPr>
        <w:tab/>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代理</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无</w:t>
      </w:r>
      <w:r>
        <w:rPr>
          <w:rFonts w:ascii="微软雅黑" w:hAnsi="微软雅黑" w:eastAsia="微软雅黑" w:cstheme="minorBidi"/>
          <w:spacing w:val="-3"/>
          <w:kern w:val="0"/>
          <w:sz w:val="24"/>
          <w:szCs w:val="24"/>
          <w:lang w:val="en-US" w:eastAsia="zh-CN" w:bidi="ar-SA"/>
        </w:rPr>
        <w:t>转</w:t>
      </w:r>
      <w:r>
        <w:rPr>
          <w:rFonts w:ascii="微软雅黑" w:hAnsi="微软雅黑" w:eastAsia="微软雅黑" w:cstheme="minorBidi"/>
          <w:kern w:val="0"/>
          <w:sz w:val="24"/>
          <w:szCs w:val="24"/>
          <w:lang w:val="en-US" w:eastAsia="zh-CN" w:bidi="ar-SA"/>
        </w:rPr>
        <w:t>委</w:t>
      </w:r>
      <w:r>
        <w:rPr>
          <w:rFonts w:ascii="微软雅黑" w:hAnsi="微软雅黑" w:eastAsia="微软雅黑" w:cstheme="minorBidi"/>
          <w:spacing w:val="-3"/>
          <w:kern w:val="0"/>
          <w:sz w:val="24"/>
          <w:szCs w:val="24"/>
          <w:lang w:val="en-US" w:eastAsia="zh-CN" w:bidi="ar-SA"/>
        </w:rPr>
        <w:t>托</w:t>
      </w:r>
      <w:r>
        <w:rPr>
          <w:rFonts w:ascii="微软雅黑" w:hAnsi="微软雅黑" w:eastAsia="微软雅黑" w:cstheme="minorBidi"/>
          <w:kern w:val="0"/>
          <w:sz w:val="24"/>
          <w:szCs w:val="24"/>
          <w:lang w:val="en-US" w:eastAsia="zh-CN" w:bidi="ar-SA"/>
        </w:rPr>
        <w:t xml:space="preserve">权。 </w:t>
      </w:r>
    </w:p>
    <w:p>
      <w:pPr>
        <w:keepNext w:val="0"/>
        <w:keepLines w:val="0"/>
        <w:pageBreakBefore w:val="0"/>
        <w:widowControl w:val="0"/>
        <w:tabs>
          <w:tab w:val="left" w:pos="142"/>
        </w:tabs>
        <w:kinsoku/>
        <w:overflowPunct/>
        <w:topLinePunct w:val="0"/>
        <w:autoSpaceDE/>
        <w:autoSpaceDN/>
        <w:bidi w:val="0"/>
        <w:adjustRightInd/>
        <w:snapToGrid/>
        <w:spacing w:before="36"/>
        <w:ind w:left="0" w:right="11" w:firstLine="480" w:firstLineChars="200"/>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附：</w:t>
      </w:r>
      <w:r>
        <w:rPr>
          <w:rFonts w:ascii="微软雅黑" w:hAnsi="微软雅黑" w:eastAsia="微软雅黑" w:cstheme="minorBidi"/>
          <w:spacing w:val="-3"/>
          <w:kern w:val="0"/>
          <w:sz w:val="24"/>
          <w:szCs w:val="24"/>
          <w:highlight w:val="none"/>
          <w:lang w:val="en-US" w:eastAsia="zh-CN" w:bidi="ar-SA"/>
        </w:rPr>
        <w:t>法</w:t>
      </w:r>
      <w:r>
        <w:rPr>
          <w:rFonts w:ascii="微软雅黑" w:hAnsi="微软雅黑" w:eastAsia="微软雅黑" w:cstheme="minorBidi"/>
          <w:kern w:val="0"/>
          <w:sz w:val="24"/>
          <w:szCs w:val="24"/>
          <w:highlight w:val="none"/>
          <w:lang w:val="en-US" w:eastAsia="zh-CN" w:bidi="ar-SA"/>
        </w:rPr>
        <w:t>定</w:t>
      </w:r>
      <w:r>
        <w:rPr>
          <w:rFonts w:ascii="微软雅黑" w:hAnsi="微软雅黑" w:eastAsia="微软雅黑" w:cstheme="minorBidi"/>
          <w:spacing w:val="-3"/>
          <w:kern w:val="0"/>
          <w:sz w:val="24"/>
          <w:szCs w:val="24"/>
          <w:highlight w:val="none"/>
          <w:lang w:val="en-US" w:eastAsia="zh-CN" w:bidi="ar-SA"/>
        </w:rPr>
        <w:t>代</w:t>
      </w:r>
      <w:r>
        <w:rPr>
          <w:rFonts w:ascii="微软雅黑" w:hAnsi="微软雅黑" w:eastAsia="微软雅黑" w:cstheme="minorBidi"/>
          <w:kern w:val="0"/>
          <w:sz w:val="24"/>
          <w:szCs w:val="24"/>
          <w:highlight w:val="none"/>
          <w:lang w:val="en-US" w:eastAsia="zh-CN" w:bidi="ar-SA"/>
        </w:rPr>
        <w:t>表</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w:t>
      </w:r>
      <w:r>
        <w:rPr>
          <w:rFonts w:ascii="微软雅黑" w:hAnsi="微软雅黑" w:eastAsia="微软雅黑" w:cstheme="minorBidi"/>
          <w:spacing w:val="-3"/>
          <w:kern w:val="0"/>
          <w:sz w:val="24"/>
          <w:szCs w:val="24"/>
          <w:highlight w:val="none"/>
          <w:lang w:val="en-US" w:eastAsia="zh-CN" w:bidi="ar-SA"/>
        </w:rPr>
        <w:t>单</w:t>
      </w:r>
      <w:r>
        <w:rPr>
          <w:rFonts w:ascii="微软雅黑" w:hAnsi="微软雅黑" w:eastAsia="微软雅黑" w:cstheme="minorBidi"/>
          <w:kern w:val="0"/>
          <w:sz w:val="24"/>
          <w:szCs w:val="24"/>
          <w:highlight w:val="none"/>
          <w:lang w:val="en-US" w:eastAsia="zh-CN" w:bidi="ar-SA"/>
        </w:rPr>
        <w:t>位</w:t>
      </w:r>
      <w:r>
        <w:rPr>
          <w:rFonts w:ascii="微软雅黑" w:hAnsi="微软雅黑" w:eastAsia="微软雅黑" w:cstheme="minorBidi"/>
          <w:spacing w:val="-3"/>
          <w:kern w:val="0"/>
          <w:sz w:val="24"/>
          <w:szCs w:val="24"/>
          <w:highlight w:val="none"/>
          <w:lang w:val="en-US" w:eastAsia="zh-CN" w:bidi="ar-SA"/>
        </w:rPr>
        <w:t>负</w:t>
      </w:r>
      <w:r>
        <w:rPr>
          <w:rFonts w:ascii="微软雅黑" w:hAnsi="微软雅黑" w:eastAsia="微软雅黑" w:cstheme="minorBidi"/>
          <w:kern w:val="0"/>
          <w:sz w:val="24"/>
          <w:szCs w:val="24"/>
          <w:highlight w:val="none"/>
          <w:lang w:val="en-US" w:eastAsia="zh-CN" w:bidi="ar-SA"/>
        </w:rPr>
        <w:t>责人</w:t>
      </w:r>
      <w:r>
        <w:rPr>
          <w:rFonts w:ascii="微软雅黑" w:hAnsi="微软雅黑" w:eastAsia="微软雅黑" w:cstheme="minorBidi"/>
          <w:spacing w:val="-3"/>
          <w:kern w:val="0"/>
          <w:sz w:val="24"/>
          <w:szCs w:val="24"/>
          <w:highlight w:val="none"/>
          <w:lang w:val="en-US" w:eastAsia="zh-CN" w:bidi="ar-SA"/>
        </w:rPr>
        <w:t>）</w:t>
      </w:r>
      <w:r>
        <w:rPr>
          <w:rFonts w:ascii="微软雅黑" w:hAnsi="微软雅黑" w:eastAsia="微软雅黑" w:cstheme="minorBidi"/>
          <w:kern w:val="0"/>
          <w:sz w:val="24"/>
          <w:szCs w:val="24"/>
          <w:highlight w:val="none"/>
          <w:lang w:val="en-US" w:eastAsia="zh-CN" w:bidi="ar-SA"/>
        </w:rPr>
        <w:t>身</w:t>
      </w:r>
      <w:r>
        <w:rPr>
          <w:rFonts w:ascii="微软雅黑" w:hAnsi="微软雅黑" w:eastAsia="微软雅黑" w:cstheme="minorBidi"/>
          <w:spacing w:val="-3"/>
          <w:kern w:val="0"/>
          <w:sz w:val="24"/>
          <w:szCs w:val="24"/>
          <w:highlight w:val="none"/>
          <w:lang w:val="en-US" w:eastAsia="zh-CN" w:bidi="ar-SA"/>
        </w:rPr>
        <w:t>份</w:t>
      </w:r>
      <w:r>
        <w:rPr>
          <w:rFonts w:ascii="微软雅黑" w:hAnsi="微软雅黑" w:eastAsia="微软雅黑" w:cstheme="minorBidi"/>
          <w:kern w:val="0"/>
          <w:sz w:val="24"/>
          <w:szCs w:val="24"/>
          <w:highlight w:val="none"/>
          <w:lang w:val="en-US" w:eastAsia="zh-CN" w:bidi="ar-SA"/>
        </w:rPr>
        <w:t>证</w:t>
      </w:r>
      <w:r>
        <w:rPr>
          <w:rFonts w:ascii="微软雅黑" w:hAnsi="微软雅黑" w:eastAsia="微软雅黑" w:cstheme="minorBidi"/>
          <w:spacing w:val="-3"/>
          <w:kern w:val="0"/>
          <w:sz w:val="24"/>
          <w:szCs w:val="24"/>
          <w:highlight w:val="none"/>
          <w:lang w:val="en-US" w:eastAsia="zh-CN" w:bidi="ar-SA"/>
        </w:rPr>
        <w:t>复</w:t>
      </w:r>
      <w:r>
        <w:rPr>
          <w:rFonts w:ascii="微软雅黑" w:hAnsi="微软雅黑" w:eastAsia="微软雅黑" w:cstheme="minorBidi"/>
          <w:kern w:val="0"/>
          <w:sz w:val="24"/>
          <w:szCs w:val="24"/>
          <w:highlight w:val="none"/>
          <w:lang w:val="en-US" w:eastAsia="zh-CN" w:bidi="ar-SA"/>
        </w:rPr>
        <w:t>印</w:t>
      </w:r>
      <w:r>
        <w:rPr>
          <w:rFonts w:ascii="微软雅黑" w:hAnsi="微软雅黑" w:eastAsia="微软雅黑" w:cstheme="minorBidi"/>
          <w:spacing w:val="-3"/>
          <w:kern w:val="0"/>
          <w:sz w:val="24"/>
          <w:szCs w:val="24"/>
          <w:highlight w:val="none"/>
          <w:lang w:val="en-US" w:eastAsia="zh-CN" w:bidi="ar-SA"/>
        </w:rPr>
        <w:t>件</w:t>
      </w:r>
      <w:r>
        <w:rPr>
          <w:rFonts w:ascii="微软雅黑" w:hAnsi="微软雅黑" w:eastAsia="微软雅黑" w:cstheme="minorBidi"/>
          <w:kern w:val="0"/>
          <w:sz w:val="24"/>
          <w:szCs w:val="24"/>
          <w:highlight w:val="none"/>
          <w:lang w:val="en-US" w:eastAsia="zh-CN" w:bidi="ar-SA"/>
        </w:rPr>
        <w:t>及</w:t>
      </w:r>
      <w:r>
        <w:rPr>
          <w:rFonts w:ascii="微软雅黑" w:hAnsi="微软雅黑" w:eastAsia="微软雅黑" w:cstheme="minorBidi"/>
          <w:spacing w:val="-3"/>
          <w:kern w:val="0"/>
          <w:sz w:val="24"/>
          <w:szCs w:val="24"/>
          <w:highlight w:val="none"/>
          <w:lang w:val="en-US" w:eastAsia="zh-CN" w:bidi="ar-SA"/>
        </w:rPr>
        <w:t>委</w:t>
      </w:r>
      <w:r>
        <w:rPr>
          <w:rFonts w:ascii="微软雅黑" w:hAnsi="微软雅黑" w:eastAsia="微软雅黑" w:cstheme="minorBidi"/>
          <w:kern w:val="0"/>
          <w:sz w:val="24"/>
          <w:szCs w:val="24"/>
          <w:highlight w:val="none"/>
          <w:lang w:val="en-US" w:eastAsia="zh-CN" w:bidi="ar-SA"/>
        </w:rPr>
        <w:t>托代</w:t>
      </w:r>
      <w:r>
        <w:rPr>
          <w:rFonts w:ascii="微软雅黑" w:hAnsi="微软雅黑" w:eastAsia="微软雅黑" w:cstheme="minorBidi"/>
          <w:spacing w:val="-3"/>
          <w:kern w:val="0"/>
          <w:sz w:val="24"/>
          <w:szCs w:val="24"/>
          <w:highlight w:val="none"/>
          <w:lang w:val="en-US" w:eastAsia="zh-CN" w:bidi="ar-SA"/>
        </w:rPr>
        <w:t>理</w:t>
      </w:r>
      <w:r>
        <w:rPr>
          <w:rFonts w:ascii="微软雅黑" w:hAnsi="微软雅黑" w:eastAsia="微软雅黑" w:cstheme="minorBidi"/>
          <w:kern w:val="0"/>
          <w:sz w:val="24"/>
          <w:szCs w:val="24"/>
          <w:highlight w:val="none"/>
          <w:lang w:val="en-US" w:eastAsia="zh-CN" w:bidi="ar-SA"/>
        </w:rPr>
        <w:t>人</w:t>
      </w:r>
      <w:r>
        <w:rPr>
          <w:rFonts w:ascii="微软雅黑" w:hAnsi="微软雅黑" w:eastAsia="微软雅黑" w:cstheme="minorBidi"/>
          <w:spacing w:val="-3"/>
          <w:kern w:val="0"/>
          <w:sz w:val="24"/>
          <w:szCs w:val="24"/>
          <w:highlight w:val="none"/>
          <w:lang w:val="en-US" w:eastAsia="zh-CN" w:bidi="ar-SA"/>
        </w:rPr>
        <w:t>身</w:t>
      </w:r>
      <w:r>
        <w:rPr>
          <w:rFonts w:ascii="微软雅黑" w:hAnsi="微软雅黑" w:eastAsia="微软雅黑" w:cstheme="minorBidi"/>
          <w:kern w:val="0"/>
          <w:sz w:val="24"/>
          <w:szCs w:val="24"/>
          <w:highlight w:val="none"/>
          <w:lang w:val="en-US" w:eastAsia="zh-CN" w:bidi="ar-SA"/>
        </w:rPr>
        <w:t>份</w:t>
      </w:r>
      <w:r>
        <w:rPr>
          <w:rFonts w:ascii="微软雅黑" w:hAnsi="微软雅黑" w:eastAsia="微软雅黑" w:cstheme="minorBidi"/>
          <w:spacing w:val="-3"/>
          <w:kern w:val="0"/>
          <w:sz w:val="24"/>
          <w:szCs w:val="24"/>
          <w:highlight w:val="none"/>
          <w:lang w:val="en-US" w:eastAsia="zh-CN" w:bidi="ar-SA"/>
        </w:rPr>
        <w:t>证</w:t>
      </w:r>
      <w:r>
        <w:rPr>
          <w:rFonts w:ascii="微软雅黑" w:hAnsi="微软雅黑" w:eastAsia="微软雅黑" w:cstheme="minorBidi"/>
          <w:kern w:val="0"/>
          <w:sz w:val="24"/>
          <w:szCs w:val="24"/>
          <w:highlight w:val="none"/>
          <w:lang w:val="en-US" w:eastAsia="zh-CN" w:bidi="ar-SA"/>
        </w:rPr>
        <w:t>复</w:t>
      </w:r>
      <w:r>
        <w:rPr>
          <w:rFonts w:ascii="微软雅黑" w:hAnsi="微软雅黑" w:eastAsia="微软雅黑" w:cstheme="minorBidi"/>
          <w:spacing w:val="-3"/>
          <w:kern w:val="0"/>
          <w:sz w:val="24"/>
          <w:szCs w:val="24"/>
          <w:highlight w:val="none"/>
          <w:lang w:val="en-US" w:eastAsia="zh-CN" w:bidi="ar-SA"/>
        </w:rPr>
        <w:t>印</w:t>
      </w:r>
      <w:r>
        <w:rPr>
          <w:rFonts w:ascii="微软雅黑" w:hAnsi="微软雅黑" w:eastAsia="微软雅黑" w:cstheme="minorBidi"/>
          <w:kern w:val="0"/>
          <w:sz w:val="24"/>
          <w:szCs w:val="24"/>
          <w:highlight w:val="none"/>
          <w:lang w:val="en-US" w:eastAsia="zh-CN" w:bidi="ar-SA"/>
        </w:rPr>
        <w:t>件</w:t>
      </w:r>
    </w:p>
    <w:p>
      <w:pPr>
        <w:keepNext w:val="0"/>
        <w:keepLines w:val="0"/>
        <w:pageBreakBefore w:val="0"/>
        <w:widowControl w:val="0"/>
        <w:tabs>
          <w:tab w:val="left" w:pos="142"/>
        </w:tabs>
        <w:kinsoku/>
        <w:overflowPunct/>
        <w:topLinePunct w:val="0"/>
        <w:autoSpaceDE/>
        <w:autoSpaceDN/>
        <w:bidi w:val="0"/>
        <w:adjustRightInd/>
        <w:snapToGrid/>
        <w:spacing w:before="36"/>
        <w:ind w:left="420" w:leftChars="200" w:right="11"/>
        <w:jc w:val="left"/>
        <w:textAlignment w:val="auto"/>
        <w:outlineLvl w:val="9"/>
        <w:rPr>
          <w:rFonts w:ascii="微软雅黑" w:hAnsi="微软雅黑" w:eastAsia="微软雅黑" w:cstheme="minorBidi"/>
          <w:kern w:val="0"/>
          <w:sz w:val="24"/>
          <w:szCs w:val="24"/>
          <w:highlight w:val="none"/>
          <w:lang w:val="en-US" w:eastAsia="zh-CN" w:bidi="ar-SA"/>
        </w:rPr>
      </w:pPr>
      <w:r>
        <w:rPr>
          <w:rFonts w:ascii="微软雅黑" w:hAnsi="微软雅黑" w:eastAsia="微软雅黑" w:cstheme="minorBidi"/>
          <w:kern w:val="0"/>
          <w:sz w:val="24"/>
          <w:szCs w:val="24"/>
          <w:highlight w:val="none"/>
          <w:lang w:val="en-US" w:eastAsia="zh-CN" w:bidi="ar-SA"/>
        </w:rPr>
        <w:t>注：本授权委托</w:t>
      </w:r>
      <w:r>
        <w:rPr>
          <w:rFonts w:ascii="微软雅黑" w:hAnsi="微软雅黑" w:eastAsia="微软雅黑" w:cstheme="minorBidi"/>
          <w:spacing w:val="-3"/>
          <w:kern w:val="0"/>
          <w:sz w:val="24"/>
          <w:szCs w:val="24"/>
          <w:highlight w:val="none"/>
          <w:lang w:val="en-US" w:eastAsia="zh-CN" w:bidi="ar-SA"/>
        </w:rPr>
        <w:t>书</w:t>
      </w:r>
      <w:r>
        <w:rPr>
          <w:rFonts w:ascii="微软雅黑" w:hAnsi="微软雅黑" w:eastAsia="微软雅黑" w:cstheme="minorBidi"/>
          <w:kern w:val="0"/>
          <w:sz w:val="24"/>
          <w:szCs w:val="24"/>
          <w:highlight w:val="none"/>
          <w:lang w:val="en-US" w:eastAsia="zh-CN" w:bidi="ar-SA"/>
        </w:rPr>
        <w:t>需由</w:t>
      </w:r>
      <w:r>
        <w:rPr>
          <w:rFonts w:hint="eastAsia" w:ascii="微软雅黑" w:hAnsi="微软雅黑" w:eastAsia="微软雅黑" w:cstheme="minorBidi"/>
          <w:spacing w:val="-3"/>
          <w:kern w:val="0"/>
          <w:sz w:val="24"/>
          <w:szCs w:val="24"/>
          <w:highlight w:val="none"/>
          <w:lang w:val="en-US" w:eastAsia="zh-CN" w:bidi="ar-SA"/>
        </w:rPr>
        <w:t>应答人</w:t>
      </w:r>
      <w:r>
        <w:rPr>
          <w:rFonts w:ascii="微软雅黑" w:hAnsi="微软雅黑" w:eastAsia="微软雅黑" w:cstheme="minorBidi"/>
          <w:kern w:val="0"/>
          <w:sz w:val="24"/>
          <w:szCs w:val="24"/>
          <w:highlight w:val="none"/>
          <w:lang w:val="en-US" w:eastAsia="zh-CN" w:bidi="ar-SA"/>
        </w:rPr>
        <w:t>加盖单位公</w:t>
      </w:r>
      <w:r>
        <w:rPr>
          <w:rFonts w:ascii="微软雅黑" w:hAnsi="微软雅黑" w:eastAsia="微软雅黑" w:cstheme="minorBidi"/>
          <w:spacing w:val="-3"/>
          <w:kern w:val="0"/>
          <w:sz w:val="24"/>
          <w:szCs w:val="24"/>
          <w:highlight w:val="none"/>
          <w:lang w:val="en-US" w:eastAsia="zh-CN" w:bidi="ar-SA"/>
        </w:rPr>
        <w:t>章</w:t>
      </w:r>
      <w:r>
        <w:rPr>
          <w:rFonts w:ascii="微软雅黑" w:hAnsi="微软雅黑" w:eastAsia="微软雅黑" w:cstheme="minorBidi"/>
          <w:kern w:val="0"/>
          <w:sz w:val="24"/>
          <w:szCs w:val="24"/>
          <w:highlight w:val="none"/>
          <w:lang w:val="en-US" w:eastAsia="zh-CN" w:bidi="ar-SA"/>
        </w:rPr>
        <w:t>并由</w:t>
      </w:r>
      <w:r>
        <w:rPr>
          <w:rFonts w:ascii="微软雅黑" w:hAnsi="微软雅黑" w:eastAsia="微软雅黑" w:cstheme="minorBidi"/>
          <w:spacing w:val="-3"/>
          <w:kern w:val="0"/>
          <w:sz w:val="24"/>
          <w:szCs w:val="24"/>
          <w:highlight w:val="none"/>
          <w:lang w:val="en-US" w:eastAsia="zh-CN" w:bidi="ar-SA"/>
        </w:rPr>
        <w:t>其</w:t>
      </w:r>
      <w:r>
        <w:rPr>
          <w:rFonts w:ascii="微软雅黑" w:hAnsi="微软雅黑" w:eastAsia="微软雅黑" w:cstheme="minorBidi"/>
          <w:kern w:val="0"/>
          <w:sz w:val="24"/>
          <w:szCs w:val="24"/>
          <w:highlight w:val="none"/>
          <w:lang w:val="en-US" w:eastAsia="zh-CN" w:bidi="ar-SA"/>
        </w:rPr>
        <w:t>法定代表人（单</w:t>
      </w:r>
      <w:r>
        <w:rPr>
          <w:rFonts w:ascii="微软雅黑" w:hAnsi="微软雅黑" w:eastAsia="微软雅黑" w:cstheme="minorBidi"/>
          <w:spacing w:val="-3"/>
          <w:kern w:val="0"/>
          <w:sz w:val="24"/>
          <w:szCs w:val="24"/>
          <w:highlight w:val="none"/>
          <w:lang w:val="en-US" w:eastAsia="zh-CN" w:bidi="ar-SA"/>
        </w:rPr>
        <w:t>位</w:t>
      </w:r>
      <w:r>
        <w:rPr>
          <w:rFonts w:ascii="微软雅黑" w:hAnsi="微软雅黑" w:eastAsia="微软雅黑" w:cstheme="minorBidi"/>
          <w:kern w:val="0"/>
          <w:sz w:val="24"/>
          <w:szCs w:val="24"/>
          <w:highlight w:val="none"/>
          <w:lang w:val="en-US" w:eastAsia="zh-CN" w:bidi="ar-SA"/>
        </w:rPr>
        <w:t>负责</w:t>
      </w:r>
      <w:r>
        <w:rPr>
          <w:rFonts w:ascii="微软雅黑" w:hAnsi="微软雅黑" w:eastAsia="微软雅黑" w:cstheme="minorBidi"/>
          <w:spacing w:val="-3"/>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）和委托代理</w:t>
      </w:r>
      <w:r>
        <w:rPr>
          <w:rFonts w:ascii="微软雅黑" w:hAnsi="微软雅黑" w:eastAsia="微软雅黑" w:cstheme="minorBidi"/>
          <w:spacing w:val="-2"/>
          <w:kern w:val="0"/>
          <w:sz w:val="24"/>
          <w:szCs w:val="24"/>
          <w:highlight w:val="none"/>
          <w:lang w:val="en-US" w:eastAsia="zh-CN" w:bidi="ar-SA"/>
        </w:rPr>
        <w:t>人</w:t>
      </w:r>
      <w:r>
        <w:rPr>
          <w:rFonts w:ascii="微软雅黑" w:hAnsi="微软雅黑" w:eastAsia="微软雅黑" w:cstheme="minorBidi"/>
          <w:kern w:val="0"/>
          <w:sz w:val="24"/>
          <w:szCs w:val="24"/>
          <w:highlight w:val="none"/>
          <w:lang w:val="en-US" w:eastAsia="zh-CN" w:bidi="ar-SA"/>
        </w:rPr>
        <w:t>签字。</w:t>
      </w: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0"/>
          <w:szCs w:val="20"/>
        </w:rPr>
      </w:pPr>
    </w:p>
    <w:p>
      <w:pPr>
        <w:keepNext w:val="0"/>
        <w:keepLines w:val="0"/>
        <w:pageBreakBefore w:val="0"/>
        <w:widowControl w:val="0"/>
        <w:tabs>
          <w:tab w:val="left" w:pos="142"/>
        </w:tabs>
        <w:kinsoku/>
        <w:overflowPunct/>
        <w:topLinePunct w:val="0"/>
        <w:autoSpaceDE/>
        <w:autoSpaceDN/>
        <w:bidi w:val="0"/>
        <w:adjustRightInd/>
        <w:snapToGrid/>
        <w:ind w:right="11"/>
        <w:textAlignment w:val="auto"/>
        <w:outlineLvl w:val="9"/>
        <w:rPr>
          <w:rFonts w:ascii="微软雅黑" w:hAnsi="微软雅黑" w:eastAsia="微软雅黑"/>
          <w:sz w:val="24"/>
          <w:szCs w:val="24"/>
        </w:rPr>
      </w:pPr>
    </w:p>
    <w:p>
      <w:pPr>
        <w:keepNext w:val="0"/>
        <w:keepLines w:val="0"/>
        <w:pageBreakBefore w:val="0"/>
        <w:widowControl w:val="0"/>
        <w:kinsoku/>
        <w:wordWrap w:val="0"/>
        <w:overflowPunct/>
        <w:topLinePunct w:val="0"/>
        <w:autoSpaceDE/>
        <w:autoSpaceDN/>
        <w:bidi w:val="0"/>
        <w:adjustRightInd/>
        <w:snapToGrid/>
        <w:spacing w:before="36" w:after="120" w:afterLines="50"/>
        <w:ind w:left="780" w:right="11" w:firstLine="480"/>
        <w:jc w:val="center"/>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应答人</w:t>
      </w:r>
      <w:r>
        <w:rPr>
          <w:rFonts w:ascii="微软雅黑" w:hAnsi="微软雅黑" w:eastAsia="微软雅黑" w:cstheme="minorBidi"/>
          <w:spacing w:val="-3"/>
          <w:kern w:val="0"/>
          <w:sz w:val="24"/>
          <w:szCs w:val="24"/>
          <w:lang w:val="en-US" w:eastAsia="zh-CN" w:bidi="ar-SA"/>
        </w:rPr>
        <w:t>：</w:t>
      </w:r>
      <w:r>
        <w:rPr>
          <w:rFonts w:hint="eastAsia" w:ascii="微软雅黑" w:hAnsi="微软雅黑" w:eastAsia="微软雅黑" w:cstheme="minorBidi"/>
          <w:spacing w:val="-3"/>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（单</w:t>
      </w:r>
      <w:r>
        <w:rPr>
          <w:rFonts w:ascii="微软雅黑" w:hAnsi="微软雅黑" w:eastAsia="微软雅黑" w:cstheme="minorBidi"/>
          <w:spacing w:val="-3"/>
          <w:kern w:val="0"/>
          <w:sz w:val="24"/>
          <w:szCs w:val="24"/>
          <w:lang w:val="en-US" w:eastAsia="zh-CN" w:bidi="ar-SA"/>
        </w:rPr>
        <w:t>位</w:t>
      </w:r>
      <w:r>
        <w:rPr>
          <w:rFonts w:ascii="微软雅黑" w:hAnsi="微软雅黑" w:eastAsia="微软雅黑" w:cstheme="minorBidi"/>
          <w:kern w:val="0"/>
          <w:sz w:val="24"/>
          <w:szCs w:val="24"/>
          <w:lang w:val="en-US" w:eastAsia="zh-CN" w:bidi="ar-SA"/>
        </w:rPr>
        <w:t>公</w:t>
      </w:r>
      <w:r>
        <w:rPr>
          <w:rFonts w:ascii="微软雅黑" w:hAnsi="微软雅黑" w:eastAsia="微软雅黑" w:cstheme="minorBidi"/>
          <w:spacing w:val="-3"/>
          <w:kern w:val="0"/>
          <w:sz w:val="24"/>
          <w:szCs w:val="24"/>
          <w:lang w:val="en-US" w:eastAsia="zh-CN" w:bidi="ar-SA"/>
        </w:rPr>
        <w:t>章</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right="11" w:firstLine="1440" w:firstLineChars="600"/>
        <w:jc w:val="both"/>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法定</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表</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kern w:val="0"/>
          <w:sz w:val="24"/>
          <w:szCs w:val="24"/>
          <w:lang w:val="en-US" w:eastAsia="zh-CN" w:bidi="ar-SA"/>
        </w:rPr>
        <w:t>（</w:t>
      </w:r>
      <w:r>
        <w:rPr>
          <w:rFonts w:ascii="微软雅黑" w:hAnsi="微软雅黑" w:eastAsia="微软雅黑" w:cstheme="minorBidi"/>
          <w:spacing w:val="-3"/>
          <w:kern w:val="0"/>
          <w:sz w:val="24"/>
          <w:szCs w:val="24"/>
          <w:lang w:val="en-US" w:eastAsia="zh-CN" w:bidi="ar-SA"/>
        </w:rPr>
        <w:t>单</w:t>
      </w:r>
      <w:r>
        <w:rPr>
          <w:rFonts w:ascii="微软雅黑" w:hAnsi="微软雅黑" w:eastAsia="微软雅黑" w:cstheme="minorBidi"/>
          <w:kern w:val="0"/>
          <w:sz w:val="24"/>
          <w:szCs w:val="24"/>
          <w:lang w:val="en-US" w:eastAsia="zh-CN" w:bidi="ar-SA"/>
        </w:rPr>
        <w:t>位</w:t>
      </w:r>
      <w:r>
        <w:rPr>
          <w:rFonts w:ascii="微软雅黑" w:hAnsi="微软雅黑" w:eastAsia="微软雅黑" w:cstheme="minorBidi"/>
          <w:spacing w:val="-3"/>
          <w:kern w:val="0"/>
          <w:sz w:val="24"/>
          <w:szCs w:val="24"/>
          <w:lang w:val="en-US" w:eastAsia="zh-CN" w:bidi="ar-SA"/>
        </w:rPr>
        <w:t>负</w:t>
      </w:r>
      <w:r>
        <w:rPr>
          <w:rFonts w:ascii="微软雅黑" w:hAnsi="微软雅黑" w:eastAsia="微软雅黑" w:cstheme="minorBidi"/>
          <w:kern w:val="0"/>
          <w:sz w:val="24"/>
          <w:szCs w:val="24"/>
          <w:lang w:val="en-US" w:eastAsia="zh-CN" w:bidi="ar-SA"/>
        </w:rPr>
        <w:t>责</w:t>
      </w:r>
      <w:r>
        <w:rPr>
          <w:rFonts w:ascii="微软雅黑" w:hAnsi="微软雅黑" w:eastAsia="微软雅黑" w:cstheme="minorBidi"/>
          <w:spacing w:val="-3"/>
          <w:kern w:val="0"/>
          <w:sz w:val="24"/>
          <w:szCs w:val="24"/>
          <w:lang w:val="en-US" w:eastAsia="zh-CN" w:bidi="ar-SA"/>
        </w:rPr>
        <w:t>人</w:t>
      </w:r>
      <w:r>
        <w:rPr>
          <w:rFonts w:ascii="微软雅黑" w:hAnsi="微软雅黑" w:eastAsia="微软雅黑" w:cstheme="minorBidi"/>
          <w:spacing w:val="-108"/>
          <w:kern w:val="0"/>
          <w:sz w:val="24"/>
          <w:szCs w:val="24"/>
          <w:lang w:val="en-US" w:eastAsia="zh-CN" w:bidi="ar-SA"/>
        </w:rPr>
        <w:t>）</w:t>
      </w:r>
      <w:r>
        <w:rPr>
          <w:rFonts w:ascii="微软雅黑" w:hAnsi="微软雅黑" w:eastAsia="微软雅黑" w:cstheme="minorBidi"/>
          <w:spacing w:val="-1"/>
          <w:kern w:val="0"/>
          <w:sz w:val="24"/>
          <w:szCs w:val="24"/>
          <w:lang w:val="en-US" w:eastAsia="zh-CN" w:bidi="ar-SA"/>
        </w:rPr>
        <w:t>：</w:t>
      </w:r>
      <w:r>
        <w:rPr>
          <w:rFonts w:hint="eastAsia" w:ascii="微软雅黑" w:hAnsi="微软雅黑" w:eastAsia="微软雅黑" w:cstheme="minorBidi"/>
          <w:spacing w:val="-1"/>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hint="eastAsia" w:ascii="微软雅黑" w:hAnsi="微软雅黑" w:eastAsia="微软雅黑" w:cstheme="minorBidi"/>
          <w:kern w:val="0"/>
          <w:sz w:val="24"/>
          <w:szCs w:val="24"/>
          <w:lang w:val="en-US" w:eastAsia="zh-CN" w:bidi="ar-SA"/>
        </w:rPr>
        <w:t xml:space="preserve"> </w:t>
      </w:r>
      <w:r>
        <w:rPr>
          <w:rFonts w:ascii="微软雅黑" w:hAnsi="微软雅黑" w:eastAsia="微软雅黑" w:cstheme="minorBidi"/>
          <w:kern w:val="0"/>
          <w:sz w:val="24"/>
          <w:szCs w:val="24"/>
          <w:lang w:val="en-US" w:eastAsia="zh-CN" w:bidi="ar-SA"/>
        </w:rPr>
        <w:t>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w w:val="225"/>
          <w:kern w:val="0"/>
          <w:sz w:val="24"/>
          <w:szCs w:val="24"/>
          <w:u w:val="single" w:color="000000"/>
          <w:lang w:val="en-US" w:eastAsia="zh-CN" w:bidi="ar-SA"/>
        </w:rPr>
        <w:t xml:space="preserve">                    </w:t>
      </w:r>
    </w:p>
    <w:p>
      <w:pPr>
        <w:keepNext w:val="0"/>
        <w:keepLines w:val="0"/>
        <w:pageBreakBefore w:val="0"/>
        <w:widowControl w:val="0"/>
        <w:tabs>
          <w:tab w:val="left" w:pos="766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委托</w:t>
      </w:r>
      <w:r>
        <w:rPr>
          <w:rFonts w:ascii="微软雅黑" w:hAnsi="微软雅黑" w:eastAsia="微软雅黑" w:cstheme="minorBidi"/>
          <w:spacing w:val="-3"/>
          <w:kern w:val="0"/>
          <w:sz w:val="24"/>
          <w:szCs w:val="24"/>
          <w:lang w:val="en-US" w:eastAsia="zh-CN" w:bidi="ar-SA"/>
        </w:rPr>
        <w:t>代</w:t>
      </w:r>
      <w:r>
        <w:rPr>
          <w:rFonts w:ascii="微软雅黑" w:hAnsi="微软雅黑" w:eastAsia="微软雅黑" w:cstheme="minorBidi"/>
          <w:kern w:val="0"/>
          <w:sz w:val="24"/>
          <w:szCs w:val="24"/>
          <w:lang w:val="en-US" w:eastAsia="zh-CN" w:bidi="ar-SA"/>
        </w:rPr>
        <w:t>理</w:t>
      </w:r>
      <w:r>
        <w:rPr>
          <w:rFonts w:ascii="微软雅黑" w:hAnsi="微软雅黑" w:eastAsia="微软雅黑" w:cstheme="minorBidi"/>
          <w:spacing w:val="-3"/>
          <w:kern w:val="0"/>
          <w:sz w:val="24"/>
          <w:szCs w:val="24"/>
          <w:lang w:val="en-US" w:eastAsia="zh-CN" w:bidi="ar-SA"/>
        </w:rPr>
        <w:t>人：</w:t>
      </w:r>
      <w:r>
        <w:rPr>
          <w:rFonts w:hint="eastAsia" w:ascii="微软雅黑" w:hAnsi="微软雅黑" w:eastAsia="微软雅黑" w:cstheme="minorBidi"/>
          <w:spacing w:val="-3"/>
          <w:kern w:val="0"/>
          <w:sz w:val="24"/>
          <w:szCs w:val="24"/>
          <w:u w:val="single"/>
          <w:lang w:val="en-US" w:eastAsia="zh-CN" w:bidi="ar-SA"/>
        </w:rPr>
        <w:t xml:space="preserve">                                      </w:t>
      </w:r>
      <w:r>
        <w:rPr>
          <w:rFonts w:ascii="微软雅黑" w:hAnsi="微软雅黑" w:eastAsia="微软雅黑" w:cstheme="minorBidi"/>
          <w:kern w:val="0"/>
          <w:sz w:val="24"/>
          <w:szCs w:val="24"/>
          <w:lang w:val="en-US" w:eastAsia="zh-CN" w:bidi="ar-SA"/>
        </w:rPr>
        <w:t>（签</w:t>
      </w:r>
      <w:r>
        <w:rPr>
          <w:rFonts w:ascii="微软雅黑" w:hAnsi="微软雅黑" w:eastAsia="微软雅黑" w:cstheme="minorBidi"/>
          <w:spacing w:val="-3"/>
          <w:kern w:val="0"/>
          <w:sz w:val="24"/>
          <w:szCs w:val="24"/>
          <w:lang w:val="en-US" w:eastAsia="zh-CN" w:bidi="ar-SA"/>
        </w:rPr>
        <w:t>字</w:t>
      </w:r>
      <w:r>
        <w:rPr>
          <w:rFonts w:ascii="微软雅黑" w:hAnsi="微软雅黑" w:eastAsia="微软雅黑" w:cstheme="minorBidi"/>
          <w:kern w:val="0"/>
          <w:sz w:val="24"/>
          <w:szCs w:val="24"/>
          <w:lang w:val="en-US" w:eastAsia="zh-CN" w:bidi="ar-SA"/>
        </w:rPr>
        <w:t>）</w:t>
      </w:r>
    </w:p>
    <w:p>
      <w:pPr>
        <w:keepNext w:val="0"/>
        <w:keepLines w:val="0"/>
        <w:pageBreakBefore w:val="0"/>
        <w:widowControl w:val="0"/>
        <w:tabs>
          <w:tab w:val="left" w:pos="142"/>
          <w:tab w:val="left" w:pos="8501"/>
        </w:tabs>
        <w:kinsoku/>
        <w:wordWrap w:val="0"/>
        <w:overflowPunct/>
        <w:topLinePunct w:val="0"/>
        <w:autoSpaceDE/>
        <w:autoSpaceDN/>
        <w:bidi w:val="0"/>
        <w:adjustRightInd/>
        <w:snapToGrid/>
        <w:spacing w:before="36" w:after="120" w:afterLines="50"/>
        <w:ind w:left="780" w:right="11" w:firstLine="480"/>
        <w:jc w:val="right"/>
        <w:textAlignment w:val="auto"/>
        <w:outlineLvl w:val="9"/>
        <w:rPr>
          <w:rFonts w:ascii="微软雅黑" w:hAnsi="微软雅黑" w:eastAsia="微软雅黑" w:cstheme="minorBidi"/>
          <w:kern w:val="0"/>
          <w:sz w:val="24"/>
          <w:szCs w:val="24"/>
          <w:lang w:val="en-US" w:eastAsia="zh-CN" w:bidi="ar-SA"/>
        </w:rPr>
      </w:pPr>
      <w:r>
        <w:rPr>
          <w:rFonts w:ascii="微软雅黑" w:hAnsi="微软雅黑" w:eastAsia="微软雅黑" w:cstheme="minorBidi"/>
          <w:kern w:val="0"/>
          <w:sz w:val="24"/>
          <w:szCs w:val="24"/>
          <w:lang w:val="en-US" w:eastAsia="zh-CN" w:bidi="ar-SA"/>
        </w:rPr>
        <w:t xml:space="preserve">  身份</w:t>
      </w:r>
      <w:r>
        <w:rPr>
          <w:rFonts w:ascii="微软雅黑" w:hAnsi="微软雅黑" w:eastAsia="微软雅黑" w:cstheme="minorBidi"/>
          <w:spacing w:val="-3"/>
          <w:kern w:val="0"/>
          <w:sz w:val="24"/>
          <w:szCs w:val="24"/>
          <w:lang w:val="en-US" w:eastAsia="zh-CN" w:bidi="ar-SA"/>
        </w:rPr>
        <w:t>证</w:t>
      </w:r>
      <w:r>
        <w:rPr>
          <w:rFonts w:ascii="微软雅黑" w:hAnsi="微软雅黑" w:eastAsia="微软雅黑" w:cstheme="minorBidi"/>
          <w:kern w:val="0"/>
          <w:sz w:val="24"/>
          <w:szCs w:val="24"/>
          <w:lang w:val="en-US" w:eastAsia="zh-CN" w:bidi="ar-SA"/>
        </w:rPr>
        <w:t>号</w:t>
      </w:r>
      <w:r>
        <w:rPr>
          <w:rFonts w:ascii="微软雅黑" w:hAnsi="微软雅黑" w:eastAsia="微软雅黑" w:cstheme="minorBidi"/>
          <w:spacing w:val="-3"/>
          <w:kern w:val="0"/>
          <w:sz w:val="24"/>
          <w:szCs w:val="24"/>
          <w:lang w:val="en-US" w:eastAsia="zh-CN" w:bidi="ar-SA"/>
        </w:rPr>
        <w:t>码：</w:t>
      </w:r>
      <w:r>
        <w:rPr>
          <w:rFonts w:hint="eastAsia" w:ascii="微软雅黑" w:hAnsi="微软雅黑" w:eastAsia="微软雅黑" w:cstheme="minorBidi"/>
          <w:spacing w:val="-3"/>
          <w:kern w:val="0"/>
          <w:sz w:val="24"/>
          <w:szCs w:val="24"/>
          <w:u w:val="single"/>
          <w:lang w:val="en-US" w:eastAsia="zh-CN" w:bidi="ar-SA"/>
        </w:rPr>
        <w:t xml:space="preserve">                                               </w:t>
      </w:r>
    </w:p>
    <w:p>
      <w:pPr>
        <w:tabs>
          <w:tab w:val="left" w:pos="142"/>
          <w:tab w:val="left" w:pos="6643"/>
          <w:tab w:val="left" w:pos="7589"/>
          <w:tab w:val="left" w:pos="8533"/>
        </w:tabs>
        <w:wordWrap w:val="0"/>
        <w:spacing w:before="36" w:after="120" w:afterLines="50"/>
        <w:ind w:left="780" w:right="11" w:firstLine="480"/>
        <w:jc w:val="right"/>
        <w:outlineLvl w:val="9"/>
        <w:rPr>
          <w:rFonts w:hint="eastAsia"/>
          <w:lang w:val="en-US" w:eastAsia="zh-CN"/>
        </w:rPr>
      </w:pPr>
      <w:r>
        <w:rPr>
          <w:rFonts w:hint="eastAsia" w:ascii="微软雅黑" w:hAnsi="微软雅黑" w:eastAsia="微软雅黑" w:cstheme="minorBidi"/>
          <w:kern w:val="0"/>
          <w:sz w:val="24"/>
          <w:szCs w:val="24"/>
          <w:u w:val="single" w:color="000000"/>
          <w:lang w:val="en-US" w:eastAsia="zh-CN" w:bidi="ar-SA"/>
        </w:rPr>
        <w:t xml:space="preserve">        </w:t>
      </w:r>
      <w:r>
        <w:rPr>
          <w:rFonts w:hint="eastAsia" w:ascii="微软雅黑" w:hAnsi="微软雅黑" w:eastAsia="微软雅黑" w:cstheme="minorBidi"/>
          <w:kern w:val="0"/>
          <w:sz w:val="24"/>
          <w:szCs w:val="24"/>
          <w:lang w:val="en-US" w:eastAsia="zh-CN" w:bidi="ar-SA"/>
        </w:rPr>
        <w:t>年</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spacing w:val="-3"/>
          <w:kern w:val="0"/>
          <w:sz w:val="24"/>
          <w:szCs w:val="24"/>
          <w:lang w:val="en-US" w:eastAsia="zh-CN" w:bidi="ar-SA"/>
        </w:rPr>
        <w:t>月</w:t>
      </w:r>
      <w:r>
        <w:rPr>
          <w:rFonts w:hint="eastAsia" w:ascii="微软雅黑" w:hAnsi="微软雅黑" w:eastAsia="微软雅黑" w:cstheme="minorBidi"/>
          <w:kern w:val="0"/>
          <w:sz w:val="24"/>
          <w:szCs w:val="24"/>
          <w:u w:val="single" w:color="000000"/>
          <w:lang w:val="en-US" w:eastAsia="zh-CN" w:bidi="ar-SA"/>
        </w:rPr>
        <w:t xml:space="preserve">        </w:t>
      </w:r>
      <w:r>
        <w:rPr>
          <w:rFonts w:ascii="微软雅黑" w:hAnsi="微软雅黑" w:eastAsia="微软雅黑" w:cstheme="minorBidi"/>
          <w:kern w:val="0"/>
          <w:sz w:val="24"/>
          <w:szCs w:val="24"/>
          <w:lang w:val="en-US" w:eastAsia="zh-CN" w:bidi="ar-SA"/>
        </w:rPr>
        <w:t>日</w:t>
      </w:r>
    </w:p>
    <w:p>
      <w:pPr>
        <w:pStyle w:val="5"/>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sectPr>
          <w:headerReference r:id="rId3" w:type="default"/>
          <w:footerReference r:id="rId4"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5"/>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5.4：专业资质（如涉及）</w:t>
      </w:r>
    </w:p>
    <w:p>
      <w:pPr>
        <w:rPr>
          <w:rFonts w:hint="eastAsia"/>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960" w:firstLineChars="40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专业资质证明</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p>
    <w:p>
      <w:pPr>
        <w:pStyle w:val="5"/>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5"/>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5.5：质量健康安全环境体系文件</w:t>
      </w:r>
    </w:p>
    <w:p>
      <w:pPr>
        <w:rPr>
          <w:rFonts w:hint="eastAsia"/>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960" w:firstLineChars="40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三体系证明文件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p>
    <w:p>
      <w:pPr>
        <w:pStyle w:val="5"/>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5"/>
        <w:keepNext/>
        <w:keepLines/>
        <w:pageBreakBefore w:val="0"/>
        <w:widowControl w:val="0"/>
        <w:kinsoku/>
        <w:wordWrap/>
        <w:overflowPunct/>
        <w:topLinePunct w:val="0"/>
        <w:autoSpaceDE/>
        <w:autoSpaceDN/>
        <w:bidi w:val="0"/>
        <w:adjustRightInd/>
        <w:snapToGrid/>
        <w:spacing w:line="240" w:lineRule="auto"/>
        <w:ind w:left="0" w:hanging="2891" w:hangingChars="1200"/>
        <w:jc w:val="both"/>
        <w:textAlignment w:val="auto"/>
        <w:outlineLvl w:val="1"/>
        <w:rPr>
          <w:rFonts w:hint="eastAsia" w:ascii="黑体" w:hAnsi="黑体"/>
          <w:b/>
          <w:bCs/>
          <w:color w:val="000000" w:themeColor="text1"/>
          <w:sz w:val="24"/>
          <w:szCs w:val="24"/>
          <w:highlight w:val="none"/>
          <w:lang w:val="en-US" w:eastAsia="zh-CN"/>
          <w14:textFill>
            <w14:solidFill>
              <w14:schemeClr w14:val="tx1"/>
            </w14:solidFill>
          </w14:textFill>
        </w:rPr>
      </w:pPr>
      <w:r>
        <w:rPr>
          <w:rFonts w:hint="eastAsia" w:ascii="黑体" w:hAnsi="黑体"/>
          <w:b/>
          <w:bCs/>
          <w:color w:val="000000" w:themeColor="text1"/>
          <w:sz w:val="24"/>
          <w:szCs w:val="24"/>
          <w:highlight w:val="none"/>
          <w:lang w:val="en-US" w:eastAsia="zh-CN"/>
          <w14:textFill>
            <w14:solidFill>
              <w14:schemeClr w14:val="tx1"/>
            </w14:solidFill>
          </w14:textFill>
        </w:rPr>
        <w:t>5.6：股权证明文件</w:t>
      </w:r>
    </w:p>
    <w:p>
      <w:pPr>
        <w:rPr>
          <w:rFonts w:hint="eastAsia"/>
          <w:lang w:val="en-US" w:eastAsia="zh-CN"/>
        </w:rPr>
      </w:pPr>
    </w:p>
    <w:p>
      <w:pPr>
        <w:keepNext/>
        <w:keepLines/>
        <w:pageBreakBefore w:val="0"/>
        <w:widowControl w:val="0"/>
        <w:kinsoku/>
        <w:wordWrap/>
        <w:overflowPunct/>
        <w:topLinePunct w:val="0"/>
        <w:autoSpaceDE/>
        <w:autoSpaceDN/>
        <w:bidi w:val="0"/>
        <w:adjustRightInd/>
        <w:snapToGrid/>
        <w:spacing w:line="240" w:lineRule="auto"/>
        <w:ind w:left="2524" w:leftChars="1202" w:firstLine="960" w:firstLineChars="400"/>
        <w:jc w:val="both"/>
        <w:textAlignment w:val="auto"/>
        <w:outlineLvl w:val="9"/>
        <w:rPr>
          <w:rFonts w:asciiTheme="minorEastAsia" w:hAnsiTheme="minorEastAsia"/>
          <w:highlight w:val="none"/>
          <w:lang w:eastAsia="zh-CN"/>
        </w:rPr>
      </w:pPr>
      <w:r>
        <w:rPr>
          <w:rFonts w:hint="eastAsia" w:ascii="宋体" w:hAnsi="宋体" w:eastAsia="宋体" w:cs="宋体"/>
          <w:sz w:val="24"/>
          <w:highlight w:val="none"/>
          <w:lang w:eastAsia="zh-CN"/>
        </w:rPr>
        <w:t>股权证明文件</w:t>
      </w:r>
    </w:p>
    <w:p>
      <w:pPr>
        <w:keepNext/>
        <w:keepLines/>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ascii="宋体" w:hAnsi="宋体" w:eastAsia="宋体" w:cs="宋体"/>
          <w:b w:val="0"/>
          <w:bCs w:val="0"/>
          <w:sz w:val="24"/>
          <w:highlight w:val="none"/>
          <w:lang w:eastAsia="zh-CN"/>
        </w:rPr>
      </w:pPr>
      <w:r>
        <w:rPr>
          <w:rFonts w:hint="eastAsia" w:ascii="宋体" w:hAnsi="宋体" w:eastAsia="宋体" w:cs="宋体"/>
          <w:b w:val="0"/>
          <w:bCs w:val="0"/>
          <w:sz w:val="24"/>
          <w:highlight w:val="none"/>
          <w:lang w:eastAsia="zh-CN"/>
        </w:rPr>
        <w:t>（应答人应在应答文件中提供其公司章程或其他能够体现出资人、股东信息的法定文件、</w:t>
      </w:r>
      <w:r>
        <w:rPr>
          <w:rFonts w:hint="eastAsia" w:ascii="宋体" w:hAnsi="宋体" w:eastAsia="宋体" w:cs="宋体"/>
          <w:b w:val="0"/>
          <w:bCs w:val="0"/>
          <w:sz w:val="24"/>
          <w:highlight w:val="none"/>
          <w:lang w:val="en-US" w:eastAsia="zh-CN"/>
        </w:rPr>
        <w:t>第三方网站查询记录截图</w:t>
      </w:r>
      <w:r>
        <w:rPr>
          <w:rFonts w:hint="eastAsia" w:ascii="宋体" w:hAnsi="宋体" w:eastAsia="宋体" w:cs="宋体"/>
          <w:b w:val="0"/>
          <w:bCs w:val="0"/>
          <w:sz w:val="24"/>
          <w:highlight w:val="none"/>
          <w:lang w:eastAsia="zh-CN"/>
        </w:rPr>
        <w:t>，此证明文件将作为评标/评审时的依据。）</w:t>
      </w:r>
    </w:p>
    <w:p>
      <w:pPr>
        <w:rPr>
          <w:rFonts w:hint="eastAsia"/>
          <w:lang w:val="en-US" w:eastAsia="zh-CN"/>
        </w:rPr>
      </w:pPr>
    </w:p>
    <w:p>
      <w:pPr>
        <w:rPr>
          <w:color w:val="0070C0"/>
          <w:lang w:val="en-US" w:eastAsia="zh-CN"/>
        </w:r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4"/>
        <w:numPr>
          <w:ilvl w:val="-1"/>
          <w:numId w:val="0"/>
        </w:numPr>
        <w:rPr>
          <w:rFonts w:hint="eastAsia"/>
          <w:lang w:val="en-US" w:eastAsia="zh-CN"/>
        </w:rPr>
      </w:pPr>
    </w:p>
    <w:p>
      <w:pPr>
        <w:pStyle w:val="4"/>
        <w:numPr>
          <w:ilvl w:val="-1"/>
          <w:numId w:val="0"/>
        </w:numPr>
        <w:rPr>
          <w:rFonts w:hint="eastAsia"/>
          <w:lang w:val="en-US" w:eastAsia="zh-CN"/>
        </w:rPr>
      </w:pPr>
    </w:p>
    <w:p>
      <w:pPr>
        <w:rPr>
          <w:rFonts w:hint="eastAsia"/>
          <w:lang w:val="en-US" w:eastAsia="zh-CN"/>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pStyle w:val="34"/>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bCs/>
          <w:color w:val="000000" w:themeColor="text1"/>
          <w:sz w:val="24"/>
          <w:szCs w:val="24"/>
          <w:highlight w:val="none"/>
          <w:lang w:val="en-US" w:eastAsia="zh-CN"/>
          <w14:textFill>
            <w14:solidFill>
              <w14:schemeClr w14:val="tx1"/>
            </w14:solidFill>
          </w14:textFill>
        </w:rPr>
      </w:pPr>
    </w:p>
    <w:p>
      <w:pPr>
        <w:rPr>
          <w:rFonts w:hint="eastAsia" w:ascii="黑体" w:hAnsi="黑体" w:eastAsia="黑体"/>
          <w:b/>
          <w:color w:val="000000" w:themeColor="text1"/>
          <w:sz w:val="36"/>
          <w:szCs w:val="36"/>
          <w:highlight w:val="none"/>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5.7：供应商承诺书  </w:t>
      </w:r>
    </w:p>
    <w:p>
      <w:pPr>
        <w:jc w:val="center"/>
        <w:outlineLvl w:val="9"/>
        <w:rPr>
          <w:rFonts w:hint="eastAsia" w:eastAsiaTheme="minorEastAsia"/>
          <w:color w:val="C00000"/>
          <w:highlight w:val="none"/>
          <w:lang w:eastAsia="zh-CN"/>
        </w:rPr>
      </w:pPr>
      <w:r>
        <w:rPr>
          <w:rFonts w:hint="eastAsia" w:ascii="黑体" w:hAnsi="黑体" w:eastAsia="黑体"/>
          <w:b/>
          <w:color w:val="000000" w:themeColor="text1"/>
          <w:sz w:val="36"/>
          <w:szCs w:val="36"/>
          <w:highlight w:val="none"/>
          <w:lang w:val="en-US" w:eastAsia="zh-CN"/>
          <w14:textFill>
            <w14:solidFill>
              <w14:schemeClr w14:val="tx1"/>
            </w14:solidFill>
          </w14:textFill>
        </w:rPr>
        <w:t xml:space="preserve"> </w:t>
      </w: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r>
        <w:rPr>
          <w:rFonts w:hint="eastAsia"/>
          <w:lang w:eastAsia="zh-CN"/>
        </w:rPr>
        <w:t>（</w:t>
      </w:r>
      <w:r>
        <w:rPr>
          <w:rFonts w:hint="eastAsia"/>
          <w:lang w:val="en-US" w:eastAsia="zh-CN"/>
        </w:rPr>
        <w:t>制造商、集成商、服务商适用</w:t>
      </w:r>
      <w:r>
        <w:rPr>
          <w:rFonts w:hint="eastAsia"/>
          <w:lang w:eastAsia="zh-CN"/>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r>
        <w:rPr>
          <w:rFonts w:hint="eastAsia" w:ascii="宋体" w:hAnsi="宋体" w:eastAsia="宋体" w:cs="宋体"/>
          <w:color w:val="000000" w:themeColor="text1"/>
          <w:sz w:val="21"/>
          <w:szCs w:val="21"/>
          <w:highlight w:val="none"/>
          <w:lang w:eastAsia="zh-CN"/>
          <w14:textFill>
            <w14:solidFill>
              <w14:schemeClr w14:val="tx1"/>
            </w14:solidFill>
          </w14:textFill>
        </w:rPr>
        <w:t>（事业单位、大学除外）</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我公司及法定代表人和拟委任的项目负责人近三年（20**年*月*日-报价截止日前）不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w:t>
      </w:r>
      <w:r>
        <w:rPr>
          <w:rFonts w:hint="eastAsia" w:ascii="宋体" w:hAnsi="宋体" w:eastAsia="宋体" w:cs="宋体"/>
          <w:b/>
          <w:bCs/>
          <w:color w:val="000000" w:themeColor="text1"/>
          <w:sz w:val="21"/>
          <w:szCs w:val="21"/>
          <w:highlight w:val="none"/>
          <w:lang w:eastAsia="zh-CN"/>
          <w14:textFill>
            <w14:solidFill>
              <w14:schemeClr w14:val="tx1"/>
            </w14:solidFill>
          </w14:textFill>
        </w:rPr>
        <w:t>控股关系或管理关系</w:t>
      </w:r>
      <w:r>
        <w:rPr>
          <w:rFonts w:hint="eastAsia" w:ascii="宋体" w:hAnsi="宋体" w:eastAsia="宋体" w:cs="宋体"/>
          <w:color w:val="000000" w:themeColor="text1"/>
          <w:sz w:val="21"/>
          <w:szCs w:val="21"/>
          <w:highlight w:val="none"/>
          <w:lang w:eastAsia="zh-CN"/>
          <w14:textFill>
            <w14:solidFill>
              <w14:schemeClr w14:val="tx1"/>
            </w14:solidFill>
          </w14:textFill>
        </w:rPr>
        <w:t>、单位负责人为同一人，同一自然人同时持有两家公司非公开上市股份的情形。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不存在中国海油员工</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6、我公司如涉及雇用农民工，承诺与农民工签订劳动合同，及时、足额发放工资、缴纳社会保险费用，且不拖欠农民工工资。</w:t>
      </w:r>
    </w:p>
    <w:p>
      <w:pPr>
        <w:pStyle w:val="9"/>
        <w:keepNext w:val="0"/>
        <w:keepLines w:val="0"/>
        <w:pageBreakBefore w:val="0"/>
        <w:widowControl w:val="0"/>
        <w:kinsoku/>
        <w:wordWrap/>
        <w:overflowPunct/>
        <w:topLinePunct w:val="0"/>
        <w:autoSpaceDE/>
        <w:autoSpaceDN/>
        <w:bidi w:val="0"/>
        <w:adjustRightInd/>
        <w:snapToGrid/>
        <w:spacing w:line="360" w:lineRule="auto"/>
        <w:ind w:left="0" w:firstLine="420" w:firstLineChars="200"/>
        <w:textAlignment w:val="auto"/>
        <w:rPr>
          <w:rFonts w:hint="default" w:eastAsia="宋体"/>
          <w:highlight w:val="none"/>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highlight w:val="none"/>
          <w:lang w:eastAsia="zh-CN"/>
        </w:rPr>
        <w:t>积极响应国家节能减排和绿色环保政策，切实推进绿色供应链建设</w:t>
      </w:r>
      <w:r>
        <w:rPr>
          <w:rFonts w:hint="eastAsia" w:cs="宋体"/>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8、我公司为：□中小微企业；□大型企业；□国有企业、事业单位、大学；□境外或港澳台企业。</w:t>
      </w:r>
    </w:p>
    <w:p>
      <w:pPr>
        <w:pStyle w:val="9"/>
        <w:keepNext w:val="0"/>
        <w:keepLines w:val="0"/>
        <w:pageBreakBefore w:val="0"/>
        <w:widowControl w:val="0"/>
        <w:kinsoku/>
        <w:wordWrap/>
        <w:overflowPunct/>
        <w:topLinePunct w:val="0"/>
        <w:autoSpaceDE/>
        <w:autoSpaceDN/>
        <w:bidi w:val="0"/>
        <w:adjustRightInd/>
        <w:snapToGrid/>
        <w:spacing w:line="360" w:lineRule="auto"/>
        <w:ind w:left="0" w:firstLine="420"/>
        <w:textAlignment w:val="auto"/>
        <w:rPr>
          <w:rFonts w:hint="eastAsia" w:cs="宋体"/>
          <w:color w:val="000000" w:themeColor="text1"/>
          <w:kern w:val="2"/>
          <w:sz w:val="21"/>
          <w:szCs w:val="21"/>
          <w:highlight w:val="none"/>
          <w:lang w:val="en-US" w:eastAsia="zh-CN"/>
          <w14:textFill>
            <w14:solidFill>
              <w14:schemeClr w14:val="tx1"/>
            </w14:solidFill>
          </w14:textFill>
        </w:rPr>
      </w:pPr>
      <w:r>
        <w:rPr>
          <w:rFonts w:hint="eastAsia" w:cs="宋体"/>
          <w:color w:val="000000" w:themeColor="text1"/>
          <w:kern w:val="2"/>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我公司此次</w:t>
      </w:r>
      <w:r>
        <w:rPr>
          <w:rFonts w:hint="eastAsia" w:cs="宋体"/>
          <w:color w:val="000000" w:themeColor="text1"/>
          <w:sz w:val="21"/>
          <w:szCs w:val="21"/>
          <w:highlight w:val="none"/>
          <w:lang w:val="en-US" w:eastAsia="zh-CN"/>
          <w14:textFill>
            <w14:solidFill>
              <w14:schemeClr w14:val="tx1"/>
            </w14:solidFill>
          </w14:textFill>
        </w:rPr>
        <w:t>应答</w:t>
      </w:r>
      <w:r>
        <w:rPr>
          <w:rFonts w:hint="eastAsia" w:ascii="宋体" w:hAnsi="宋体" w:eastAsia="宋体" w:cs="宋体"/>
          <w:color w:val="000000" w:themeColor="text1"/>
          <w:sz w:val="21"/>
          <w:szCs w:val="21"/>
          <w:highlight w:val="none"/>
          <w:lang w:val="en-US" w:eastAsia="zh-CN"/>
          <w14:textFill>
            <w14:solidFill>
              <w14:schemeClr w14:val="tx1"/>
            </w14:solidFill>
          </w14:textFill>
        </w:rPr>
        <w:t>涉及供应商属性为：□</w:t>
      </w:r>
      <w:r>
        <w:rPr>
          <w:rFonts w:hint="eastAsia" w:cs="宋体"/>
          <w:color w:val="000000" w:themeColor="text1"/>
          <w:sz w:val="21"/>
          <w:szCs w:val="21"/>
          <w:highlight w:val="none"/>
          <w:lang w:val="en-US" w:eastAsia="zh-CN"/>
          <w14:textFill>
            <w14:solidFill>
              <w14:schemeClr w14:val="tx1"/>
            </w14:solidFill>
          </w14:textFill>
        </w:rPr>
        <w:t>制造商；</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cs="宋体"/>
          <w:color w:val="000000" w:themeColor="text1"/>
          <w:sz w:val="21"/>
          <w:szCs w:val="21"/>
          <w:highlight w:val="none"/>
          <w:lang w:val="en-US" w:eastAsia="zh-CN"/>
          <w14:textFill>
            <w14:solidFill>
              <w14:schemeClr w14:val="tx1"/>
            </w14:solidFill>
          </w14:textFill>
        </w:rPr>
        <w:t>集成商；并按照附件5.9提供属性证明书和相关支持文件</w:t>
      </w:r>
      <w:r>
        <w:rPr>
          <w:rFonts w:hint="eastAsia" w:cs="宋体"/>
          <w:color w:val="000000" w:themeColor="text1"/>
          <w:kern w:val="2"/>
          <w:sz w:val="21"/>
          <w:szCs w:val="21"/>
          <w:highlight w:val="none"/>
          <w:lang w:val="en-US"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lang w:val="en-US" w:eastAsia="zh-CN"/>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10、我公司此次</w:t>
      </w:r>
      <w:r>
        <w:rPr>
          <w:rFonts w:hint="eastAsia" w:cs="宋体"/>
          <w:color w:val="000000" w:themeColor="text1"/>
          <w:sz w:val="21"/>
          <w:szCs w:val="21"/>
          <w:highlight w:val="none"/>
          <w:lang w:val="en-US" w:eastAsia="zh-CN"/>
          <w14:textFill>
            <w14:solidFill>
              <w14:schemeClr w14:val="tx1"/>
            </w14:solidFill>
          </w14:textFill>
        </w:rPr>
        <w:t>应答</w:t>
      </w:r>
      <w:r>
        <w:rPr>
          <w:rFonts w:hint="eastAsia" w:ascii="宋体" w:hAnsi="宋体" w:eastAsia="宋体" w:cs="宋体"/>
          <w:color w:val="000000" w:themeColor="text1"/>
          <w:sz w:val="21"/>
          <w:szCs w:val="21"/>
          <w:highlight w:val="none"/>
          <w:lang w:val="en-US" w:eastAsia="zh-CN"/>
          <w14:textFill>
            <w14:solidFill>
              <w14:schemeClr w14:val="tx1"/>
            </w14:solidFill>
          </w14:textFill>
        </w:rPr>
        <w:t>涉及供应商属性为：□</w:t>
      </w:r>
      <w:r>
        <w:rPr>
          <w:rFonts w:hint="eastAsia" w:cs="宋体"/>
          <w:color w:val="000000" w:themeColor="text1"/>
          <w:sz w:val="21"/>
          <w:szCs w:val="21"/>
          <w:highlight w:val="none"/>
          <w:lang w:val="en-US" w:eastAsia="zh-CN"/>
          <w14:textFill>
            <w14:solidFill>
              <w14:schemeClr w14:val="tx1"/>
            </w14:solidFill>
          </w14:textFill>
        </w:rPr>
        <w:t>服务</w:t>
      </w:r>
      <w:r>
        <w:rPr>
          <w:rFonts w:hint="eastAsia" w:ascii="宋体" w:hAnsi="宋体" w:eastAsia="宋体" w:cs="宋体"/>
          <w:color w:val="000000" w:themeColor="text1"/>
          <w:sz w:val="21"/>
          <w:szCs w:val="21"/>
          <w:highlight w:val="none"/>
          <w:lang w:val="en-US" w:eastAsia="zh-CN"/>
          <w14:textFill>
            <w14:solidFill>
              <w14:schemeClr w14:val="tx1"/>
            </w14:solidFill>
          </w14:textFill>
        </w:rPr>
        <w:t>商；我司承诺满足服务商条件并可按照要求提供相关支持文件。</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hint="eastAsia"/>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lang w:eastAsia="zh-CN"/>
          <w14:textFill>
            <w14:solidFill>
              <w14:schemeClr w14:val="tx1"/>
            </w14:solidFill>
          </w14:textFill>
        </w:rPr>
        <w:t>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现场考察、核查与审计</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若现场考察、核查与审计发现本供应商承诺内容与实际情况存在实质性偏差，采购人有权取消我公司/单位成交资格并按照</w:t>
      </w:r>
      <w:r>
        <w:rPr>
          <w:rFonts w:hint="eastAsia" w:ascii="宋体" w:hAnsi="宋体" w:eastAsia="宋体" w:cs="宋体"/>
          <w:color w:val="000000" w:themeColor="text1"/>
          <w:sz w:val="21"/>
          <w:szCs w:val="21"/>
          <w:highlight w:val="none"/>
          <w14:textFill>
            <w14:solidFill>
              <w14:schemeClr w14:val="tx1"/>
            </w14:solidFill>
          </w14:textFill>
        </w:rPr>
        <w:t>相关管理规定</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进行处理。</w:t>
      </w:r>
      <w:r>
        <w:rPr>
          <w:rFonts w:hint="eastAsia" w:ascii="宋体" w:hAnsi="宋体" w:eastAsia="宋体" w:cs="宋体"/>
          <w:color w:val="000000" w:themeColor="text1"/>
          <w:sz w:val="21"/>
          <w:szCs w:val="21"/>
          <w:highlight w:val="none"/>
          <w14:textFill>
            <w14:solidFill>
              <w14:schemeClr w14:val="tx1"/>
            </w14:solidFill>
          </w14:textFill>
        </w:rPr>
        <w:t>上述</w:t>
      </w:r>
      <w:r>
        <w:rPr>
          <w:rFonts w:hint="eastAsia" w:ascii="宋体" w:hAnsi="宋体" w:eastAsia="宋体" w:cs="宋体"/>
          <w:color w:val="000000" w:themeColor="text1"/>
          <w:sz w:val="21"/>
          <w:szCs w:val="21"/>
          <w:highlight w:val="none"/>
          <w:lang w:val="en-US" w:eastAsia="zh-CN"/>
          <w14:textFill>
            <w14:solidFill>
              <w14:schemeClr w14:val="tx1"/>
            </w14:solidFill>
          </w14:textFill>
        </w:rPr>
        <w:t>承诺</w:t>
      </w:r>
      <w:r>
        <w:rPr>
          <w:rFonts w:hint="eastAsia" w:ascii="宋体" w:hAnsi="宋体" w:eastAsia="宋体" w:cs="宋体"/>
          <w:color w:val="000000" w:themeColor="text1"/>
          <w:sz w:val="21"/>
          <w:szCs w:val="21"/>
          <w:highlight w:val="none"/>
          <w14:textFill>
            <w14:solidFill>
              <w14:schemeClr w14:val="tx1"/>
            </w14:solidFill>
          </w14:textFill>
        </w:rPr>
        <w:t>信息如有虚假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不实或在中标后违反，</w:t>
      </w:r>
      <w:r>
        <w:rPr>
          <w:rFonts w:hint="eastAsia" w:ascii="宋体" w:hAnsi="宋体" w:eastAsia="宋体" w:cs="宋体"/>
          <w:color w:val="000000" w:themeColor="text1"/>
          <w:sz w:val="21"/>
          <w:szCs w:val="21"/>
          <w:highlight w:val="none"/>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14:textFill>
            <w14:solidFill>
              <w14:schemeClr w14:val="tx1"/>
            </w14:solidFill>
          </w14:textFill>
        </w:rPr>
        <w:t>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w:t>
      </w:r>
      <w:r>
        <w:rPr>
          <w:rFonts w:hint="eastAsia" w:ascii="宋体" w:hAnsi="宋体" w:eastAsia="宋体" w:cs="宋体"/>
          <w:color w:val="000000" w:themeColor="text1"/>
          <w:sz w:val="21"/>
          <w:szCs w:val="21"/>
          <w:highlight w:val="none"/>
          <w:lang w:val="en-US" w:eastAsia="zh-CN"/>
          <w14:textFill>
            <w14:solidFill>
              <w14:schemeClr w14:val="tx1"/>
            </w14:solidFill>
          </w14:textFill>
        </w:rPr>
        <w:t>无条件</w:t>
      </w:r>
      <w:r>
        <w:rPr>
          <w:rFonts w:hint="eastAsia" w:ascii="宋体" w:hAnsi="宋体" w:eastAsia="宋体" w:cs="宋体"/>
          <w:color w:val="000000" w:themeColor="text1"/>
          <w:sz w:val="21"/>
          <w:szCs w:val="21"/>
          <w:highlight w:val="none"/>
          <w14:textFill>
            <w14:solidFill>
              <w14:schemeClr w14:val="tx1"/>
            </w14:solidFill>
          </w14:textFill>
        </w:rPr>
        <w:t>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540"/>
        <w:jc w:val="center"/>
        <w:textAlignment w:val="auto"/>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r>
        <w:rPr>
          <w:rFonts w:hint="eastAsia" w:ascii="宋体" w:hAnsi="宋体" w:eastAsia="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pStyle w:val="4"/>
        <w:numPr>
          <w:ilvl w:val="0"/>
          <w:numId w:val="0"/>
        </w:numPr>
        <w:ind w:leftChars="0"/>
        <w:rPr>
          <w:rFonts w:hint="eastAsia" w:ascii="黑体" w:hAnsi="黑体" w:eastAsia="黑体"/>
          <w:b/>
          <w:color w:val="000000" w:themeColor="text1"/>
          <w:sz w:val="36"/>
          <w:szCs w:val="36"/>
          <w:highlight w:val="none"/>
          <w:lang w:val="en-US" w:eastAsia="zh-CN"/>
          <w14:textFill>
            <w14:solidFill>
              <w14:schemeClr w14:val="tx1"/>
            </w14:solidFill>
          </w14:textFill>
        </w:rPr>
      </w:pPr>
      <w:r>
        <w:rPr>
          <w:rFonts w:hint="eastAsia" w:ascii="黑体" w:hAnsi="黑体" w:eastAsia="黑体"/>
          <w:b/>
          <w:color w:val="000000" w:themeColor="text1"/>
          <w:sz w:val="36"/>
          <w:szCs w:val="36"/>
          <w:highlight w:val="none"/>
          <w:lang w:val="en-US" w:eastAsia="zh-CN"/>
          <w14:textFill>
            <w14:solidFill>
              <w14:schemeClr w14:val="tx1"/>
            </w14:solidFill>
          </w14:textFill>
        </w:rPr>
        <w:t xml:space="preserve">  </w:t>
      </w:r>
    </w:p>
    <w:p>
      <w:pPr>
        <w:rPr>
          <w:rFonts w:hint="eastAsia" w:ascii="黑体" w:hAnsi="黑体" w:eastAsia="黑体"/>
          <w:b/>
          <w:color w:val="000000" w:themeColor="text1"/>
          <w:sz w:val="36"/>
          <w:szCs w:val="36"/>
          <w:highlight w:val="none"/>
          <w:lang w:val="en-US" w:eastAsia="zh-CN"/>
          <w14:textFill>
            <w14:solidFill>
              <w14:schemeClr w14:val="tx1"/>
            </w14:solidFill>
          </w14:textFill>
        </w:rPr>
      </w:pPr>
    </w:p>
    <w:p>
      <w:pPr>
        <w:pStyle w:val="4"/>
        <w:numPr>
          <w:ilvl w:val="0"/>
          <w:numId w:val="0"/>
        </w:numPr>
        <w:ind w:leftChars="0"/>
      </w:pPr>
    </w:p>
    <w:p>
      <w:pPr>
        <w:rPr>
          <w:rFonts w:hint="eastAsia" w:ascii="黑体" w:hAnsi="黑体" w:eastAsia="黑体"/>
          <w:b/>
          <w:color w:val="000000" w:themeColor="text1"/>
          <w:sz w:val="36"/>
          <w:szCs w:val="36"/>
          <w:highlight w:val="none"/>
          <w:lang w:val="en-US" w:eastAsia="zh-CN"/>
          <w14:textFill>
            <w14:solidFill>
              <w14:schemeClr w14:val="tx1"/>
            </w14:solidFill>
          </w14:textFill>
        </w:rPr>
      </w:pPr>
    </w:p>
    <w:p>
      <w:pPr>
        <w:pStyle w:val="4"/>
        <w:numPr>
          <w:ilvl w:val="0"/>
          <w:numId w:val="0"/>
        </w:numPr>
        <w:ind w:leftChars="0"/>
      </w:pPr>
    </w:p>
    <w:p>
      <w:pPr>
        <w:rPr>
          <w:rFonts w:hint="eastAsia" w:ascii="黑体" w:hAnsi="黑体" w:eastAsia="黑体"/>
          <w:b/>
          <w:color w:val="000000" w:themeColor="text1"/>
          <w:sz w:val="36"/>
          <w:szCs w:val="36"/>
          <w:highlight w:val="none"/>
          <w:lang w:val="en-US" w:eastAsia="zh-CN"/>
          <w14:textFill>
            <w14:solidFill>
              <w14:schemeClr w14:val="tx1"/>
            </w14:solidFill>
          </w14:textFill>
        </w:rPr>
      </w:pPr>
    </w:p>
    <w:p>
      <w:pPr>
        <w:pStyle w:val="4"/>
        <w:numPr>
          <w:ilvl w:val="0"/>
          <w:numId w:val="0"/>
        </w:numPr>
        <w:ind w:leftChars="0"/>
      </w:pPr>
    </w:p>
    <w:p/>
    <w:p/>
    <w:p>
      <w:pPr>
        <w:pStyle w:val="4"/>
        <w:numPr>
          <w:ilvl w:val="0"/>
          <w:numId w:val="0"/>
        </w:numPr>
        <w:ind w:leftChars="0"/>
      </w:pPr>
    </w:p>
    <w:p/>
    <w:p>
      <w:pPr>
        <w:pStyle w:val="4"/>
        <w:numPr>
          <w:ilvl w:val="-1"/>
          <w:numId w:val="0"/>
        </w:numPr>
      </w:pPr>
    </w:p>
    <w:p>
      <w:pPr>
        <w:pStyle w:val="4"/>
        <w:numPr>
          <w:ilvl w:val="-1"/>
          <w:numId w:val="0"/>
        </w:numPr>
      </w:pPr>
    </w:p>
    <w:p>
      <w:pPr>
        <w:pStyle w:val="4"/>
        <w:numPr>
          <w:ilvl w:val="-1"/>
          <w:numId w:val="0"/>
        </w:numPr>
      </w:pPr>
    </w:p>
    <w:p>
      <w:pPr>
        <w:pStyle w:val="4"/>
        <w:numPr>
          <w:ilvl w:val="-1"/>
          <w:numId w:val="0"/>
        </w:numPr>
      </w:pPr>
    </w:p>
    <w:p>
      <w:pPr>
        <w:pStyle w:val="4"/>
        <w:numPr>
          <w:ilvl w:val="-1"/>
          <w:numId w:val="0"/>
        </w:numPr>
      </w:pPr>
    </w:p>
    <w:p>
      <w:pPr>
        <w:pStyle w:val="4"/>
        <w:numPr>
          <w:ilvl w:val="-1"/>
          <w:numId w:val="0"/>
        </w:numPr>
      </w:pPr>
    </w:p>
    <w:p>
      <w:pPr>
        <w:pStyle w:val="4"/>
        <w:numPr>
          <w:ilvl w:val="-1"/>
          <w:numId w:val="0"/>
        </w:numPr>
      </w:pPr>
    </w:p>
    <w:p>
      <w:pPr>
        <w:pStyle w:val="4"/>
        <w:numPr>
          <w:ilvl w:val="-1"/>
          <w:numId w:val="0"/>
        </w:numPr>
      </w:pPr>
    </w:p>
    <w:p>
      <w:pPr>
        <w:pStyle w:val="4"/>
        <w:numPr>
          <w:ilvl w:val="-1"/>
          <w:numId w:val="0"/>
        </w:numPr>
      </w:pPr>
    </w:p>
    <w:p>
      <w:pPr>
        <w:pStyle w:val="4"/>
        <w:numPr>
          <w:ilvl w:val="-1"/>
          <w:numId w:val="0"/>
        </w:numPr>
      </w:pPr>
    </w:p>
    <w:p>
      <w:pPr>
        <w:pStyle w:val="4"/>
        <w:numPr>
          <w:ilvl w:val="-1"/>
          <w:numId w:val="0"/>
        </w:numPr>
      </w:pPr>
    </w:p>
    <w:p/>
    <w:p>
      <w:pPr>
        <w:pStyle w:val="4"/>
        <w:numPr>
          <w:ilvl w:val="0"/>
          <w:numId w:val="0"/>
        </w:numPr>
        <w:ind w:leftChars="0"/>
      </w:pPr>
    </w:p>
    <w:p>
      <w:pPr>
        <w:pStyle w:val="4"/>
        <w:numPr>
          <w:ilvl w:val="-1"/>
          <w:numId w:val="0"/>
        </w:numPr>
      </w:pPr>
    </w:p>
    <w:p>
      <w:pPr>
        <w:jc w:val="left"/>
        <w:outlineLvl w:val="9"/>
        <w:rPr>
          <w:rFonts w:hint="eastAsia" w:ascii="黑体" w:hAnsi="黑体" w:eastAsia="黑体"/>
          <w:b/>
          <w:bCs/>
          <w:color w:val="000000" w:themeColor="text1"/>
          <w:sz w:val="24"/>
          <w:szCs w:val="24"/>
          <w:highlight w:val="none"/>
          <w:lang w:val="en-US"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 xml:space="preserve">  </w:t>
      </w:r>
    </w:p>
    <w:p>
      <w:pPr>
        <w:jc w:val="center"/>
        <w:outlineLvl w:val="9"/>
        <w:rPr>
          <w:rFonts w:hint="eastAsia" w:eastAsiaTheme="minorEastAsia"/>
          <w:color w:val="C00000"/>
          <w:highlight w:val="none"/>
          <w:lang w:eastAsia="zh-CN"/>
        </w:rPr>
      </w:pPr>
      <w:r>
        <w:rPr>
          <w:rFonts w:hint="eastAsia" w:ascii="黑体" w:hAnsi="黑体" w:eastAsia="黑体"/>
          <w:b/>
          <w:color w:val="000000" w:themeColor="text1"/>
          <w:sz w:val="36"/>
          <w:szCs w:val="36"/>
          <w:highlight w:val="none"/>
          <w:lang w:val="en-US" w:eastAsia="zh-CN"/>
          <w14:textFill>
            <w14:solidFill>
              <w14:schemeClr w14:val="tx1"/>
            </w14:solidFill>
          </w14:textFill>
        </w:rPr>
        <w:t xml:space="preserve">       </w:t>
      </w:r>
      <w:r>
        <w:rPr>
          <w:rFonts w:hint="eastAsia" w:ascii="黑体" w:hAnsi="黑体" w:eastAsia="黑体"/>
          <w:b/>
          <w:color w:val="000000" w:themeColor="text1"/>
          <w:sz w:val="36"/>
          <w:szCs w:val="36"/>
          <w:highlight w:val="none"/>
          <w14:textFill>
            <w14:solidFill>
              <w14:schemeClr w14:val="tx1"/>
            </w14:solidFill>
          </w14:textFill>
        </w:rPr>
        <w:t>供应商承诺</w:t>
      </w:r>
      <w:r>
        <w:rPr>
          <w:rFonts w:hint="eastAsia" w:ascii="黑体" w:hAnsi="黑体" w:eastAsia="黑体"/>
          <w:b/>
          <w:color w:val="000000" w:themeColor="text1"/>
          <w:sz w:val="36"/>
          <w:szCs w:val="36"/>
          <w:highlight w:val="none"/>
          <w:lang w:val="en-US" w:eastAsia="zh-CN"/>
          <w14:textFill>
            <w14:solidFill>
              <w14:schemeClr w14:val="tx1"/>
            </w14:solidFill>
          </w14:textFill>
        </w:rPr>
        <w:t>书</w:t>
      </w:r>
      <w:r>
        <w:rPr>
          <w:rFonts w:hint="eastAsia"/>
          <w:lang w:eastAsia="zh-CN"/>
        </w:rPr>
        <w:t>（</w:t>
      </w:r>
      <w:r>
        <w:rPr>
          <w:rFonts w:hint="eastAsia"/>
          <w:lang w:val="en-US" w:eastAsia="zh-CN"/>
        </w:rPr>
        <w:t>代理商、贸易商适用</w:t>
      </w:r>
      <w:r>
        <w:rPr>
          <w:rFonts w:hint="eastAsia"/>
          <w:lang w:eastAsia="zh-CN"/>
        </w:rPr>
        <w:t>）</w:t>
      </w:r>
    </w:p>
    <w:p>
      <w:pPr>
        <w:spacing w:line="360" w:lineRule="auto"/>
        <w:rPr>
          <w:rFonts w:hint="eastAsia" w:ascii="宋体" w:hAnsi="宋体" w:eastAsia="宋体" w:cs="宋体"/>
          <w:b/>
          <w:bCs/>
          <w:color w:val="000000" w:themeColor="text1"/>
          <w:sz w:val="21"/>
          <w:szCs w:val="21"/>
          <w:highlight w:val="none"/>
          <w:lang w:val="en-US" w:eastAsia="zh-CN"/>
          <w14:textFill>
            <w14:solidFill>
              <w14:schemeClr w14:val="tx1"/>
            </w14:solidFill>
          </w14:textFill>
        </w:rPr>
      </w:pPr>
      <w:r>
        <w:rPr>
          <w:rFonts w:hint="eastAsia" w:ascii="宋体" w:hAnsi="宋体" w:eastAsia="宋体" w:cs="宋体"/>
          <w:b/>
          <w:color w:val="000000" w:themeColor="text1"/>
          <w:sz w:val="21"/>
          <w:szCs w:val="21"/>
          <w:highlight w:val="none"/>
          <w14:textFill>
            <w14:solidFill>
              <w14:schemeClr w14:val="tx1"/>
            </w14:solidFill>
          </w14:textFill>
        </w:rPr>
        <w:t>中海油能源发展股份有限公司：</w:t>
      </w:r>
    </w:p>
    <w:p>
      <w:pPr>
        <w:spacing w:line="360" w:lineRule="auto"/>
        <w:ind w:firstLine="420"/>
        <w:rPr>
          <w:rFonts w:hint="eastAsia" w:ascii="宋体" w:hAnsi="宋体" w:eastAsia="宋体" w:cs="宋体"/>
          <w:b/>
          <w:bCs/>
          <w:color w:val="000000" w:themeColor="text1"/>
          <w:sz w:val="21"/>
          <w:szCs w:val="21"/>
          <w:highlight w:val="none"/>
          <w14:textFill>
            <w14:solidFill>
              <w14:schemeClr w14:val="tx1"/>
            </w14:solidFill>
          </w14:textFill>
        </w:rPr>
      </w:pP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我公司/单位对以下情况经认真核查后确认及承诺如下</w:t>
      </w:r>
      <w:r>
        <w:rPr>
          <w:rFonts w:hint="eastAsia" w:ascii="宋体" w:hAnsi="宋体" w:eastAsia="宋体" w:cs="宋体"/>
          <w:b/>
          <w:bCs/>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w:t>
      </w:r>
      <w:r>
        <w:rPr>
          <w:rFonts w:hint="eastAsia" w:ascii="宋体" w:hAnsi="宋体" w:eastAsia="宋体" w:cs="宋体"/>
          <w:color w:val="000000" w:themeColor="text1"/>
          <w:sz w:val="21"/>
          <w:szCs w:val="21"/>
          <w:highlight w:val="none"/>
          <w14:textFill>
            <w14:solidFill>
              <w14:schemeClr w14:val="tx1"/>
            </w14:solidFill>
          </w14:textFill>
        </w:rPr>
        <w:t>经查询</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信用中国”网站（https://www.creditchina.gov.cn/）或</w:t>
      </w:r>
      <w:r>
        <w:rPr>
          <w:rFonts w:hint="eastAsia" w:ascii="宋体" w:hAnsi="宋体" w:eastAsia="宋体" w:cs="宋体"/>
          <w:color w:val="000000" w:themeColor="text1"/>
          <w:sz w:val="21"/>
          <w:szCs w:val="21"/>
          <w:highlight w:val="none"/>
          <w14:textFill>
            <w14:solidFill>
              <w14:schemeClr w14:val="tx1"/>
            </w14:solidFill>
          </w14:textFill>
        </w:rPr>
        <w:t>“中国执行信息公开网”网站（http://zxgk.court.gov.cn/），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被列入失信被执行人名单；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w:t>
      </w:r>
      <w:r>
        <w:rPr>
          <w:rFonts w:hint="eastAsia" w:ascii="宋体" w:hAnsi="宋体" w:eastAsia="宋体" w:cs="宋体"/>
          <w:color w:val="000000" w:themeColor="text1"/>
          <w:sz w:val="21"/>
          <w:szCs w:val="21"/>
          <w:highlight w:val="none"/>
          <w14:textFill>
            <w14:solidFill>
              <w14:schemeClr w14:val="tx1"/>
            </w14:solidFill>
          </w14:textFill>
        </w:rPr>
        <w:t>经查询“国家企业信用信息公示系统”（http://www.gsxt.gov.cn），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我公司未</w:t>
      </w:r>
      <w:r>
        <w:rPr>
          <w:rFonts w:hint="eastAsia" w:ascii="宋体" w:hAnsi="宋体" w:eastAsia="宋体" w:cs="宋体"/>
          <w:color w:val="000000" w:themeColor="text1"/>
          <w:sz w:val="21"/>
          <w:szCs w:val="21"/>
          <w:highlight w:val="none"/>
          <w14:textFill>
            <w14:solidFill>
              <w14:schemeClr w14:val="tx1"/>
            </w14:solidFill>
          </w14:textFill>
        </w:rPr>
        <w:t>被列入严重违法失信企业名单</w:t>
      </w:r>
      <w:r>
        <w:rPr>
          <w:rFonts w:hint="eastAsia" w:ascii="宋体" w:hAnsi="宋体" w:eastAsia="宋体" w:cs="宋体"/>
          <w:color w:val="000000" w:themeColor="text1"/>
          <w:sz w:val="21"/>
          <w:szCs w:val="21"/>
          <w:highlight w:val="none"/>
          <w:lang w:eastAsia="zh-CN"/>
          <w14:textFill>
            <w14:solidFill>
              <w14:schemeClr w14:val="tx1"/>
            </w14:solidFill>
          </w14:textFill>
        </w:rPr>
        <w:t>（事业单位、大学除外）</w:t>
      </w:r>
      <w:r>
        <w:rPr>
          <w:rFonts w:hint="eastAsia" w:ascii="宋体" w:hAnsi="宋体" w:eastAsia="宋体" w:cs="宋体"/>
          <w:color w:val="000000" w:themeColor="text1"/>
          <w:sz w:val="21"/>
          <w:szCs w:val="21"/>
          <w:highlight w:val="none"/>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3、</w:t>
      </w:r>
      <w:r>
        <w:rPr>
          <w:rFonts w:hint="eastAsia" w:ascii="宋体" w:hAnsi="宋体" w:eastAsia="宋体" w:cs="宋体"/>
          <w:color w:val="000000" w:themeColor="text1"/>
          <w:sz w:val="21"/>
          <w:szCs w:val="21"/>
          <w:highlight w:val="none"/>
          <w14:textFill>
            <w14:solidFill>
              <w14:schemeClr w14:val="tx1"/>
            </w14:solidFill>
          </w14:textFill>
        </w:rPr>
        <w:t>经查询“中国裁判文书网”（http://wenshu.court.gov.cn），</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我公司及法定代表人和拟委任的项目负责人近三年（20**年*月*日-报价截止日前）不</w:t>
      </w:r>
      <w:r>
        <w:rPr>
          <w:rFonts w:hint="eastAsia" w:ascii="宋体" w:hAnsi="宋体" w:eastAsia="宋体" w:cs="宋体"/>
          <w:color w:val="000000" w:themeColor="text1"/>
          <w:sz w:val="21"/>
          <w:szCs w:val="21"/>
          <w:highlight w:val="none"/>
          <w14:textFill>
            <w14:solidFill>
              <w14:schemeClr w14:val="tx1"/>
            </w14:solidFill>
          </w14:textFill>
        </w:rPr>
        <w:t>存在行贿犯罪记录；</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4、</w:t>
      </w:r>
      <w:r>
        <w:rPr>
          <w:rFonts w:hint="eastAsia" w:ascii="宋体" w:hAnsi="宋体" w:eastAsia="宋体" w:cs="宋体"/>
          <w:color w:val="000000" w:themeColor="text1"/>
          <w:sz w:val="21"/>
          <w:szCs w:val="21"/>
          <w:highlight w:val="none"/>
          <w:lang w:eastAsia="zh-CN"/>
          <w14:textFill>
            <w14:solidFill>
              <w14:schemeClr w14:val="tx1"/>
            </w14:solidFill>
          </w14:textFill>
        </w:rPr>
        <w:t>我公司与本采购项目其他应答人</w:t>
      </w:r>
      <w:r>
        <w:rPr>
          <w:rFonts w:hint="eastAsia" w:ascii="宋体" w:hAnsi="宋体" w:eastAsia="宋体" w:cs="宋体"/>
          <w:color w:val="000000" w:themeColor="text1"/>
          <w:sz w:val="21"/>
          <w:szCs w:val="21"/>
          <w:highlight w:val="none"/>
          <w:lang w:val="en-US" w:eastAsia="zh-CN"/>
          <w14:textFill>
            <w14:solidFill>
              <w14:schemeClr w14:val="tx1"/>
            </w14:solidFill>
          </w14:textFill>
        </w:rPr>
        <w:t>不</w:t>
      </w:r>
      <w:r>
        <w:rPr>
          <w:rFonts w:hint="eastAsia" w:ascii="宋体" w:hAnsi="宋体" w:eastAsia="宋体" w:cs="宋体"/>
          <w:color w:val="000000" w:themeColor="text1"/>
          <w:sz w:val="21"/>
          <w:szCs w:val="21"/>
          <w:highlight w:val="none"/>
          <w:lang w:eastAsia="zh-CN"/>
          <w14:textFill>
            <w14:solidFill>
              <w14:schemeClr w14:val="tx1"/>
            </w14:solidFill>
          </w14:textFill>
        </w:rPr>
        <w:t>存在</w:t>
      </w:r>
      <w:r>
        <w:rPr>
          <w:rFonts w:hint="eastAsia" w:ascii="宋体" w:hAnsi="宋体" w:eastAsia="宋体" w:cs="宋体"/>
          <w:b/>
          <w:bCs/>
          <w:color w:val="000000" w:themeColor="text1"/>
          <w:sz w:val="21"/>
          <w:szCs w:val="21"/>
          <w:highlight w:val="none"/>
          <w:lang w:eastAsia="zh-CN"/>
          <w14:textFill>
            <w14:solidFill>
              <w14:schemeClr w14:val="tx1"/>
            </w14:solidFill>
          </w14:textFill>
        </w:rPr>
        <w:t>控股关系或管理关系</w:t>
      </w:r>
      <w:r>
        <w:rPr>
          <w:rFonts w:hint="eastAsia" w:ascii="宋体" w:hAnsi="宋体" w:eastAsia="宋体" w:cs="宋体"/>
          <w:color w:val="000000" w:themeColor="text1"/>
          <w:sz w:val="21"/>
          <w:szCs w:val="21"/>
          <w:highlight w:val="none"/>
          <w:lang w:eastAsia="zh-CN"/>
          <w14:textFill>
            <w14:solidFill>
              <w14:schemeClr w14:val="tx1"/>
            </w14:solidFill>
          </w14:textFill>
        </w:rPr>
        <w:t>、单位负责人为同一人，同一自然人同时持有两家公司非公开上市股份的情形。</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5、</w:t>
      </w:r>
      <w:r>
        <w:rPr>
          <w:rFonts w:hint="eastAsia" w:ascii="宋体" w:hAnsi="宋体" w:eastAsia="宋体" w:cs="宋体"/>
          <w:color w:val="000000" w:themeColor="text1"/>
          <w:sz w:val="21"/>
          <w:szCs w:val="21"/>
          <w:highlight w:val="none"/>
          <w14:textFill>
            <w14:solidFill>
              <w14:schemeClr w14:val="tx1"/>
            </w14:solidFill>
          </w14:textFill>
        </w:rPr>
        <w:t>经</w:t>
      </w:r>
      <w:r>
        <w:rPr>
          <w:rFonts w:hint="eastAsia" w:ascii="宋体" w:hAnsi="宋体" w:eastAsia="宋体" w:cs="宋体"/>
          <w:color w:val="000000" w:themeColor="text1"/>
          <w:sz w:val="21"/>
          <w:szCs w:val="21"/>
          <w:highlight w:val="none"/>
          <w:lang w:val="en-US" w:eastAsia="zh-CN"/>
          <w14:textFill>
            <w14:solidFill>
              <w14:schemeClr w14:val="tx1"/>
            </w14:solidFill>
          </w14:textFill>
        </w:rPr>
        <w:t>确认，我公司</w:t>
      </w:r>
      <w:r>
        <w:rPr>
          <w:rFonts w:hint="eastAsia" w:ascii="宋体" w:hAnsi="宋体" w:eastAsia="宋体" w:cs="宋体"/>
          <w:b/>
          <w:bCs/>
          <w:color w:val="000000" w:themeColor="text1"/>
          <w:sz w:val="21"/>
          <w:szCs w:val="21"/>
          <w:highlight w:val="none"/>
          <w:lang w:val="en-US" w:eastAsia="zh-CN"/>
          <w14:textFill>
            <w14:solidFill>
              <w14:schemeClr w14:val="tx1"/>
            </w14:solidFill>
          </w14:textFill>
        </w:rPr>
        <w:t>不存在中国海油员工</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（不含中国海油正式派出的）、海油发展离职未满三年的员工在我公司担任股东、法人代表、董事、监事和其他任职人员</w:t>
      </w:r>
      <w:r>
        <w:rPr>
          <w:rFonts w:hint="eastAsia" w:ascii="宋体" w:hAnsi="宋体" w:eastAsia="宋体" w:cs="宋体"/>
          <w:color w:val="000000" w:themeColor="text1"/>
          <w:sz w:val="21"/>
          <w:szCs w:val="21"/>
          <w:highlight w:val="none"/>
          <w14:textFill>
            <w14:solidFill>
              <w14:schemeClr w14:val="tx1"/>
            </w14:solidFill>
          </w14:textFill>
        </w:rPr>
        <w:t>。</w:t>
      </w:r>
    </w:p>
    <w:p>
      <w:pPr>
        <w:spacing w:line="360" w:lineRule="auto"/>
        <w:ind w:firstLine="420" w:firstLineChars="200"/>
        <w:rPr>
          <w:rFonts w:hint="eastAsia" w:ascii="宋体" w:hAnsi="宋体" w:eastAsia="宋体" w:cs="宋体"/>
          <w:kern w:val="0"/>
          <w:sz w:val="21"/>
          <w:szCs w:val="21"/>
          <w:highlight w:val="none"/>
          <w:lang w:val="en-US" w:eastAsia="zh-CN" w:bidi="ar-SA"/>
        </w:rPr>
      </w:pPr>
      <w:r>
        <w:rPr>
          <w:rFonts w:hint="eastAsia" w:ascii="宋体" w:hAnsi="宋体" w:eastAsia="宋体" w:cs="宋体"/>
          <w:kern w:val="0"/>
          <w:sz w:val="21"/>
          <w:szCs w:val="21"/>
          <w:highlight w:val="none"/>
          <w:lang w:val="en-US" w:eastAsia="zh-CN" w:bidi="ar-SA"/>
        </w:rPr>
        <w:t>6、我公司如涉及雇用农民工，承诺与农民工签订劳动合同，及时、足额发放工资、缴纳社会保险费用，且不拖欠农民工工资。</w:t>
      </w:r>
    </w:p>
    <w:p>
      <w:pPr>
        <w:pStyle w:val="9"/>
        <w:ind w:left="0" w:firstLine="420" w:firstLineChars="200"/>
        <w:rPr>
          <w:rFonts w:hint="default" w:eastAsia="宋体"/>
          <w:highlight w:val="none"/>
          <w:lang w:val="en-US" w:eastAsia="zh-CN"/>
        </w:rPr>
      </w:pPr>
      <w:r>
        <w:rPr>
          <w:rFonts w:hint="eastAsia" w:cs="宋体"/>
          <w:color w:val="000000" w:themeColor="text1"/>
          <w:sz w:val="21"/>
          <w:szCs w:val="21"/>
          <w:highlight w:val="none"/>
          <w:lang w:val="en-US" w:eastAsia="zh-CN"/>
          <w14:textFill>
            <w14:solidFill>
              <w14:schemeClr w14:val="tx1"/>
            </w14:solidFill>
          </w14:textFill>
        </w:rPr>
        <w:t>7、我公司承诺</w:t>
      </w:r>
      <w:r>
        <w:rPr>
          <w:rFonts w:hint="eastAsia" w:ascii="宋体" w:hAnsi="宋体" w:eastAsia="宋体" w:cs="宋体"/>
          <w:highlight w:val="none"/>
          <w:lang w:eastAsia="zh-CN"/>
        </w:rPr>
        <w:t>积极响应国家节能减排和绿色环保政策，切实推进绿色供应链建设</w:t>
      </w:r>
      <w:r>
        <w:rPr>
          <w:rFonts w:hint="eastAsia" w:cs="宋体"/>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000000" w:themeColor="text1"/>
          <w:sz w:val="21"/>
          <w:szCs w:val="21"/>
          <w:highlight w:val="none"/>
          <w:lang w:val="en-US"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8、我公司为：□中小微企业；□大型企业；□国有企业、事业单位、大学；□境外或港澳台企业。</w:t>
      </w:r>
    </w:p>
    <w:p>
      <w:pPr>
        <w:pStyle w:val="9"/>
        <w:spacing w:line="360" w:lineRule="auto"/>
        <w:ind w:left="0" w:firstLine="420"/>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cs="宋体"/>
          <w:color w:val="000000" w:themeColor="text1"/>
          <w:kern w:val="2"/>
          <w:sz w:val="21"/>
          <w:szCs w:val="21"/>
          <w:highlight w:val="none"/>
          <w:lang w:val="en-US" w:eastAsia="zh-CN"/>
          <w14:textFill>
            <w14:solidFill>
              <w14:schemeClr w14:val="tx1"/>
            </w14:solidFill>
          </w14:textFill>
        </w:rPr>
        <w:t>9、</w:t>
      </w:r>
      <w:r>
        <w:rPr>
          <w:rFonts w:hint="eastAsia" w:ascii="宋体" w:hAnsi="宋体" w:eastAsia="宋体" w:cs="宋体"/>
          <w:color w:val="000000" w:themeColor="text1"/>
          <w:sz w:val="21"/>
          <w:szCs w:val="21"/>
          <w:highlight w:val="none"/>
          <w:lang w:val="en-US" w:eastAsia="zh-CN"/>
          <w14:textFill>
            <w14:solidFill>
              <w14:schemeClr w14:val="tx1"/>
            </w14:solidFill>
          </w14:textFill>
        </w:rPr>
        <w:t>我公司此次</w:t>
      </w:r>
      <w:r>
        <w:rPr>
          <w:rFonts w:hint="eastAsia" w:cs="宋体"/>
          <w:color w:val="000000" w:themeColor="text1"/>
          <w:sz w:val="21"/>
          <w:szCs w:val="21"/>
          <w:highlight w:val="none"/>
          <w:lang w:val="en-US" w:eastAsia="zh-CN"/>
          <w14:textFill>
            <w14:solidFill>
              <w14:schemeClr w14:val="tx1"/>
            </w14:solidFill>
          </w14:textFill>
        </w:rPr>
        <w:t>应答</w:t>
      </w:r>
      <w:r>
        <w:rPr>
          <w:rFonts w:hint="eastAsia" w:ascii="宋体" w:hAnsi="宋体" w:eastAsia="宋体" w:cs="宋体"/>
          <w:color w:val="000000" w:themeColor="text1"/>
          <w:sz w:val="21"/>
          <w:szCs w:val="21"/>
          <w:highlight w:val="none"/>
          <w:lang w:val="en-US" w:eastAsia="zh-CN"/>
          <w14:textFill>
            <w14:solidFill>
              <w14:schemeClr w14:val="tx1"/>
            </w14:solidFill>
          </w14:textFill>
        </w:rPr>
        <w:t>涉及供应商属性为：□贸易商</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承诺满足以下条件：</w:t>
      </w:r>
    </w:p>
    <w:p>
      <w:pPr>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20" w:firstLineChars="200"/>
        <w:textAlignment w:val="auto"/>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1）我司承诺近一年利润不为负且近一年资产负债率＜80%</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20" w:firstLineChars="200"/>
        <w:textAlignment w:val="auto"/>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2）我司</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承诺</w:t>
      </w:r>
      <w:r>
        <w:rPr>
          <w:rFonts w:hint="eastAsia" w:ascii="宋体" w:hAnsi="宋体" w:eastAsia="宋体" w:cs="宋体"/>
          <w:color w:val="000000" w:themeColor="text1"/>
          <w:kern w:val="2"/>
          <w:sz w:val="21"/>
          <w:szCs w:val="21"/>
          <w:highlight w:val="none"/>
          <w:lang w:eastAsia="zh-CN"/>
          <w14:textFill>
            <w14:solidFill>
              <w14:schemeClr w14:val="tx1"/>
            </w14:solidFill>
          </w14:textFill>
        </w:rPr>
        <w:t>自有社保人数≥5人，</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可</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提供近个三月</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连续</w:t>
      </w:r>
      <w:r>
        <w:rPr>
          <w:rFonts w:hint="eastAsia" w:ascii="宋体" w:hAnsi="宋体" w:eastAsia="宋体" w:cs="宋体"/>
          <w:color w:val="000000" w:themeColor="text1"/>
          <w:kern w:val="2"/>
          <w:sz w:val="21"/>
          <w:szCs w:val="21"/>
          <w:highlight w:val="none"/>
          <w:lang w:eastAsia="zh-CN"/>
          <w14:textFill>
            <w14:solidFill>
              <w14:schemeClr w14:val="tx1"/>
            </w14:solidFill>
          </w14:textFill>
        </w:rPr>
        <w:t>社保证明</w:t>
      </w:r>
      <w:r>
        <w:rPr>
          <w:rFonts w:hint="eastAsia" w:cs="宋体"/>
          <w:color w:val="000000" w:themeColor="text1"/>
          <w:kern w:val="2"/>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20" w:firstLineChars="200"/>
        <w:textAlignment w:val="auto"/>
        <w:rPr>
          <w:rFonts w:hint="eastAsia" w:ascii="宋体" w:hAnsi="宋体" w:eastAsia="宋体" w:cs="宋体"/>
          <w:b w:val="0"/>
          <w:bCs w:val="0"/>
          <w:color w:val="000000" w:themeColor="text1"/>
          <w:sz w:val="21"/>
          <w:szCs w:val="21"/>
          <w:highlight w:val="none"/>
          <w:lang w:val="en-US" w:eastAsia="zh-CN"/>
          <w14:textFill>
            <w14:solidFill>
              <w14:schemeClr w14:val="tx1"/>
            </w14:solidFill>
          </w14:textFill>
        </w:rPr>
      </w:pP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3）我司</w:t>
      </w:r>
      <w:r>
        <w:rPr>
          <w:rFonts w:hint="eastAsia" w:ascii="宋体" w:hAnsi="宋体" w:eastAsia="宋体" w:cs="宋体"/>
          <w:strike w:val="0"/>
          <w:color w:val="000000" w:themeColor="text1"/>
          <w:sz w:val="21"/>
          <w:szCs w:val="21"/>
          <w:highlight w:val="none"/>
          <w:lang w:eastAsia="zh-CN"/>
          <w14:textFill>
            <w14:solidFill>
              <w14:schemeClr w14:val="tx1"/>
            </w14:solidFill>
          </w14:textFill>
        </w:rPr>
        <w:t>承诺中国海油</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不是我司</w:t>
      </w:r>
      <w:r>
        <w:rPr>
          <w:rFonts w:hint="eastAsia" w:ascii="宋体" w:hAnsi="宋体" w:eastAsia="宋体" w:cs="宋体"/>
          <w:strike w:val="0"/>
          <w:color w:val="000000" w:themeColor="text1"/>
          <w:sz w:val="21"/>
          <w:szCs w:val="21"/>
          <w:highlight w:val="none"/>
          <w:lang w:eastAsia="zh-CN"/>
          <w14:textFill>
            <w14:solidFill>
              <w14:schemeClr w14:val="tx1"/>
            </w14:solidFill>
          </w14:textFill>
        </w:rPr>
        <w:t>唯一服务客户，</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我司具有中国海油外业绩，且为近三年内已完成业绩，并可提供原件合同及发票备查。</w:t>
      </w:r>
    </w:p>
    <w:p>
      <w:pPr>
        <w:pStyle w:val="9"/>
        <w:keepNext w:val="0"/>
        <w:keepLines w:val="0"/>
        <w:pageBreakBefore w:val="0"/>
        <w:widowControl w:val="0"/>
        <w:kinsoku/>
        <w:wordWrap/>
        <w:overflowPunct/>
        <w:topLinePunct w:val="0"/>
        <w:autoSpaceDE/>
        <w:autoSpaceDN/>
        <w:bidi w:val="0"/>
        <w:adjustRightInd/>
        <w:snapToGrid/>
        <w:spacing w:line="360" w:lineRule="auto"/>
        <w:ind w:left="0" w:firstLine="420"/>
        <w:textAlignment w:val="auto"/>
        <w:rPr>
          <w:rFonts w:hint="eastAsia" w:ascii="宋体" w:hAnsi="宋体" w:eastAsia="宋体" w:cs="宋体"/>
          <w:color w:val="000000" w:themeColor="text1"/>
          <w:kern w:val="2"/>
          <w:sz w:val="21"/>
          <w:szCs w:val="21"/>
          <w:highlight w:val="none"/>
          <w:lang w:val="en-US" w:eastAsia="zh-CN"/>
          <w14:textFill>
            <w14:solidFill>
              <w14:schemeClr w14:val="tx1"/>
            </w14:solidFill>
          </w14:textFill>
        </w:rPr>
      </w:pPr>
      <w:r>
        <w:rPr>
          <w:rFonts w:hint="eastAsia" w:cs="宋体"/>
          <w:color w:val="000000" w:themeColor="text1"/>
          <w:kern w:val="2"/>
          <w:highlight w:val="none"/>
          <w:lang w:val="en-US" w:eastAsia="zh-CN"/>
          <w14:textFill>
            <w14:solidFill>
              <w14:schemeClr w14:val="tx1"/>
            </w14:solidFill>
          </w14:textFill>
        </w:rPr>
        <w:t>10、</w:t>
      </w:r>
      <w:r>
        <w:rPr>
          <w:rFonts w:hint="eastAsia" w:cs="宋体"/>
          <w:strike w:val="0"/>
          <w:color w:val="000000" w:themeColor="text1"/>
          <w:kern w:val="2"/>
          <w:sz w:val="21"/>
          <w:szCs w:val="21"/>
          <w:highlight w:val="none"/>
          <w:lang w:eastAsia="zh-CN"/>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此次</w:t>
      </w:r>
      <w:r>
        <w:rPr>
          <w:rFonts w:hint="eastAsia" w:cs="宋体"/>
          <w:color w:val="000000" w:themeColor="text1"/>
          <w:sz w:val="21"/>
          <w:szCs w:val="21"/>
          <w:highlight w:val="none"/>
          <w:lang w:val="en-US" w:eastAsia="zh-CN"/>
          <w14:textFill>
            <w14:solidFill>
              <w14:schemeClr w14:val="tx1"/>
            </w14:solidFill>
          </w14:textFill>
        </w:rPr>
        <w:t>应答</w:t>
      </w:r>
      <w:r>
        <w:rPr>
          <w:rFonts w:hint="eastAsia" w:ascii="宋体" w:hAnsi="宋体" w:eastAsia="宋体" w:cs="宋体"/>
          <w:color w:val="000000" w:themeColor="text1"/>
          <w:sz w:val="21"/>
          <w:szCs w:val="21"/>
          <w:highlight w:val="none"/>
          <w:lang w:val="en-US" w:eastAsia="zh-CN"/>
          <w14:textFill>
            <w14:solidFill>
              <w14:schemeClr w14:val="tx1"/>
            </w14:solidFill>
          </w14:textFill>
        </w:rPr>
        <w:t>涉及供应商属性为</w:t>
      </w:r>
      <w:r>
        <w:rPr>
          <w:rFonts w:hint="eastAsia" w:cs="宋体"/>
          <w:color w:val="000000" w:themeColor="text1"/>
          <w:kern w:val="2"/>
          <w:sz w:val="21"/>
          <w:szCs w:val="21"/>
          <w:highlight w:val="none"/>
          <w:lang w:val="en-US"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代理商</w:t>
      </w:r>
      <w:r>
        <w:rPr>
          <w:rFonts w:hint="eastAsia" w:ascii="宋体" w:hAnsi="宋体" w:eastAsia="宋体" w:cs="宋体"/>
          <w:color w:val="000000" w:themeColor="text1"/>
          <w:kern w:val="2"/>
          <w:sz w:val="21"/>
          <w:szCs w:val="21"/>
          <w:highlight w:val="none"/>
          <w:lang w:eastAsia="zh-CN"/>
          <w14:textFill>
            <w14:solidFill>
              <w14:schemeClr w14:val="tx1"/>
            </w14:solidFill>
          </w14:textFill>
        </w:rPr>
        <w:t>，</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承诺满足以下条件：</w:t>
      </w:r>
    </w:p>
    <w:p>
      <w:pPr>
        <w:pStyle w:val="9"/>
        <w:keepNext w:val="0"/>
        <w:keepLines w:val="0"/>
        <w:pageBreakBefore w:val="0"/>
        <w:widowControl w:val="0"/>
        <w:kinsoku/>
        <w:wordWrap/>
        <w:overflowPunct/>
        <w:topLinePunct w:val="0"/>
        <w:autoSpaceDE/>
        <w:autoSpaceDN/>
        <w:bidi w:val="0"/>
        <w:adjustRightInd/>
        <w:snapToGrid/>
        <w:spacing w:before="0" w:line="360" w:lineRule="auto"/>
        <w:ind w:left="0" w:leftChars="0" w:right="134" w:firstLine="420" w:firstLineChars="200"/>
        <w:textAlignment w:val="auto"/>
        <w:rPr>
          <w:rFonts w:hint="eastAsia" w:ascii="宋体" w:hAnsi="宋体" w:eastAsia="宋体" w:cs="宋体"/>
          <w:color w:val="000000" w:themeColor="text1"/>
          <w:kern w:val="2"/>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1）我司承诺近一年利润不为负且近一年资产负债率＜80%</w:t>
      </w:r>
      <w:r>
        <w:rPr>
          <w:rFonts w:hint="eastAsia" w:cs="宋体"/>
          <w:color w:val="000000" w:themeColor="text1"/>
          <w:kern w:val="2"/>
          <w:sz w:val="21"/>
          <w:szCs w:val="21"/>
          <w:highlight w:val="none"/>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before="0" w:line="360" w:lineRule="auto"/>
        <w:ind w:left="0" w:leftChars="0" w:right="0" w:firstLine="420" w:firstLineChars="200"/>
        <w:textAlignment w:val="auto"/>
        <w:rPr>
          <w:rFonts w:hint="default"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2）我司</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承诺</w:t>
      </w:r>
      <w:r>
        <w:rPr>
          <w:rFonts w:hint="eastAsia" w:ascii="宋体" w:hAnsi="宋体" w:eastAsia="宋体" w:cs="宋体"/>
          <w:color w:val="000000" w:themeColor="text1"/>
          <w:kern w:val="2"/>
          <w:sz w:val="21"/>
          <w:szCs w:val="21"/>
          <w:highlight w:val="none"/>
          <w:lang w:eastAsia="zh-CN"/>
          <w14:textFill>
            <w14:solidFill>
              <w14:schemeClr w14:val="tx1"/>
            </w14:solidFill>
          </w14:textFill>
        </w:rPr>
        <w:t>自有社保人数≥5人，</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可</w:t>
      </w:r>
      <w:r>
        <w:rPr>
          <w:rFonts w:hint="eastAsia" w:ascii="宋体" w:hAnsi="宋体" w:eastAsia="宋体" w:cs="宋体"/>
          <w:color w:val="000000" w:themeColor="text1"/>
          <w:kern w:val="2"/>
          <w:sz w:val="21"/>
          <w:szCs w:val="21"/>
          <w:highlight w:val="none"/>
          <w:lang w:eastAsia="zh-CN"/>
          <w14:textFill>
            <w14:solidFill>
              <w14:schemeClr w14:val="tx1"/>
            </w14:solidFill>
          </w14:textFill>
        </w:rPr>
        <w:t>提供近三月</w:t>
      </w:r>
      <w:r>
        <w:rPr>
          <w:rFonts w:hint="eastAsia" w:ascii="宋体" w:hAnsi="宋体" w:eastAsia="宋体" w:cs="宋体"/>
          <w:color w:val="000000" w:themeColor="text1"/>
          <w:kern w:val="2"/>
          <w:sz w:val="21"/>
          <w:szCs w:val="21"/>
          <w:highlight w:val="none"/>
          <w:lang w:val="en-US" w:eastAsia="zh-CN"/>
          <w14:textFill>
            <w14:solidFill>
              <w14:schemeClr w14:val="tx1"/>
            </w14:solidFill>
          </w14:textFill>
        </w:rPr>
        <w:t>连续</w:t>
      </w:r>
      <w:r>
        <w:rPr>
          <w:rFonts w:hint="eastAsia" w:ascii="宋体" w:hAnsi="宋体" w:eastAsia="宋体" w:cs="宋体"/>
          <w:color w:val="000000" w:themeColor="text1"/>
          <w:kern w:val="2"/>
          <w:sz w:val="21"/>
          <w:szCs w:val="21"/>
          <w:highlight w:val="none"/>
          <w:lang w:eastAsia="zh-CN"/>
          <w14:textFill>
            <w14:solidFill>
              <w14:schemeClr w14:val="tx1"/>
            </w14:solidFill>
          </w14:textFill>
        </w:rPr>
        <w:t>社保证明</w:t>
      </w:r>
      <w:r>
        <w:rPr>
          <w:rFonts w:hint="eastAsia" w:cs="宋体"/>
          <w:color w:val="000000" w:themeColor="text1"/>
          <w:kern w:val="2"/>
          <w:sz w:val="21"/>
          <w:szCs w:val="21"/>
          <w:highlight w:val="none"/>
          <w:lang w:eastAsia="zh-CN"/>
          <w14:textFill>
            <w14:solidFill>
              <w14:schemeClr w14:val="tx1"/>
            </w14:solidFill>
          </w14:textFill>
        </w:rPr>
        <w:t>。</w:t>
      </w:r>
    </w:p>
    <w:p>
      <w:pPr>
        <w:pStyle w:val="9"/>
        <w:keepNext w:val="0"/>
        <w:keepLines w:val="0"/>
        <w:pageBreakBefore w:val="0"/>
        <w:widowControl w:val="0"/>
        <w:kinsoku/>
        <w:wordWrap/>
        <w:overflowPunct/>
        <w:topLinePunct w:val="0"/>
        <w:autoSpaceDE/>
        <w:autoSpaceDN/>
        <w:bidi w:val="0"/>
        <w:adjustRightInd/>
        <w:snapToGrid/>
        <w:spacing w:before="0" w:line="360" w:lineRule="auto"/>
        <w:ind w:left="0" w:leftChars="0" w:right="134" w:firstLine="420" w:firstLineChars="200"/>
        <w:textAlignment w:val="auto"/>
        <w:rPr>
          <w:rFonts w:hint="eastAsia" w:cs="宋体"/>
          <w:strike w:val="0"/>
          <w:color w:val="000000" w:themeColor="text1"/>
          <w:kern w:val="2"/>
          <w:sz w:val="21"/>
          <w:szCs w:val="21"/>
          <w:highlight w:val="none"/>
          <w:lang w:val="en-US" w:eastAsia="zh-CN"/>
          <w14:textFill>
            <w14:solidFill>
              <w14:schemeClr w14:val="tx1"/>
            </w14:solidFill>
          </w14:textFill>
        </w:rPr>
      </w:pP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3）我司</w:t>
      </w:r>
      <w:r>
        <w:rPr>
          <w:rFonts w:hint="eastAsia" w:ascii="宋体" w:hAnsi="宋体" w:eastAsia="宋体" w:cs="宋体"/>
          <w:strike w:val="0"/>
          <w:color w:val="000000" w:themeColor="text1"/>
          <w:sz w:val="21"/>
          <w:szCs w:val="21"/>
          <w:highlight w:val="none"/>
          <w:lang w:eastAsia="zh-CN"/>
          <w14:textFill>
            <w14:solidFill>
              <w14:schemeClr w14:val="tx1"/>
            </w14:solidFill>
          </w14:textFill>
        </w:rPr>
        <w:t>承诺中国海油</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不是我司</w:t>
      </w:r>
      <w:r>
        <w:rPr>
          <w:rFonts w:hint="eastAsia" w:ascii="宋体" w:hAnsi="宋体" w:eastAsia="宋体" w:cs="宋体"/>
          <w:strike w:val="0"/>
          <w:color w:val="000000" w:themeColor="text1"/>
          <w:sz w:val="21"/>
          <w:szCs w:val="21"/>
          <w:highlight w:val="none"/>
          <w:lang w:eastAsia="zh-CN"/>
          <w14:textFill>
            <w14:solidFill>
              <w14:schemeClr w14:val="tx1"/>
            </w14:solidFill>
          </w14:textFill>
        </w:rPr>
        <w:t>唯一服务客户，</w:t>
      </w: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我司具有中国海油外业绩，且为近三年内已完成业绩，并可提供原件合同及发票备查</w:t>
      </w:r>
      <w:r>
        <w:rPr>
          <w:rFonts w:hint="eastAsia" w:cs="宋体"/>
          <w:strike w:val="0"/>
          <w:color w:val="000000" w:themeColor="text1"/>
          <w:kern w:val="2"/>
          <w:sz w:val="21"/>
          <w:szCs w:val="21"/>
          <w:highlight w:val="none"/>
          <w:lang w:val="en-US" w:eastAsia="zh-CN"/>
          <w14:textFill>
            <w14:solidFill>
              <w14:schemeClr w14:val="tx1"/>
            </w14:solidFill>
          </w14:textFill>
        </w:rPr>
        <w:t>。</w:t>
      </w:r>
    </w:p>
    <w:p>
      <w:pPr>
        <w:keepNext w:val="0"/>
        <w:keepLines w:val="0"/>
        <w:pageBreakBefore w:val="0"/>
        <w:widowControl w:val="0"/>
        <w:tabs>
          <w:tab w:val="left" w:pos="770"/>
        </w:tabs>
        <w:kinsoku/>
        <w:wordWrap/>
        <w:overflowPunct/>
        <w:topLinePunct w:val="0"/>
        <w:autoSpaceDE/>
        <w:autoSpaceDN/>
        <w:bidi w:val="0"/>
        <w:adjustRightInd/>
        <w:snapToGrid/>
        <w:spacing w:before="0" w:line="360" w:lineRule="auto"/>
        <w:ind w:left="0" w:leftChars="0" w:right="134" w:firstLine="420" w:firstLineChars="200"/>
        <w:textAlignment w:val="auto"/>
        <w:rPr>
          <w:rFonts w:hint="eastAsia" w:cstheme="minorBidi"/>
          <w:b w:val="0"/>
          <w:bCs w:val="0"/>
          <w:sz w:val="21"/>
          <w:szCs w:val="22"/>
          <w:highlight w:val="none"/>
          <w:lang w:val="en-US" w:eastAsia="zh-CN"/>
        </w:rPr>
      </w:pPr>
      <w:r>
        <w:rPr>
          <w:rFonts w:hint="eastAsia" w:ascii="宋体" w:hAnsi="宋体" w:eastAsia="宋体" w:cs="宋体"/>
          <w:strike w:val="0"/>
          <w:color w:val="000000" w:themeColor="text1"/>
          <w:sz w:val="21"/>
          <w:szCs w:val="21"/>
          <w:highlight w:val="none"/>
          <w:lang w:val="en-US" w:eastAsia="zh-CN"/>
          <w14:textFill>
            <w14:solidFill>
              <w14:schemeClr w14:val="tx1"/>
            </w14:solidFill>
          </w14:textFill>
        </w:rPr>
        <w:t>4）我司承诺具有</w:t>
      </w:r>
      <w:r>
        <w:rPr>
          <w:rFonts w:hint="eastAsia" w:asciiTheme="minorHAnsi" w:hAnsiTheme="minorHAnsi" w:eastAsiaTheme="minorEastAsia" w:cstheme="minorBidi"/>
          <w:b w:val="0"/>
          <w:bCs w:val="0"/>
          <w:sz w:val="21"/>
          <w:szCs w:val="22"/>
          <w:highlight w:val="none"/>
          <w:lang w:val="en-US" w:eastAsia="zh-CN"/>
        </w:rPr>
        <w:t>有效</w:t>
      </w:r>
      <w:r>
        <w:rPr>
          <w:rFonts w:hint="eastAsia" w:cstheme="minorBidi"/>
          <w:b w:val="0"/>
          <w:bCs w:val="0"/>
          <w:sz w:val="21"/>
          <w:szCs w:val="22"/>
          <w:highlight w:val="none"/>
          <w:lang w:val="en-US" w:eastAsia="zh-CN"/>
        </w:rPr>
        <w:t>的</w:t>
      </w:r>
      <w:r>
        <w:rPr>
          <w:rFonts w:hint="eastAsia" w:cstheme="minorBidi"/>
          <w:b/>
          <w:bCs/>
          <w:sz w:val="21"/>
          <w:szCs w:val="22"/>
          <w:highlight w:val="none"/>
          <w:lang w:val="en-US" w:eastAsia="zh-CN"/>
        </w:rPr>
        <w:t>制造商</w:t>
      </w:r>
      <w:r>
        <w:rPr>
          <w:rFonts w:hint="eastAsia" w:cstheme="minorBidi"/>
          <w:b w:val="0"/>
          <w:bCs w:val="0"/>
          <w:sz w:val="21"/>
          <w:szCs w:val="22"/>
          <w:highlight w:val="none"/>
          <w:lang w:val="en-US" w:eastAsia="zh-CN"/>
        </w:rPr>
        <w:t>授权</w:t>
      </w:r>
      <w:r>
        <w:rPr>
          <w:rFonts w:hint="eastAsia" w:asciiTheme="minorHAnsi" w:hAnsiTheme="minorHAnsi" w:eastAsiaTheme="minorEastAsia" w:cstheme="minorBidi"/>
          <w:b w:val="0"/>
          <w:bCs w:val="0"/>
          <w:sz w:val="21"/>
          <w:szCs w:val="22"/>
          <w:highlight w:val="none"/>
          <w:lang w:val="en-US" w:eastAsia="zh-CN"/>
        </w:rPr>
        <w:t>代理证书，</w:t>
      </w:r>
      <w:r>
        <w:rPr>
          <w:rFonts w:hint="eastAsia" w:cstheme="minorBidi"/>
          <w:b w:val="0"/>
          <w:bCs w:val="0"/>
          <w:sz w:val="21"/>
          <w:szCs w:val="22"/>
          <w:highlight w:val="none"/>
          <w:lang w:val="en-US" w:eastAsia="zh-CN"/>
        </w:rPr>
        <w:t>制造商为</w:t>
      </w:r>
      <w:r>
        <w:rPr>
          <w:rFonts w:hint="eastAsia" w:cstheme="minorBidi"/>
          <w:b w:val="0"/>
          <w:bCs w:val="0"/>
          <w:sz w:val="21"/>
          <w:szCs w:val="22"/>
          <w:highlight w:val="none"/>
          <w:u w:val="single"/>
          <w:lang w:val="en-US" w:eastAsia="zh-CN"/>
        </w:rPr>
        <w:t xml:space="preserve">        </w:t>
      </w:r>
      <w:r>
        <w:rPr>
          <w:rFonts w:hint="eastAsia" w:cstheme="minorBidi"/>
          <w:b w:val="0"/>
          <w:bCs w:val="0"/>
          <w:sz w:val="21"/>
          <w:szCs w:val="22"/>
          <w:highlight w:val="none"/>
          <w:u w:val="none"/>
          <w:lang w:val="en-US" w:eastAsia="zh-CN"/>
        </w:rPr>
        <w:t>；授权的产品或服务为</w:t>
      </w:r>
      <w:r>
        <w:rPr>
          <w:rFonts w:hint="eastAsia" w:cstheme="minorBidi"/>
          <w:b w:val="0"/>
          <w:bCs w:val="0"/>
          <w:sz w:val="21"/>
          <w:szCs w:val="22"/>
          <w:highlight w:val="none"/>
          <w:u w:val="single"/>
          <w:lang w:val="en-US" w:eastAsia="zh-CN"/>
        </w:rPr>
        <w:t xml:space="preserve">        </w:t>
      </w:r>
      <w:r>
        <w:rPr>
          <w:rFonts w:hint="eastAsia" w:cstheme="minorBidi"/>
          <w:b w:val="0"/>
          <w:bCs w:val="0"/>
          <w:sz w:val="21"/>
          <w:szCs w:val="22"/>
          <w:highlight w:val="none"/>
          <w:u w:val="none"/>
          <w:lang w:val="en-US" w:eastAsia="zh-CN"/>
        </w:rPr>
        <w:t>；代理模式为（</w:t>
      </w:r>
      <w:r>
        <w:rPr>
          <w:rFonts w:hint="eastAsia" w:ascii="宋体" w:hAnsi="宋体" w:eastAsia="宋体" w:cs="宋体"/>
          <w:color w:val="000000" w:themeColor="text1"/>
          <w:sz w:val="21"/>
          <w:szCs w:val="21"/>
          <w:highlight w:val="none"/>
          <w:lang w:val="en-US" w:eastAsia="zh-CN"/>
          <w14:textFill>
            <w14:solidFill>
              <w14:schemeClr w14:val="tx1"/>
            </w14:solidFill>
          </w14:textFill>
        </w:rPr>
        <w:t>□独家□一般□其他</w:t>
      </w:r>
      <w:r>
        <w:rPr>
          <w:rFonts w:hint="eastAsia" w:ascii="宋体" w:hAnsi="宋体" w:eastAsia="宋体" w:cs="宋体"/>
          <w:color w:val="000000" w:themeColor="text1"/>
          <w:sz w:val="21"/>
          <w:szCs w:val="21"/>
          <w:highlight w:val="none"/>
          <w:u w:val="singl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val="en-US" w:eastAsia="zh-CN"/>
          <w14:textFill>
            <w14:solidFill>
              <w14:schemeClr w14:val="tx1"/>
            </w14:solidFill>
          </w14:textFill>
        </w:rPr>
        <w:t>代理商，且</w:t>
      </w:r>
      <w:r>
        <w:rPr>
          <w:rFonts w:hint="eastAsia" w:cstheme="minorBidi"/>
          <w:b w:val="0"/>
          <w:bCs w:val="0"/>
          <w:sz w:val="21"/>
          <w:szCs w:val="22"/>
          <w:highlight w:val="none"/>
          <w:lang w:val="en-US" w:eastAsia="zh-CN"/>
        </w:rPr>
        <w:t>不属于</w:t>
      </w:r>
      <w:r>
        <w:rPr>
          <w:rFonts w:hint="eastAsia" w:asciiTheme="minorHAnsi" w:hAnsiTheme="minorHAnsi" w:eastAsiaTheme="minorEastAsia" w:cstheme="minorBidi"/>
          <w:b w:val="0"/>
          <w:bCs w:val="0"/>
          <w:sz w:val="21"/>
          <w:szCs w:val="22"/>
          <w:highlight w:val="none"/>
          <w:lang w:val="en-US" w:eastAsia="zh-CN"/>
        </w:rPr>
        <w:t>项目代理</w:t>
      </w:r>
      <w:r>
        <w:rPr>
          <w:rFonts w:hint="eastAsia" w:cstheme="minorBidi"/>
          <w:b w:val="0"/>
          <w:bCs w:val="0"/>
          <w:sz w:val="21"/>
          <w:szCs w:val="22"/>
          <w:highlight w:val="none"/>
          <w:lang w:val="en-US" w:eastAsia="zh-CN"/>
        </w:rPr>
        <w:t>，可提供制造商证明材料备查。</w:t>
      </w:r>
    </w:p>
    <w:p>
      <w:pPr>
        <w:spacing w:line="348" w:lineRule="auto"/>
        <w:ind w:firstLine="422" w:firstLineChars="200"/>
        <w:rPr>
          <w:rFonts w:hint="eastAsia" w:ascii="宋体" w:hAnsi="宋体" w:eastAsia="宋体" w:cs="宋体"/>
          <w:color w:val="000000" w:themeColor="text1"/>
          <w:sz w:val="21"/>
          <w:szCs w:val="21"/>
          <w:highlight w:val="none"/>
          <w:lang w:eastAsia="zh-CN"/>
          <w14:textFill>
            <w14:solidFill>
              <w14:schemeClr w14:val="tx1"/>
            </w14:solidFill>
          </w14:textFill>
        </w:rPr>
      </w:pPr>
      <w:r>
        <w:rPr>
          <w:rFonts w:hint="eastAsia" w:ascii="宋体" w:hAnsi="宋体" w:eastAsia="宋体" w:cs="宋体"/>
          <w:b/>
          <w:bCs/>
          <w:color w:val="000000" w:themeColor="text1"/>
          <w:sz w:val="21"/>
          <w:szCs w:val="21"/>
          <w:highlight w:val="none"/>
          <w14:textFill>
            <w14:solidFill>
              <w14:schemeClr w14:val="tx1"/>
            </w14:solidFill>
          </w14:textFill>
        </w:rPr>
        <w:t>郑重承诺：</w:t>
      </w:r>
      <w:r>
        <w:rPr>
          <w:rFonts w:hint="eastAsia" w:ascii="宋体" w:hAnsi="宋体" w:eastAsia="宋体" w:cs="宋体"/>
          <w:color w:val="000000" w:themeColor="text1"/>
          <w:sz w:val="21"/>
          <w:szCs w:val="21"/>
          <w:highlight w:val="none"/>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14:textFill>
            <w14:solidFill>
              <w14:schemeClr w14:val="tx1"/>
            </w14:solidFill>
          </w14:textFill>
        </w:rPr>
        <w:t>在</w:t>
      </w:r>
      <w:r>
        <w:rPr>
          <w:rFonts w:hint="eastAsia" w:ascii="宋体" w:hAnsi="宋体" w:eastAsia="宋体" w:cs="宋体"/>
          <w:color w:val="000000" w:themeColor="text1"/>
          <w:sz w:val="21"/>
          <w:szCs w:val="21"/>
          <w:highlight w:val="none"/>
          <w:lang w:val="en-US" w:eastAsia="zh-CN"/>
          <w14:textFill>
            <w14:solidFill>
              <w14:schemeClr w14:val="tx1"/>
            </w14:solidFill>
          </w14:textFill>
        </w:rPr>
        <w:t>本次</w:t>
      </w:r>
      <w:r>
        <w:rPr>
          <w:rFonts w:hint="eastAsia" w:ascii="宋体" w:hAnsi="宋体" w:eastAsia="宋体" w:cs="宋体"/>
          <w:color w:val="000000" w:themeColor="text1"/>
          <w:sz w:val="21"/>
          <w:szCs w:val="21"/>
          <w:highlight w:val="none"/>
          <w14:textFill>
            <w14:solidFill>
              <w14:schemeClr w14:val="tx1"/>
            </w14:solidFill>
          </w14:textFill>
        </w:rPr>
        <w:t>采办项目中</w:t>
      </w:r>
      <w:r>
        <w:rPr>
          <w:rFonts w:hint="eastAsia" w:ascii="宋体" w:hAnsi="宋体" w:eastAsia="宋体" w:cs="宋体"/>
          <w:color w:val="000000" w:themeColor="text1"/>
          <w:sz w:val="21"/>
          <w:szCs w:val="21"/>
          <w:highlight w:val="none"/>
          <w:lang w:val="en-US" w:eastAsia="zh-CN"/>
          <w14:textFill>
            <w14:solidFill>
              <w14:schemeClr w14:val="tx1"/>
            </w14:solidFill>
          </w14:textFill>
        </w:rPr>
        <w:t>将严格遵守法律法规和中国海油各项管理要求</w:t>
      </w:r>
      <w:r>
        <w:rPr>
          <w:rFonts w:hint="eastAsia" w:ascii="宋体" w:hAnsi="宋体" w:eastAsia="宋体" w:cs="宋体"/>
          <w:color w:val="000000" w:themeColor="text1"/>
          <w:sz w:val="21"/>
          <w:szCs w:val="21"/>
          <w:highlight w:val="none"/>
          <w14:textFill>
            <w14:solidFill>
              <w14:schemeClr w14:val="tx1"/>
            </w14:solidFill>
          </w14:textFill>
        </w:rPr>
        <w:t>，不发生关联公司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共同</w:t>
      </w:r>
      <w:r>
        <w:rPr>
          <w:rFonts w:hint="eastAsia" w:ascii="宋体" w:hAnsi="宋体" w:eastAsia="宋体" w:cs="宋体"/>
          <w:color w:val="000000" w:themeColor="text1"/>
          <w:sz w:val="21"/>
          <w:szCs w:val="21"/>
          <w:highlight w:val="none"/>
          <w14:textFill>
            <w14:solidFill>
              <w14:schemeClr w14:val="tx1"/>
            </w14:solidFill>
          </w14:textFill>
        </w:rPr>
        <w:t>参与</w:t>
      </w:r>
      <w:r>
        <w:rPr>
          <w:rFonts w:hint="eastAsia" w:ascii="宋体" w:hAnsi="宋体" w:eastAsia="宋体" w:cs="宋体"/>
          <w:color w:val="000000" w:themeColor="text1"/>
          <w:sz w:val="21"/>
          <w:szCs w:val="21"/>
          <w:highlight w:val="none"/>
          <w:lang w:val="en-US" w:eastAsia="zh-CN"/>
          <w14:textFill>
            <w14:solidFill>
              <w14:schemeClr w14:val="tx1"/>
            </w14:solidFill>
          </w14:textFill>
        </w:rPr>
        <w:t>采办</w:t>
      </w:r>
      <w:r>
        <w:rPr>
          <w:rFonts w:hint="eastAsia" w:ascii="宋体" w:hAnsi="宋体" w:eastAsia="宋体" w:cs="宋体"/>
          <w:color w:val="000000" w:themeColor="text1"/>
          <w:sz w:val="21"/>
          <w:szCs w:val="21"/>
          <w:highlight w:val="none"/>
          <w14:textFill>
            <w14:solidFill>
              <w14:schemeClr w14:val="tx1"/>
            </w14:solidFill>
          </w14:textFill>
        </w:rPr>
        <w:t>竞争情况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不发生围标串标情况</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14:textFill>
            <w14:solidFill>
              <w14:schemeClr w14:val="tx1"/>
            </w14:solidFill>
          </w14:textFill>
        </w:rPr>
        <w:t>我公司所提供信息真实、准确、合法、有效，不存在为规避中海油能源发展股份有限公司（简称“海油发展”）有关要求采取的变通行为</w:t>
      </w:r>
      <w:r>
        <w:rPr>
          <w:rFonts w:hint="eastAsia" w:ascii="宋体" w:hAnsi="宋体" w:eastAsia="宋体" w:cs="宋体"/>
          <w:color w:val="000000" w:themeColor="text1"/>
          <w:sz w:val="21"/>
          <w:szCs w:val="21"/>
          <w:highlight w:val="none"/>
          <w:lang w:eastAsia="zh-CN"/>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lang w:eastAsia="zh-CN"/>
          <w14:textFill>
            <w14:solidFill>
              <w14:schemeClr w14:val="tx1"/>
            </w14:solidFill>
          </w14:textFill>
        </w:rPr>
        <w:t>将严格遵守国家相关法律法规</w:t>
      </w:r>
      <w:r>
        <w:rPr>
          <w:rFonts w:hint="eastAsia" w:ascii="宋体" w:hAnsi="宋体" w:eastAsia="宋体" w:cs="宋体"/>
          <w:color w:val="000000" w:themeColor="text1"/>
          <w:sz w:val="21"/>
          <w:szCs w:val="21"/>
          <w:highlight w:val="none"/>
          <w:lang w:val="en-US" w:eastAsia="zh-CN"/>
          <w14:textFill>
            <w14:solidFill>
              <w14:schemeClr w14:val="tx1"/>
            </w14:solidFill>
          </w14:textFill>
        </w:rPr>
        <w:t>以</w:t>
      </w:r>
      <w:r>
        <w:rPr>
          <w:rFonts w:hint="eastAsia" w:ascii="宋体" w:hAnsi="宋体" w:eastAsia="宋体" w:cs="宋体"/>
          <w:color w:val="000000" w:themeColor="text1"/>
          <w:sz w:val="21"/>
          <w:szCs w:val="21"/>
          <w:highlight w:val="none"/>
          <w:lang w:eastAsia="zh-CN"/>
          <w14:textFill>
            <w14:solidFill>
              <w14:schemeClr w14:val="tx1"/>
            </w14:solidFill>
          </w14:textFill>
        </w:rPr>
        <w:t>及</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lang w:eastAsia="zh-CN"/>
          <w14:textFill>
            <w14:solidFill>
              <w14:schemeClr w14:val="tx1"/>
            </w14:solidFill>
          </w14:textFill>
        </w:rPr>
        <w:t>对供应商管理</w:t>
      </w:r>
      <w:r>
        <w:rPr>
          <w:rFonts w:hint="eastAsia" w:ascii="宋体" w:hAnsi="宋体" w:eastAsia="宋体" w:cs="宋体"/>
          <w:color w:val="000000" w:themeColor="text1"/>
          <w:sz w:val="21"/>
          <w:szCs w:val="21"/>
          <w:highlight w:val="none"/>
          <w:lang w:val="en-US" w:eastAsia="zh-CN"/>
          <w14:textFill>
            <w14:solidFill>
              <w14:schemeClr w14:val="tx1"/>
            </w14:solidFill>
          </w14:textFill>
        </w:rPr>
        <w:t>及准入时效</w:t>
      </w:r>
      <w:r>
        <w:rPr>
          <w:rFonts w:hint="eastAsia" w:ascii="宋体" w:hAnsi="宋体" w:eastAsia="宋体" w:cs="宋体"/>
          <w:color w:val="000000" w:themeColor="text1"/>
          <w:sz w:val="21"/>
          <w:szCs w:val="21"/>
          <w:highlight w:val="none"/>
          <w:lang w:eastAsia="zh-CN"/>
          <w14:textFill>
            <w14:solidFill>
              <w14:schemeClr w14:val="tx1"/>
            </w14:solidFill>
          </w14:textFill>
        </w:rPr>
        <w:t>的要求，</w:t>
      </w:r>
      <w:r>
        <w:rPr>
          <w:rFonts w:hint="eastAsia" w:ascii="宋体" w:hAnsi="宋体" w:eastAsia="宋体" w:cs="宋体"/>
          <w:color w:val="000000" w:themeColor="text1"/>
          <w:sz w:val="21"/>
          <w:szCs w:val="21"/>
          <w:highlight w:val="none"/>
          <w14:textFill>
            <w14:solidFill>
              <w14:schemeClr w14:val="tx1"/>
            </w14:solidFill>
          </w14:textFill>
        </w:rPr>
        <w:t>无条件接</w:t>
      </w:r>
      <w:r>
        <w:rPr>
          <w:rFonts w:hint="eastAsia" w:ascii="宋体" w:hAnsi="宋体" w:eastAsia="宋体" w:cs="宋体"/>
          <w:color w:val="000000" w:themeColor="text1"/>
          <w:sz w:val="21"/>
          <w:szCs w:val="21"/>
          <w:highlight w:val="none"/>
          <w:lang w:val="en-US" w:eastAsia="zh-CN"/>
          <w14:textFill>
            <w14:solidFill>
              <w14:schemeClr w14:val="tx1"/>
            </w14:solidFill>
          </w14:textFill>
        </w:rPr>
        <w:t>受</w:t>
      </w:r>
      <w:r>
        <w:rPr>
          <w:rFonts w:hint="eastAsia" w:ascii="宋体" w:hAnsi="宋体" w:eastAsia="宋体" w:cs="宋体"/>
          <w:color w:val="000000" w:themeColor="text1"/>
          <w:sz w:val="21"/>
          <w:szCs w:val="21"/>
          <w:highlight w:val="none"/>
          <w14:textFill>
            <w14:solidFill>
              <w14:schemeClr w14:val="tx1"/>
            </w14:solidFill>
          </w14:textFill>
        </w:rPr>
        <w:t>和配合海油发展或海油发展委托的有关机构进行的与上述内容相关的</w:t>
      </w:r>
      <w:r>
        <w:rPr>
          <w:rFonts w:hint="eastAsia" w:ascii="宋体" w:hAnsi="宋体" w:eastAsia="宋体" w:cs="宋体"/>
          <w:color w:val="000000" w:themeColor="text1"/>
          <w:sz w:val="21"/>
          <w:szCs w:val="21"/>
          <w:highlight w:val="none"/>
          <w:lang w:val="en-US" w:eastAsia="zh-CN"/>
          <w14:textFill>
            <w14:solidFill>
              <w14:schemeClr w14:val="tx1"/>
            </w14:solidFill>
          </w14:textFill>
        </w:rPr>
        <w:t>现场考察、核查与审计</w:t>
      </w:r>
      <w:r>
        <w:rPr>
          <w:rFonts w:hint="eastAsia" w:ascii="宋体" w:hAnsi="宋体" w:eastAsia="宋体" w:cs="宋体"/>
          <w:color w:val="000000" w:themeColor="text1"/>
          <w:sz w:val="21"/>
          <w:szCs w:val="21"/>
          <w:highlight w:val="none"/>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若现场考察、核查与审计发现本供应商承诺内容与实际情况存在实质性偏差，采购人有权取消我公司/单位成交资格并按照</w:t>
      </w:r>
      <w:r>
        <w:rPr>
          <w:rFonts w:hint="eastAsia" w:ascii="宋体" w:hAnsi="宋体" w:eastAsia="宋体" w:cs="宋体"/>
          <w:color w:val="000000" w:themeColor="text1"/>
          <w:sz w:val="21"/>
          <w:szCs w:val="21"/>
          <w:highlight w:val="none"/>
          <w14:textFill>
            <w14:solidFill>
              <w14:schemeClr w14:val="tx1"/>
            </w14:solidFill>
          </w14:textFill>
        </w:rPr>
        <w:t>相关管理规定</w:t>
      </w:r>
      <w:r>
        <w:rPr>
          <w:rFonts w:hint="eastAsia" w:ascii="宋体" w:hAnsi="宋体" w:eastAsia="宋体" w:cs="宋体"/>
          <w:color w:val="000000" w:themeColor="text1"/>
          <w:sz w:val="21"/>
          <w:szCs w:val="21"/>
          <w:highlight w:val="none"/>
          <w:lang w:val="en-US" w:eastAsia="zh-CN"/>
          <w14:textFill>
            <w14:solidFill>
              <w14:schemeClr w14:val="tx1"/>
            </w14:solidFill>
          </w14:textFill>
        </w:rPr>
        <w:t>进行处理。</w:t>
      </w:r>
      <w:r>
        <w:rPr>
          <w:rFonts w:hint="eastAsia" w:ascii="宋体" w:hAnsi="宋体" w:eastAsia="宋体" w:cs="宋体"/>
          <w:color w:val="000000" w:themeColor="text1"/>
          <w:sz w:val="21"/>
          <w:szCs w:val="21"/>
          <w:highlight w:val="none"/>
          <w14:textFill>
            <w14:solidFill>
              <w14:schemeClr w14:val="tx1"/>
            </w14:solidFill>
          </w14:textFill>
        </w:rPr>
        <w:t>上述</w:t>
      </w:r>
      <w:r>
        <w:rPr>
          <w:rFonts w:hint="eastAsia" w:ascii="宋体" w:hAnsi="宋体" w:eastAsia="宋体" w:cs="宋体"/>
          <w:color w:val="000000" w:themeColor="text1"/>
          <w:sz w:val="21"/>
          <w:szCs w:val="21"/>
          <w:highlight w:val="none"/>
          <w:lang w:val="en-US" w:eastAsia="zh-CN"/>
          <w14:textFill>
            <w14:solidFill>
              <w14:schemeClr w14:val="tx1"/>
            </w14:solidFill>
          </w14:textFill>
        </w:rPr>
        <w:t>承诺</w:t>
      </w:r>
      <w:r>
        <w:rPr>
          <w:rFonts w:hint="eastAsia" w:ascii="宋体" w:hAnsi="宋体" w:eastAsia="宋体" w:cs="宋体"/>
          <w:color w:val="000000" w:themeColor="text1"/>
          <w:sz w:val="21"/>
          <w:szCs w:val="21"/>
          <w:highlight w:val="none"/>
          <w14:textFill>
            <w14:solidFill>
              <w14:schemeClr w14:val="tx1"/>
            </w14:solidFill>
          </w14:textFill>
        </w:rPr>
        <w:t>信息如有虚假</w:t>
      </w:r>
      <w:r>
        <w:rPr>
          <w:rFonts w:hint="eastAsia" w:ascii="宋体" w:hAnsi="宋体" w:eastAsia="宋体" w:cs="宋体"/>
          <w:color w:val="000000" w:themeColor="text1"/>
          <w:sz w:val="21"/>
          <w:szCs w:val="21"/>
          <w:highlight w:val="none"/>
          <w:lang w:eastAsia="zh-CN"/>
          <w14:textFill>
            <w14:solidFill>
              <w14:schemeClr w14:val="tx1"/>
            </w14:solidFill>
          </w14:textFill>
        </w:rPr>
        <w:t>、</w:t>
      </w:r>
      <w:r>
        <w:rPr>
          <w:rFonts w:hint="eastAsia" w:ascii="宋体" w:hAnsi="宋体" w:eastAsia="宋体" w:cs="宋体"/>
          <w:color w:val="000000" w:themeColor="text1"/>
          <w:sz w:val="21"/>
          <w:szCs w:val="21"/>
          <w:highlight w:val="none"/>
          <w:lang w:val="en-US" w:eastAsia="zh-CN"/>
          <w14:textFill>
            <w14:solidFill>
              <w14:schemeClr w14:val="tx1"/>
            </w14:solidFill>
          </w14:textFill>
        </w:rPr>
        <w:t>不实或在中标后违反，</w:t>
      </w:r>
      <w:r>
        <w:rPr>
          <w:rFonts w:hint="eastAsia" w:ascii="宋体" w:hAnsi="宋体" w:eastAsia="宋体" w:cs="宋体"/>
          <w:color w:val="000000" w:themeColor="text1"/>
          <w:sz w:val="21"/>
          <w:szCs w:val="21"/>
          <w:highlight w:val="none"/>
          <w14:textFill>
            <w14:solidFill>
              <w14:schemeClr w14:val="tx1"/>
            </w14:solidFill>
          </w14:textFill>
        </w:rPr>
        <w:t>我公司</w:t>
      </w:r>
      <w:r>
        <w:rPr>
          <w:rFonts w:hint="eastAsia" w:ascii="宋体" w:hAnsi="宋体" w:eastAsia="宋体" w:cs="宋体"/>
          <w:color w:val="000000" w:themeColor="text1"/>
          <w:sz w:val="21"/>
          <w:szCs w:val="21"/>
          <w:highlight w:val="none"/>
          <w:lang w:val="en-US" w:eastAsia="zh-CN"/>
          <w14:textFill>
            <w14:solidFill>
              <w14:schemeClr w14:val="tx1"/>
            </w14:solidFill>
          </w14:textFill>
        </w:rPr>
        <w:t>/单位</w:t>
      </w:r>
      <w:r>
        <w:rPr>
          <w:rFonts w:hint="eastAsia" w:ascii="宋体" w:hAnsi="宋体" w:eastAsia="宋体" w:cs="宋体"/>
          <w:color w:val="000000" w:themeColor="text1"/>
          <w:sz w:val="21"/>
          <w:szCs w:val="21"/>
          <w:highlight w:val="none"/>
          <w14:textFill>
            <w14:solidFill>
              <w14:schemeClr w14:val="tx1"/>
            </w14:solidFill>
          </w14:textFill>
        </w:rPr>
        <w:t>将承担相关责任，并按照</w:t>
      </w:r>
      <w:r>
        <w:rPr>
          <w:rFonts w:hint="eastAsia" w:ascii="宋体" w:hAnsi="宋体" w:eastAsia="宋体" w:cs="宋体"/>
          <w:color w:val="000000" w:themeColor="text1"/>
          <w:sz w:val="21"/>
          <w:szCs w:val="21"/>
          <w:highlight w:val="none"/>
          <w:lang w:val="en-US" w:eastAsia="zh-CN"/>
          <w14:textFill>
            <w14:solidFill>
              <w14:schemeClr w14:val="tx1"/>
            </w14:solidFill>
          </w14:textFill>
        </w:rPr>
        <w:t>海油发展</w:t>
      </w:r>
      <w:r>
        <w:rPr>
          <w:rFonts w:hint="eastAsia" w:ascii="宋体" w:hAnsi="宋体" w:eastAsia="宋体" w:cs="宋体"/>
          <w:color w:val="000000" w:themeColor="text1"/>
          <w:sz w:val="21"/>
          <w:szCs w:val="21"/>
          <w:highlight w:val="none"/>
          <w14:textFill>
            <w14:solidFill>
              <w14:schemeClr w14:val="tx1"/>
            </w14:solidFill>
          </w14:textFill>
        </w:rPr>
        <w:t>相关管理规定</w:t>
      </w:r>
      <w:r>
        <w:rPr>
          <w:rFonts w:hint="eastAsia" w:ascii="宋体" w:hAnsi="宋体" w:eastAsia="宋体" w:cs="宋体"/>
          <w:color w:val="000000" w:themeColor="text1"/>
          <w:sz w:val="21"/>
          <w:szCs w:val="21"/>
          <w:highlight w:val="none"/>
          <w:lang w:val="en-US" w:eastAsia="zh-CN"/>
          <w14:textFill>
            <w14:solidFill>
              <w14:schemeClr w14:val="tx1"/>
            </w14:solidFill>
          </w14:textFill>
        </w:rPr>
        <w:t>无条件</w:t>
      </w:r>
      <w:r>
        <w:rPr>
          <w:rFonts w:hint="eastAsia" w:ascii="宋体" w:hAnsi="宋体" w:eastAsia="宋体" w:cs="宋体"/>
          <w:color w:val="000000" w:themeColor="text1"/>
          <w:sz w:val="21"/>
          <w:szCs w:val="21"/>
          <w:highlight w:val="none"/>
          <w14:textFill>
            <w14:solidFill>
              <w14:schemeClr w14:val="tx1"/>
            </w14:solidFill>
          </w14:textFill>
        </w:rPr>
        <w:t>接受处</w:t>
      </w:r>
      <w:r>
        <w:rPr>
          <w:rFonts w:hint="eastAsia" w:ascii="宋体" w:hAnsi="宋体" w:eastAsia="宋体" w:cs="宋体"/>
          <w:color w:val="000000" w:themeColor="text1"/>
          <w:sz w:val="21"/>
          <w:szCs w:val="21"/>
          <w:highlight w:val="none"/>
          <w:lang w:val="en-US" w:eastAsia="zh-CN"/>
          <w14:textFill>
            <w14:solidFill>
              <w14:schemeClr w14:val="tx1"/>
            </w14:solidFill>
          </w14:textFill>
        </w:rPr>
        <w:t>理</w:t>
      </w:r>
      <w:r>
        <w:rPr>
          <w:rFonts w:hint="eastAsia" w:ascii="宋体" w:hAnsi="宋体" w:eastAsia="宋体" w:cs="宋体"/>
          <w:color w:val="000000" w:themeColor="text1"/>
          <w:sz w:val="21"/>
          <w:szCs w:val="21"/>
          <w:highlight w:val="none"/>
          <w:lang w:eastAsia="zh-CN"/>
          <w14:textFill>
            <w14:solidFill>
              <w14:schemeClr w14:val="tx1"/>
            </w14:solidFill>
          </w14:textFill>
        </w:rPr>
        <w:t>。</w:t>
      </w:r>
    </w:p>
    <w:p>
      <w:pPr>
        <w:pStyle w:val="4"/>
        <w:numPr>
          <w:ilvl w:val="0"/>
          <w:numId w:val="0"/>
        </w:numPr>
        <w:ind w:leftChars="0"/>
        <w:rPr>
          <w:rFonts w:hint="eastAsia" w:ascii="宋体" w:hAnsi="宋体" w:eastAsia="宋体" w:cs="宋体"/>
          <w:color w:val="000000" w:themeColor="text1"/>
          <w:sz w:val="21"/>
          <w:szCs w:val="21"/>
          <w:highlight w:val="none"/>
          <w:lang w:eastAsia="zh-CN"/>
          <w14:textFill>
            <w14:solidFill>
              <w14:schemeClr w14:val="tx1"/>
            </w14:solidFill>
          </w14:textFill>
        </w:rPr>
      </w:pPr>
    </w:p>
    <w:p>
      <w:pPr>
        <w:rPr>
          <w:rFonts w:hint="eastAsia"/>
        </w:rPr>
      </w:pPr>
    </w:p>
    <w:p>
      <w:pPr>
        <w:spacing w:line="348" w:lineRule="auto"/>
        <w:ind w:firstLine="540"/>
        <w:jc w:val="center"/>
        <w:outlineLvl w:val="9"/>
        <w:rPr>
          <w:color w:val="000000" w:themeColor="text1"/>
          <w:sz w:val="21"/>
          <w:szCs w:val="21"/>
          <w:highlight w:val="none"/>
          <w14:textFill>
            <w14:solidFill>
              <w14:schemeClr w14:val="tx1"/>
            </w14:solidFill>
          </w14:textFill>
        </w:rPr>
      </w:pP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（公司/单位盖章）</w:t>
      </w:r>
      <w:r>
        <w:rPr>
          <w:rFonts w:hint="eastAsia" w:ascii="宋体" w:hAnsi="宋体" w:eastAsia="宋体" w:cs="宋体"/>
          <w:color w:val="000000" w:themeColor="text1"/>
          <w:sz w:val="21"/>
          <w:szCs w:val="21"/>
          <w:highlight w:val="none"/>
          <w:lang w:val="en-US" w:eastAsia="zh-CN"/>
          <w14:textFill>
            <w14:solidFill>
              <w14:schemeClr w14:val="tx1"/>
            </w14:solidFill>
          </w14:textFill>
        </w:rPr>
        <w:br w:type="textWrapping"/>
      </w:r>
      <w:r>
        <w:rPr>
          <w:rFonts w:hint="eastAsia" w:ascii="宋体" w:hAnsi="宋体" w:eastAsia="宋体" w:cs="宋体"/>
          <w:color w:val="000000" w:themeColor="text1"/>
          <w:sz w:val="21"/>
          <w:szCs w:val="21"/>
          <w:highlight w:val="none"/>
          <w:lang w:val="en-US" w:eastAsia="zh-CN"/>
          <w14:textFill>
            <w14:solidFill>
              <w14:schemeClr w14:val="tx1"/>
            </w14:solidFill>
          </w14:textFill>
        </w:rPr>
        <w:t xml:space="preserve">                                                                 </w:t>
      </w:r>
      <w:r>
        <w:rPr>
          <w:rFonts w:hint="eastAsia" w:ascii="宋体" w:hAnsi="宋体" w:eastAsia="宋体" w:cs="宋体"/>
          <w:color w:val="000000" w:themeColor="text1"/>
          <w:sz w:val="21"/>
          <w:szCs w:val="21"/>
          <w:highlight w:val="none"/>
          <w:lang w:eastAsia="zh-CN"/>
          <w14:textFill>
            <w14:solidFill>
              <w14:schemeClr w14:val="tx1"/>
            </w14:solidFill>
          </w14:textFill>
        </w:rPr>
        <w:t>年    月    日</w:t>
      </w:r>
    </w:p>
    <w:p>
      <w:pPr>
        <w:spacing w:line="348" w:lineRule="auto"/>
        <w:ind w:firstLine="540"/>
        <w:jc w:val="center"/>
        <w:outlineLvl w:val="9"/>
        <w:rPr>
          <w:color w:val="000000" w:themeColor="text1"/>
          <w:sz w:val="21"/>
          <w:szCs w:val="21"/>
          <w:highlight w:val="none"/>
          <w14:textFill>
            <w14:solidFill>
              <w14:schemeClr w14:val="tx1"/>
            </w14:solidFill>
          </w14:textFill>
        </w:rPr>
      </w:pPr>
    </w:p>
    <w:p>
      <w:pPr>
        <w:pStyle w:val="4"/>
        <w:numPr>
          <w:ilvl w:val="0"/>
          <w:numId w:val="0"/>
        </w:numPr>
        <w:ind w:leftChars="0"/>
      </w:pPr>
    </w:p>
    <w:p>
      <w:pPr>
        <w:pStyle w:val="4"/>
        <w:numPr>
          <w:ilvl w:val="0"/>
          <w:numId w:val="0"/>
        </w:numPr>
        <w:ind w:leftChars="0"/>
      </w:pPr>
    </w:p>
    <w:p>
      <w:pPr>
        <w:pStyle w:val="4"/>
        <w:numPr>
          <w:ilvl w:val="0"/>
          <w:numId w:val="0"/>
        </w:numPr>
        <w:ind w:leftChars="0"/>
      </w:pPr>
    </w:p>
    <w:p>
      <w:pPr>
        <w:pStyle w:val="4"/>
        <w:numPr>
          <w:ilvl w:val="0"/>
          <w:numId w:val="0"/>
        </w:numPr>
        <w:ind w:leftChars="0"/>
      </w:pPr>
    </w:p>
    <w:p>
      <w:pPr>
        <w:pStyle w:val="4"/>
        <w:numPr>
          <w:ilvl w:val="0"/>
          <w:numId w:val="0"/>
        </w:numPr>
        <w:ind w:leftChars="0"/>
      </w:pPr>
    </w:p>
    <w:p>
      <w:pPr>
        <w:pStyle w:val="4"/>
        <w:numPr>
          <w:ilvl w:val="0"/>
          <w:numId w:val="0"/>
        </w:numPr>
        <w:ind w:leftChars="0"/>
      </w:pPr>
    </w:p>
    <w:p>
      <w:pPr>
        <w:pStyle w:val="4"/>
        <w:numPr>
          <w:ilvl w:val="0"/>
          <w:numId w:val="0"/>
        </w:numPr>
        <w:ind w:leftChars="0"/>
      </w:pPr>
    </w:p>
    <w:p/>
    <w:p>
      <w:pPr>
        <w:pStyle w:val="2"/>
      </w:pPr>
    </w:p>
    <w:p>
      <w:pPr>
        <w:pStyle w:val="3"/>
      </w:pPr>
    </w:p>
    <w:p/>
    <w:p>
      <w:pPr>
        <w:pStyle w:val="2"/>
      </w:pPr>
    </w:p>
    <w:p>
      <w:pPr>
        <w:pStyle w:val="3"/>
      </w:pPr>
    </w:p>
    <w:p/>
    <w:p>
      <w:pPr>
        <w:pStyle w:val="2"/>
      </w:pPr>
    </w:p>
    <w:p>
      <w:pPr>
        <w:pStyle w:val="3"/>
      </w:pPr>
    </w:p>
    <w:p/>
    <w:p>
      <w:pPr>
        <w:pStyle w:val="4"/>
        <w:numPr>
          <w:ilvl w:val="0"/>
          <w:numId w:val="0"/>
        </w:numPr>
        <w:ind w:leftChars="0"/>
        <w:rPr>
          <w:rFonts w:hint="eastAsia" w:ascii="黑体" w:hAnsi="黑体" w:eastAsia="黑体" w:cstheme="minorBidi"/>
          <w:b/>
          <w:bCs/>
          <w:color w:val="auto"/>
          <w:kern w:val="2"/>
          <w:sz w:val="24"/>
          <w:szCs w:val="24"/>
          <w:lang w:val="en-US" w:eastAsia="zh-CN" w:bidi="ar-SA"/>
        </w:rPr>
      </w:pPr>
    </w:p>
    <w:p>
      <w:pPr>
        <w:pStyle w:val="4"/>
        <w:numPr>
          <w:ilvl w:val="0"/>
          <w:numId w:val="0"/>
        </w:numPr>
        <w:ind w:leftChars="0"/>
        <w:rPr>
          <w:rFonts w:hint="eastAsia" w:ascii="仿宋" w:hAnsi="仿宋" w:eastAsia="仿宋" w:cs="仿宋"/>
          <w:b/>
          <w:bCs/>
          <w:sz w:val="44"/>
          <w:szCs w:val="44"/>
          <w:lang w:val="en-US" w:eastAsia="zh-CN"/>
        </w:rPr>
      </w:pPr>
      <w:r>
        <w:rPr>
          <w:rFonts w:hint="eastAsia" w:ascii="黑体" w:hAnsi="黑体" w:eastAsia="黑体" w:cstheme="minorBidi"/>
          <w:b/>
          <w:bCs/>
          <w:color w:val="auto"/>
          <w:kern w:val="2"/>
          <w:sz w:val="24"/>
          <w:szCs w:val="24"/>
          <w:lang w:val="en-US" w:eastAsia="zh-CN" w:bidi="ar-SA"/>
        </w:rPr>
        <w:t>5.</w:t>
      </w:r>
      <w:r>
        <w:rPr>
          <w:rFonts w:hint="eastAsia" w:ascii="黑体" w:hAnsi="黑体" w:cstheme="minorBidi"/>
          <w:b/>
          <w:bCs/>
          <w:color w:val="auto"/>
          <w:kern w:val="2"/>
          <w:sz w:val="24"/>
          <w:szCs w:val="24"/>
          <w:lang w:val="en-US" w:eastAsia="zh-CN" w:bidi="ar-SA"/>
        </w:rPr>
        <w:t>8</w:t>
      </w:r>
      <w:r>
        <w:rPr>
          <w:rFonts w:hint="eastAsia" w:ascii="黑体" w:hAnsi="黑体" w:eastAsia="黑体" w:cstheme="minorBidi"/>
          <w:b/>
          <w:bCs/>
          <w:color w:val="auto"/>
          <w:kern w:val="2"/>
          <w:sz w:val="24"/>
          <w:szCs w:val="24"/>
          <w:lang w:val="en-US" w:eastAsia="zh-CN" w:bidi="ar-SA"/>
        </w:rPr>
        <w:t>：制造商</w:t>
      </w:r>
      <w:r>
        <w:rPr>
          <w:rFonts w:hint="eastAsia" w:ascii="黑体" w:hAnsi="黑体" w:cstheme="minorBidi"/>
          <w:b/>
          <w:bCs/>
          <w:color w:val="auto"/>
          <w:kern w:val="2"/>
          <w:sz w:val="24"/>
          <w:szCs w:val="24"/>
          <w:lang w:val="en-US" w:eastAsia="zh-CN" w:bidi="ar-SA"/>
        </w:rPr>
        <w:t>属性证明</w:t>
      </w:r>
      <w:r>
        <w:rPr>
          <w:rFonts w:hint="eastAsia" w:ascii="黑体" w:hAnsi="黑体" w:eastAsia="黑体" w:cstheme="minorBidi"/>
          <w:b/>
          <w:bCs/>
          <w:color w:val="auto"/>
          <w:kern w:val="2"/>
          <w:sz w:val="24"/>
          <w:szCs w:val="24"/>
          <w:lang w:val="en-US" w:eastAsia="zh-CN" w:bidi="ar-SA"/>
        </w:rPr>
        <w:t>书</w:t>
      </w:r>
    </w:p>
    <w:p>
      <w:pPr>
        <w:keepNext w:val="0"/>
        <w:keepLines w:val="0"/>
        <w:widowControl/>
        <w:suppressLineNumbers w:val="0"/>
        <w:jc w:val="center"/>
        <w:rPr>
          <w:rFonts w:hint="eastAsia" w:ascii="仿宋" w:hAnsi="仿宋" w:eastAsia="仿宋" w:cs="仿宋"/>
          <w:sz w:val="28"/>
          <w:szCs w:val="28"/>
          <w:lang w:val="en-US" w:eastAsia="zh-CN"/>
        </w:rPr>
      </w:pPr>
      <w:r>
        <w:rPr>
          <w:rFonts w:hint="eastAsia" w:ascii="仿宋" w:hAnsi="仿宋" w:eastAsia="仿宋" w:cs="仿宋"/>
          <w:b/>
          <w:bCs/>
          <w:sz w:val="44"/>
          <w:szCs w:val="44"/>
          <w:lang w:val="en-US" w:eastAsia="zh-CN"/>
        </w:rPr>
        <w:t>制造商属性证明书</w:t>
      </w:r>
    </w:p>
    <w:p>
      <w:pPr>
        <w:keepNext w:val="0"/>
        <w:keepLines w:val="0"/>
        <w:widowControl/>
        <w:suppressLineNumbers w:val="0"/>
        <w:jc w:val="both"/>
        <w:rPr>
          <w:rFonts w:hint="default" w:ascii="仿宋" w:hAnsi="仿宋" w:eastAsia="仿宋" w:cs="仿宋"/>
          <w:sz w:val="28"/>
          <w:szCs w:val="28"/>
          <w:highlight w:val="none"/>
          <w:lang w:val="en-US" w:eastAsia="zh-CN"/>
        </w:rPr>
      </w:pPr>
      <w:r>
        <w:rPr>
          <w:rFonts w:hint="eastAsia" w:ascii="仿宋" w:hAnsi="仿宋" w:eastAsia="仿宋" w:cs="仿宋"/>
          <w:sz w:val="28"/>
          <w:szCs w:val="28"/>
          <w:lang w:val="en-US" w:eastAsia="zh-CN"/>
        </w:rPr>
        <w:t>致</w:t>
      </w:r>
      <w:r>
        <w:rPr>
          <w:rFonts w:hint="eastAsia" w:ascii="仿宋" w:hAnsi="仿宋" w:eastAsia="仿宋" w:cs="仿宋"/>
          <w:sz w:val="28"/>
          <w:szCs w:val="28"/>
          <w:highlight w:val="none"/>
          <w:lang w:val="en-US" w:eastAsia="zh-CN"/>
        </w:rPr>
        <w:t>：</w:t>
      </w:r>
      <w:r>
        <w:rPr>
          <w:rFonts w:hint="eastAsia" w:ascii="仿宋" w:hAnsi="仿宋" w:eastAsia="仿宋" w:cs="仿宋"/>
          <w:sz w:val="28"/>
          <w:szCs w:val="28"/>
          <w:highlight w:val="none"/>
          <w:u w:val="single"/>
          <w:lang w:val="en-US" w:eastAsia="zh-CN"/>
        </w:rPr>
        <w:t xml:space="preserve"> 中海油能源发展股份有限公司</w:t>
      </w:r>
    </w:p>
    <w:p>
      <w:pPr>
        <w:keepNext w:val="0"/>
        <w:keepLines w:val="0"/>
        <w:widowControl/>
        <w:suppressLineNumbers w:val="0"/>
        <w:ind w:firstLine="560" w:firstLineChars="200"/>
        <w:jc w:val="both"/>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我们</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u w:val="none"/>
          <w:lang w:val="en-US" w:eastAsia="zh-CN"/>
        </w:rPr>
        <w:t>公司名称）</w:t>
      </w:r>
      <w:r>
        <w:rPr>
          <w:rFonts w:hint="eastAsia" w:ascii="仿宋" w:hAnsi="仿宋" w:eastAsia="仿宋" w:cs="仿宋"/>
          <w:sz w:val="28"/>
          <w:szCs w:val="28"/>
          <w:lang w:val="en-US" w:eastAsia="zh-CN"/>
        </w:rPr>
        <w:t>是按中华人民共和国法律于</w:t>
      </w:r>
      <w:r>
        <w:rPr>
          <w:rFonts w:hint="eastAsia" w:ascii="仿宋" w:hAnsi="仿宋" w:eastAsia="仿宋" w:cs="仿宋"/>
          <w:sz w:val="28"/>
          <w:szCs w:val="28"/>
          <w:u w:val="single"/>
          <w:lang w:val="en-US" w:eastAsia="zh-CN"/>
        </w:rPr>
        <w:t xml:space="preserve">    年 月 日</w:t>
      </w:r>
      <w:r>
        <w:rPr>
          <w:rFonts w:hint="eastAsia" w:ascii="仿宋" w:hAnsi="仿宋" w:eastAsia="仿宋" w:cs="仿宋"/>
          <w:sz w:val="28"/>
          <w:szCs w:val="28"/>
          <w:lang w:val="en-US" w:eastAsia="zh-CN"/>
        </w:rPr>
        <w:t>成立的一家企业，主要营业地点设在</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 xml:space="preserve">。兹声明我司就 </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项目(招标编号：</w:t>
      </w:r>
      <w:r>
        <w:rPr>
          <w:rFonts w:hint="eastAsia" w:ascii="仿宋" w:hAnsi="仿宋" w:eastAsia="仿宋" w:cs="仿宋"/>
          <w:sz w:val="28"/>
          <w:szCs w:val="28"/>
          <w:u w:val="single"/>
          <w:lang w:val="en-US" w:eastAsia="zh-CN"/>
        </w:rPr>
        <w:t xml:space="preserve">               </w:t>
      </w:r>
      <w:r>
        <w:rPr>
          <w:rFonts w:hint="eastAsia" w:ascii="仿宋" w:hAnsi="仿宋" w:eastAsia="仿宋" w:cs="仿宋"/>
          <w:sz w:val="28"/>
          <w:szCs w:val="28"/>
          <w:lang w:val="en-US" w:eastAsia="zh-CN"/>
        </w:rPr>
        <w:t>）使用我公司 □自行生产制造/ □</w:t>
      </w:r>
      <w:r>
        <w:rPr>
          <w:rFonts w:hint="eastAsia" w:ascii="仿宋" w:hAnsi="仿宋" w:eastAsia="仿宋" w:cs="仿宋"/>
          <w:sz w:val="28"/>
          <w:szCs w:val="28"/>
          <w:lang w:val="en-US" w:eastAsia="zh-Hans"/>
        </w:rPr>
        <w:t>代工方式</w:t>
      </w:r>
      <w:r>
        <w:rPr>
          <w:rFonts w:hint="eastAsia" w:ascii="仿宋" w:hAnsi="仿宋" w:eastAsia="仿宋" w:cs="仿宋"/>
          <w:sz w:val="28"/>
          <w:szCs w:val="28"/>
          <w:lang w:val="en-US" w:eastAsia="zh-CN"/>
        </w:rPr>
        <w:t>/□集成方式</w:t>
      </w:r>
      <w:r>
        <w:rPr>
          <w:rFonts w:hint="eastAsia" w:ascii="仿宋" w:hAnsi="仿宋" w:eastAsia="仿宋" w:cs="仿宋"/>
          <w:sz w:val="28"/>
          <w:szCs w:val="28"/>
          <w:lang w:val="en-US" w:eastAsia="zh-Hans"/>
        </w:rPr>
        <w:t>生产</w:t>
      </w:r>
      <w:r>
        <w:rPr>
          <w:rFonts w:hint="eastAsia" w:ascii="仿宋" w:hAnsi="仿宋" w:eastAsia="仿宋" w:cs="仿宋"/>
          <w:sz w:val="28"/>
          <w:szCs w:val="28"/>
          <w:lang w:val="en-US" w:eastAsia="zh-CN"/>
        </w:rPr>
        <w:t>的</w:t>
      </w:r>
      <w:r>
        <w:rPr>
          <w:rFonts w:hint="eastAsia" w:ascii="仿宋" w:hAnsi="仿宋" w:eastAsia="仿宋" w:cs="仿宋"/>
          <w:sz w:val="28"/>
          <w:szCs w:val="28"/>
          <w:u w:val="single"/>
          <w:lang w:val="en-US" w:eastAsia="zh-CN"/>
        </w:rPr>
        <w:t xml:space="preserve">                                                                </w:t>
      </w:r>
    </w:p>
    <w:p>
      <w:pPr>
        <w:keepNext w:val="0"/>
        <w:keepLines w:val="0"/>
        <w:widowControl/>
        <w:suppressLineNumbers w:val="0"/>
        <w:ind w:left="0" w:leftChars="0" w:firstLine="0" w:firstLineChars="0"/>
        <w:jc w:val="both"/>
        <w:rPr>
          <w:rFonts w:hint="eastAsia" w:ascii="仿宋" w:hAnsi="仿宋" w:eastAsia="仿宋" w:cs="仿宋"/>
          <w:sz w:val="28"/>
          <w:szCs w:val="28"/>
          <w:lang w:val="en-US" w:eastAsia="zh-CN"/>
        </w:rPr>
      </w:pPr>
      <w:r>
        <w:rPr>
          <w:rFonts w:hint="eastAsia" w:ascii="仿宋" w:hAnsi="仿宋" w:eastAsia="仿宋" w:cs="仿宋"/>
          <w:sz w:val="28"/>
          <w:szCs w:val="28"/>
          <w:u w:val="none"/>
          <w:lang w:val="en-US" w:eastAsia="zh-CN"/>
        </w:rPr>
        <w:t>产品</w:t>
      </w:r>
      <w:r>
        <w:rPr>
          <w:rFonts w:hint="eastAsia" w:ascii="仿宋" w:hAnsi="仿宋" w:eastAsia="仿宋" w:cs="仿宋"/>
          <w:sz w:val="28"/>
          <w:szCs w:val="28"/>
          <w:lang w:val="en-US" w:eastAsia="zh-CN"/>
        </w:rPr>
        <w:t>参与应答。</w:t>
      </w:r>
    </w:p>
    <w:p>
      <w:pPr>
        <w:keepNext w:val="0"/>
        <w:keepLines w:val="0"/>
        <w:widowControl/>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我公司就项目承诺如下：</w:t>
      </w:r>
    </w:p>
    <w:p>
      <w:pPr>
        <w:keepNext w:val="0"/>
        <w:keepLines w:val="0"/>
        <w:widowControl/>
        <w:suppressLineNumbers w:val="0"/>
        <w:jc w:val="both"/>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 我公司为</w:t>
      </w:r>
      <w:r>
        <w:rPr>
          <w:rFonts w:hint="eastAsia" w:ascii="仿宋" w:hAnsi="仿宋" w:eastAsia="仿宋" w:cs="仿宋"/>
          <w:b/>
          <w:bCs/>
          <w:sz w:val="28"/>
          <w:szCs w:val="28"/>
          <w:lang w:val="en-US" w:eastAsia="zh-CN"/>
        </w:rPr>
        <w:t>传统型制造商，</w:t>
      </w:r>
      <w:r>
        <w:rPr>
          <w:rFonts w:hint="eastAsia" w:ascii="仿宋" w:hAnsi="仿宋" w:eastAsia="仿宋" w:cs="仿宋"/>
          <w:sz w:val="28"/>
          <w:szCs w:val="28"/>
          <w:lang w:val="en-US" w:eastAsia="zh-CN"/>
        </w:rPr>
        <w:t>应答产品系我公司自行生产制造，我公司具备制造必须的资质、厂房、设备、人力等资源。</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我公司为</w:t>
      </w:r>
      <w:r>
        <w:rPr>
          <w:rFonts w:hint="eastAsia" w:ascii="仿宋" w:hAnsi="仿宋" w:eastAsia="仿宋" w:cs="仿宋"/>
          <w:b/>
          <w:bCs/>
          <w:sz w:val="28"/>
          <w:szCs w:val="28"/>
          <w:lang w:val="en-US" w:eastAsia="zh-CN"/>
        </w:rPr>
        <w:t>OEM型制造商，</w:t>
      </w:r>
      <w:r>
        <w:rPr>
          <w:rFonts w:hint="eastAsia" w:ascii="仿宋" w:hAnsi="仿宋" w:eastAsia="仿宋" w:cs="仿宋"/>
          <w:sz w:val="28"/>
          <w:szCs w:val="28"/>
          <w:lang w:val="en-US" w:eastAsia="zh-CN"/>
        </w:rPr>
        <w:t>应答产品系我公司以</w:t>
      </w:r>
      <w:r>
        <w:rPr>
          <w:rFonts w:hint="eastAsia" w:ascii="仿宋" w:hAnsi="仿宋" w:eastAsia="仿宋" w:cs="仿宋"/>
          <w:sz w:val="28"/>
          <w:szCs w:val="28"/>
          <w:lang w:val="en-US" w:eastAsia="zh-Hans"/>
        </w:rPr>
        <w:t>代工方式生产</w:t>
      </w:r>
      <w:r>
        <w:rPr>
          <w:rFonts w:hint="eastAsia" w:ascii="仿宋" w:hAnsi="仿宋" w:eastAsia="仿宋" w:cs="仿宋"/>
          <w:sz w:val="28"/>
          <w:szCs w:val="28"/>
          <w:lang w:val="en-US" w:eastAsia="zh-CN"/>
        </w:rPr>
        <w:t>，我公司具备供货的资质和能力。</w:t>
      </w:r>
    </w:p>
    <w:p>
      <w:pPr>
        <w:keepNext w:val="0"/>
        <w:keepLines w:val="0"/>
        <w:widowControl/>
        <w:numPr>
          <w:ilvl w:val="0"/>
          <w:numId w:val="0"/>
        </w:numPr>
        <w:suppressLineNumbers w:val="0"/>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highlight w:val="none"/>
          <w:lang w:val="en-US" w:eastAsia="zh-CN"/>
        </w:rPr>
        <w:t>我公司为</w:t>
      </w:r>
      <w:r>
        <w:rPr>
          <w:rFonts w:hint="eastAsia" w:ascii="仿宋" w:hAnsi="仿宋" w:eastAsia="仿宋" w:cs="仿宋"/>
          <w:b/>
          <w:bCs/>
          <w:sz w:val="28"/>
          <w:szCs w:val="28"/>
          <w:highlight w:val="none"/>
          <w:lang w:val="en-US" w:eastAsia="zh-CN"/>
        </w:rPr>
        <w:t>集成型制造商，</w:t>
      </w:r>
      <w:r>
        <w:rPr>
          <w:rFonts w:hint="eastAsia" w:ascii="仿宋" w:hAnsi="仿宋" w:eastAsia="仿宋" w:cs="仿宋"/>
          <w:sz w:val="28"/>
          <w:szCs w:val="28"/>
          <w:highlight w:val="none"/>
          <w:lang w:val="en-US" w:eastAsia="zh-CN"/>
        </w:rPr>
        <w:t>应答产品系我公司集成</w:t>
      </w:r>
      <w:r>
        <w:rPr>
          <w:rFonts w:hint="eastAsia" w:ascii="仿宋" w:hAnsi="仿宋" w:eastAsia="仿宋" w:cs="仿宋"/>
          <w:sz w:val="28"/>
          <w:szCs w:val="28"/>
          <w:highlight w:val="none"/>
          <w:lang w:val="en-US" w:eastAsia="zh-Hans"/>
        </w:rPr>
        <w:t>方式生产</w:t>
      </w:r>
      <w:r>
        <w:rPr>
          <w:rFonts w:hint="eastAsia" w:ascii="仿宋" w:hAnsi="仿宋" w:eastAsia="仿宋" w:cs="仿宋"/>
          <w:sz w:val="28"/>
          <w:szCs w:val="28"/>
          <w:highlight w:val="none"/>
          <w:lang w:val="en-US" w:eastAsia="zh-CN"/>
        </w:rPr>
        <w:t>，我公司具备集成必须的资质、厂房、设备、人力等资源。</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（2）我司对所投产品拥有知识产权和产品销售权。</w:t>
      </w:r>
    </w:p>
    <w:p>
      <w:pPr>
        <w:keepNext w:val="0"/>
        <w:keepLines w:val="0"/>
        <w:widowControl/>
        <w:suppressLineNumbers w:val="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（3）后附我公司相关证明材料真实有效。</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应答人名称（盖章）：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eastAsia" w:ascii="仿宋" w:hAnsi="仿宋" w:eastAsia="仿宋" w:cs="仿宋"/>
          <w:sz w:val="28"/>
          <w:szCs w:val="28"/>
          <w:u w:val="single"/>
          <w:lang w:val="en-US" w:eastAsia="zh-CN"/>
        </w:rPr>
      </w:pPr>
      <w:r>
        <w:rPr>
          <w:rFonts w:hint="eastAsia" w:ascii="仿宋" w:hAnsi="仿宋" w:eastAsia="仿宋" w:cs="仿宋"/>
          <w:sz w:val="28"/>
          <w:szCs w:val="28"/>
          <w:lang w:val="en-US" w:eastAsia="zh-CN"/>
        </w:rPr>
        <w:t>法定代表人或授权人签章：</w:t>
      </w:r>
      <w:r>
        <w:rPr>
          <w:rFonts w:hint="eastAsia" w:ascii="仿宋" w:hAnsi="仿宋" w:eastAsia="仿宋" w:cs="仿宋"/>
          <w:sz w:val="28"/>
          <w:szCs w:val="28"/>
          <w:u w:val="single"/>
          <w:lang w:val="en-US" w:eastAsia="zh-CN"/>
        </w:rPr>
        <w:t xml:space="preserve">                 </w:t>
      </w:r>
    </w:p>
    <w:p>
      <w:pPr>
        <w:keepNext w:val="0"/>
        <w:keepLines w:val="0"/>
        <w:widowControl/>
        <w:suppressLineNumbers w:val="0"/>
        <w:wordWrap w:val="0"/>
        <w:jc w:val="right"/>
        <w:rPr>
          <w:rFonts w:hint="default" w:ascii="仿宋" w:hAnsi="仿宋" w:eastAsia="仿宋" w:cs="仿宋"/>
          <w:sz w:val="28"/>
          <w:szCs w:val="28"/>
          <w:u w:val="single"/>
          <w:lang w:val="en-US" w:eastAsia="zh-CN"/>
        </w:rPr>
      </w:pPr>
      <w:r>
        <w:rPr>
          <w:rFonts w:hint="eastAsia" w:ascii="仿宋" w:hAnsi="仿宋" w:eastAsia="仿宋" w:cs="仿宋"/>
          <w:sz w:val="28"/>
          <w:szCs w:val="28"/>
          <w:u w:val="none"/>
          <w:lang w:val="en-US" w:eastAsia="zh-CN"/>
        </w:rPr>
        <w:t>日   期：</w:t>
      </w:r>
      <w:r>
        <w:rPr>
          <w:rFonts w:hint="eastAsia" w:ascii="仿宋" w:hAnsi="仿宋" w:eastAsia="仿宋" w:cs="仿宋"/>
          <w:sz w:val="28"/>
          <w:szCs w:val="28"/>
          <w:u w:val="single"/>
          <w:lang w:val="en-US" w:eastAsia="zh-CN"/>
        </w:rPr>
        <w:t xml:space="preserve">                 </w:t>
      </w:r>
    </w:p>
    <w:p>
      <w:pPr>
        <w:keepNext w:val="0"/>
        <w:keepLines w:val="0"/>
        <w:widowControl/>
        <w:suppressLineNumbers w:val="0"/>
        <w:ind w:firstLine="440" w:firstLineChars="100"/>
        <w:jc w:val="left"/>
        <w:rPr>
          <w:rFonts w:hint="eastAsia" w:ascii="仿宋" w:hAnsi="仿宋" w:eastAsia="仿宋" w:cs="仿宋"/>
          <w:b w:val="0"/>
          <w:bCs w:val="0"/>
          <w:sz w:val="44"/>
          <w:szCs w:val="44"/>
          <w:lang w:val="en-US" w:eastAsia="zh-CN"/>
        </w:rPr>
      </w:pPr>
    </w:p>
    <w:p>
      <w:pPr>
        <w:keepNext w:val="0"/>
        <w:keepLines w:val="0"/>
        <w:widowControl/>
        <w:suppressLineNumbers w:val="0"/>
        <w:ind w:firstLine="440" w:firstLineChars="100"/>
        <w:jc w:val="center"/>
        <w:rPr>
          <w:rFonts w:hint="default" w:ascii="仿宋" w:hAnsi="仿宋" w:eastAsia="仿宋" w:cs="仿宋"/>
          <w:b w:val="0"/>
          <w:bCs w:val="0"/>
          <w:color w:val="C00000"/>
          <w:sz w:val="28"/>
          <w:szCs w:val="28"/>
          <w:highlight w:val="none"/>
          <w:lang w:val="en-US" w:eastAsia="zh-CN"/>
        </w:rPr>
      </w:pPr>
      <w:r>
        <w:rPr>
          <w:rFonts w:hint="eastAsia" w:ascii="仿宋" w:hAnsi="仿宋" w:eastAsia="仿宋" w:cs="仿宋"/>
          <w:b w:val="0"/>
          <w:bCs w:val="0"/>
          <w:sz w:val="44"/>
          <w:szCs w:val="44"/>
          <w:lang w:val="en-US" w:eastAsia="zh-CN"/>
        </w:rPr>
        <w:t>制造商证明相关材料</w:t>
      </w:r>
      <w:r>
        <w:rPr>
          <w:rFonts w:hint="eastAsia" w:ascii="仿宋" w:hAnsi="仿宋" w:eastAsia="仿宋" w:cs="仿宋"/>
          <w:b w:val="0"/>
          <w:bCs w:val="0"/>
          <w:color w:val="C00000"/>
          <w:sz w:val="28"/>
          <w:szCs w:val="28"/>
          <w:highlight w:val="none"/>
          <w:lang w:val="en-US" w:eastAsia="zh-CN"/>
        </w:rPr>
        <w:t xml:space="preserve"> </w:t>
      </w:r>
    </w:p>
    <w:p>
      <w:pPr>
        <w:keepNext w:val="0"/>
        <w:keepLines w:val="0"/>
        <w:widowControl/>
        <w:suppressLineNumbers w:val="0"/>
        <w:ind w:firstLine="560" w:firstLineChars="200"/>
        <w:jc w:val="both"/>
        <w:rPr>
          <w:rFonts w:hint="default" w:ascii="仿宋" w:hAnsi="仿宋" w:eastAsia="仿宋" w:cs="仿宋"/>
          <w:b w:val="0"/>
          <w:bCs w:val="0"/>
          <w:sz w:val="28"/>
          <w:szCs w:val="28"/>
          <w:highlight w:val="none"/>
          <w:lang w:val="en-US" w:eastAsia="zh-CN"/>
        </w:rPr>
      </w:pPr>
      <w:r>
        <w:rPr>
          <w:rFonts w:hint="eastAsia" w:ascii="仿宋" w:hAnsi="仿宋" w:eastAsia="仿宋" w:cs="仿宋"/>
          <w:b w:val="0"/>
          <w:bCs w:val="0"/>
          <w:sz w:val="28"/>
          <w:szCs w:val="28"/>
          <w:highlight w:val="none"/>
          <w:lang w:val="en-US" w:eastAsia="zh-CN"/>
        </w:rPr>
        <w:t>供应商应根据《</w:t>
      </w:r>
      <w:r>
        <w:rPr>
          <w:rFonts w:hint="eastAsia" w:ascii="黑体" w:hAnsi="黑体" w:eastAsia="黑体" w:cstheme="minorBidi"/>
          <w:b/>
          <w:bCs/>
          <w:color w:val="auto"/>
          <w:kern w:val="2"/>
          <w:sz w:val="24"/>
          <w:szCs w:val="24"/>
          <w:lang w:val="en-US" w:eastAsia="zh-CN" w:bidi="ar-SA"/>
        </w:rPr>
        <w:t>制造商属性证明书</w:t>
      </w:r>
      <w:r>
        <w:rPr>
          <w:rFonts w:hint="eastAsia" w:ascii="仿宋" w:hAnsi="仿宋" w:eastAsia="仿宋" w:cs="仿宋"/>
          <w:b w:val="0"/>
          <w:bCs w:val="0"/>
          <w:sz w:val="28"/>
          <w:szCs w:val="28"/>
          <w:highlight w:val="none"/>
          <w:lang w:val="en-US" w:eastAsia="zh-CN"/>
        </w:rPr>
        <w:t>》所选类型提供相关证明材料（选择一类提供即可），逐页加盖公章，原件备查。</w:t>
      </w: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传统型制造商应提供的证明材料：</w:t>
      </w:r>
    </w:p>
    <w:p>
      <w:pPr>
        <w:keepNext w:val="0"/>
        <w:keepLines w:val="0"/>
        <w:widowControl/>
        <w:numPr>
          <w:ilvl w:val="0"/>
          <w:numId w:val="37"/>
        </w:numPr>
        <w:suppressLineNumbers w:val="0"/>
        <w:ind w:firstLine="560" w:firstLineChars="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r>
        <w:rPr>
          <w:rFonts w:hint="eastAsia" w:ascii="仿宋" w:hAnsi="仿宋" w:eastAsia="仿宋" w:cs="仿宋"/>
          <w:b w:val="0"/>
          <w:bCs w:val="0"/>
          <w:sz w:val="28"/>
          <w:szCs w:val="28"/>
          <w:highlight w:val="yellow"/>
          <w:lang w:val="en-US" w:eastAsia="zh-CN"/>
        </w:rPr>
        <w:t>如有请提供</w:t>
      </w:r>
    </w:p>
    <w:p>
      <w:pPr>
        <w:keepNext w:val="0"/>
        <w:keepLines w:val="0"/>
        <w:widowControl/>
        <w:numPr>
          <w:ilvl w:val="0"/>
          <w:numId w:val="37"/>
        </w:numPr>
        <w:suppressLineNumbers w:val="0"/>
        <w:ind w:firstLine="560" w:firstLineChars="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r>
        <w:rPr>
          <w:rFonts w:hint="eastAsia" w:ascii="仿宋" w:hAnsi="仿宋" w:eastAsia="仿宋" w:cs="仿宋"/>
          <w:b w:val="0"/>
          <w:bCs w:val="0"/>
          <w:sz w:val="28"/>
          <w:szCs w:val="28"/>
          <w:highlight w:val="yellow"/>
          <w:lang w:val="en-US" w:eastAsia="zh-CN"/>
        </w:rPr>
        <w:t>必须提供</w:t>
      </w:r>
    </w:p>
    <w:p>
      <w:pPr>
        <w:keepNext w:val="0"/>
        <w:keepLines w:val="0"/>
        <w:widowControl/>
        <w:numPr>
          <w:ilvl w:val="0"/>
          <w:numId w:val="37"/>
        </w:numPr>
        <w:suppressLineNumbers w:val="0"/>
        <w:ind w:firstLine="560" w:firstLineChars="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r>
        <w:rPr>
          <w:rFonts w:hint="eastAsia" w:ascii="仿宋" w:hAnsi="仿宋" w:eastAsia="仿宋" w:cs="仿宋"/>
          <w:b w:val="0"/>
          <w:bCs w:val="0"/>
          <w:sz w:val="28"/>
          <w:szCs w:val="28"/>
          <w:highlight w:val="yellow"/>
          <w:lang w:val="en-US" w:eastAsia="zh-CN"/>
        </w:rPr>
        <w:t>必须提供</w:t>
      </w:r>
    </w:p>
    <w:p>
      <w:pPr>
        <w:keepNext w:val="0"/>
        <w:keepLines w:val="0"/>
        <w:widowControl/>
        <w:numPr>
          <w:ilvl w:val="0"/>
          <w:numId w:val="37"/>
        </w:numPr>
        <w:suppressLineNumbers w:val="0"/>
        <w:ind w:firstLine="560" w:firstLineChars="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r>
        <w:rPr>
          <w:rFonts w:hint="eastAsia" w:ascii="仿宋" w:hAnsi="仿宋" w:eastAsia="仿宋" w:cs="仿宋"/>
          <w:b w:val="0"/>
          <w:bCs w:val="0"/>
          <w:sz w:val="28"/>
          <w:szCs w:val="28"/>
          <w:highlight w:val="yellow"/>
          <w:lang w:val="en-US" w:eastAsia="zh-CN"/>
        </w:rPr>
        <w:t>必须提供</w:t>
      </w:r>
    </w:p>
    <w:p>
      <w:pPr>
        <w:keepNext w:val="0"/>
        <w:keepLines w:val="0"/>
        <w:widowControl/>
        <w:numPr>
          <w:ilvl w:val="0"/>
          <w:numId w:val="37"/>
        </w:numPr>
        <w:suppressLineNumbers w:val="0"/>
        <w:ind w:firstLine="560" w:firstLineChars="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r>
        <w:rPr>
          <w:rFonts w:hint="eastAsia" w:ascii="仿宋" w:hAnsi="仿宋" w:eastAsia="仿宋" w:cs="仿宋"/>
          <w:b w:val="0"/>
          <w:bCs w:val="0"/>
          <w:sz w:val="28"/>
          <w:szCs w:val="28"/>
          <w:highlight w:val="yellow"/>
          <w:lang w:val="en-US" w:eastAsia="zh-CN"/>
        </w:rPr>
        <w:t>如有请提供</w:t>
      </w:r>
      <w:r>
        <w:rPr>
          <w:rFonts w:hint="eastAsia" w:ascii="仿宋" w:hAnsi="仿宋" w:eastAsia="仿宋" w:cs="仿宋"/>
          <w:b w:val="0"/>
          <w:bCs w:val="0"/>
          <w:sz w:val="28"/>
          <w:szCs w:val="28"/>
          <w:lang w:val="en-US" w:eastAsia="zh-CN"/>
        </w:rPr>
        <w:t>：</w:t>
      </w:r>
    </w:p>
    <w:p>
      <w:pPr>
        <w:keepNext w:val="0"/>
        <w:keepLines w:val="0"/>
        <w:widowControl/>
        <w:numPr>
          <w:ilvl w:val="0"/>
          <w:numId w:val="37"/>
        </w:numPr>
        <w:suppressLineNumbers w:val="0"/>
        <w:ind w:firstLine="560" w:firstLineChars="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r>
        <w:rPr>
          <w:rFonts w:hint="eastAsia" w:ascii="仿宋" w:hAnsi="仿宋" w:eastAsia="仿宋" w:cs="仿宋"/>
          <w:b w:val="0"/>
          <w:bCs w:val="0"/>
          <w:sz w:val="28"/>
          <w:szCs w:val="28"/>
          <w:highlight w:val="yellow"/>
          <w:lang w:val="en-US" w:eastAsia="zh-CN"/>
        </w:rPr>
        <w:t>如有请提供</w:t>
      </w:r>
      <w:r>
        <w:rPr>
          <w:rFonts w:hint="eastAsia" w:ascii="仿宋" w:hAnsi="仿宋" w:eastAsia="仿宋" w:cs="仿宋"/>
          <w:b w:val="0"/>
          <w:bCs w:val="0"/>
          <w:sz w:val="28"/>
          <w:szCs w:val="28"/>
          <w:lang w:val="en-US" w:eastAsia="zh-CN"/>
        </w:rPr>
        <w:t>：</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default"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OEM型制造商应提供的证明材料：</w:t>
      </w:r>
    </w:p>
    <w:p>
      <w:pPr>
        <w:keepNext w:val="0"/>
        <w:keepLines w:val="0"/>
        <w:widowControl/>
        <w:numPr>
          <w:ilvl w:val="0"/>
          <w:numId w:val="38"/>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r>
        <w:rPr>
          <w:rFonts w:hint="eastAsia" w:ascii="仿宋" w:hAnsi="仿宋" w:eastAsia="仿宋" w:cs="仿宋"/>
          <w:b w:val="0"/>
          <w:bCs w:val="0"/>
          <w:sz w:val="28"/>
          <w:szCs w:val="28"/>
          <w:highlight w:val="yellow"/>
          <w:lang w:val="en-US" w:eastAsia="zh-CN"/>
        </w:rPr>
        <w:t>如有请提供</w:t>
      </w:r>
    </w:p>
    <w:p>
      <w:pPr>
        <w:keepNext w:val="0"/>
        <w:keepLines w:val="0"/>
        <w:widowControl/>
        <w:numPr>
          <w:ilvl w:val="0"/>
          <w:numId w:val="38"/>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r>
        <w:rPr>
          <w:rFonts w:hint="eastAsia" w:ascii="仿宋" w:hAnsi="仿宋" w:eastAsia="仿宋" w:cs="仿宋"/>
          <w:b w:val="0"/>
          <w:bCs w:val="0"/>
          <w:sz w:val="28"/>
          <w:szCs w:val="28"/>
          <w:highlight w:val="yellow"/>
          <w:lang w:val="en-US" w:eastAsia="zh-CN"/>
        </w:rPr>
        <w:t>必须提供</w:t>
      </w:r>
    </w:p>
    <w:p>
      <w:pPr>
        <w:keepNext w:val="0"/>
        <w:keepLines w:val="0"/>
        <w:widowControl/>
        <w:numPr>
          <w:ilvl w:val="0"/>
          <w:numId w:val="38"/>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代工协议：</w:t>
      </w:r>
      <w:r>
        <w:rPr>
          <w:rFonts w:hint="eastAsia" w:ascii="仿宋" w:hAnsi="仿宋" w:eastAsia="仿宋" w:cs="仿宋"/>
          <w:b w:val="0"/>
          <w:bCs w:val="0"/>
          <w:sz w:val="28"/>
          <w:szCs w:val="28"/>
          <w:highlight w:val="yellow"/>
          <w:lang w:val="en-US" w:eastAsia="zh-CN"/>
        </w:rPr>
        <w:t>如有请提供</w:t>
      </w:r>
    </w:p>
    <w:p>
      <w:pPr>
        <w:keepNext w:val="0"/>
        <w:keepLines w:val="0"/>
        <w:widowControl/>
        <w:numPr>
          <w:ilvl w:val="0"/>
          <w:numId w:val="38"/>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r>
        <w:rPr>
          <w:rFonts w:hint="eastAsia" w:ascii="仿宋" w:hAnsi="仿宋" w:eastAsia="仿宋" w:cs="仿宋"/>
          <w:b w:val="0"/>
          <w:bCs w:val="0"/>
          <w:sz w:val="28"/>
          <w:szCs w:val="28"/>
          <w:highlight w:val="yellow"/>
          <w:lang w:val="en-US" w:eastAsia="zh-CN"/>
        </w:rPr>
        <w:t>如有请提供</w:t>
      </w:r>
    </w:p>
    <w:p>
      <w:pPr>
        <w:keepNext w:val="0"/>
        <w:keepLines w:val="0"/>
        <w:widowControl/>
        <w:numPr>
          <w:ilvl w:val="0"/>
          <w:numId w:val="38"/>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r>
        <w:rPr>
          <w:rFonts w:hint="eastAsia" w:ascii="仿宋" w:hAnsi="仿宋" w:eastAsia="仿宋" w:cs="仿宋"/>
          <w:b w:val="0"/>
          <w:bCs w:val="0"/>
          <w:sz w:val="28"/>
          <w:szCs w:val="28"/>
          <w:highlight w:val="yellow"/>
          <w:lang w:val="en-US" w:eastAsia="zh-CN"/>
        </w:rPr>
        <w:t>必须提供</w:t>
      </w:r>
    </w:p>
    <w:p>
      <w:pPr>
        <w:keepNext w:val="0"/>
        <w:keepLines w:val="0"/>
        <w:widowControl/>
        <w:numPr>
          <w:ilvl w:val="0"/>
          <w:numId w:val="38"/>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r>
        <w:rPr>
          <w:rFonts w:hint="eastAsia" w:ascii="仿宋" w:hAnsi="仿宋" w:eastAsia="仿宋" w:cs="仿宋"/>
          <w:b w:val="0"/>
          <w:bCs w:val="0"/>
          <w:sz w:val="28"/>
          <w:szCs w:val="28"/>
          <w:highlight w:val="yellow"/>
          <w:lang w:val="en-US" w:eastAsia="zh-CN"/>
        </w:rPr>
        <w:t>必须提供</w:t>
      </w:r>
    </w:p>
    <w:p>
      <w:pPr>
        <w:keepNext w:val="0"/>
        <w:keepLines w:val="0"/>
        <w:widowControl/>
        <w:numPr>
          <w:ilvl w:val="0"/>
          <w:numId w:val="38"/>
        </w:numPr>
        <w:suppressLineNumbers w:val="0"/>
        <w:ind w:firstLine="560" w:firstLineChars="200"/>
        <w:jc w:val="both"/>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r>
        <w:rPr>
          <w:rFonts w:hint="eastAsia" w:ascii="仿宋" w:hAnsi="仿宋" w:eastAsia="仿宋" w:cs="仿宋"/>
          <w:b w:val="0"/>
          <w:bCs w:val="0"/>
          <w:sz w:val="28"/>
          <w:szCs w:val="28"/>
          <w:highlight w:val="yellow"/>
          <w:lang w:val="en-US" w:eastAsia="zh-CN"/>
        </w:rPr>
        <w:t>如有请提供</w:t>
      </w:r>
    </w:p>
    <w:p>
      <w:pPr>
        <w:keepNext w:val="0"/>
        <w:keepLines w:val="0"/>
        <w:widowControl/>
        <w:numPr>
          <w:ilvl w:val="0"/>
          <w:numId w:val="0"/>
        </w:numPr>
        <w:suppressLineNumbers w:val="0"/>
        <w:jc w:val="both"/>
        <w:rPr>
          <w:rFonts w:hint="eastAsia" w:ascii="仿宋" w:hAnsi="仿宋" w:eastAsia="仿宋" w:cs="仿宋"/>
          <w:b w:val="0"/>
          <w:bCs w:val="0"/>
          <w:sz w:val="28"/>
          <w:szCs w:val="28"/>
          <w:lang w:val="en-US" w:eastAsia="zh-CN"/>
        </w:rPr>
      </w:pPr>
    </w:p>
    <w:p>
      <w:pPr>
        <w:keepNext w:val="0"/>
        <w:keepLines w:val="0"/>
        <w:widowControl/>
        <w:suppressLineNumbers w:val="0"/>
        <w:ind w:firstLine="720" w:firstLineChars="200"/>
        <w:jc w:val="both"/>
        <w:rPr>
          <w:rFonts w:hint="eastAsia" w:ascii="仿宋" w:hAnsi="仿宋" w:eastAsia="仿宋" w:cs="仿宋"/>
          <w:b w:val="0"/>
          <w:bCs w:val="0"/>
          <w:sz w:val="36"/>
          <w:szCs w:val="36"/>
          <w:highlight w:val="none"/>
          <w:lang w:val="en-US" w:eastAsia="zh-CN"/>
        </w:rPr>
      </w:pPr>
      <w:r>
        <w:rPr>
          <w:rFonts w:hint="eastAsia" w:ascii="仿宋" w:hAnsi="仿宋" w:eastAsia="仿宋" w:cs="仿宋"/>
          <w:b w:val="0"/>
          <w:bCs w:val="0"/>
          <w:sz w:val="36"/>
          <w:szCs w:val="36"/>
          <w:highlight w:val="none"/>
          <w:lang w:val="en-US" w:eastAsia="zh-CN"/>
        </w:rPr>
        <w:t>集成型制造商应提供的证明材料：</w:t>
      </w:r>
    </w:p>
    <w:p>
      <w:pPr>
        <w:keepNext w:val="0"/>
        <w:keepLines w:val="0"/>
        <w:widowControl/>
        <w:numPr>
          <w:ilvl w:val="0"/>
          <w:numId w:val="3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生产/销售资质证书（如安全生产许可证、特种设备生产/制造许可证、经营许可证等）：</w:t>
      </w:r>
      <w:r>
        <w:rPr>
          <w:rFonts w:hint="eastAsia" w:ascii="仿宋" w:hAnsi="仿宋" w:eastAsia="仿宋" w:cs="仿宋"/>
          <w:b w:val="0"/>
          <w:bCs w:val="0"/>
          <w:sz w:val="28"/>
          <w:szCs w:val="28"/>
          <w:highlight w:val="yellow"/>
          <w:lang w:val="en-US" w:eastAsia="zh-CN"/>
        </w:rPr>
        <w:t>如有请提供</w:t>
      </w:r>
    </w:p>
    <w:p>
      <w:pPr>
        <w:keepNext w:val="0"/>
        <w:keepLines w:val="0"/>
        <w:widowControl/>
        <w:numPr>
          <w:ilvl w:val="0"/>
          <w:numId w:val="3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三体系管理认证证书（质量管理体系认证，环境管理体系认证，职业健康安全管理体系认证）：</w:t>
      </w:r>
      <w:r>
        <w:rPr>
          <w:rFonts w:hint="eastAsia" w:ascii="仿宋" w:hAnsi="仿宋" w:eastAsia="仿宋" w:cs="仿宋"/>
          <w:b w:val="0"/>
          <w:bCs w:val="0"/>
          <w:sz w:val="28"/>
          <w:szCs w:val="28"/>
          <w:highlight w:val="yellow"/>
          <w:lang w:val="en-US" w:eastAsia="zh-CN"/>
        </w:rPr>
        <w:t>必须提供</w:t>
      </w:r>
    </w:p>
    <w:p>
      <w:pPr>
        <w:keepNext w:val="0"/>
        <w:keepLines w:val="0"/>
        <w:widowControl/>
        <w:numPr>
          <w:ilvl w:val="0"/>
          <w:numId w:val="3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厂房、库房证明（需提供房产证明或租赁证明、实物照片等）</w:t>
      </w:r>
      <w:r>
        <w:rPr>
          <w:rFonts w:hint="eastAsia" w:ascii="仿宋" w:hAnsi="仿宋" w:eastAsia="仿宋" w:cs="仿宋"/>
          <w:b w:val="0"/>
          <w:bCs w:val="0"/>
          <w:sz w:val="28"/>
          <w:szCs w:val="28"/>
          <w:highlight w:val="yellow"/>
          <w:lang w:val="en-US" w:eastAsia="zh-CN"/>
        </w:rPr>
        <w:t>必须提供</w:t>
      </w:r>
    </w:p>
    <w:p>
      <w:pPr>
        <w:keepNext w:val="0"/>
        <w:keepLines w:val="0"/>
        <w:widowControl/>
        <w:numPr>
          <w:ilvl w:val="0"/>
          <w:numId w:val="3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与标的物相关的生产设备证明（需提供****设备购买证明或租赁证明、实物照片等）：</w:t>
      </w:r>
      <w:r>
        <w:rPr>
          <w:rFonts w:hint="eastAsia" w:ascii="仿宋" w:hAnsi="仿宋" w:eastAsia="仿宋" w:cs="仿宋"/>
          <w:b w:val="0"/>
          <w:bCs w:val="0"/>
          <w:sz w:val="28"/>
          <w:szCs w:val="28"/>
          <w:highlight w:val="yellow"/>
          <w:lang w:val="en-US" w:eastAsia="zh-CN"/>
        </w:rPr>
        <w:t>必须提供</w:t>
      </w:r>
    </w:p>
    <w:p>
      <w:pPr>
        <w:keepNext w:val="0"/>
        <w:keepLines w:val="0"/>
        <w:widowControl/>
        <w:numPr>
          <w:ilvl w:val="0"/>
          <w:numId w:val="3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相关知识产权或专利：</w:t>
      </w:r>
      <w:r>
        <w:rPr>
          <w:rFonts w:hint="eastAsia" w:ascii="仿宋" w:hAnsi="仿宋" w:eastAsia="仿宋" w:cs="仿宋"/>
          <w:b w:val="0"/>
          <w:bCs w:val="0"/>
          <w:sz w:val="28"/>
          <w:szCs w:val="28"/>
          <w:highlight w:val="yellow"/>
          <w:lang w:val="en-US" w:eastAsia="zh-CN"/>
        </w:rPr>
        <w:t>如有请提供</w:t>
      </w:r>
    </w:p>
    <w:p>
      <w:pPr>
        <w:keepNext w:val="0"/>
        <w:keepLines w:val="0"/>
        <w:widowControl/>
        <w:numPr>
          <w:ilvl w:val="0"/>
          <w:numId w:val="39"/>
        </w:numPr>
        <w:suppressLineNumbers w:val="0"/>
        <w:ind w:firstLine="560" w:firstLineChars="200"/>
        <w:jc w:val="both"/>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其他证明材料（如涉及）：</w:t>
      </w:r>
      <w:r>
        <w:rPr>
          <w:rFonts w:hint="eastAsia" w:ascii="仿宋" w:hAnsi="仿宋" w:eastAsia="仿宋" w:cs="仿宋"/>
          <w:b w:val="0"/>
          <w:bCs w:val="0"/>
          <w:sz w:val="28"/>
          <w:szCs w:val="28"/>
          <w:highlight w:val="yellow"/>
          <w:lang w:val="en-US" w:eastAsia="zh-CN"/>
        </w:rPr>
        <w:t>如有请提供</w:t>
      </w:r>
    </w:p>
    <w:p>
      <w:pPr>
        <w:keepNext w:val="0"/>
        <w:keepLines w:val="0"/>
        <w:widowControl/>
        <w:numPr>
          <w:ilvl w:val="-1"/>
          <w:numId w:val="0"/>
        </w:numPr>
        <w:suppressLineNumbers w:val="0"/>
        <w:ind w:firstLine="560" w:firstLineChars="200"/>
        <w:jc w:val="both"/>
        <w:rPr>
          <w:rFonts w:hint="eastAsia" w:ascii="仿宋" w:hAnsi="仿宋" w:eastAsia="仿宋" w:cs="仿宋"/>
          <w:b w:val="0"/>
          <w:bCs w:val="0"/>
          <w:sz w:val="28"/>
          <w:szCs w:val="28"/>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50"/>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pPr>
        <w:pStyle w:val="50"/>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5.9：业绩证明材料</w:t>
      </w:r>
    </w:p>
    <w:p>
      <w:pPr>
        <w:pStyle w:val="50"/>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hAnsi="宋体" w:eastAsia="黑体"/>
          <w:b/>
          <w:sz w:val="21"/>
          <w:szCs w:val="21"/>
          <w:lang w:eastAsia="zh-CN"/>
        </w:rPr>
        <w:t>此处放入业绩证明材料</w:t>
      </w:r>
    </w:p>
    <w:p>
      <w:pPr>
        <w:pStyle w:val="50"/>
        <w:adjustRightInd/>
        <w:jc w:val="both"/>
        <w:outlineLvl w:val="1"/>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pPr>
      <w:r>
        <w:rPr>
          <w:rFonts w:hint="eastAsia" w:ascii="黑体" w:hAnsi="黑体" w:eastAsia="黑体" w:cstheme="minorBidi"/>
          <w:b/>
          <w:bCs/>
          <w:color w:val="000000" w:themeColor="text1"/>
          <w:kern w:val="2"/>
          <w:sz w:val="24"/>
          <w:szCs w:val="24"/>
          <w:highlight w:val="none"/>
          <w:lang w:val="en-US" w:eastAsia="zh-CN"/>
          <w14:textFill>
            <w14:solidFill>
              <w14:schemeClr w14:val="tx1"/>
            </w14:solidFill>
          </w14:textFill>
        </w:rPr>
        <w:t>5.10：商务偏离表</w:t>
      </w:r>
    </w:p>
    <w:p>
      <w:pPr>
        <w:pStyle w:val="50"/>
        <w:adjustRightInd/>
        <w:jc w:val="center"/>
        <w:rPr>
          <w:rFonts w:hint="eastAsia" w:hAnsi="宋体" w:eastAsiaTheme="minorEastAsia" w:cstheme="minorBidi"/>
          <w:b w:val="0"/>
          <w:kern w:val="2"/>
          <w:sz w:val="21"/>
          <w:szCs w:val="22"/>
          <w:lang w:eastAsia="zh-CN"/>
        </w:rPr>
      </w:pPr>
      <w:r>
        <w:rPr>
          <w:rFonts w:hint="eastAsia" w:hAnsi="宋体"/>
          <w:b/>
          <w:sz w:val="21"/>
          <w:szCs w:val="21"/>
        </w:rPr>
        <w:t>商务偏离条款</w:t>
      </w:r>
      <w:r>
        <w:rPr>
          <w:rFonts w:hint="eastAsia" w:hAnsi="宋体" w:eastAsiaTheme="minorEastAsia" w:cstheme="minorBidi"/>
          <w:kern w:val="2"/>
          <w:sz w:val="21"/>
          <w:szCs w:val="22"/>
          <w:lang w:eastAsia="zh-CN"/>
        </w:rPr>
        <w:t>（</w:t>
      </w:r>
      <w:r>
        <w:rPr>
          <w:rFonts w:hint="eastAsia" w:hAnsi="宋体" w:eastAsiaTheme="minorEastAsia" w:cstheme="minorBidi"/>
          <w:kern w:val="2"/>
          <w:sz w:val="21"/>
          <w:szCs w:val="22"/>
          <w:lang w:val="en-US" w:eastAsia="zh-CN"/>
        </w:rPr>
        <w:t>内容仅供参考，具体业务具体编制</w:t>
      </w:r>
      <w:r>
        <w:rPr>
          <w:rFonts w:hint="eastAsia" w:hAnsi="宋体" w:eastAsiaTheme="minorEastAsia" w:cstheme="minorBidi"/>
          <w:kern w:val="2"/>
          <w:sz w:val="21"/>
          <w:szCs w:val="22"/>
          <w:lang w:eastAsia="zh-CN"/>
        </w:rPr>
        <w:t>）</w:t>
      </w:r>
    </w:p>
    <w:p>
      <w:pPr>
        <w:pStyle w:val="50"/>
        <w:adjustRightInd/>
        <w:jc w:val="center"/>
        <w:rPr>
          <w:rFonts w:hAnsi="宋体"/>
          <w:b/>
          <w:sz w:val="21"/>
          <w:szCs w:val="21"/>
        </w:rPr>
      </w:pPr>
    </w:p>
    <w:tbl>
      <w:tblPr>
        <w:tblStyle w:val="1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6"/>
        <w:gridCol w:w="1792"/>
        <w:gridCol w:w="1560"/>
        <w:gridCol w:w="2979"/>
        <w:gridCol w:w="12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序号</w:t>
            </w:r>
          </w:p>
        </w:tc>
        <w:tc>
          <w:tcPr>
            <w:tcW w:w="1792" w:type="dxa"/>
            <w:vAlign w:val="center"/>
          </w:tcPr>
          <w:p>
            <w:pPr>
              <w:spacing w:line="360" w:lineRule="auto"/>
              <w:jc w:val="center"/>
              <w:rPr>
                <w:rFonts w:ascii="宋体" w:hAnsi="宋体"/>
                <w:color w:val="000000"/>
              </w:rPr>
            </w:pPr>
            <w:r>
              <w:rPr>
                <w:rFonts w:hint="eastAsia" w:ascii="宋体" w:hAnsi="宋体"/>
                <w:color w:val="000000"/>
              </w:rPr>
              <w:t>商务参数</w:t>
            </w:r>
          </w:p>
        </w:tc>
        <w:tc>
          <w:tcPr>
            <w:tcW w:w="1560" w:type="dxa"/>
            <w:vAlign w:val="center"/>
          </w:tcPr>
          <w:p>
            <w:pPr>
              <w:spacing w:line="360" w:lineRule="auto"/>
              <w:jc w:val="center"/>
              <w:rPr>
                <w:rFonts w:ascii="宋体" w:hAnsi="宋体"/>
                <w:color w:val="000000"/>
              </w:rPr>
            </w:pPr>
            <w:r>
              <w:rPr>
                <w:rFonts w:hint="eastAsia" w:ascii="宋体" w:hAnsi="宋体"/>
                <w:color w:val="000000"/>
              </w:rPr>
              <w:t>是否存在异议</w:t>
            </w:r>
          </w:p>
        </w:tc>
        <w:tc>
          <w:tcPr>
            <w:tcW w:w="2979" w:type="dxa"/>
            <w:vAlign w:val="center"/>
          </w:tcPr>
          <w:p>
            <w:pPr>
              <w:spacing w:line="360" w:lineRule="auto"/>
              <w:jc w:val="center"/>
              <w:rPr>
                <w:rFonts w:ascii="宋体" w:hAnsi="宋体"/>
                <w:color w:val="000000"/>
              </w:rPr>
            </w:pPr>
            <w:r>
              <w:rPr>
                <w:rFonts w:hint="eastAsia" w:ascii="宋体" w:hAnsi="宋体"/>
                <w:color w:val="000000"/>
              </w:rPr>
              <w:t>解决方法</w:t>
            </w:r>
          </w:p>
          <w:p>
            <w:pPr>
              <w:spacing w:line="360" w:lineRule="auto"/>
              <w:jc w:val="center"/>
              <w:rPr>
                <w:rFonts w:ascii="宋体" w:hAnsi="宋体"/>
                <w:color w:val="000000"/>
              </w:rPr>
            </w:pPr>
            <w:r>
              <w:rPr>
                <w:rFonts w:hint="eastAsia" w:ascii="宋体" w:hAnsi="宋体"/>
                <w:color w:val="000000"/>
              </w:rPr>
              <w:t>（不接受/协商/接受</w:t>
            </w:r>
            <w:r>
              <w:rPr>
                <w:rFonts w:hint="eastAsia" w:ascii="宋体" w:hAnsi="宋体"/>
                <w:color w:val="000000"/>
                <w:lang w:eastAsia="zh-CN"/>
              </w:rPr>
              <w:t>询比</w:t>
            </w:r>
            <w:r>
              <w:rPr>
                <w:rFonts w:hint="eastAsia" w:ascii="宋体" w:hAnsi="宋体"/>
                <w:color w:val="000000"/>
              </w:rPr>
              <w:t>方条件）</w:t>
            </w:r>
          </w:p>
        </w:tc>
        <w:tc>
          <w:tcPr>
            <w:tcW w:w="1242" w:type="dxa"/>
            <w:vAlign w:val="center"/>
          </w:tcPr>
          <w:p>
            <w:pPr>
              <w:spacing w:line="360" w:lineRule="auto"/>
              <w:jc w:val="center"/>
              <w:rPr>
                <w:rFonts w:ascii="宋体" w:hAnsi="宋体"/>
                <w:color w:val="000000"/>
              </w:rPr>
            </w:pPr>
            <w:r>
              <w:rPr>
                <w:rFonts w:hint="eastAsia" w:ascii="宋体" w:hAnsi="宋体"/>
                <w:color w:val="000000"/>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1</w:t>
            </w:r>
          </w:p>
        </w:tc>
        <w:tc>
          <w:tcPr>
            <w:tcW w:w="1792" w:type="dxa"/>
            <w:vAlign w:val="center"/>
          </w:tcPr>
          <w:p>
            <w:pPr>
              <w:spacing w:line="360" w:lineRule="auto"/>
              <w:jc w:val="center"/>
              <w:rPr>
                <w:rFonts w:ascii="宋体" w:hAnsi="宋体"/>
                <w:color w:val="000000"/>
              </w:rPr>
            </w:pPr>
            <w:r>
              <w:rPr>
                <w:rFonts w:hint="eastAsia" w:ascii="宋体" w:hAnsi="宋体"/>
                <w:color w:val="000000"/>
              </w:rPr>
              <w:t>违约条款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2</w:t>
            </w:r>
          </w:p>
        </w:tc>
        <w:tc>
          <w:tcPr>
            <w:tcW w:w="1792" w:type="dxa"/>
            <w:vAlign w:val="center"/>
          </w:tcPr>
          <w:p>
            <w:pPr>
              <w:spacing w:line="360" w:lineRule="auto"/>
              <w:jc w:val="center"/>
              <w:rPr>
                <w:rFonts w:ascii="宋体" w:hAnsi="宋体"/>
                <w:color w:val="000000"/>
              </w:rPr>
            </w:pPr>
            <w:r>
              <w:rPr>
                <w:rFonts w:hint="eastAsia" w:ascii="宋体" w:hAnsi="宋体"/>
                <w:color w:val="000000"/>
              </w:rPr>
              <w:t>付款方式</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3</w:t>
            </w:r>
          </w:p>
        </w:tc>
        <w:tc>
          <w:tcPr>
            <w:tcW w:w="1792" w:type="dxa"/>
            <w:vAlign w:val="center"/>
          </w:tcPr>
          <w:p>
            <w:pPr>
              <w:spacing w:line="360" w:lineRule="auto"/>
              <w:jc w:val="center"/>
              <w:rPr>
                <w:rFonts w:ascii="宋体" w:hAnsi="宋体"/>
                <w:color w:val="000000"/>
              </w:rPr>
            </w:pPr>
            <w:r>
              <w:rPr>
                <w:rFonts w:hint="eastAsia" w:ascii="宋体" w:hAnsi="宋体"/>
                <w:color w:val="000000"/>
              </w:rPr>
              <w:t>服务期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4</w:t>
            </w:r>
          </w:p>
        </w:tc>
        <w:tc>
          <w:tcPr>
            <w:tcW w:w="1792" w:type="dxa"/>
            <w:vAlign w:val="center"/>
          </w:tcPr>
          <w:p>
            <w:pPr>
              <w:spacing w:line="360" w:lineRule="auto"/>
              <w:jc w:val="center"/>
              <w:rPr>
                <w:rFonts w:ascii="宋体" w:hAnsi="宋体"/>
                <w:color w:val="000000"/>
              </w:rPr>
            </w:pPr>
            <w:r>
              <w:rPr>
                <w:rFonts w:hint="eastAsia" w:ascii="宋体" w:hAnsi="宋体"/>
                <w:color w:val="000000"/>
              </w:rPr>
              <w:t>报价有效期</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5</w:t>
            </w:r>
          </w:p>
        </w:tc>
        <w:tc>
          <w:tcPr>
            <w:tcW w:w="1792" w:type="dxa"/>
            <w:vAlign w:val="center"/>
          </w:tcPr>
          <w:p>
            <w:pPr>
              <w:spacing w:line="360" w:lineRule="auto"/>
              <w:jc w:val="center"/>
              <w:rPr>
                <w:rFonts w:ascii="宋体" w:hAnsi="宋体"/>
                <w:color w:val="000000"/>
              </w:rPr>
            </w:pPr>
            <w:r>
              <w:rPr>
                <w:rFonts w:hint="eastAsia" w:ascii="宋体" w:hAnsi="宋体"/>
                <w:color w:val="000000"/>
              </w:rPr>
              <w:t>合同条款</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86" w:type="dxa"/>
            <w:vAlign w:val="center"/>
          </w:tcPr>
          <w:p>
            <w:pPr>
              <w:spacing w:line="360" w:lineRule="auto"/>
              <w:jc w:val="center"/>
              <w:rPr>
                <w:rFonts w:ascii="宋体" w:hAnsi="宋体"/>
                <w:color w:val="000000"/>
              </w:rPr>
            </w:pPr>
            <w:r>
              <w:rPr>
                <w:rFonts w:hint="eastAsia" w:ascii="宋体" w:hAnsi="宋体"/>
                <w:color w:val="000000"/>
              </w:rPr>
              <w:t>6</w:t>
            </w:r>
          </w:p>
        </w:tc>
        <w:tc>
          <w:tcPr>
            <w:tcW w:w="1792" w:type="dxa"/>
            <w:vAlign w:val="center"/>
          </w:tcPr>
          <w:p>
            <w:pPr>
              <w:spacing w:line="360" w:lineRule="auto"/>
              <w:jc w:val="center"/>
              <w:rPr>
                <w:rFonts w:ascii="宋体" w:hAnsi="宋体"/>
                <w:color w:val="000000"/>
              </w:rPr>
            </w:pPr>
            <w:r>
              <w:rPr>
                <w:rFonts w:hint="eastAsia" w:ascii="宋体" w:hAnsi="宋体"/>
                <w:color w:val="000000"/>
              </w:rPr>
              <w:t>其他</w:t>
            </w:r>
          </w:p>
        </w:tc>
        <w:tc>
          <w:tcPr>
            <w:tcW w:w="1560" w:type="dxa"/>
            <w:vAlign w:val="center"/>
          </w:tcPr>
          <w:p>
            <w:pPr>
              <w:spacing w:line="360" w:lineRule="auto"/>
              <w:jc w:val="center"/>
              <w:rPr>
                <w:rFonts w:ascii="宋体" w:hAnsi="宋体"/>
                <w:color w:val="000000"/>
              </w:rPr>
            </w:pPr>
          </w:p>
        </w:tc>
        <w:tc>
          <w:tcPr>
            <w:tcW w:w="2979" w:type="dxa"/>
            <w:vAlign w:val="center"/>
          </w:tcPr>
          <w:p>
            <w:pPr>
              <w:spacing w:line="360" w:lineRule="auto"/>
              <w:jc w:val="center"/>
              <w:rPr>
                <w:rFonts w:ascii="宋体" w:hAnsi="宋体"/>
                <w:color w:val="000000"/>
              </w:rPr>
            </w:pPr>
          </w:p>
        </w:tc>
        <w:tc>
          <w:tcPr>
            <w:tcW w:w="1242" w:type="dxa"/>
            <w:vAlign w:val="center"/>
          </w:tcPr>
          <w:p>
            <w:pPr>
              <w:spacing w:line="360" w:lineRule="auto"/>
              <w:jc w:val="center"/>
              <w:rPr>
                <w:rFonts w:ascii="宋体" w:hAnsi="宋体"/>
                <w:color w:val="000000"/>
              </w:rPr>
            </w:pPr>
          </w:p>
        </w:tc>
      </w:tr>
    </w:tbl>
    <w:p>
      <w:pPr>
        <w:spacing w:line="360" w:lineRule="auto"/>
        <w:rPr>
          <w:rFonts w:ascii="宋体" w:hAnsi="宋体"/>
          <w:color w:val="000000"/>
          <w:szCs w:val="21"/>
        </w:rPr>
      </w:pPr>
    </w:p>
    <w:p>
      <w:pPr>
        <w:spacing w:line="360" w:lineRule="auto"/>
        <w:rPr>
          <w:rFonts w:ascii="宋体" w:hAnsi="宋体"/>
          <w:color w:val="000000"/>
          <w:szCs w:val="21"/>
        </w:rPr>
      </w:pPr>
      <w:r>
        <w:rPr>
          <w:rFonts w:hint="eastAsia" w:ascii="宋体" w:hAnsi="宋体"/>
          <w:color w:val="000000"/>
          <w:szCs w:val="21"/>
        </w:rPr>
        <w:t>注：如果</w:t>
      </w:r>
      <w:r>
        <w:rPr>
          <w:rFonts w:hint="eastAsia" w:ascii="宋体" w:hAnsi="宋体"/>
          <w:color w:val="000000"/>
          <w:szCs w:val="21"/>
          <w:lang w:val="en-US" w:eastAsia="zh-CN"/>
        </w:rPr>
        <w:t>应答</w:t>
      </w:r>
      <w:r>
        <w:rPr>
          <w:rFonts w:hint="eastAsia" w:ascii="宋体" w:hAnsi="宋体"/>
          <w:color w:val="000000"/>
          <w:szCs w:val="21"/>
        </w:rPr>
        <w:t>人对</w:t>
      </w:r>
      <w:r>
        <w:rPr>
          <w:rFonts w:hint="eastAsia" w:ascii="宋体" w:hAnsi="宋体"/>
          <w:color w:val="000000"/>
          <w:szCs w:val="21"/>
          <w:lang w:eastAsia="zh-CN"/>
        </w:rPr>
        <w:t>询比</w:t>
      </w:r>
      <w:r>
        <w:rPr>
          <w:rFonts w:hint="eastAsia" w:ascii="宋体" w:hAnsi="宋体"/>
          <w:color w:val="000000"/>
          <w:szCs w:val="21"/>
        </w:rPr>
        <w:t>文件的商务条款有异议，请在此处一一列出，</w:t>
      </w:r>
      <w:r>
        <w:rPr>
          <w:rFonts w:hint="eastAsia" w:ascii="宋体" w:hAnsi="宋体"/>
          <w:color w:val="000000"/>
          <w:szCs w:val="21"/>
          <w:lang w:val="en-US" w:eastAsia="zh-CN"/>
        </w:rPr>
        <w:t>应答</w:t>
      </w:r>
      <w:r>
        <w:rPr>
          <w:rFonts w:hint="eastAsia" w:ascii="宋体" w:hAnsi="宋体"/>
          <w:color w:val="000000"/>
          <w:szCs w:val="21"/>
        </w:rPr>
        <w:t>人的商务偏离条款将作为评标的依据之一；如若没有异议请标明“无”，否则视为放弃。</w:t>
      </w:r>
    </w:p>
    <w:p>
      <w:pPr>
        <w:spacing w:before="120" w:line="360" w:lineRule="auto"/>
        <w:rPr>
          <w:rFonts w:ascii="宋体" w:hAnsi="宋体"/>
          <w:b/>
          <w:bCs/>
          <w:color w:val="000000"/>
          <w:szCs w:val="21"/>
        </w:rPr>
      </w:pPr>
    </w:p>
    <w:p>
      <w:pPr>
        <w:spacing w:line="360" w:lineRule="auto"/>
        <w:rPr>
          <w:rFonts w:ascii="宋体" w:hAnsi="宋体"/>
          <w:color w:val="000000"/>
          <w:szCs w:val="21"/>
        </w:rPr>
      </w:pPr>
    </w:p>
    <w:p>
      <w:pPr>
        <w:spacing w:line="360" w:lineRule="auto"/>
        <w:ind w:right="840"/>
        <w:jc w:val="center"/>
        <w:rPr>
          <w:rFonts w:ascii="宋体" w:hAnsi="宋体"/>
          <w:color w:val="000000"/>
          <w:szCs w:val="21"/>
        </w:rPr>
      </w:pPr>
      <w:r>
        <w:rPr>
          <w:rFonts w:hint="eastAsia" w:ascii="宋体" w:hAnsi="宋体"/>
          <w:color w:val="000000"/>
          <w:szCs w:val="21"/>
        </w:rPr>
        <w:t xml:space="preserve">                 </w:t>
      </w:r>
      <w:r>
        <w:rPr>
          <w:rFonts w:hint="eastAsia" w:ascii="宋体" w:hAnsi="宋体"/>
          <w:color w:val="000000"/>
          <w:szCs w:val="21"/>
          <w:lang w:eastAsia="zh-CN"/>
        </w:rPr>
        <w:t>应答人</w:t>
      </w:r>
      <w:r>
        <w:rPr>
          <w:rFonts w:ascii="宋体" w:hAnsi="宋体"/>
          <w:color w:val="000000"/>
          <w:szCs w:val="21"/>
        </w:rPr>
        <w:t>：（盖章）</w:t>
      </w:r>
    </w:p>
    <w:p>
      <w:pPr>
        <w:spacing w:line="360" w:lineRule="auto"/>
        <w:jc w:val="right"/>
        <w:rPr>
          <w:rFonts w:ascii="宋体" w:hAnsi="宋体"/>
          <w:color w:val="000000"/>
          <w:szCs w:val="21"/>
        </w:rPr>
      </w:pPr>
    </w:p>
    <w:p>
      <w:pPr>
        <w:spacing w:line="360" w:lineRule="auto"/>
        <w:ind w:right="1680"/>
        <w:jc w:val="center"/>
        <w:rPr>
          <w:rFonts w:ascii="宋体" w:hAnsi="宋体"/>
          <w:color w:val="000000"/>
          <w:szCs w:val="21"/>
        </w:rPr>
      </w:pPr>
      <w:r>
        <w:rPr>
          <w:rFonts w:hint="eastAsia" w:ascii="宋体" w:hAnsi="宋体"/>
          <w:color w:val="000000"/>
          <w:szCs w:val="21"/>
        </w:rPr>
        <w:t xml:space="preserve">                               </w:t>
      </w:r>
      <w:r>
        <w:rPr>
          <w:rFonts w:ascii="宋体" w:hAnsi="宋体"/>
          <w:color w:val="000000"/>
          <w:szCs w:val="21"/>
        </w:rPr>
        <w:t>法定代表人或委托代理人：（签字）</w:t>
      </w:r>
    </w:p>
    <w:p/>
    <w:p>
      <w:pPr>
        <w:pStyle w:val="3"/>
        <w:rPr>
          <w:lang w:val="en-US" w:eastAsia="zh-CN"/>
        </w:rPr>
      </w:pPr>
    </w:p>
    <w:p>
      <w:pPr>
        <w:rPr>
          <w:lang w:val="en-US" w:eastAsia="zh-CN"/>
        </w:rPr>
      </w:pPr>
    </w:p>
    <w:p>
      <w:pPr>
        <w:pStyle w:val="3"/>
        <w:rPr>
          <w:lang w:val="en-US" w:eastAsia="zh-CN"/>
        </w:rPr>
      </w:pPr>
    </w:p>
    <w:p>
      <w:pPr>
        <w:rPr>
          <w:lang w:val="en-US" w:eastAsia="zh-CN"/>
        </w:rPr>
      </w:pPr>
    </w:p>
    <w:p>
      <w:pPr>
        <w:pStyle w:val="3"/>
        <w:rPr>
          <w:lang w:val="en-US" w:eastAsia="zh-CN"/>
        </w:rPr>
      </w:pPr>
    </w:p>
    <w:p>
      <w:pPr>
        <w:rPr>
          <w:lang w:val="en-US" w:eastAsia="zh-CN"/>
        </w:rPr>
      </w:pPr>
    </w:p>
    <w:p>
      <w:pPr>
        <w:pStyle w:val="3"/>
        <w:rPr>
          <w:lang w:val="en-US" w:eastAsia="zh-CN"/>
        </w:rPr>
      </w:pPr>
    </w:p>
    <w:p>
      <w:pPr>
        <w:rPr>
          <w:lang w:val="en-US" w:eastAsia="zh-CN"/>
        </w:rPr>
      </w:pPr>
    </w:p>
    <w:p>
      <w:pPr>
        <w:pStyle w:val="3"/>
        <w:ind w:firstLine="0" w:firstLineChars="0"/>
        <w:rPr>
          <w:lang w:val="en-US" w:eastAsia="zh-CN"/>
        </w:rPr>
      </w:pPr>
    </w:p>
    <w:p>
      <w:pPr>
        <w:rPr>
          <w:lang w:val="en-US" w:eastAsia="zh-CN"/>
        </w:rPr>
      </w:pPr>
    </w:p>
    <w:p>
      <w:pPr>
        <w:pStyle w:val="4"/>
        <w:numPr>
          <w:ilvl w:val="-1"/>
          <w:numId w:val="0"/>
        </w:numPr>
        <w:rPr>
          <w:lang w:val="en-US" w:eastAsia="zh-CN"/>
        </w:rPr>
      </w:pPr>
    </w:p>
    <w:p>
      <w:pPr>
        <w:rPr>
          <w:lang w:val="en-US" w:eastAsia="zh-CN"/>
        </w:rPr>
      </w:pPr>
    </w:p>
    <w:p>
      <w:pPr>
        <w:keepNext w:val="0"/>
        <w:keepLines w:val="0"/>
        <w:pageBreakBefore w:val="0"/>
        <w:widowControl/>
        <w:kinsoku/>
        <w:wordWrap/>
        <w:overflowPunct/>
        <w:topLinePunct w:val="0"/>
        <w:autoSpaceDE/>
        <w:autoSpaceDN/>
        <w:bidi w:val="0"/>
        <w:adjustRightInd/>
        <w:snapToGrid/>
        <w:textAlignment w:val="auto"/>
        <w:outlineLvl w:val="9"/>
        <w:rPr>
          <w:rFonts w:hint="default" w:ascii="黑体" w:hAnsi="黑体" w:eastAsia="黑体"/>
          <w:b/>
          <w:bCs/>
          <w:sz w:val="24"/>
          <w:szCs w:val="24"/>
          <w:lang w:val="en-US" w:eastAsia="zh-CN"/>
        </w:rPr>
      </w:pPr>
      <w:r>
        <w:rPr>
          <w:rFonts w:hint="eastAsia" w:ascii="黑体" w:hAnsi="黑体" w:eastAsia="黑体"/>
          <w:b/>
          <w:bCs/>
          <w:sz w:val="24"/>
          <w:szCs w:val="24"/>
        </w:rPr>
        <w:t>附件</w:t>
      </w:r>
      <w:r>
        <w:rPr>
          <w:rFonts w:hint="eastAsia" w:ascii="黑体" w:hAnsi="黑体" w:eastAsia="黑体"/>
          <w:b/>
          <w:bCs/>
          <w:sz w:val="24"/>
          <w:szCs w:val="24"/>
          <w:lang w:val="en-US" w:eastAsia="zh-CN"/>
        </w:rPr>
        <w:t>6：</w:t>
      </w:r>
      <w:r>
        <w:rPr>
          <w:rFonts w:hint="eastAsia" w:ascii="黑体" w:hAnsi="黑体" w:eastAsia="黑体"/>
          <w:b/>
          <w:bCs/>
          <w:sz w:val="24"/>
          <w:szCs w:val="24"/>
        </w:rPr>
        <w:t xml:space="preserve"> </w:t>
      </w:r>
      <w:r>
        <w:rPr>
          <w:rFonts w:hint="eastAsia" w:ascii="黑体" w:hAnsi="黑体" w:eastAsia="黑体"/>
          <w:b/>
          <w:bCs/>
          <w:sz w:val="24"/>
          <w:szCs w:val="24"/>
          <w:lang w:val="en-US" w:eastAsia="zh-CN"/>
        </w:rPr>
        <w:t>技术文件</w:t>
      </w:r>
    </w:p>
    <w:p>
      <w:pPr>
        <w:rPr>
          <w:rFonts w:hint="eastAsia" w:ascii="黑体" w:hAnsi="黑体" w:eastAsia="黑体"/>
          <w:sz w:val="24"/>
          <w:szCs w:val="24"/>
          <w:lang w:val="en-US" w:eastAsia="zh-CN"/>
        </w:rPr>
      </w:pPr>
    </w:p>
    <w:p>
      <w:pPr>
        <w:widowControl w:val="0"/>
        <w:numPr>
          <w:ilvl w:val="0"/>
          <w:numId w:val="0"/>
        </w:numPr>
        <w:jc w:val="both"/>
        <w:rPr>
          <w:rFonts w:hint="default"/>
          <w:lang w:val="en-US" w:eastAsia="zh-CN"/>
        </w:rPr>
      </w:pPr>
    </w:p>
    <w:p>
      <w:pPr>
        <w:tabs>
          <w:tab w:val="left" w:pos="6480"/>
          <w:tab w:val="left" w:pos="6660"/>
          <w:tab w:val="left" w:pos="9360"/>
        </w:tabs>
        <w:spacing w:line="360" w:lineRule="auto"/>
        <w:ind w:right="36" w:rightChars="17"/>
        <w:jc w:val="center"/>
        <w:rPr>
          <w:rFonts w:ascii="宋体" w:hAnsi="宋体"/>
          <w:b/>
          <w:color w:val="000000"/>
          <w:szCs w:val="21"/>
        </w:rPr>
      </w:pPr>
      <w:r>
        <w:rPr>
          <w:rFonts w:hint="eastAsia" w:ascii="宋体" w:hAnsi="宋体"/>
          <w:b/>
          <w:color w:val="000000"/>
          <w:szCs w:val="21"/>
        </w:rPr>
        <w:t>技术</w:t>
      </w:r>
      <w:r>
        <w:rPr>
          <w:rFonts w:hint="eastAsia" w:ascii="宋体" w:hAnsi="宋体"/>
          <w:b/>
          <w:color w:val="000000"/>
          <w:szCs w:val="21"/>
          <w:lang w:val="en-US" w:eastAsia="zh-CN"/>
        </w:rPr>
        <w:t>偏离</w:t>
      </w:r>
      <w:r>
        <w:rPr>
          <w:rFonts w:hint="eastAsia" w:ascii="宋体" w:hAnsi="宋体"/>
          <w:b/>
          <w:color w:val="000000"/>
          <w:szCs w:val="21"/>
        </w:rPr>
        <w:t>表</w:t>
      </w:r>
    </w:p>
    <w:tbl>
      <w:tblPr>
        <w:tblStyle w:val="18"/>
        <w:tblW w:w="86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969"/>
        <w:gridCol w:w="992"/>
        <w:gridCol w:w="1701"/>
        <w:gridCol w:w="1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序号</w:t>
            </w:r>
          </w:p>
        </w:tc>
        <w:tc>
          <w:tcPr>
            <w:tcW w:w="3969"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技术参数</w:t>
            </w: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是否存在异议</w:t>
            </w: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解决方法</w:t>
            </w:r>
          </w:p>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（不接受/协商/接受</w:t>
            </w:r>
            <w:r>
              <w:rPr>
                <w:rFonts w:hint="eastAsia" w:ascii="宋体" w:hAnsi="宋体"/>
                <w:color w:val="000000"/>
                <w:sz w:val="18"/>
                <w:szCs w:val="18"/>
                <w:lang w:eastAsia="zh-CN"/>
              </w:rPr>
              <w:t>询比</w:t>
            </w:r>
            <w:r>
              <w:rPr>
                <w:rFonts w:hint="eastAsia" w:ascii="宋体" w:hAnsi="宋体"/>
                <w:color w:val="000000"/>
                <w:sz w:val="18"/>
                <w:szCs w:val="18"/>
              </w:rPr>
              <w:t>方条件）</w:t>
            </w: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rPr>
            </w:pPr>
            <w:r>
              <w:rPr>
                <w:rFonts w:hint="eastAsia" w:ascii="宋体" w:hAnsi="宋体"/>
                <w:color w:val="000000"/>
                <w:sz w:val="18"/>
                <w:szCs w:val="18"/>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1</w:t>
            </w:r>
          </w:p>
        </w:tc>
        <w:tc>
          <w:tcPr>
            <w:tcW w:w="3969" w:type="dxa"/>
            <w:vAlign w:val="center"/>
          </w:tcPr>
          <w:p>
            <w:pPr>
              <w:pStyle w:val="48"/>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hint="default" w:ascii="宋体" w:hAnsi="宋体" w:eastAsiaTheme="minorEastAsia"/>
                <w:color w:val="000000"/>
                <w:sz w:val="18"/>
                <w:szCs w:val="18"/>
                <w:highlight w:val="green"/>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2</w:t>
            </w:r>
          </w:p>
        </w:tc>
        <w:tc>
          <w:tcPr>
            <w:tcW w:w="3969" w:type="dxa"/>
            <w:vAlign w:val="center"/>
          </w:tcPr>
          <w:p>
            <w:pPr>
              <w:pStyle w:val="48"/>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3</w:t>
            </w:r>
          </w:p>
        </w:tc>
        <w:tc>
          <w:tcPr>
            <w:tcW w:w="3969" w:type="dxa"/>
            <w:vAlign w:val="center"/>
          </w:tcPr>
          <w:p>
            <w:pPr>
              <w:pStyle w:val="48"/>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4</w:t>
            </w:r>
          </w:p>
        </w:tc>
        <w:tc>
          <w:tcPr>
            <w:tcW w:w="3969" w:type="dxa"/>
            <w:vAlign w:val="center"/>
          </w:tcPr>
          <w:p>
            <w:pPr>
              <w:pStyle w:val="48"/>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5</w:t>
            </w:r>
          </w:p>
        </w:tc>
        <w:tc>
          <w:tcPr>
            <w:tcW w:w="3969" w:type="dxa"/>
            <w:vAlign w:val="center"/>
          </w:tcPr>
          <w:p>
            <w:pPr>
              <w:pStyle w:val="48"/>
              <w:keepNext w:val="0"/>
              <w:keepLines w:val="0"/>
              <w:pageBreakBefore w:val="0"/>
              <w:kinsoku/>
              <w:wordWrap/>
              <w:overflowPunct/>
              <w:topLinePunct w:val="0"/>
              <w:autoSpaceDE/>
              <w:autoSpaceDN/>
              <w:bidi w:val="0"/>
              <w:adjustRightInd/>
              <w:snapToGrid/>
              <w:spacing w:line="280" w:lineRule="exact"/>
              <w:jc w:val="left"/>
              <w:textAlignment w:val="auto"/>
              <w:rPr>
                <w:rFonts w:hint="eastAsia"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09" w:type="dxa"/>
            <w:vAlign w:val="center"/>
          </w:tcPr>
          <w:p>
            <w:pPr>
              <w:pStyle w:val="48"/>
              <w:keepNext w:val="0"/>
              <w:keepLines w:val="0"/>
              <w:pageBreakBefore w:val="0"/>
              <w:kinsoku/>
              <w:wordWrap/>
              <w:overflowPunct/>
              <w:topLinePunct w:val="0"/>
              <w:autoSpaceDE/>
              <w:autoSpaceDN/>
              <w:bidi w:val="0"/>
              <w:adjustRightInd/>
              <w:snapToGrid/>
              <w:spacing w:line="280" w:lineRule="exact"/>
              <w:jc w:val="center"/>
              <w:textAlignment w:val="auto"/>
              <w:rPr>
                <w:rFonts w:hint="eastAsia" w:ascii="宋体" w:hAnsi="宋体" w:eastAsiaTheme="minorEastAsia" w:cstheme="minorBidi"/>
                <w:color w:val="000000"/>
                <w:kern w:val="2"/>
                <w:sz w:val="18"/>
                <w:szCs w:val="18"/>
                <w:highlight w:val="none"/>
                <w:lang w:val="en-US" w:eastAsia="zh-CN" w:bidi="ar-SA"/>
              </w:rPr>
            </w:pPr>
            <w:r>
              <w:rPr>
                <w:rFonts w:hint="eastAsia" w:ascii="宋体" w:hAnsi="宋体" w:eastAsiaTheme="minorEastAsia" w:cstheme="minorBidi"/>
                <w:color w:val="000000"/>
                <w:kern w:val="2"/>
                <w:sz w:val="18"/>
                <w:szCs w:val="18"/>
                <w:highlight w:val="none"/>
                <w:lang w:val="en-US" w:eastAsia="zh-CN" w:bidi="ar-SA"/>
              </w:rPr>
              <w:t>6</w:t>
            </w:r>
          </w:p>
        </w:tc>
        <w:tc>
          <w:tcPr>
            <w:tcW w:w="3969" w:type="dxa"/>
            <w:vAlign w:val="center"/>
          </w:tcPr>
          <w:p>
            <w:pPr>
              <w:pStyle w:val="48"/>
              <w:keepNext w:val="0"/>
              <w:keepLines w:val="0"/>
              <w:pageBreakBefore w:val="0"/>
              <w:kinsoku/>
              <w:wordWrap/>
              <w:overflowPunct/>
              <w:topLinePunct w:val="0"/>
              <w:autoSpaceDE/>
              <w:autoSpaceDN/>
              <w:bidi w:val="0"/>
              <w:adjustRightInd/>
              <w:snapToGrid/>
              <w:spacing w:line="280" w:lineRule="exact"/>
              <w:jc w:val="left"/>
              <w:textAlignment w:val="auto"/>
              <w:rPr>
                <w:rFonts w:hint="default" w:ascii="宋体" w:hAnsi="宋体" w:eastAsiaTheme="minorEastAsia" w:cstheme="minorBidi"/>
                <w:color w:val="000000"/>
                <w:kern w:val="2"/>
                <w:sz w:val="18"/>
                <w:szCs w:val="18"/>
                <w:highlight w:val="green"/>
                <w:lang w:val="en-US" w:eastAsia="zh-CN" w:bidi="ar-SA"/>
              </w:rPr>
            </w:pPr>
          </w:p>
        </w:tc>
        <w:tc>
          <w:tcPr>
            <w:tcW w:w="9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701"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c>
          <w:tcPr>
            <w:tcW w:w="1292" w:type="dxa"/>
            <w:vAlign w:val="center"/>
          </w:tcPr>
          <w:p>
            <w:pPr>
              <w:keepNext w:val="0"/>
              <w:keepLines w:val="0"/>
              <w:pageBreakBefore w:val="0"/>
              <w:kinsoku/>
              <w:wordWrap/>
              <w:overflowPunct/>
              <w:topLinePunct w:val="0"/>
              <w:autoSpaceDE/>
              <w:autoSpaceDN/>
              <w:bidi w:val="0"/>
              <w:adjustRightInd/>
              <w:snapToGrid/>
              <w:spacing w:line="280" w:lineRule="exact"/>
              <w:jc w:val="center"/>
              <w:textAlignment w:val="auto"/>
              <w:rPr>
                <w:rFonts w:ascii="宋体" w:hAnsi="宋体"/>
                <w:color w:val="000000"/>
                <w:sz w:val="18"/>
                <w:szCs w:val="18"/>
                <w:highlight w:val="green"/>
              </w:rPr>
            </w:pPr>
          </w:p>
        </w:tc>
      </w:tr>
    </w:tbl>
    <w:p>
      <w:pPr>
        <w:spacing w:before="50" w:line="360" w:lineRule="auto"/>
        <w:ind w:firstLine="3885" w:firstLineChars="1850"/>
        <w:rPr>
          <w:rFonts w:ascii="宋体" w:hAnsi="宋体"/>
          <w:color w:val="000000"/>
          <w:szCs w:val="21"/>
        </w:rPr>
      </w:pPr>
    </w:p>
    <w:p>
      <w:pPr>
        <w:keepNext w:val="0"/>
        <w:keepLines w:val="0"/>
        <w:pageBreakBefore w:val="0"/>
        <w:widowControl w:val="0"/>
        <w:kinsoku/>
        <w:wordWrap/>
        <w:overflowPunct/>
        <w:topLinePunct w:val="0"/>
        <w:autoSpaceDE/>
        <w:autoSpaceDN/>
        <w:bidi w:val="0"/>
        <w:adjustRightInd/>
        <w:snapToGrid/>
        <w:spacing w:before="50" w:line="240" w:lineRule="auto"/>
        <w:textAlignment w:val="auto"/>
        <w:rPr>
          <w:rFonts w:ascii="宋体" w:hAnsi="宋体"/>
          <w:color w:val="000000"/>
          <w:szCs w:val="21"/>
        </w:rPr>
      </w:pPr>
      <w:r>
        <w:rPr>
          <w:rFonts w:hint="eastAsia" w:ascii="宋体" w:hAnsi="宋体"/>
          <w:color w:val="000000"/>
          <w:szCs w:val="21"/>
        </w:rPr>
        <w:t>说明：</w:t>
      </w:r>
    </w:p>
    <w:p>
      <w:pPr>
        <w:keepNext w:val="0"/>
        <w:keepLines w:val="0"/>
        <w:pageBreakBefore w:val="0"/>
        <w:widowControl w:val="0"/>
        <w:numPr>
          <w:ilvl w:val="0"/>
          <w:numId w:val="40"/>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以上技术如无偏差，则都填“无”字。</w:t>
      </w:r>
    </w:p>
    <w:p>
      <w:pPr>
        <w:keepNext w:val="0"/>
        <w:keepLines w:val="0"/>
        <w:pageBreakBefore w:val="0"/>
        <w:widowControl w:val="0"/>
        <w:numPr>
          <w:ilvl w:val="0"/>
          <w:numId w:val="40"/>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技术标准以技术要求为基准。</w:t>
      </w:r>
    </w:p>
    <w:p>
      <w:pPr>
        <w:keepNext w:val="0"/>
        <w:keepLines w:val="0"/>
        <w:pageBreakBefore w:val="0"/>
        <w:widowControl w:val="0"/>
        <w:numPr>
          <w:ilvl w:val="0"/>
          <w:numId w:val="40"/>
        </w:numPr>
        <w:kinsoku/>
        <w:wordWrap/>
        <w:overflowPunct/>
        <w:topLinePunct w:val="0"/>
        <w:autoSpaceDE/>
        <w:autoSpaceDN/>
        <w:bidi w:val="0"/>
        <w:adjustRightInd/>
        <w:snapToGrid/>
        <w:spacing w:before="50" w:line="240" w:lineRule="auto"/>
        <w:ind w:left="420" w:hanging="420"/>
        <w:textAlignment w:val="auto"/>
        <w:rPr>
          <w:rFonts w:ascii="宋体" w:hAnsi="宋体"/>
          <w:color w:val="000000"/>
          <w:szCs w:val="21"/>
        </w:rPr>
      </w:pPr>
      <w:r>
        <w:rPr>
          <w:rFonts w:hint="eastAsia" w:ascii="宋体" w:hAnsi="宋体"/>
          <w:color w:val="000000"/>
          <w:szCs w:val="21"/>
        </w:rPr>
        <w:t>以上技术偏差将作为</w:t>
      </w:r>
      <w:r>
        <w:rPr>
          <w:rFonts w:hint="eastAsia" w:ascii="宋体" w:hAnsi="宋体"/>
          <w:color w:val="000000"/>
          <w:szCs w:val="21"/>
          <w:lang w:val="en-US" w:eastAsia="zh-CN"/>
        </w:rPr>
        <w:t>采购</w:t>
      </w:r>
      <w:r>
        <w:rPr>
          <w:rFonts w:hint="eastAsia" w:ascii="宋体" w:hAnsi="宋体"/>
          <w:color w:val="000000"/>
          <w:szCs w:val="21"/>
        </w:rPr>
        <w:t>人判断应答人报价的重要依据，请慎重考虑、酌情填写。</w:t>
      </w:r>
    </w:p>
    <w:p>
      <w:pPr>
        <w:spacing w:line="360" w:lineRule="auto"/>
        <w:rPr>
          <w:rFonts w:ascii="宋体" w:hAnsi="宋体"/>
          <w:color w:val="000000"/>
          <w:szCs w:val="21"/>
        </w:rPr>
      </w:pPr>
    </w:p>
    <w:p>
      <w:pPr>
        <w:tabs>
          <w:tab w:val="left" w:pos="0"/>
        </w:tabs>
        <w:spacing w:line="360" w:lineRule="auto"/>
        <w:ind w:firstLine="3570" w:firstLineChars="1700"/>
        <w:rPr>
          <w:rFonts w:ascii="宋体" w:hAnsi="宋体"/>
          <w:color w:val="000000"/>
          <w:szCs w:val="21"/>
          <w:u w:val="single"/>
        </w:rPr>
      </w:pPr>
      <w:r>
        <w:rPr>
          <w:rFonts w:hint="eastAsia" w:ascii="宋体" w:hAnsi="宋体"/>
          <w:color w:val="000000"/>
          <w:szCs w:val="21"/>
          <w:lang w:eastAsia="zh-CN"/>
        </w:rPr>
        <w:t>应答人</w:t>
      </w:r>
      <w:r>
        <w:rPr>
          <w:rFonts w:hint="eastAsia" w:ascii="宋体" w:hAnsi="宋体"/>
          <w:color w:val="000000"/>
          <w:szCs w:val="21"/>
        </w:rPr>
        <w:t>：（盖章）</w:t>
      </w:r>
    </w:p>
    <w:p>
      <w:pPr>
        <w:tabs>
          <w:tab w:val="left" w:pos="4320"/>
        </w:tabs>
        <w:spacing w:line="360" w:lineRule="auto"/>
        <w:ind w:firstLine="3465" w:firstLineChars="1650"/>
        <w:jc w:val="center"/>
        <w:rPr>
          <w:rFonts w:ascii="宋体" w:hAnsi="宋体"/>
          <w:color w:val="000000"/>
          <w:szCs w:val="21"/>
        </w:rPr>
      </w:pPr>
    </w:p>
    <w:p>
      <w:pPr>
        <w:tabs>
          <w:tab w:val="left" w:pos="4320"/>
        </w:tabs>
        <w:spacing w:line="360" w:lineRule="auto"/>
        <w:ind w:firstLine="3570" w:firstLineChars="1700"/>
        <w:rPr>
          <w:rFonts w:hint="eastAsia" w:ascii="宋体" w:hAnsi="宋体"/>
          <w:color w:val="000000"/>
          <w:szCs w:val="21"/>
        </w:rPr>
      </w:pPr>
      <w:r>
        <w:rPr>
          <w:rFonts w:ascii="宋体" w:hAnsi="宋体"/>
          <w:color w:val="000000"/>
          <w:szCs w:val="21"/>
        </w:rPr>
        <w:t>法定代表人或委托代理人：（签字</w:t>
      </w:r>
      <w:r>
        <w:rPr>
          <w:rFonts w:hint="eastAsia" w:ascii="宋体" w:hAnsi="宋体"/>
          <w:color w:val="000000"/>
          <w:szCs w:val="21"/>
        </w:rPr>
        <w:t>）</w:t>
      </w:r>
    </w:p>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pStyle w:val="3"/>
        <w:ind w:firstLine="0" w:firstLineChars="0"/>
        <w:rPr>
          <w:lang w:val="en-US" w:eastAsia="zh-CN"/>
        </w:rPr>
      </w:pPr>
    </w:p>
    <w:p>
      <w:pPr>
        <w:rPr>
          <w:lang w:val="en-US" w:eastAsia="zh-CN"/>
        </w:rPr>
      </w:pPr>
    </w:p>
    <w:p>
      <w:pPr>
        <w:pStyle w:val="4"/>
        <w:numPr>
          <w:ilvl w:val="-1"/>
          <w:numId w:val="0"/>
        </w:numPr>
        <w:rPr>
          <w:lang w:val="en-US" w:eastAsia="zh-CN"/>
        </w:rPr>
      </w:pPr>
    </w:p>
    <w:p>
      <w:pPr>
        <w:pStyle w:val="3"/>
        <w:ind w:firstLine="0" w:firstLineChars="0"/>
        <w:rPr>
          <w:lang w:val="en-US" w:eastAsia="zh-CN"/>
        </w:rPr>
      </w:pPr>
    </w:p>
    <w:p>
      <w:pPr>
        <w:pStyle w:val="3"/>
        <w:ind w:firstLine="0" w:firstLineChars="0"/>
        <w:rPr>
          <w:lang w:val="en-US" w:eastAsia="zh-CN"/>
        </w:rPr>
      </w:pPr>
    </w:p>
    <w:p>
      <w:pPr>
        <w:pStyle w:val="4"/>
        <w:numPr>
          <w:ilvl w:val="-1"/>
          <w:numId w:val="0"/>
        </w:numPr>
        <w:rPr>
          <w:lang w:val="en-US" w:eastAsia="zh-CN"/>
        </w:rPr>
      </w:pPr>
    </w:p>
    <w:p>
      <w:pPr>
        <w:keepNext w:val="0"/>
        <w:keepLines w:val="0"/>
        <w:pageBreakBefore w:val="0"/>
        <w:widowControl w:val="0"/>
        <w:kinsoku/>
        <w:wordWrap/>
        <w:overflowPunct/>
        <w:topLinePunct w:val="0"/>
        <w:autoSpaceDE/>
        <w:autoSpaceDN/>
        <w:bidi w:val="0"/>
        <w:adjustRightInd/>
        <w:snapToGrid/>
        <w:textAlignment w:val="auto"/>
        <w:outlineLvl w:val="0"/>
        <w:rPr>
          <w:rFonts w:hint="eastAsia" w:ascii="黑体" w:hAnsi="黑体" w:eastAsia="黑体"/>
          <w:b/>
          <w:bCs/>
          <w:color w:val="000000" w:themeColor="text1"/>
          <w:sz w:val="24"/>
          <w:szCs w:val="24"/>
          <w:highlight w:val="none"/>
          <w:lang w:eastAsia="zh-CN"/>
          <w14:textFill>
            <w14:solidFill>
              <w14:schemeClr w14:val="tx1"/>
            </w14:solidFill>
          </w14:textFill>
        </w:rPr>
      </w:pPr>
      <w:r>
        <w:rPr>
          <w:rFonts w:hint="eastAsia" w:ascii="黑体" w:hAnsi="黑体" w:eastAsia="黑体"/>
          <w:b/>
          <w:bCs/>
          <w:color w:val="000000" w:themeColor="text1"/>
          <w:sz w:val="24"/>
          <w:szCs w:val="24"/>
          <w:highlight w:val="none"/>
          <w:lang w:val="en-US" w:eastAsia="zh-CN"/>
          <w14:textFill>
            <w14:solidFill>
              <w14:schemeClr w14:val="tx1"/>
            </w14:solidFill>
          </w14:textFill>
        </w:rPr>
        <w:t>附件7：</w:t>
      </w:r>
      <w:r>
        <w:rPr>
          <w:rFonts w:hint="eastAsia" w:ascii="黑体" w:hAnsi="黑体" w:eastAsia="黑体"/>
          <w:b/>
          <w:bCs/>
          <w:color w:val="000000" w:themeColor="text1"/>
          <w:sz w:val="24"/>
          <w:szCs w:val="24"/>
          <w:highlight w:val="none"/>
          <w14:textFill>
            <w14:solidFill>
              <w14:schemeClr w14:val="tx1"/>
            </w14:solidFill>
          </w14:textFill>
        </w:rPr>
        <w:t>报价</w:t>
      </w:r>
      <w:r>
        <w:rPr>
          <w:rFonts w:hint="eastAsia" w:ascii="黑体" w:hAnsi="黑体" w:eastAsia="黑体"/>
          <w:b/>
          <w:bCs/>
          <w:color w:val="000000" w:themeColor="text1"/>
          <w:sz w:val="24"/>
          <w:szCs w:val="24"/>
          <w:highlight w:val="none"/>
          <w:lang w:val="en-US" w:eastAsia="zh-CN"/>
          <w14:textFill>
            <w14:solidFill>
              <w14:schemeClr w14:val="tx1"/>
            </w14:solidFill>
          </w14:textFill>
        </w:rPr>
        <w:t>文件</w:t>
      </w:r>
    </w:p>
    <w:p>
      <w:pPr>
        <w:rPr>
          <w:rFonts w:ascii="黑体" w:hAnsi="黑体" w:eastAsia="黑体"/>
          <w:color w:val="000000" w:themeColor="text1"/>
          <w:sz w:val="21"/>
          <w:szCs w:val="21"/>
          <w:highlight w:val="none"/>
          <w14:textFill>
            <w14:solidFill>
              <w14:schemeClr w14:val="tx1"/>
            </w14:solidFill>
          </w14:textFill>
        </w:rPr>
      </w:pPr>
    </w:p>
    <w:p>
      <w:pPr>
        <w:pStyle w:val="35"/>
        <w:spacing w:line="360" w:lineRule="auto"/>
        <w:ind w:firstLine="0"/>
        <w:jc w:val="center"/>
        <w:rPr>
          <w:rFonts w:hint="eastAsia" w:asciiTheme="minorEastAsia" w:hAnsiTheme="minorEastAsia" w:eastAsiaTheme="minorEastAsia"/>
          <w:b/>
          <w:color w:val="000000" w:themeColor="text1"/>
          <w:sz w:val="21"/>
          <w:szCs w:val="21"/>
          <w:highlight w:val="none"/>
          <w14:textFill>
            <w14:solidFill>
              <w14:schemeClr w14:val="tx1"/>
            </w14:solidFill>
          </w14:textFill>
        </w:rPr>
      </w:pPr>
      <w:r>
        <w:rPr>
          <w:rFonts w:hint="eastAsia" w:asciiTheme="minorEastAsia" w:hAnsiTheme="minorEastAsia" w:eastAsiaTheme="minorEastAsia"/>
          <w:b/>
          <w:color w:val="000000" w:themeColor="text1"/>
          <w:sz w:val="21"/>
          <w:szCs w:val="21"/>
          <w:highlight w:val="none"/>
          <w14:textFill>
            <w14:solidFill>
              <w14:schemeClr w14:val="tx1"/>
            </w14:solidFill>
          </w14:textFill>
        </w:rPr>
        <w:t>报 价 单</w:t>
      </w:r>
    </w:p>
    <w:p>
      <w:pPr>
        <w:pStyle w:val="35"/>
        <w:spacing w:line="360" w:lineRule="auto"/>
        <w:ind w:left="-18" w:leftChars="-67" w:hanging="123" w:hangingChars="59"/>
        <w:rPr>
          <w:rFonts w:hint="eastAsia" w:cs="Arial"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cs="Arial" w:asciiTheme="minorEastAsia" w:hAnsiTheme="minorEastAsia" w:eastAsiaTheme="minorEastAsia"/>
          <w:color w:val="000000" w:themeColor="text1"/>
          <w:sz w:val="21"/>
          <w:szCs w:val="21"/>
          <w:highlight w:val="none"/>
          <w14:textFill>
            <w14:solidFill>
              <w14:schemeClr w14:val="tx1"/>
            </w14:solidFill>
          </w14:textFill>
        </w:rPr>
        <w:t>项目</w:t>
      </w:r>
      <w:r>
        <w:rPr>
          <w:rFonts w:cs="Arial"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ascii="宋体" w:hAnsi="宋体" w:cs="宋体"/>
          <w:i w:val="0"/>
          <w:iCs w:val="0"/>
          <w:color w:val="0000FF"/>
          <w:sz w:val="24"/>
          <w:szCs w:val="24"/>
          <w:highlight w:val="none"/>
          <w:u w:val="none"/>
          <w:lang w:val="en-US" w:eastAsia="zh-CN"/>
        </w:rPr>
        <w:t>钢板等24项采购项</w:t>
      </w:r>
      <w:r>
        <w:rPr>
          <w:rFonts w:hint="eastAsia" w:cs="Arial" w:asciiTheme="minorEastAsia" w:hAnsiTheme="minorEastAsia" w:eastAsiaTheme="minorEastAsia"/>
          <w:color w:val="000000" w:themeColor="text1"/>
          <w:sz w:val="21"/>
          <w:szCs w:val="21"/>
          <w:highlight w:val="none"/>
          <w14:textFill>
            <w14:solidFill>
              <w14:schemeClr w14:val="tx1"/>
            </w14:solidFill>
          </w14:textFill>
        </w:rPr>
        <w:t xml:space="preserve">                       </w:t>
      </w:r>
      <w:r>
        <w:rPr>
          <w:rFonts w:cs="Arial" w:asciiTheme="minorEastAsia" w:hAnsiTheme="minorEastAsia" w:eastAsiaTheme="minorEastAsia"/>
          <w:color w:val="000000" w:themeColor="text1"/>
          <w:sz w:val="21"/>
          <w:szCs w:val="21"/>
          <w:highlight w:val="none"/>
          <w14:textFill>
            <w14:solidFill>
              <w14:schemeClr w14:val="tx1"/>
            </w14:solidFill>
          </w14:textFill>
        </w:rPr>
        <w:t xml:space="preserve">  </w:t>
      </w:r>
      <w:r>
        <w:rPr>
          <w:rFonts w:hint="eastAsia" w:cs="Arial" w:asciiTheme="minorEastAsia" w:hAnsiTheme="minorEastAsia" w:eastAsiaTheme="minorEastAsia"/>
          <w:color w:val="000000" w:themeColor="text1"/>
          <w:sz w:val="21"/>
          <w:szCs w:val="21"/>
          <w:highlight w:val="none"/>
          <w:lang w:val="en-US" w:eastAsia="zh-CN"/>
          <w14:textFill>
            <w14:solidFill>
              <w14:schemeClr w14:val="tx1"/>
            </w14:solidFill>
          </w14:textFill>
        </w:rPr>
        <w:t xml:space="preserve">            </w:t>
      </w:r>
    </w:p>
    <w:p>
      <w:pPr>
        <w:pStyle w:val="35"/>
        <w:spacing w:line="360" w:lineRule="auto"/>
        <w:ind w:left="-18" w:leftChars="-67" w:hanging="123" w:hangingChars="59"/>
        <w:rPr>
          <w:rFonts w:asciiTheme="minorEastAsia" w:hAnsiTheme="minorEastAsia" w:eastAsiaTheme="minorEastAsia"/>
          <w:b/>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报价</w:t>
      </w:r>
      <w:r>
        <w:rPr>
          <w:rFonts w:hint="eastAsia" w:asciiTheme="minorEastAsia" w:hAnsiTheme="minorEastAsia" w:eastAsiaTheme="minorEastAsia"/>
          <w:color w:val="000000" w:themeColor="text1"/>
          <w:sz w:val="21"/>
          <w:szCs w:val="21"/>
          <w:highlight w:val="none"/>
          <w14:textFill>
            <w14:solidFill>
              <w14:schemeClr w14:val="tx1"/>
            </w14:solidFill>
          </w14:textFill>
        </w:rPr>
        <w:t>单位：元；    货币</w:t>
      </w:r>
      <w:r>
        <w:rPr>
          <w:rFonts w:asciiTheme="minorEastAsia" w:hAnsiTheme="minorEastAsia" w:eastAsiaTheme="minorEastAsia"/>
          <w:color w:val="000000" w:themeColor="text1"/>
          <w:sz w:val="21"/>
          <w:szCs w:val="21"/>
          <w:highlight w:val="none"/>
          <w14:textFill>
            <w14:solidFill>
              <w14:schemeClr w14:val="tx1"/>
            </w14:solidFill>
          </w14:textFill>
        </w:rPr>
        <w:t>单位：</w:t>
      </w:r>
      <w:r>
        <w:rPr>
          <w:rFonts w:hint="eastAsia" w:asciiTheme="minorEastAsia" w:hAnsiTheme="minorEastAsia" w:eastAsiaTheme="minorEastAsia"/>
          <w:color w:val="000000" w:themeColor="text1"/>
          <w:sz w:val="21"/>
          <w:szCs w:val="21"/>
          <w:highlight w:val="none"/>
          <w14:textFill>
            <w14:solidFill>
              <w14:schemeClr w14:val="tx1"/>
            </w14:solidFill>
          </w14:textFill>
        </w:rPr>
        <w:t>人民币</w:t>
      </w:r>
    </w:p>
    <w:tbl>
      <w:tblPr>
        <w:tblStyle w:val="18"/>
        <w:tblW w:w="9914" w:type="dxa"/>
        <w:jc w:val="center"/>
        <w:tblLayout w:type="fixed"/>
        <w:tblCellMar>
          <w:top w:w="0" w:type="dxa"/>
          <w:left w:w="108" w:type="dxa"/>
          <w:bottom w:w="0" w:type="dxa"/>
          <w:right w:w="108" w:type="dxa"/>
        </w:tblCellMar>
      </w:tblPr>
      <w:tblGrid>
        <w:gridCol w:w="713"/>
        <w:gridCol w:w="1139"/>
        <w:gridCol w:w="1663"/>
        <w:gridCol w:w="962"/>
        <w:gridCol w:w="763"/>
        <w:gridCol w:w="837"/>
        <w:gridCol w:w="1063"/>
        <w:gridCol w:w="1102"/>
        <w:gridCol w:w="1672"/>
      </w:tblGrid>
      <w:tr>
        <w:tblPrEx>
          <w:tblCellMar>
            <w:top w:w="0" w:type="dxa"/>
            <w:left w:w="108" w:type="dxa"/>
            <w:bottom w:w="0" w:type="dxa"/>
            <w:right w:w="108" w:type="dxa"/>
          </w:tblCellMar>
        </w:tblPrEx>
        <w:trPr>
          <w:trHeight w:val="841" w:hRule="atLeast"/>
          <w:jc w:val="center"/>
        </w:trPr>
        <w:tc>
          <w:tcPr>
            <w:tcW w:w="713" w:type="dxa"/>
            <w:tcBorders>
              <w:top w:val="single" w:color="000000" w:sz="8" w:space="0"/>
              <w:left w:val="single" w:color="000000" w:sz="8" w:space="0"/>
              <w:bottom w:val="nil"/>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序号</w:t>
            </w:r>
          </w:p>
        </w:tc>
        <w:tc>
          <w:tcPr>
            <w:tcW w:w="1139" w:type="dxa"/>
            <w:tcBorders>
              <w:top w:val="single" w:color="000000" w:sz="8" w:space="0"/>
              <w:left w:val="nil"/>
              <w:bottom w:val="nil"/>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货物名称</w:t>
            </w:r>
          </w:p>
        </w:tc>
        <w:tc>
          <w:tcPr>
            <w:tcW w:w="1663" w:type="dxa"/>
            <w:tcBorders>
              <w:top w:val="single" w:color="000000" w:sz="8" w:space="0"/>
              <w:left w:val="nil"/>
              <w:bottom w:val="nil"/>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技术参数及规格型号</w:t>
            </w:r>
          </w:p>
        </w:tc>
        <w:tc>
          <w:tcPr>
            <w:tcW w:w="962" w:type="dxa"/>
            <w:tcBorders>
              <w:top w:val="single" w:color="000000" w:sz="8" w:space="0"/>
              <w:left w:val="nil"/>
              <w:bottom w:val="nil"/>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品牌或制造商</w:t>
            </w:r>
          </w:p>
        </w:tc>
        <w:tc>
          <w:tcPr>
            <w:tcW w:w="763" w:type="dxa"/>
            <w:tcBorders>
              <w:top w:val="single" w:color="000000" w:sz="8" w:space="0"/>
              <w:left w:val="nil"/>
              <w:bottom w:val="nil"/>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单位</w:t>
            </w:r>
          </w:p>
        </w:tc>
        <w:tc>
          <w:tcPr>
            <w:tcW w:w="837" w:type="dxa"/>
            <w:tcBorders>
              <w:top w:val="single" w:color="000000" w:sz="8" w:space="0"/>
              <w:left w:val="nil"/>
              <w:bottom w:val="nil"/>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数量</w:t>
            </w:r>
          </w:p>
        </w:tc>
        <w:tc>
          <w:tcPr>
            <w:tcW w:w="1063" w:type="dxa"/>
            <w:tcBorders>
              <w:top w:val="single" w:color="000000" w:sz="8" w:space="0"/>
              <w:left w:val="nil"/>
              <w:bottom w:val="nil"/>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不含税单价</w:t>
            </w:r>
          </w:p>
        </w:tc>
        <w:tc>
          <w:tcPr>
            <w:tcW w:w="1102" w:type="dxa"/>
            <w:tcBorders>
              <w:top w:val="single" w:color="000000" w:sz="8" w:space="0"/>
              <w:left w:val="nil"/>
              <w:bottom w:val="nil"/>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不含税小计</w:t>
            </w:r>
          </w:p>
        </w:tc>
        <w:tc>
          <w:tcPr>
            <w:tcW w:w="1672" w:type="dxa"/>
            <w:tcBorders>
              <w:top w:val="single" w:color="000000" w:sz="8" w:space="0"/>
              <w:left w:val="nil"/>
              <w:bottom w:val="nil"/>
              <w:right w:val="single" w:color="000000" w:sz="8"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备注</w:t>
            </w:r>
          </w:p>
        </w:tc>
      </w:tr>
      <w:tr>
        <w:tblPrEx>
          <w:tblCellMar>
            <w:top w:w="0" w:type="dxa"/>
            <w:left w:w="108" w:type="dxa"/>
            <w:bottom w:w="0" w:type="dxa"/>
            <w:right w:w="108" w:type="dxa"/>
          </w:tblCellMar>
        </w:tblPrEx>
        <w:trPr>
          <w:trHeight w:val="962" w:hRule="atLeast"/>
          <w:jc w:val="center"/>
        </w:trPr>
        <w:tc>
          <w:tcPr>
            <w:tcW w:w="7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ascii="宋体" w:hAnsi="宋体" w:eastAsia="宋体" w:cs="宋体"/>
                <w:b w:val="0"/>
                <w:bCs/>
                <w:i w:val="0"/>
                <w:iCs w:val="0"/>
                <w:color w:val="000000"/>
                <w:kern w:val="0"/>
                <w:sz w:val="18"/>
                <w:szCs w:val="18"/>
                <w:u w:val="none"/>
                <w:lang w:val="en-US" w:eastAsia="zh-CN" w:bidi="ar"/>
              </w:rPr>
              <w:t>1</w:t>
            </w:r>
          </w:p>
        </w:tc>
        <w:tc>
          <w:tcPr>
            <w:tcW w:w="113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钢板</w:t>
            </w:r>
          </w:p>
        </w:tc>
        <w:tc>
          <w:tcPr>
            <w:tcW w:w="16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钢板\PL10\Q235B\GB/T 3274</w:t>
            </w:r>
          </w:p>
        </w:tc>
        <w:tc>
          <w:tcPr>
            <w:tcW w:w="96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7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TO</w:t>
            </w:r>
          </w:p>
        </w:tc>
        <w:tc>
          <w:tcPr>
            <w:tcW w:w="8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0.71</w:t>
            </w:r>
          </w:p>
        </w:tc>
        <w:tc>
          <w:tcPr>
            <w:tcW w:w="106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9㎡×1张，裸材供货</w:t>
            </w:r>
          </w:p>
        </w:tc>
      </w:tr>
      <w:tr>
        <w:tblPrEx>
          <w:tblCellMar>
            <w:top w:w="0" w:type="dxa"/>
            <w:left w:w="108" w:type="dxa"/>
            <w:bottom w:w="0" w:type="dxa"/>
            <w:right w:w="108" w:type="dxa"/>
          </w:tblCellMar>
        </w:tblPrEx>
        <w:trPr>
          <w:trHeight w:val="962" w:hRule="atLeast"/>
          <w:jc w:val="center"/>
        </w:trPr>
        <w:tc>
          <w:tcPr>
            <w:tcW w:w="7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ascii="宋体" w:hAnsi="宋体" w:eastAsia="宋体" w:cs="宋体"/>
                <w:b w:val="0"/>
                <w:bCs/>
                <w:i w:val="0"/>
                <w:iCs w:val="0"/>
                <w:color w:val="000000"/>
                <w:kern w:val="0"/>
                <w:sz w:val="18"/>
                <w:szCs w:val="18"/>
                <w:u w:val="none"/>
                <w:lang w:val="en-US" w:eastAsia="zh-CN" w:bidi="ar"/>
              </w:rPr>
              <w:t>2</w:t>
            </w:r>
          </w:p>
        </w:tc>
        <w:tc>
          <w:tcPr>
            <w:tcW w:w="113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钢板</w:t>
            </w:r>
          </w:p>
        </w:tc>
        <w:tc>
          <w:tcPr>
            <w:tcW w:w="16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val="0"/>
                <w:bCs/>
                <w:i w:val="0"/>
                <w:iCs w:val="0"/>
                <w:color w:val="000000"/>
                <w:kern w:val="0"/>
                <w:sz w:val="18"/>
                <w:szCs w:val="18"/>
                <w:u w:val="none"/>
                <w:lang w:val="en-US" w:eastAsia="zh-CN" w:bidi="ar"/>
              </w:rPr>
              <w:t>钢板\PL10\S31803\ASTM A240</w:t>
            </w:r>
          </w:p>
        </w:tc>
        <w:tc>
          <w:tcPr>
            <w:tcW w:w="96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7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TO</w:t>
            </w:r>
          </w:p>
        </w:tc>
        <w:tc>
          <w:tcPr>
            <w:tcW w:w="8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0.71</w:t>
            </w:r>
          </w:p>
        </w:tc>
        <w:tc>
          <w:tcPr>
            <w:tcW w:w="106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9㎡×1张，裸材供货</w:t>
            </w:r>
          </w:p>
        </w:tc>
      </w:tr>
      <w:tr>
        <w:tblPrEx>
          <w:tblCellMar>
            <w:top w:w="0" w:type="dxa"/>
            <w:left w:w="108" w:type="dxa"/>
            <w:bottom w:w="0" w:type="dxa"/>
            <w:right w:w="108" w:type="dxa"/>
          </w:tblCellMar>
        </w:tblPrEx>
        <w:trPr>
          <w:trHeight w:val="962" w:hRule="atLeast"/>
          <w:jc w:val="center"/>
        </w:trPr>
        <w:tc>
          <w:tcPr>
            <w:tcW w:w="7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ascii="宋体" w:hAnsi="宋体" w:eastAsia="宋体" w:cs="宋体"/>
                <w:b w:val="0"/>
                <w:bCs/>
                <w:i w:val="0"/>
                <w:iCs w:val="0"/>
                <w:color w:val="000000"/>
                <w:kern w:val="0"/>
                <w:sz w:val="18"/>
                <w:szCs w:val="18"/>
                <w:u w:val="none"/>
                <w:lang w:val="en-US" w:eastAsia="zh-CN" w:bidi="ar"/>
              </w:rPr>
              <w:t>3</w:t>
            </w:r>
          </w:p>
        </w:tc>
        <w:tc>
          <w:tcPr>
            <w:tcW w:w="113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钢板</w:t>
            </w:r>
          </w:p>
        </w:tc>
        <w:tc>
          <w:tcPr>
            <w:tcW w:w="16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val="0"/>
                <w:bCs/>
                <w:i w:val="0"/>
                <w:iCs w:val="0"/>
                <w:color w:val="000000"/>
                <w:kern w:val="0"/>
                <w:sz w:val="18"/>
                <w:szCs w:val="18"/>
                <w:u w:val="none"/>
                <w:lang w:val="en-US" w:eastAsia="zh-CN" w:bidi="ar"/>
              </w:rPr>
              <w:t>钢板\PL12\A36\ASTM A36</w:t>
            </w:r>
          </w:p>
        </w:tc>
        <w:tc>
          <w:tcPr>
            <w:tcW w:w="96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7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TO</w:t>
            </w:r>
          </w:p>
        </w:tc>
        <w:tc>
          <w:tcPr>
            <w:tcW w:w="8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0.85</w:t>
            </w:r>
          </w:p>
        </w:tc>
        <w:tc>
          <w:tcPr>
            <w:tcW w:w="106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9㎡×1张，裸材供货</w:t>
            </w:r>
          </w:p>
        </w:tc>
      </w:tr>
      <w:tr>
        <w:tblPrEx>
          <w:tblCellMar>
            <w:top w:w="0" w:type="dxa"/>
            <w:left w:w="108" w:type="dxa"/>
            <w:bottom w:w="0" w:type="dxa"/>
            <w:right w:w="108" w:type="dxa"/>
          </w:tblCellMar>
        </w:tblPrEx>
        <w:trPr>
          <w:trHeight w:val="962" w:hRule="atLeast"/>
          <w:jc w:val="center"/>
        </w:trPr>
        <w:tc>
          <w:tcPr>
            <w:tcW w:w="7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ascii="宋体" w:hAnsi="宋体" w:eastAsia="宋体" w:cs="宋体"/>
                <w:b w:val="0"/>
                <w:bCs/>
                <w:i w:val="0"/>
                <w:iCs w:val="0"/>
                <w:color w:val="000000"/>
                <w:kern w:val="0"/>
                <w:sz w:val="18"/>
                <w:szCs w:val="18"/>
                <w:u w:val="none"/>
                <w:lang w:val="en-US" w:eastAsia="zh-CN" w:bidi="ar"/>
              </w:rPr>
              <w:t>4</w:t>
            </w:r>
          </w:p>
        </w:tc>
        <w:tc>
          <w:tcPr>
            <w:tcW w:w="113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钢板</w:t>
            </w:r>
          </w:p>
        </w:tc>
        <w:tc>
          <w:tcPr>
            <w:tcW w:w="16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val="0"/>
                <w:bCs/>
                <w:i w:val="0"/>
                <w:iCs w:val="0"/>
                <w:color w:val="000000"/>
                <w:kern w:val="0"/>
                <w:sz w:val="18"/>
                <w:szCs w:val="18"/>
                <w:u w:val="none"/>
                <w:lang w:val="en-US" w:eastAsia="zh-CN" w:bidi="ar"/>
              </w:rPr>
              <w:t>钢板\PL12\Q235B\GB/T 3274</w:t>
            </w:r>
          </w:p>
        </w:tc>
        <w:tc>
          <w:tcPr>
            <w:tcW w:w="96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7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TO</w:t>
            </w:r>
          </w:p>
        </w:tc>
        <w:tc>
          <w:tcPr>
            <w:tcW w:w="8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0.85</w:t>
            </w:r>
          </w:p>
        </w:tc>
        <w:tc>
          <w:tcPr>
            <w:tcW w:w="106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9㎡×1张，裸材供货</w:t>
            </w:r>
          </w:p>
        </w:tc>
      </w:tr>
      <w:tr>
        <w:tblPrEx>
          <w:tblCellMar>
            <w:top w:w="0" w:type="dxa"/>
            <w:left w:w="108" w:type="dxa"/>
            <w:bottom w:w="0" w:type="dxa"/>
            <w:right w:w="108" w:type="dxa"/>
          </w:tblCellMar>
        </w:tblPrEx>
        <w:trPr>
          <w:trHeight w:val="962" w:hRule="atLeast"/>
          <w:jc w:val="center"/>
        </w:trPr>
        <w:tc>
          <w:tcPr>
            <w:tcW w:w="7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ascii="宋体" w:hAnsi="宋体" w:eastAsia="宋体" w:cs="宋体"/>
                <w:b w:val="0"/>
                <w:bCs/>
                <w:i w:val="0"/>
                <w:iCs w:val="0"/>
                <w:color w:val="000000"/>
                <w:kern w:val="0"/>
                <w:sz w:val="18"/>
                <w:szCs w:val="18"/>
                <w:u w:val="none"/>
                <w:lang w:val="en-US" w:eastAsia="zh-CN" w:bidi="ar"/>
              </w:rPr>
              <w:t>5</w:t>
            </w:r>
          </w:p>
        </w:tc>
        <w:tc>
          <w:tcPr>
            <w:tcW w:w="113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钢板</w:t>
            </w:r>
          </w:p>
        </w:tc>
        <w:tc>
          <w:tcPr>
            <w:tcW w:w="16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val="0"/>
                <w:bCs/>
                <w:i w:val="0"/>
                <w:iCs w:val="0"/>
                <w:color w:val="000000"/>
                <w:kern w:val="0"/>
                <w:sz w:val="18"/>
                <w:szCs w:val="18"/>
                <w:u w:val="none"/>
                <w:lang w:val="en-US" w:eastAsia="zh-CN" w:bidi="ar"/>
              </w:rPr>
              <w:t>钢板\PL12\S31803\ASTM A240</w:t>
            </w:r>
          </w:p>
        </w:tc>
        <w:tc>
          <w:tcPr>
            <w:tcW w:w="96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7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TO</w:t>
            </w:r>
          </w:p>
        </w:tc>
        <w:tc>
          <w:tcPr>
            <w:tcW w:w="8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0.85</w:t>
            </w:r>
          </w:p>
        </w:tc>
        <w:tc>
          <w:tcPr>
            <w:tcW w:w="106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9㎡×1张，裸材供货</w:t>
            </w:r>
          </w:p>
        </w:tc>
      </w:tr>
      <w:tr>
        <w:tblPrEx>
          <w:tblCellMar>
            <w:top w:w="0" w:type="dxa"/>
            <w:left w:w="108" w:type="dxa"/>
            <w:bottom w:w="0" w:type="dxa"/>
            <w:right w:w="108" w:type="dxa"/>
          </w:tblCellMar>
        </w:tblPrEx>
        <w:trPr>
          <w:trHeight w:val="962" w:hRule="atLeast"/>
          <w:jc w:val="center"/>
        </w:trPr>
        <w:tc>
          <w:tcPr>
            <w:tcW w:w="7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ascii="宋体" w:hAnsi="宋体" w:eastAsia="宋体" w:cs="宋体"/>
                <w:b w:val="0"/>
                <w:bCs/>
                <w:i w:val="0"/>
                <w:iCs w:val="0"/>
                <w:color w:val="000000"/>
                <w:kern w:val="0"/>
                <w:sz w:val="18"/>
                <w:szCs w:val="18"/>
                <w:u w:val="none"/>
                <w:lang w:val="en-US" w:eastAsia="zh-CN" w:bidi="ar"/>
              </w:rPr>
              <w:t>6</w:t>
            </w:r>
          </w:p>
        </w:tc>
        <w:tc>
          <w:tcPr>
            <w:tcW w:w="113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钢板</w:t>
            </w:r>
          </w:p>
        </w:tc>
        <w:tc>
          <w:tcPr>
            <w:tcW w:w="16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val="0"/>
                <w:bCs/>
                <w:i w:val="0"/>
                <w:iCs w:val="0"/>
                <w:color w:val="000000"/>
                <w:kern w:val="0"/>
                <w:sz w:val="18"/>
                <w:szCs w:val="18"/>
                <w:u w:val="none"/>
                <w:lang w:val="en-US" w:eastAsia="zh-CN" w:bidi="ar"/>
              </w:rPr>
              <w:t>钢板\PL12\S31803\NACE MR0175\ASTM A240</w:t>
            </w:r>
          </w:p>
        </w:tc>
        <w:tc>
          <w:tcPr>
            <w:tcW w:w="96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7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TO</w:t>
            </w:r>
          </w:p>
        </w:tc>
        <w:tc>
          <w:tcPr>
            <w:tcW w:w="8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0.85</w:t>
            </w:r>
          </w:p>
        </w:tc>
        <w:tc>
          <w:tcPr>
            <w:tcW w:w="106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9㎡×1张，裸材供货</w:t>
            </w:r>
          </w:p>
        </w:tc>
      </w:tr>
      <w:tr>
        <w:tblPrEx>
          <w:tblCellMar>
            <w:top w:w="0" w:type="dxa"/>
            <w:left w:w="108" w:type="dxa"/>
            <w:bottom w:w="0" w:type="dxa"/>
            <w:right w:w="108" w:type="dxa"/>
          </w:tblCellMar>
        </w:tblPrEx>
        <w:trPr>
          <w:trHeight w:val="962" w:hRule="atLeast"/>
          <w:jc w:val="center"/>
        </w:trPr>
        <w:tc>
          <w:tcPr>
            <w:tcW w:w="7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ascii="宋体" w:hAnsi="宋体" w:eastAsia="宋体" w:cs="宋体"/>
                <w:b w:val="0"/>
                <w:bCs/>
                <w:i w:val="0"/>
                <w:iCs w:val="0"/>
                <w:color w:val="000000"/>
                <w:kern w:val="0"/>
                <w:sz w:val="18"/>
                <w:szCs w:val="18"/>
                <w:u w:val="none"/>
                <w:lang w:val="en-US" w:eastAsia="zh-CN" w:bidi="ar"/>
              </w:rPr>
              <w:t>7</w:t>
            </w:r>
          </w:p>
        </w:tc>
        <w:tc>
          <w:tcPr>
            <w:tcW w:w="113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钢板</w:t>
            </w:r>
          </w:p>
        </w:tc>
        <w:tc>
          <w:tcPr>
            <w:tcW w:w="16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val="0"/>
                <w:bCs/>
                <w:i w:val="0"/>
                <w:iCs w:val="0"/>
                <w:color w:val="000000"/>
                <w:kern w:val="0"/>
                <w:sz w:val="18"/>
                <w:szCs w:val="18"/>
                <w:u w:val="none"/>
                <w:lang w:val="en-US" w:eastAsia="zh-CN" w:bidi="ar"/>
              </w:rPr>
              <w:t>钢板\PL15\S31803\ASTM A240</w:t>
            </w:r>
          </w:p>
        </w:tc>
        <w:tc>
          <w:tcPr>
            <w:tcW w:w="96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7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TO</w:t>
            </w:r>
          </w:p>
        </w:tc>
        <w:tc>
          <w:tcPr>
            <w:tcW w:w="8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1.06</w:t>
            </w:r>
          </w:p>
        </w:tc>
        <w:tc>
          <w:tcPr>
            <w:tcW w:w="106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9㎡×1张，裸材供货</w:t>
            </w:r>
          </w:p>
        </w:tc>
      </w:tr>
      <w:tr>
        <w:tblPrEx>
          <w:tblCellMar>
            <w:top w:w="0" w:type="dxa"/>
            <w:left w:w="108" w:type="dxa"/>
            <w:bottom w:w="0" w:type="dxa"/>
            <w:right w:w="108" w:type="dxa"/>
          </w:tblCellMar>
        </w:tblPrEx>
        <w:trPr>
          <w:trHeight w:val="962" w:hRule="atLeast"/>
          <w:jc w:val="center"/>
        </w:trPr>
        <w:tc>
          <w:tcPr>
            <w:tcW w:w="7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ascii="宋体" w:hAnsi="宋体" w:eastAsia="宋体" w:cs="宋体"/>
                <w:b w:val="0"/>
                <w:bCs/>
                <w:i w:val="0"/>
                <w:iCs w:val="0"/>
                <w:color w:val="000000"/>
                <w:kern w:val="0"/>
                <w:sz w:val="18"/>
                <w:szCs w:val="18"/>
                <w:u w:val="none"/>
                <w:lang w:val="en-US" w:eastAsia="zh-CN" w:bidi="ar"/>
              </w:rPr>
              <w:t>8</w:t>
            </w:r>
          </w:p>
        </w:tc>
        <w:tc>
          <w:tcPr>
            <w:tcW w:w="113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钢板</w:t>
            </w:r>
          </w:p>
        </w:tc>
        <w:tc>
          <w:tcPr>
            <w:tcW w:w="16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val="0"/>
                <w:bCs/>
                <w:i w:val="0"/>
                <w:iCs w:val="0"/>
                <w:color w:val="000000"/>
                <w:kern w:val="0"/>
                <w:sz w:val="18"/>
                <w:szCs w:val="18"/>
                <w:u w:val="none"/>
                <w:lang w:val="en-US" w:eastAsia="zh-CN" w:bidi="ar"/>
              </w:rPr>
              <w:t>钢板\PL2\316L\ASTM A240</w:t>
            </w:r>
          </w:p>
        </w:tc>
        <w:tc>
          <w:tcPr>
            <w:tcW w:w="96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7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TO</w:t>
            </w:r>
          </w:p>
        </w:tc>
        <w:tc>
          <w:tcPr>
            <w:tcW w:w="8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0.15</w:t>
            </w:r>
          </w:p>
        </w:tc>
        <w:tc>
          <w:tcPr>
            <w:tcW w:w="106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9㎡×1张，裸材供货</w:t>
            </w:r>
          </w:p>
        </w:tc>
      </w:tr>
      <w:tr>
        <w:tblPrEx>
          <w:tblCellMar>
            <w:top w:w="0" w:type="dxa"/>
            <w:left w:w="108" w:type="dxa"/>
            <w:bottom w:w="0" w:type="dxa"/>
            <w:right w:w="108" w:type="dxa"/>
          </w:tblCellMar>
        </w:tblPrEx>
        <w:trPr>
          <w:trHeight w:val="962" w:hRule="atLeast"/>
          <w:jc w:val="center"/>
        </w:trPr>
        <w:tc>
          <w:tcPr>
            <w:tcW w:w="7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ascii="宋体" w:hAnsi="宋体" w:eastAsia="宋体" w:cs="宋体"/>
                <w:b w:val="0"/>
                <w:bCs/>
                <w:i w:val="0"/>
                <w:iCs w:val="0"/>
                <w:color w:val="000000"/>
                <w:kern w:val="0"/>
                <w:sz w:val="18"/>
                <w:szCs w:val="18"/>
                <w:u w:val="none"/>
                <w:lang w:val="en-US" w:eastAsia="zh-CN" w:bidi="ar"/>
              </w:rPr>
              <w:t>9</w:t>
            </w:r>
          </w:p>
        </w:tc>
        <w:tc>
          <w:tcPr>
            <w:tcW w:w="113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钢板</w:t>
            </w:r>
          </w:p>
        </w:tc>
        <w:tc>
          <w:tcPr>
            <w:tcW w:w="16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val="0"/>
                <w:bCs/>
                <w:i w:val="0"/>
                <w:iCs w:val="0"/>
                <w:color w:val="000000"/>
                <w:kern w:val="0"/>
                <w:sz w:val="18"/>
                <w:szCs w:val="18"/>
                <w:u w:val="none"/>
                <w:lang w:val="en-US" w:eastAsia="zh-CN" w:bidi="ar"/>
              </w:rPr>
              <w:t>钢板\PL20\Q235B\GB/T 3274</w:t>
            </w:r>
          </w:p>
        </w:tc>
        <w:tc>
          <w:tcPr>
            <w:tcW w:w="96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7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TO</w:t>
            </w:r>
          </w:p>
        </w:tc>
        <w:tc>
          <w:tcPr>
            <w:tcW w:w="8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1.42</w:t>
            </w:r>
          </w:p>
        </w:tc>
        <w:tc>
          <w:tcPr>
            <w:tcW w:w="106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9㎡×1张，裸材供货</w:t>
            </w:r>
          </w:p>
        </w:tc>
      </w:tr>
      <w:tr>
        <w:tblPrEx>
          <w:tblCellMar>
            <w:top w:w="0" w:type="dxa"/>
            <w:left w:w="108" w:type="dxa"/>
            <w:bottom w:w="0" w:type="dxa"/>
            <w:right w:w="108" w:type="dxa"/>
          </w:tblCellMar>
        </w:tblPrEx>
        <w:trPr>
          <w:trHeight w:val="962" w:hRule="atLeast"/>
          <w:jc w:val="center"/>
        </w:trPr>
        <w:tc>
          <w:tcPr>
            <w:tcW w:w="7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ascii="宋体" w:hAnsi="宋体" w:eastAsia="宋体" w:cs="宋体"/>
                <w:b w:val="0"/>
                <w:bCs/>
                <w:i w:val="0"/>
                <w:iCs w:val="0"/>
                <w:color w:val="000000"/>
                <w:kern w:val="0"/>
                <w:sz w:val="18"/>
                <w:szCs w:val="18"/>
                <w:u w:val="none"/>
                <w:lang w:val="en-US" w:eastAsia="zh-CN" w:bidi="ar"/>
              </w:rPr>
              <w:t>10</w:t>
            </w:r>
          </w:p>
        </w:tc>
        <w:tc>
          <w:tcPr>
            <w:tcW w:w="113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钢板</w:t>
            </w:r>
          </w:p>
        </w:tc>
        <w:tc>
          <w:tcPr>
            <w:tcW w:w="16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val="0"/>
                <w:bCs/>
                <w:i w:val="0"/>
                <w:iCs w:val="0"/>
                <w:color w:val="000000"/>
                <w:kern w:val="0"/>
                <w:sz w:val="18"/>
                <w:szCs w:val="18"/>
                <w:u w:val="none"/>
                <w:lang w:val="en-US" w:eastAsia="zh-CN" w:bidi="ar"/>
              </w:rPr>
              <w:t>钢板\PL3\316L\ASTM A240</w:t>
            </w:r>
          </w:p>
        </w:tc>
        <w:tc>
          <w:tcPr>
            <w:tcW w:w="96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7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TO</w:t>
            </w:r>
          </w:p>
        </w:tc>
        <w:tc>
          <w:tcPr>
            <w:tcW w:w="8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0.22</w:t>
            </w:r>
          </w:p>
        </w:tc>
        <w:tc>
          <w:tcPr>
            <w:tcW w:w="106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9㎡×1张，裸材供货</w:t>
            </w:r>
          </w:p>
        </w:tc>
      </w:tr>
      <w:tr>
        <w:tblPrEx>
          <w:tblCellMar>
            <w:top w:w="0" w:type="dxa"/>
            <w:left w:w="108" w:type="dxa"/>
            <w:bottom w:w="0" w:type="dxa"/>
            <w:right w:w="108" w:type="dxa"/>
          </w:tblCellMar>
        </w:tblPrEx>
        <w:trPr>
          <w:trHeight w:val="962" w:hRule="atLeast"/>
          <w:jc w:val="center"/>
        </w:trPr>
        <w:tc>
          <w:tcPr>
            <w:tcW w:w="7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ascii="宋体" w:hAnsi="宋体" w:eastAsia="宋体" w:cs="宋体"/>
                <w:b w:val="0"/>
                <w:bCs/>
                <w:i w:val="0"/>
                <w:iCs w:val="0"/>
                <w:color w:val="000000"/>
                <w:kern w:val="0"/>
                <w:sz w:val="18"/>
                <w:szCs w:val="18"/>
                <w:u w:val="none"/>
                <w:lang w:val="en-US" w:eastAsia="zh-CN" w:bidi="ar"/>
              </w:rPr>
              <w:t>11</w:t>
            </w:r>
          </w:p>
        </w:tc>
        <w:tc>
          <w:tcPr>
            <w:tcW w:w="113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钢板</w:t>
            </w:r>
          </w:p>
        </w:tc>
        <w:tc>
          <w:tcPr>
            <w:tcW w:w="16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val="0"/>
                <w:bCs/>
                <w:i w:val="0"/>
                <w:iCs w:val="0"/>
                <w:color w:val="000000"/>
                <w:kern w:val="0"/>
                <w:sz w:val="18"/>
                <w:szCs w:val="18"/>
                <w:u w:val="none"/>
                <w:lang w:val="en-US" w:eastAsia="zh-CN" w:bidi="ar"/>
              </w:rPr>
              <w:t>钢板\PL6\A36\ASTM A36</w:t>
            </w:r>
          </w:p>
        </w:tc>
        <w:tc>
          <w:tcPr>
            <w:tcW w:w="96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7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TO</w:t>
            </w:r>
          </w:p>
        </w:tc>
        <w:tc>
          <w:tcPr>
            <w:tcW w:w="8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0.43</w:t>
            </w:r>
          </w:p>
        </w:tc>
        <w:tc>
          <w:tcPr>
            <w:tcW w:w="106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9㎡×1张，裸材供货</w:t>
            </w:r>
          </w:p>
        </w:tc>
      </w:tr>
      <w:tr>
        <w:tblPrEx>
          <w:tblCellMar>
            <w:top w:w="0" w:type="dxa"/>
            <w:left w:w="108" w:type="dxa"/>
            <w:bottom w:w="0" w:type="dxa"/>
            <w:right w:w="108" w:type="dxa"/>
          </w:tblCellMar>
        </w:tblPrEx>
        <w:trPr>
          <w:trHeight w:val="962" w:hRule="atLeast"/>
          <w:jc w:val="center"/>
        </w:trPr>
        <w:tc>
          <w:tcPr>
            <w:tcW w:w="7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ascii="宋体" w:hAnsi="宋体" w:eastAsia="宋体" w:cs="宋体"/>
                <w:b w:val="0"/>
                <w:bCs/>
                <w:i w:val="0"/>
                <w:iCs w:val="0"/>
                <w:color w:val="000000"/>
                <w:kern w:val="0"/>
                <w:sz w:val="18"/>
                <w:szCs w:val="18"/>
                <w:u w:val="none"/>
                <w:lang w:val="en-US" w:eastAsia="zh-CN" w:bidi="ar"/>
              </w:rPr>
              <w:t>12</w:t>
            </w:r>
          </w:p>
        </w:tc>
        <w:tc>
          <w:tcPr>
            <w:tcW w:w="113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钢板</w:t>
            </w:r>
          </w:p>
        </w:tc>
        <w:tc>
          <w:tcPr>
            <w:tcW w:w="16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val="0"/>
                <w:bCs/>
                <w:i w:val="0"/>
                <w:iCs w:val="0"/>
                <w:color w:val="000000"/>
                <w:kern w:val="0"/>
                <w:sz w:val="18"/>
                <w:szCs w:val="18"/>
                <w:u w:val="none"/>
                <w:lang w:val="en-US" w:eastAsia="zh-CN" w:bidi="ar"/>
              </w:rPr>
              <w:t>钢板\PL6\Q235B\GB/T 3274</w:t>
            </w:r>
          </w:p>
        </w:tc>
        <w:tc>
          <w:tcPr>
            <w:tcW w:w="96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7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TO</w:t>
            </w:r>
          </w:p>
        </w:tc>
        <w:tc>
          <w:tcPr>
            <w:tcW w:w="8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0.43</w:t>
            </w:r>
          </w:p>
        </w:tc>
        <w:tc>
          <w:tcPr>
            <w:tcW w:w="106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9㎡×1张，裸材供货</w:t>
            </w:r>
          </w:p>
        </w:tc>
      </w:tr>
      <w:tr>
        <w:tblPrEx>
          <w:tblCellMar>
            <w:top w:w="0" w:type="dxa"/>
            <w:left w:w="108" w:type="dxa"/>
            <w:bottom w:w="0" w:type="dxa"/>
            <w:right w:w="108" w:type="dxa"/>
          </w:tblCellMar>
        </w:tblPrEx>
        <w:trPr>
          <w:trHeight w:val="962" w:hRule="atLeast"/>
          <w:jc w:val="center"/>
        </w:trPr>
        <w:tc>
          <w:tcPr>
            <w:tcW w:w="7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ascii="宋体" w:hAnsi="宋体" w:eastAsia="宋体" w:cs="宋体"/>
                <w:b w:val="0"/>
                <w:bCs/>
                <w:i w:val="0"/>
                <w:iCs w:val="0"/>
                <w:color w:val="000000"/>
                <w:kern w:val="0"/>
                <w:sz w:val="18"/>
                <w:szCs w:val="18"/>
                <w:u w:val="none"/>
                <w:lang w:val="en-US" w:eastAsia="zh-CN" w:bidi="ar"/>
              </w:rPr>
              <w:t>13</w:t>
            </w:r>
          </w:p>
        </w:tc>
        <w:tc>
          <w:tcPr>
            <w:tcW w:w="113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钢板</w:t>
            </w:r>
          </w:p>
        </w:tc>
        <w:tc>
          <w:tcPr>
            <w:tcW w:w="16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val="0"/>
                <w:bCs/>
                <w:i w:val="0"/>
                <w:iCs w:val="0"/>
                <w:color w:val="000000"/>
                <w:kern w:val="0"/>
                <w:sz w:val="18"/>
                <w:szCs w:val="18"/>
                <w:u w:val="none"/>
                <w:lang w:val="en-US" w:eastAsia="zh-CN" w:bidi="ar"/>
              </w:rPr>
              <w:t>钢板\PL6\S31803\ASTM A240</w:t>
            </w:r>
          </w:p>
        </w:tc>
        <w:tc>
          <w:tcPr>
            <w:tcW w:w="96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7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TO</w:t>
            </w:r>
          </w:p>
        </w:tc>
        <w:tc>
          <w:tcPr>
            <w:tcW w:w="8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0.43</w:t>
            </w:r>
          </w:p>
        </w:tc>
        <w:tc>
          <w:tcPr>
            <w:tcW w:w="106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9㎡×1张，裸材供货</w:t>
            </w:r>
          </w:p>
        </w:tc>
      </w:tr>
      <w:tr>
        <w:tblPrEx>
          <w:tblCellMar>
            <w:top w:w="0" w:type="dxa"/>
            <w:left w:w="108" w:type="dxa"/>
            <w:bottom w:w="0" w:type="dxa"/>
            <w:right w:w="108" w:type="dxa"/>
          </w:tblCellMar>
        </w:tblPrEx>
        <w:trPr>
          <w:trHeight w:val="962" w:hRule="atLeast"/>
          <w:jc w:val="center"/>
        </w:trPr>
        <w:tc>
          <w:tcPr>
            <w:tcW w:w="7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ascii="宋体" w:hAnsi="宋体" w:eastAsia="宋体" w:cs="宋体"/>
                <w:b w:val="0"/>
                <w:bCs/>
                <w:i w:val="0"/>
                <w:iCs w:val="0"/>
                <w:color w:val="000000"/>
                <w:kern w:val="0"/>
                <w:sz w:val="18"/>
                <w:szCs w:val="18"/>
                <w:u w:val="none"/>
                <w:lang w:val="en-US" w:eastAsia="zh-CN" w:bidi="ar"/>
              </w:rPr>
              <w:t>14</w:t>
            </w:r>
          </w:p>
        </w:tc>
        <w:tc>
          <w:tcPr>
            <w:tcW w:w="113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钢板</w:t>
            </w:r>
          </w:p>
        </w:tc>
        <w:tc>
          <w:tcPr>
            <w:tcW w:w="16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val="0"/>
                <w:bCs/>
                <w:i w:val="0"/>
                <w:iCs w:val="0"/>
                <w:color w:val="000000"/>
                <w:kern w:val="0"/>
                <w:sz w:val="18"/>
                <w:szCs w:val="18"/>
                <w:u w:val="none"/>
                <w:lang w:val="en-US" w:eastAsia="zh-CN" w:bidi="ar"/>
              </w:rPr>
              <w:t>钢板\PL8\Q235B\GB/T 3274</w:t>
            </w:r>
          </w:p>
        </w:tc>
        <w:tc>
          <w:tcPr>
            <w:tcW w:w="96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7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TO</w:t>
            </w:r>
          </w:p>
        </w:tc>
        <w:tc>
          <w:tcPr>
            <w:tcW w:w="8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1.14</w:t>
            </w:r>
          </w:p>
        </w:tc>
        <w:tc>
          <w:tcPr>
            <w:tcW w:w="106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9㎡×2张，裸材供货</w:t>
            </w:r>
          </w:p>
        </w:tc>
      </w:tr>
      <w:tr>
        <w:tblPrEx>
          <w:tblCellMar>
            <w:top w:w="0" w:type="dxa"/>
            <w:left w:w="108" w:type="dxa"/>
            <w:bottom w:w="0" w:type="dxa"/>
            <w:right w:w="108" w:type="dxa"/>
          </w:tblCellMar>
        </w:tblPrEx>
        <w:trPr>
          <w:trHeight w:val="962" w:hRule="atLeast"/>
          <w:jc w:val="center"/>
        </w:trPr>
        <w:tc>
          <w:tcPr>
            <w:tcW w:w="7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ascii="宋体" w:hAnsi="宋体" w:eastAsia="宋体" w:cs="宋体"/>
                <w:b w:val="0"/>
                <w:bCs/>
                <w:i w:val="0"/>
                <w:iCs w:val="0"/>
                <w:color w:val="000000"/>
                <w:kern w:val="0"/>
                <w:sz w:val="18"/>
                <w:szCs w:val="18"/>
                <w:u w:val="none"/>
                <w:lang w:val="en-US" w:eastAsia="zh-CN" w:bidi="ar"/>
              </w:rPr>
              <w:t>15</w:t>
            </w:r>
          </w:p>
        </w:tc>
        <w:tc>
          <w:tcPr>
            <w:tcW w:w="113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钢板</w:t>
            </w:r>
          </w:p>
        </w:tc>
        <w:tc>
          <w:tcPr>
            <w:tcW w:w="16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val="0"/>
                <w:bCs/>
                <w:i w:val="0"/>
                <w:iCs w:val="0"/>
                <w:color w:val="000000"/>
                <w:kern w:val="0"/>
                <w:sz w:val="18"/>
                <w:szCs w:val="18"/>
                <w:u w:val="none"/>
                <w:lang w:val="en-US" w:eastAsia="zh-CN" w:bidi="ar"/>
              </w:rPr>
              <w:t>钢板\PL8\S31803\ASTM A240</w:t>
            </w:r>
          </w:p>
        </w:tc>
        <w:tc>
          <w:tcPr>
            <w:tcW w:w="96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7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TO</w:t>
            </w:r>
          </w:p>
        </w:tc>
        <w:tc>
          <w:tcPr>
            <w:tcW w:w="8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0.57</w:t>
            </w:r>
          </w:p>
        </w:tc>
        <w:tc>
          <w:tcPr>
            <w:tcW w:w="106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9㎡×1张，裸材供货</w:t>
            </w:r>
          </w:p>
        </w:tc>
      </w:tr>
      <w:tr>
        <w:tblPrEx>
          <w:tblCellMar>
            <w:top w:w="0" w:type="dxa"/>
            <w:left w:w="108" w:type="dxa"/>
            <w:bottom w:w="0" w:type="dxa"/>
            <w:right w:w="108" w:type="dxa"/>
          </w:tblCellMar>
        </w:tblPrEx>
        <w:trPr>
          <w:trHeight w:val="962" w:hRule="atLeast"/>
          <w:jc w:val="center"/>
        </w:trPr>
        <w:tc>
          <w:tcPr>
            <w:tcW w:w="7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16</w:t>
            </w:r>
          </w:p>
        </w:tc>
        <w:tc>
          <w:tcPr>
            <w:tcW w:w="113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钢板</w:t>
            </w:r>
          </w:p>
        </w:tc>
        <w:tc>
          <w:tcPr>
            <w:tcW w:w="16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val="0"/>
                <w:bCs/>
                <w:i w:val="0"/>
                <w:iCs w:val="0"/>
                <w:color w:val="000000"/>
                <w:kern w:val="0"/>
                <w:sz w:val="18"/>
                <w:szCs w:val="18"/>
                <w:u w:val="none"/>
                <w:lang w:val="en-US" w:eastAsia="zh-CN" w:bidi="ar"/>
              </w:rPr>
              <w:t>钢板\PL8\S31803\NACE MR0175\ASTM A240</w:t>
            </w:r>
          </w:p>
        </w:tc>
        <w:tc>
          <w:tcPr>
            <w:tcW w:w="96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7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TO</w:t>
            </w:r>
          </w:p>
        </w:tc>
        <w:tc>
          <w:tcPr>
            <w:tcW w:w="8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0.57</w:t>
            </w:r>
          </w:p>
        </w:tc>
        <w:tc>
          <w:tcPr>
            <w:tcW w:w="106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9㎡×1张，裸材供货</w:t>
            </w:r>
          </w:p>
        </w:tc>
      </w:tr>
      <w:tr>
        <w:tblPrEx>
          <w:tblCellMar>
            <w:top w:w="0" w:type="dxa"/>
            <w:left w:w="108" w:type="dxa"/>
            <w:bottom w:w="0" w:type="dxa"/>
            <w:right w:w="108" w:type="dxa"/>
          </w:tblCellMar>
        </w:tblPrEx>
        <w:trPr>
          <w:trHeight w:val="962" w:hRule="atLeast"/>
          <w:jc w:val="center"/>
        </w:trPr>
        <w:tc>
          <w:tcPr>
            <w:tcW w:w="7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17</w:t>
            </w:r>
          </w:p>
        </w:tc>
        <w:tc>
          <w:tcPr>
            <w:tcW w:w="113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钢格板</w:t>
            </w:r>
          </w:p>
        </w:tc>
        <w:tc>
          <w:tcPr>
            <w:tcW w:w="16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val="0"/>
                <w:bCs/>
                <w:i w:val="0"/>
                <w:iCs w:val="0"/>
                <w:color w:val="000000"/>
                <w:kern w:val="0"/>
                <w:sz w:val="18"/>
                <w:szCs w:val="18"/>
                <w:u w:val="none"/>
                <w:lang w:val="en-US" w:eastAsia="zh-CN" w:bidi="ar"/>
              </w:rPr>
              <w:t>钢格板\G325/30/50\Q235B\不经处理\YB/T 4001.1</w:t>
            </w:r>
          </w:p>
        </w:tc>
        <w:tc>
          <w:tcPr>
            <w:tcW w:w="96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7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M2</w:t>
            </w:r>
          </w:p>
        </w:tc>
        <w:tc>
          <w:tcPr>
            <w:tcW w:w="8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1.2</w:t>
            </w:r>
          </w:p>
        </w:tc>
        <w:tc>
          <w:tcPr>
            <w:tcW w:w="106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1400mmx800mm，1块</w:t>
            </w:r>
          </w:p>
        </w:tc>
      </w:tr>
      <w:tr>
        <w:tblPrEx>
          <w:tblCellMar>
            <w:top w:w="0" w:type="dxa"/>
            <w:left w:w="108" w:type="dxa"/>
            <w:bottom w:w="0" w:type="dxa"/>
            <w:right w:w="108" w:type="dxa"/>
          </w:tblCellMar>
        </w:tblPrEx>
        <w:trPr>
          <w:trHeight w:val="962" w:hRule="atLeast"/>
          <w:jc w:val="center"/>
        </w:trPr>
        <w:tc>
          <w:tcPr>
            <w:tcW w:w="7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18</w:t>
            </w:r>
          </w:p>
        </w:tc>
        <w:tc>
          <w:tcPr>
            <w:tcW w:w="113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花纹钢板</w:t>
            </w:r>
          </w:p>
        </w:tc>
        <w:tc>
          <w:tcPr>
            <w:tcW w:w="16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val="0"/>
                <w:bCs/>
                <w:i w:val="0"/>
                <w:iCs w:val="0"/>
                <w:color w:val="000000"/>
                <w:kern w:val="0"/>
                <w:sz w:val="18"/>
                <w:szCs w:val="18"/>
                <w:u w:val="none"/>
                <w:lang w:val="en-US" w:eastAsia="zh-CN" w:bidi="ar"/>
              </w:rPr>
              <w:t>花纹钢板\CH.PL6\Q235B\GB/T 33974</w:t>
            </w:r>
          </w:p>
        </w:tc>
        <w:tc>
          <w:tcPr>
            <w:tcW w:w="96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7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TO</w:t>
            </w:r>
          </w:p>
        </w:tc>
        <w:tc>
          <w:tcPr>
            <w:tcW w:w="8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7.21</w:t>
            </w:r>
          </w:p>
        </w:tc>
        <w:tc>
          <w:tcPr>
            <w:tcW w:w="106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9㎡×17张，裸材供货</w:t>
            </w:r>
          </w:p>
        </w:tc>
      </w:tr>
      <w:tr>
        <w:tblPrEx>
          <w:tblCellMar>
            <w:top w:w="0" w:type="dxa"/>
            <w:left w:w="108" w:type="dxa"/>
            <w:bottom w:w="0" w:type="dxa"/>
            <w:right w:w="108" w:type="dxa"/>
          </w:tblCellMar>
        </w:tblPrEx>
        <w:trPr>
          <w:trHeight w:val="962" w:hRule="atLeast"/>
          <w:jc w:val="center"/>
        </w:trPr>
        <w:tc>
          <w:tcPr>
            <w:tcW w:w="7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19</w:t>
            </w:r>
          </w:p>
        </w:tc>
        <w:tc>
          <w:tcPr>
            <w:tcW w:w="113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无缝钢管</w:t>
            </w:r>
          </w:p>
        </w:tc>
        <w:tc>
          <w:tcPr>
            <w:tcW w:w="16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val="0"/>
                <w:bCs/>
                <w:i w:val="0"/>
                <w:iCs w:val="0"/>
                <w:color w:val="000000"/>
                <w:kern w:val="0"/>
                <w:sz w:val="18"/>
                <w:szCs w:val="18"/>
                <w:u w:val="none"/>
                <w:lang w:val="en-US" w:eastAsia="zh-CN" w:bidi="ar"/>
              </w:rPr>
              <w:t>无缝钢管\NPS3/4 XXS\B\NACE MR0175\ASTM A106</w:t>
            </w:r>
          </w:p>
        </w:tc>
        <w:tc>
          <w:tcPr>
            <w:tcW w:w="96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7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TO</w:t>
            </w:r>
          </w:p>
        </w:tc>
        <w:tc>
          <w:tcPr>
            <w:tcW w:w="8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0.03</w:t>
            </w:r>
          </w:p>
        </w:tc>
        <w:tc>
          <w:tcPr>
            <w:tcW w:w="106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裸材，正偏差0-5%,提供材质证书，合格证书,6米/根，共6米，1根</w:t>
            </w:r>
          </w:p>
        </w:tc>
      </w:tr>
      <w:tr>
        <w:tblPrEx>
          <w:tblCellMar>
            <w:top w:w="0" w:type="dxa"/>
            <w:left w:w="108" w:type="dxa"/>
            <w:bottom w:w="0" w:type="dxa"/>
            <w:right w:w="108" w:type="dxa"/>
          </w:tblCellMar>
        </w:tblPrEx>
        <w:trPr>
          <w:trHeight w:val="962" w:hRule="atLeast"/>
          <w:jc w:val="center"/>
        </w:trPr>
        <w:tc>
          <w:tcPr>
            <w:tcW w:w="7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20</w:t>
            </w:r>
          </w:p>
        </w:tc>
        <w:tc>
          <w:tcPr>
            <w:tcW w:w="113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无缝钢管</w:t>
            </w:r>
          </w:p>
        </w:tc>
        <w:tc>
          <w:tcPr>
            <w:tcW w:w="16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bottom"/>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val="0"/>
                <w:bCs/>
                <w:i w:val="0"/>
                <w:iCs w:val="0"/>
                <w:color w:val="000000"/>
                <w:kern w:val="0"/>
                <w:sz w:val="18"/>
                <w:szCs w:val="18"/>
                <w:u w:val="none"/>
                <w:lang w:val="en-US" w:eastAsia="zh-CN" w:bidi="ar"/>
              </w:rPr>
              <w:t>无缝钢管\NPS1 1/2 XXS\PE\B\NACE MR0175\ASTM A106</w:t>
            </w:r>
          </w:p>
        </w:tc>
        <w:tc>
          <w:tcPr>
            <w:tcW w:w="96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7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TO</w:t>
            </w:r>
          </w:p>
        </w:tc>
        <w:tc>
          <w:tcPr>
            <w:tcW w:w="8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708416" behindDoc="0" locked="0" layoutInCell="1" allowOverlap="1">
                  <wp:simplePos x="0" y="0"/>
                  <wp:positionH relativeFrom="column">
                    <wp:posOffset>0</wp:posOffset>
                  </wp:positionH>
                  <wp:positionV relativeFrom="paragraph">
                    <wp:posOffset>0</wp:posOffset>
                  </wp:positionV>
                  <wp:extent cx="768985" cy="689610"/>
                  <wp:effectExtent l="0" t="0" r="0" b="0"/>
                  <wp:wrapNone/>
                  <wp:docPr id="73" name="图片_142"/>
                  <wp:cNvGraphicFramePr/>
                  <a:graphic xmlns:a="http://schemas.openxmlformats.org/drawingml/2006/main">
                    <a:graphicData uri="http://schemas.openxmlformats.org/drawingml/2006/picture">
                      <pic:pic xmlns:pic="http://schemas.openxmlformats.org/drawingml/2006/picture">
                        <pic:nvPicPr>
                          <pic:cNvPr id="73" name="图片_142"/>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709440" behindDoc="0" locked="0" layoutInCell="1" allowOverlap="1">
                  <wp:simplePos x="0" y="0"/>
                  <wp:positionH relativeFrom="column">
                    <wp:posOffset>0</wp:posOffset>
                  </wp:positionH>
                  <wp:positionV relativeFrom="paragraph">
                    <wp:posOffset>0</wp:posOffset>
                  </wp:positionV>
                  <wp:extent cx="741680" cy="689610"/>
                  <wp:effectExtent l="0" t="0" r="0" b="0"/>
                  <wp:wrapNone/>
                  <wp:docPr id="74" name="图片_144"/>
                  <wp:cNvGraphicFramePr/>
                  <a:graphic xmlns:a="http://schemas.openxmlformats.org/drawingml/2006/main">
                    <a:graphicData uri="http://schemas.openxmlformats.org/drawingml/2006/picture">
                      <pic:pic xmlns:pic="http://schemas.openxmlformats.org/drawingml/2006/picture">
                        <pic:nvPicPr>
                          <pic:cNvPr id="74" name="图片_144"/>
                          <pic:cNvPicPr/>
                        </pic:nvPicPr>
                        <pic:blipFill>
                          <a:blip r:embed="rId6"/>
                          <a:stretch>
                            <a:fillRect/>
                          </a:stretch>
                        </pic:blipFill>
                        <pic:spPr>
                          <a:xfrm>
                            <a:off x="0" y="0"/>
                            <a:ext cx="741680"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710464" behindDoc="0" locked="0" layoutInCell="1" allowOverlap="1">
                  <wp:simplePos x="0" y="0"/>
                  <wp:positionH relativeFrom="column">
                    <wp:posOffset>0</wp:posOffset>
                  </wp:positionH>
                  <wp:positionV relativeFrom="paragraph">
                    <wp:posOffset>0</wp:posOffset>
                  </wp:positionV>
                  <wp:extent cx="768985" cy="689610"/>
                  <wp:effectExtent l="0" t="0" r="0" b="0"/>
                  <wp:wrapNone/>
                  <wp:docPr id="75" name="图片_148"/>
                  <wp:cNvGraphicFramePr/>
                  <a:graphic xmlns:a="http://schemas.openxmlformats.org/drawingml/2006/main">
                    <a:graphicData uri="http://schemas.openxmlformats.org/drawingml/2006/picture">
                      <pic:pic xmlns:pic="http://schemas.openxmlformats.org/drawingml/2006/picture">
                        <pic:nvPicPr>
                          <pic:cNvPr id="75" name="图片_148"/>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711488" behindDoc="0" locked="0" layoutInCell="1" allowOverlap="1">
                  <wp:simplePos x="0" y="0"/>
                  <wp:positionH relativeFrom="column">
                    <wp:posOffset>0</wp:posOffset>
                  </wp:positionH>
                  <wp:positionV relativeFrom="paragraph">
                    <wp:posOffset>0</wp:posOffset>
                  </wp:positionV>
                  <wp:extent cx="768985" cy="689610"/>
                  <wp:effectExtent l="0" t="0" r="0" b="0"/>
                  <wp:wrapNone/>
                  <wp:docPr id="76" name="图片_142_SpCnt_1"/>
                  <wp:cNvGraphicFramePr/>
                  <a:graphic xmlns:a="http://schemas.openxmlformats.org/drawingml/2006/main">
                    <a:graphicData uri="http://schemas.openxmlformats.org/drawingml/2006/picture">
                      <pic:pic xmlns:pic="http://schemas.openxmlformats.org/drawingml/2006/picture">
                        <pic:nvPicPr>
                          <pic:cNvPr id="76" name="图片_142_SpCnt_1"/>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712512" behindDoc="0" locked="0" layoutInCell="1" allowOverlap="1">
                  <wp:simplePos x="0" y="0"/>
                  <wp:positionH relativeFrom="column">
                    <wp:posOffset>0</wp:posOffset>
                  </wp:positionH>
                  <wp:positionV relativeFrom="paragraph">
                    <wp:posOffset>0</wp:posOffset>
                  </wp:positionV>
                  <wp:extent cx="768985" cy="689610"/>
                  <wp:effectExtent l="0" t="0" r="0" b="0"/>
                  <wp:wrapNone/>
                  <wp:docPr id="77" name="图片_155"/>
                  <wp:cNvGraphicFramePr/>
                  <a:graphic xmlns:a="http://schemas.openxmlformats.org/drawingml/2006/main">
                    <a:graphicData uri="http://schemas.openxmlformats.org/drawingml/2006/picture">
                      <pic:pic xmlns:pic="http://schemas.openxmlformats.org/drawingml/2006/picture">
                        <pic:nvPicPr>
                          <pic:cNvPr id="77" name="图片_155"/>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713536" behindDoc="0" locked="0" layoutInCell="1" allowOverlap="1">
                  <wp:simplePos x="0" y="0"/>
                  <wp:positionH relativeFrom="column">
                    <wp:posOffset>0</wp:posOffset>
                  </wp:positionH>
                  <wp:positionV relativeFrom="paragraph">
                    <wp:posOffset>0</wp:posOffset>
                  </wp:positionV>
                  <wp:extent cx="768985" cy="689610"/>
                  <wp:effectExtent l="0" t="0" r="0" b="0"/>
                  <wp:wrapNone/>
                  <wp:docPr id="78" name="图片_154"/>
                  <wp:cNvGraphicFramePr/>
                  <a:graphic xmlns:a="http://schemas.openxmlformats.org/drawingml/2006/main">
                    <a:graphicData uri="http://schemas.openxmlformats.org/drawingml/2006/picture">
                      <pic:pic xmlns:pic="http://schemas.openxmlformats.org/drawingml/2006/picture">
                        <pic:nvPicPr>
                          <pic:cNvPr id="78" name="图片_154"/>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714560" behindDoc="0" locked="0" layoutInCell="1" allowOverlap="1">
                  <wp:simplePos x="0" y="0"/>
                  <wp:positionH relativeFrom="column">
                    <wp:posOffset>0</wp:posOffset>
                  </wp:positionH>
                  <wp:positionV relativeFrom="paragraph">
                    <wp:posOffset>0</wp:posOffset>
                  </wp:positionV>
                  <wp:extent cx="768985" cy="689610"/>
                  <wp:effectExtent l="0" t="0" r="0" b="0"/>
                  <wp:wrapNone/>
                  <wp:docPr id="79" name="图片_153"/>
                  <wp:cNvGraphicFramePr/>
                  <a:graphic xmlns:a="http://schemas.openxmlformats.org/drawingml/2006/main">
                    <a:graphicData uri="http://schemas.openxmlformats.org/drawingml/2006/picture">
                      <pic:pic xmlns:pic="http://schemas.openxmlformats.org/drawingml/2006/picture">
                        <pic:nvPicPr>
                          <pic:cNvPr id="79" name="图片_153"/>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715584" behindDoc="0" locked="0" layoutInCell="1" allowOverlap="1">
                  <wp:simplePos x="0" y="0"/>
                  <wp:positionH relativeFrom="column">
                    <wp:posOffset>0</wp:posOffset>
                  </wp:positionH>
                  <wp:positionV relativeFrom="paragraph">
                    <wp:posOffset>0</wp:posOffset>
                  </wp:positionV>
                  <wp:extent cx="768985" cy="689610"/>
                  <wp:effectExtent l="0" t="0" r="0" b="0"/>
                  <wp:wrapNone/>
                  <wp:docPr id="80" name="图片_152"/>
                  <wp:cNvGraphicFramePr/>
                  <a:graphic xmlns:a="http://schemas.openxmlformats.org/drawingml/2006/main">
                    <a:graphicData uri="http://schemas.openxmlformats.org/drawingml/2006/picture">
                      <pic:pic xmlns:pic="http://schemas.openxmlformats.org/drawingml/2006/picture">
                        <pic:nvPicPr>
                          <pic:cNvPr id="80" name="图片_152"/>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716608" behindDoc="0" locked="0" layoutInCell="1" allowOverlap="1">
                  <wp:simplePos x="0" y="0"/>
                  <wp:positionH relativeFrom="column">
                    <wp:posOffset>0</wp:posOffset>
                  </wp:positionH>
                  <wp:positionV relativeFrom="paragraph">
                    <wp:posOffset>0</wp:posOffset>
                  </wp:positionV>
                  <wp:extent cx="768985" cy="689610"/>
                  <wp:effectExtent l="0" t="0" r="0" b="0"/>
                  <wp:wrapNone/>
                  <wp:docPr id="81" name="图片_151"/>
                  <wp:cNvGraphicFramePr/>
                  <a:graphic xmlns:a="http://schemas.openxmlformats.org/drawingml/2006/main">
                    <a:graphicData uri="http://schemas.openxmlformats.org/drawingml/2006/picture">
                      <pic:pic xmlns:pic="http://schemas.openxmlformats.org/drawingml/2006/picture">
                        <pic:nvPicPr>
                          <pic:cNvPr id="81" name="图片_151"/>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717632" behindDoc="0" locked="0" layoutInCell="1" allowOverlap="1">
                  <wp:simplePos x="0" y="0"/>
                  <wp:positionH relativeFrom="column">
                    <wp:posOffset>0</wp:posOffset>
                  </wp:positionH>
                  <wp:positionV relativeFrom="paragraph">
                    <wp:posOffset>0</wp:posOffset>
                  </wp:positionV>
                  <wp:extent cx="768985" cy="689610"/>
                  <wp:effectExtent l="0" t="0" r="0" b="0"/>
                  <wp:wrapNone/>
                  <wp:docPr id="82" name="图片_150"/>
                  <wp:cNvGraphicFramePr/>
                  <a:graphic xmlns:a="http://schemas.openxmlformats.org/drawingml/2006/main">
                    <a:graphicData uri="http://schemas.openxmlformats.org/drawingml/2006/picture">
                      <pic:pic xmlns:pic="http://schemas.openxmlformats.org/drawingml/2006/picture">
                        <pic:nvPicPr>
                          <pic:cNvPr id="82" name="图片_150"/>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718656" behindDoc="0" locked="0" layoutInCell="1" allowOverlap="1">
                  <wp:simplePos x="0" y="0"/>
                  <wp:positionH relativeFrom="column">
                    <wp:posOffset>0</wp:posOffset>
                  </wp:positionH>
                  <wp:positionV relativeFrom="paragraph">
                    <wp:posOffset>0</wp:posOffset>
                  </wp:positionV>
                  <wp:extent cx="768985" cy="689610"/>
                  <wp:effectExtent l="0" t="0" r="0" b="0"/>
                  <wp:wrapNone/>
                  <wp:docPr id="83" name="图片_149"/>
                  <wp:cNvGraphicFramePr/>
                  <a:graphic xmlns:a="http://schemas.openxmlformats.org/drawingml/2006/main">
                    <a:graphicData uri="http://schemas.openxmlformats.org/drawingml/2006/picture">
                      <pic:pic xmlns:pic="http://schemas.openxmlformats.org/drawingml/2006/picture">
                        <pic:nvPicPr>
                          <pic:cNvPr id="83" name="图片_149"/>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719680" behindDoc="0" locked="0" layoutInCell="1" allowOverlap="1">
                  <wp:simplePos x="0" y="0"/>
                  <wp:positionH relativeFrom="column">
                    <wp:posOffset>0</wp:posOffset>
                  </wp:positionH>
                  <wp:positionV relativeFrom="paragraph">
                    <wp:posOffset>0</wp:posOffset>
                  </wp:positionV>
                  <wp:extent cx="768985" cy="689610"/>
                  <wp:effectExtent l="0" t="0" r="0" b="0"/>
                  <wp:wrapNone/>
                  <wp:docPr id="84" name="图片_148_SpCnt_1"/>
                  <wp:cNvGraphicFramePr/>
                  <a:graphic xmlns:a="http://schemas.openxmlformats.org/drawingml/2006/main">
                    <a:graphicData uri="http://schemas.openxmlformats.org/drawingml/2006/picture">
                      <pic:pic xmlns:pic="http://schemas.openxmlformats.org/drawingml/2006/picture">
                        <pic:nvPicPr>
                          <pic:cNvPr id="84" name="图片_148_SpCnt_1"/>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720704" behindDoc="0" locked="0" layoutInCell="1" allowOverlap="1">
                  <wp:simplePos x="0" y="0"/>
                  <wp:positionH relativeFrom="column">
                    <wp:posOffset>0</wp:posOffset>
                  </wp:positionH>
                  <wp:positionV relativeFrom="paragraph">
                    <wp:posOffset>0</wp:posOffset>
                  </wp:positionV>
                  <wp:extent cx="768985" cy="689610"/>
                  <wp:effectExtent l="0" t="0" r="0" b="0"/>
                  <wp:wrapNone/>
                  <wp:docPr id="85" name="图片_147"/>
                  <wp:cNvGraphicFramePr/>
                  <a:graphic xmlns:a="http://schemas.openxmlformats.org/drawingml/2006/main">
                    <a:graphicData uri="http://schemas.openxmlformats.org/drawingml/2006/picture">
                      <pic:pic xmlns:pic="http://schemas.openxmlformats.org/drawingml/2006/picture">
                        <pic:nvPicPr>
                          <pic:cNvPr id="85" name="图片_147"/>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721728" behindDoc="0" locked="0" layoutInCell="1" allowOverlap="1">
                  <wp:simplePos x="0" y="0"/>
                  <wp:positionH relativeFrom="column">
                    <wp:posOffset>0</wp:posOffset>
                  </wp:positionH>
                  <wp:positionV relativeFrom="paragraph">
                    <wp:posOffset>0</wp:posOffset>
                  </wp:positionV>
                  <wp:extent cx="768985" cy="689610"/>
                  <wp:effectExtent l="0" t="0" r="0" b="0"/>
                  <wp:wrapNone/>
                  <wp:docPr id="86" name="图片_146"/>
                  <wp:cNvGraphicFramePr/>
                  <a:graphic xmlns:a="http://schemas.openxmlformats.org/drawingml/2006/main">
                    <a:graphicData uri="http://schemas.openxmlformats.org/drawingml/2006/picture">
                      <pic:pic xmlns:pic="http://schemas.openxmlformats.org/drawingml/2006/picture">
                        <pic:nvPicPr>
                          <pic:cNvPr id="86" name="图片_146"/>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722752" behindDoc="0" locked="0" layoutInCell="1" allowOverlap="1">
                  <wp:simplePos x="0" y="0"/>
                  <wp:positionH relativeFrom="column">
                    <wp:posOffset>0</wp:posOffset>
                  </wp:positionH>
                  <wp:positionV relativeFrom="paragraph">
                    <wp:posOffset>0</wp:posOffset>
                  </wp:positionV>
                  <wp:extent cx="741680" cy="689610"/>
                  <wp:effectExtent l="0" t="0" r="0" b="0"/>
                  <wp:wrapNone/>
                  <wp:docPr id="87" name="图片_145"/>
                  <wp:cNvGraphicFramePr/>
                  <a:graphic xmlns:a="http://schemas.openxmlformats.org/drawingml/2006/main">
                    <a:graphicData uri="http://schemas.openxmlformats.org/drawingml/2006/picture">
                      <pic:pic xmlns:pic="http://schemas.openxmlformats.org/drawingml/2006/picture">
                        <pic:nvPicPr>
                          <pic:cNvPr id="87" name="图片_145"/>
                          <pic:cNvPicPr/>
                        </pic:nvPicPr>
                        <pic:blipFill>
                          <a:blip r:embed="rId6"/>
                          <a:stretch>
                            <a:fillRect/>
                          </a:stretch>
                        </pic:blipFill>
                        <pic:spPr>
                          <a:xfrm>
                            <a:off x="0" y="0"/>
                            <a:ext cx="741680"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723776" behindDoc="0" locked="0" layoutInCell="1" allowOverlap="1">
                  <wp:simplePos x="0" y="0"/>
                  <wp:positionH relativeFrom="column">
                    <wp:posOffset>0</wp:posOffset>
                  </wp:positionH>
                  <wp:positionV relativeFrom="paragraph">
                    <wp:posOffset>0</wp:posOffset>
                  </wp:positionV>
                  <wp:extent cx="741680" cy="689610"/>
                  <wp:effectExtent l="0" t="0" r="0" b="0"/>
                  <wp:wrapNone/>
                  <wp:docPr id="88" name="图片_144_SpCnt_1"/>
                  <wp:cNvGraphicFramePr/>
                  <a:graphic xmlns:a="http://schemas.openxmlformats.org/drawingml/2006/main">
                    <a:graphicData uri="http://schemas.openxmlformats.org/drawingml/2006/picture">
                      <pic:pic xmlns:pic="http://schemas.openxmlformats.org/drawingml/2006/picture">
                        <pic:nvPicPr>
                          <pic:cNvPr id="88" name="图片_144_SpCnt_1"/>
                          <pic:cNvPicPr/>
                        </pic:nvPicPr>
                        <pic:blipFill>
                          <a:blip r:embed="rId6"/>
                          <a:stretch>
                            <a:fillRect/>
                          </a:stretch>
                        </pic:blipFill>
                        <pic:spPr>
                          <a:xfrm>
                            <a:off x="0" y="0"/>
                            <a:ext cx="741680"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724800" behindDoc="0" locked="0" layoutInCell="1" allowOverlap="1">
                  <wp:simplePos x="0" y="0"/>
                  <wp:positionH relativeFrom="column">
                    <wp:posOffset>0</wp:posOffset>
                  </wp:positionH>
                  <wp:positionV relativeFrom="paragraph">
                    <wp:posOffset>0</wp:posOffset>
                  </wp:positionV>
                  <wp:extent cx="768985" cy="689610"/>
                  <wp:effectExtent l="0" t="0" r="0" b="0"/>
                  <wp:wrapNone/>
                  <wp:docPr id="89" name="图片_155_SpCnt_1"/>
                  <wp:cNvGraphicFramePr/>
                  <a:graphic xmlns:a="http://schemas.openxmlformats.org/drawingml/2006/main">
                    <a:graphicData uri="http://schemas.openxmlformats.org/drawingml/2006/picture">
                      <pic:pic xmlns:pic="http://schemas.openxmlformats.org/drawingml/2006/picture">
                        <pic:nvPicPr>
                          <pic:cNvPr id="89" name="图片_155_SpCnt_1"/>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725824" behindDoc="0" locked="0" layoutInCell="1" allowOverlap="1">
                  <wp:simplePos x="0" y="0"/>
                  <wp:positionH relativeFrom="column">
                    <wp:posOffset>0</wp:posOffset>
                  </wp:positionH>
                  <wp:positionV relativeFrom="paragraph">
                    <wp:posOffset>0</wp:posOffset>
                  </wp:positionV>
                  <wp:extent cx="768985" cy="689610"/>
                  <wp:effectExtent l="0" t="0" r="0" b="0"/>
                  <wp:wrapNone/>
                  <wp:docPr id="90" name="图片_143"/>
                  <wp:cNvGraphicFramePr/>
                  <a:graphic xmlns:a="http://schemas.openxmlformats.org/drawingml/2006/main">
                    <a:graphicData uri="http://schemas.openxmlformats.org/drawingml/2006/picture">
                      <pic:pic xmlns:pic="http://schemas.openxmlformats.org/drawingml/2006/picture">
                        <pic:nvPicPr>
                          <pic:cNvPr id="90" name="图片_143"/>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726848" behindDoc="0" locked="0" layoutInCell="1" allowOverlap="1">
                  <wp:simplePos x="0" y="0"/>
                  <wp:positionH relativeFrom="column">
                    <wp:posOffset>0</wp:posOffset>
                  </wp:positionH>
                  <wp:positionV relativeFrom="paragraph">
                    <wp:posOffset>0</wp:posOffset>
                  </wp:positionV>
                  <wp:extent cx="768985" cy="689610"/>
                  <wp:effectExtent l="0" t="0" r="0" b="0"/>
                  <wp:wrapNone/>
                  <wp:docPr id="91" name="图片_154_SpCnt_1"/>
                  <wp:cNvGraphicFramePr/>
                  <a:graphic xmlns:a="http://schemas.openxmlformats.org/drawingml/2006/main">
                    <a:graphicData uri="http://schemas.openxmlformats.org/drawingml/2006/picture">
                      <pic:pic xmlns:pic="http://schemas.openxmlformats.org/drawingml/2006/picture">
                        <pic:nvPicPr>
                          <pic:cNvPr id="91" name="图片_154_SpCnt_1"/>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727872" behindDoc="0" locked="0" layoutInCell="1" allowOverlap="1">
                  <wp:simplePos x="0" y="0"/>
                  <wp:positionH relativeFrom="column">
                    <wp:posOffset>0</wp:posOffset>
                  </wp:positionH>
                  <wp:positionV relativeFrom="paragraph">
                    <wp:posOffset>0</wp:posOffset>
                  </wp:positionV>
                  <wp:extent cx="768985" cy="689610"/>
                  <wp:effectExtent l="0" t="0" r="0" b="0"/>
                  <wp:wrapNone/>
                  <wp:docPr id="92" name="图片_153_SpCnt_1"/>
                  <wp:cNvGraphicFramePr/>
                  <a:graphic xmlns:a="http://schemas.openxmlformats.org/drawingml/2006/main">
                    <a:graphicData uri="http://schemas.openxmlformats.org/drawingml/2006/picture">
                      <pic:pic xmlns:pic="http://schemas.openxmlformats.org/drawingml/2006/picture">
                        <pic:nvPicPr>
                          <pic:cNvPr id="92" name="图片_153_SpCnt_1"/>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728896" behindDoc="0" locked="0" layoutInCell="1" allowOverlap="1">
                  <wp:simplePos x="0" y="0"/>
                  <wp:positionH relativeFrom="column">
                    <wp:posOffset>0</wp:posOffset>
                  </wp:positionH>
                  <wp:positionV relativeFrom="paragraph">
                    <wp:posOffset>0</wp:posOffset>
                  </wp:positionV>
                  <wp:extent cx="768985" cy="689610"/>
                  <wp:effectExtent l="0" t="0" r="0" b="0"/>
                  <wp:wrapNone/>
                  <wp:docPr id="93" name="图片_152_SpCnt_1"/>
                  <wp:cNvGraphicFramePr/>
                  <a:graphic xmlns:a="http://schemas.openxmlformats.org/drawingml/2006/main">
                    <a:graphicData uri="http://schemas.openxmlformats.org/drawingml/2006/picture">
                      <pic:pic xmlns:pic="http://schemas.openxmlformats.org/drawingml/2006/picture">
                        <pic:nvPicPr>
                          <pic:cNvPr id="93" name="图片_152_SpCnt_1"/>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729920" behindDoc="0" locked="0" layoutInCell="1" allowOverlap="1">
                  <wp:simplePos x="0" y="0"/>
                  <wp:positionH relativeFrom="column">
                    <wp:posOffset>0</wp:posOffset>
                  </wp:positionH>
                  <wp:positionV relativeFrom="paragraph">
                    <wp:posOffset>0</wp:posOffset>
                  </wp:positionV>
                  <wp:extent cx="768985" cy="689610"/>
                  <wp:effectExtent l="0" t="0" r="0" b="0"/>
                  <wp:wrapNone/>
                  <wp:docPr id="94" name="图片_151_SpCnt_1"/>
                  <wp:cNvGraphicFramePr/>
                  <a:graphic xmlns:a="http://schemas.openxmlformats.org/drawingml/2006/main">
                    <a:graphicData uri="http://schemas.openxmlformats.org/drawingml/2006/picture">
                      <pic:pic xmlns:pic="http://schemas.openxmlformats.org/drawingml/2006/picture">
                        <pic:nvPicPr>
                          <pic:cNvPr id="94" name="图片_151_SpCnt_1"/>
                          <pic:cNvPicPr/>
                        </pic:nvPicPr>
                        <pic:blipFill>
                          <a:blip r:embed="rId6"/>
                          <a:stretch>
                            <a:fillRect/>
                          </a:stretch>
                        </pic:blipFill>
                        <pic:spPr>
                          <a:xfrm>
                            <a:off x="0" y="0"/>
                            <a:ext cx="768985" cy="689610"/>
                          </a:xfrm>
                          <a:prstGeom prst="rect">
                            <a:avLst/>
                          </a:prstGeom>
                          <a:noFill/>
                          <a:ln>
                            <a:noFill/>
                          </a:ln>
                        </pic:spPr>
                      </pic:pic>
                    </a:graphicData>
                  </a:graphic>
                </wp:anchor>
              </w:drawing>
            </w:r>
          </w:p>
          <w:p>
            <w:pPr>
              <w:keepNext w:val="0"/>
              <w:keepLines w:val="0"/>
              <w:widowControl/>
              <w:suppressLineNumbers w:val="0"/>
              <w:jc w:val="center"/>
              <w:textAlignment w:val="center"/>
              <w:rPr>
                <w:rFonts w:hint="eastAsia" w:ascii="宋体" w:hAnsi="宋体" w:eastAsia="宋体" w:cs="宋体"/>
                <w:b w:val="0"/>
                <w:bCs/>
                <w:i w:val="0"/>
                <w:iCs w:val="0"/>
                <w:color w:val="000000"/>
                <w:kern w:val="0"/>
                <w:sz w:val="18"/>
                <w:szCs w:val="18"/>
                <w:u w:val="none"/>
                <w:lang w:val="en-US" w:eastAsia="zh-CN" w:bidi="ar"/>
              </w:rPr>
            </w:pPr>
          </w:p>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drawing>
                <wp:anchor distT="0" distB="0" distL="114300" distR="114300" simplePos="0" relativeHeight="251707392" behindDoc="0" locked="0" layoutInCell="1" allowOverlap="1">
                  <wp:simplePos x="0" y="0"/>
                  <wp:positionH relativeFrom="column">
                    <wp:posOffset>0</wp:posOffset>
                  </wp:positionH>
                  <wp:positionV relativeFrom="paragraph">
                    <wp:posOffset>0</wp:posOffset>
                  </wp:positionV>
                  <wp:extent cx="768985" cy="689610"/>
                  <wp:effectExtent l="0" t="0" r="0" b="0"/>
                  <wp:wrapNone/>
                  <wp:docPr id="95" name="图片_149_SpCnt_1"/>
                  <wp:cNvGraphicFramePr/>
                  <a:graphic xmlns:a="http://schemas.openxmlformats.org/drawingml/2006/main">
                    <a:graphicData uri="http://schemas.openxmlformats.org/drawingml/2006/picture">
                      <pic:pic xmlns:pic="http://schemas.openxmlformats.org/drawingml/2006/picture">
                        <pic:nvPicPr>
                          <pic:cNvPr id="95" name="图片_149_SpCnt_1"/>
                          <pic:cNvPicPr/>
                        </pic:nvPicPr>
                        <pic:blipFill>
                          <a:blip r:embed="rId6"/>
                          <a:stretch>
                            <a:fillRect/>
                          </a:stretch>
                        </pic:blipFill>
                        <pic:spPr>
                          <a:xfrm>
                            <a:off x="0" y="0"/>
                            <a:ext cx="768985" cy="689610"/>
                          </a:xfrm>
                          <a:prstGeom prst="rect">
                            <a:avLst/>
                          </a:prstGeom>
                          <a:noFill/>
                          <a:ln>
                            <a:noFill/>
                          </a:ln>
                        </pic:spPr>
                      </pic:pic>
                    </a:graphicData>
                  </a:graphic>
                </wp:anchor>
              </w:drawing>
            </w:r>
            <w:r>
              <w:rPr>
                <w:rFonts w:hint="eastAsia" w:ascii="宋体" w:hAnsi="宋体" w:eastAsia="宋体" w:cs="宋体"/>
                <w:b w:val="0"/>
                <w:bCs/>
                <w:i w:val="0"/>
                <w:iCs w:val="0"/>
                <w:color w:val="000000"/>
                <w:kern w:val="0"/>
                <w:sz w:val="18"/>
                <w:szCs w:val="18"/>
                <w:u w:val="none"/>
                <w:lang w:val="en-US" w:eastAsia="zh-CN" w:bidi="ar"/>
              </w:rPr>
              <w:t>0.06</w:t>
            </w:r>
          </w:p>
        </w:tc>
        <w:tc>
          <w:tcPr>
            <w:tcW w:w="106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裸材，正偏差0-5%,提供材质证书，合格证书,6米/根，共6米，1根</w:t>
            </w:r>
          </w:p>
        </w:tc>
      </w:tr>
      <w:tr>
        <w:tblPrEx>
          <w:tblCellMar>
            <w:top w:w="0" w:type="dxa"/>
            <w:left w:w="108" w:type="dxa"/>
            <w:bottom w:w="0" w:type="dxa"/>
            <w:right w:w="108" w:type="dxa"/>
          </w:tblCellMar>
        </w:tblPrEx>
        <w:trPr>
          <w:trHeight w:val="962" w:hRule="atLeast"/>
          <w:jc w:val="center"/>
        </w:trPr>
        <w:tc>
          <w:tcPr>
            <w:tcW w:w="7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21</w:t>
            </w:r>
          </w:p>
        </w:tc>
        <w:tc>
          <w:tcPr>
            <w:tcW w:w="113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无缝钢管</w:t>
            </w:r>
          </w:p>
        </w:tc>
        <w:tc>
          <w:tcPr>
            <w:tcW w:w="16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val="0"/>
                <w:bCs/>
                <w:i w:val="0"/>
                <w:iCs w:val="0"/>
                <w:color w:val="000000"/>
                <w:kern w:val="0"/>
                <w:sz w:val="18"/>
                <w:szCs w:val="18"/>
                <w:u w:val="none"/>
                <w:lang w:val="en-US" w:eastAsia="zh-CN" w:bidi="ar"/>
              </w:rPr>
              <w:t>无缝钢管\NPS6 SCH160\B\NACE MR0175\ASTM A106</w:t>
            </w:r>
          </w:p>
        </w:tc>
        <w:tc>
          <w:tcPr>
            <w:tcW w:w="96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7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TO</w:t>
            </w:r>
          </w:p>
        </w:tc>
        <w:tc>
          <w:tcPr>
            <w:tcW w:w="8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0.41</w:t>
            </w:r>
          </w:p>
        </w:tc>
        <w:tc>
          <w:tcPr>
            <w:tcW w:w="106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裸材，正偏差0-5%,提供材质证书，合格证书,6米/根，共6米，1根</w:t>
            </w:r>
          </w:p>
        </w:tc>
      </w:tr>
      <w:tr>
        <w:tblPrEx>
          <w:tblCellMar>
            <w:top w:w="0" w:type="dxa"/>
            <w:left w:w="108" w:type="dxa"/>
            <w:bottom w:w="0" w:type="dxa"/>
            <w:right w:w="108" w:type="dxa"/>
          </w:tblCellMar>
        </w:tblPrEx>
        <w:trPr>
          <w:trHeight w:val="962" w:hRule="atLeast"/>
          <w:jc w:val="center"/>
        </w:trPr>
        <w:tc>
          <w:tcPr>
            <w:tcW w:w="7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22</w:t>
            </w:r>
          </w:p>
        </w:tc>
        <w:tc>
          <w:tcPr>
            <w:tcW w:w="113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无缝钢管</w:t>
            </w:r>
          </w:p>
        </w:tc>
        <w:tc>
          <w:tcPr>
            <w:tcW w:w="16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val="0"/>
                <w:bCs/>
                <w:i w:val="0"/>
                <w:iCs w:val="0"/>
                <w:color w:val="000000"/>
                <w:kern w:val="0"/>
                <w:sz w:val="18"/>
                <w:szCs w:val="18"/>
                <w:u w:val="none"/>
                <w:lang w:val="en-US" w:eastAsia="zh-CN" w:bidi="ar"/>
              </w:rPr>
              <w:t>无缝钢管\NPS8 SCH140\B\NACE MR0175\ASTM A106</w:t>
            </w:r>
          </w:p>
        </w:tc>
        <w:tc>
          <w:tcPr>
            <w:tcW w:w="96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7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TO</w:t>
            </w:r>
          </w:p>
        </w:tc>
        <w:tc>
          <w:tcPr>
            <w:tcW w:w="8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1.21</w:t>
            </w:r>
          </w:p>
        </w:tc>
        <w:tc>
          <w:tcPr>
            <w:tcW w:w="106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裸材，正偏差0-5%,提供材质证书，合格证书,6米/根，共12米，2根</w:t>
            </w:r>
          </w:p>
        </w:tc>
      </w:tr>
      <w:tr>
        <w:tblPrEx>
          <w:tblCellMar>
            <w:top w:w="0" w:type="dxa"/>
            <w:left w:w="108" w:type="dxa"/>
            <w:bottom w:w="0" w:type="dxa"/>
            <w:right w:w="108" w:type="dxa"/>
          </w:tblCellMar>
        </w:tblPrEx>
        <w:trPr>
          <w:trHeight w:val="962" w:hRule="atLeast"/>
          <w:jc w:val="center"/>
        </w:trPr>
        <w:tc>
          <w:tcPr>
            <w:tcW w:w="7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23</w:t>
            </w:r>
          </w:p>
        </w:tc>
        <w:tc>
          <w:tcPr>
            <w:tcW w:w="113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无缝钢管</w:t>
            </w:r>
          </w:p>
        </w:tc>
        <w:tc>
          <w:tcPr>
            <w:tcW w:w="16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val="0"/>
                <w:bCs/>
                <w:i w:val="0"/>
                <w:iCs w:val="0"/>
                <w:color w:val="000000"/>
                <w:kern w:val="0"/>
                <w:sz w:val="18"/>
                <w:szCs w:val="18"/>
                <w:u w:val="none"/>
                <w:lang w:val="en-US" w:eastAsia="zh-CN" w:bidi="ar"/>
              </w:rPr>
              <w:t>无缝钢管\NPS18 SCH120\BE\B\NACE MR0175\ASTM A106</w:t>
            </w:r>
          </w:p>
        </w:tc>
        <w:tc>
          <w:tcPr>
            <w:tcW w:w="96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7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TO</w:t>
            </w:r>
          </w:p>
        </w:tc>
        <w:tc>
          <w:tcPr>
            <w:tcW w:w="8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8.73</w:t>
            </w:r>
          </w:p>
        </w:tc>
        <w:tc>
          <w:tcPr>
            <w:tcW w:w="106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裸材，正偏差0-5%,提供材质证书，合格证书,6米/根，共24米，4根</w:t>
            </w:r>
          </w:p>
        </w:tc>
      </w:tr>
      <w:tr>
        <w:tblPrEx>
          <w:tblCellMar>
            <w:top w:w="0" w:type="dxa"/>
            <w:left w:w="108" w:type="dxa"/>
            <w:bottom w:w="0" w:type="dxa"/>
            <w:right w:w="108" w:type="dxa"/>
          </w:tblCellMar>
        </w:tblPrEx>
        <w:trPr>
          <w:trHeight w:val="962" w:hRule="atLeast"/>
          <w:jc w:val="center"/>
        </w:trPr>
        <w:tc>
          <w:tcPr>
            <w:tcW w:w="71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sz w:val="24"/>
                <w:szCs w:val="24"/>
                <w:highlight w:val="none"/>
                <w:lang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24</w:t>
            </w:r>
          </w:p>
        </w:tc>
        <w:tc>
          <w:tcPr>
            <w:tcW w:w="1139"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钢板</w:t>
            </w:r>
          </w:p>
        </w:tc>
        <w:tc>
          <w:tcPr>
            <w:tcW w:w="16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b w:val="0"/>
                <w:bCs/>
                <w:i w:val="0"/>
                <w:iCs w:val="0"/>
                <w:color w:val="000000"/>
                <w:kern w:val="0"/>
                <w:sz w:val="18"/>
                <w:szCs w:val="18"/>
                <w:u w:val="none"/>
                <w:lang w:val="en-US" w:eastAsia="zh-CN" w:bidi="ar"/>
              </w:rPr>
              <w:t>钢板\PL10\Q235B\GB/T 3274</w:t>
            </w:r>
          </w:p>
        </w:tc>
        <w:tc>
          <w:tcPr>
            <w:tcW w:w="96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763"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TO</w:t>
            </w:r>
          </w:p>
        </w:tc>
        <w:tc>
          <w:tcPr>
            <w:tcW w:w="837"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color w:val="000000" w:themeColor="text1"/>
                <w:sz w:val="24"/>
                <w:szCs w:val="24"/>
                <w:lang w:val="en-US" w:eastAsia="zh-CN"/>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0.8</w:t>
            </w:r>
          </w:p>
        </w:tc>
        <w:tc>
          <w:tcPr>
            <w:tcW w:w="1063"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102" w:type="dxa"/>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Theme="minorEastAsia" w:hAnsiTheme="minorEastAsia" w:eastAsiaTheme="minorEastAsia" w:cstheme="minorEastAsia"/>
                <w:color w:val="000000" w:themeColor="text1"/>
                <w:sz w:val="24"/>
                <w:szCs w:val="24"/>
                <w14:textFill>
                  <w14:solidFill>
                    <w14:schemeClr w14:val="tx1"/>
                  </w14:solidFill>
                </w14:textFill>
              </w:rPr>
            </w:pPr>
          </w:p>
        </w:tc>
        <w:tc>
          <w:tcPr>
            <w:tcW w:w="1672"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inorEastAsia" w:hAnsiTheme="minorEastAsia" w:eastAsiaTheme="minorEastAsia" w:cstheme="minorEastAsia"/>
                <w:color w:val="000000" w:themeColor="text1"/>
                <w:kern w:val="2"/>
                <w:sz w:val="24"/>
                <w:szCs w:val="24"/>
                <w:lang w:val="en-US" w:eastAsia="zh-CN" w:bidi="ar-SA"/>
                <w14:textFill>
                  <w14:solidFill>
                    <w14:schemeClr w14:val="tx1"/>
                  </w14:solidFill>
                </w14:textFill>
              </w:rPr>
            </w:pPr>
            <w:r>
              <w:rPr>
                <w:rFonts w:hint="eastAsia" w:ascii="宋体" w:hAnsi="宋体" w:eastAsia="宋体" w:cs="宋体"/>
                <w:b w:val="0"/>
                <w:bCs/>
                <w:i w:val="0"/>
                <w:iCs w:val="0"/>
                <w:color w:val="000000"/>
                <w:kern w:val="0"/>
                <w:sz w:val="18"/>
                <w:szCs w:val="18"/>
                <w:u w:val="none"/>
                <w:lang w:val="en-US" w:eastAsia="zh-CN" w:bidi="ar"/>
              </w:rPr>
              <w:t>2000×5000，裸材，正偏差0-5%,1张，提供材质证书，合格证书。</w:t>
            </w:r>
          </w:p>
        </w:tc>
      </w:tr>
      <w:tr>
        <w:tblPrEx>
          <w:tblCellMar>
            <w:top w:w="0" w:type="dxa"/>
            <w:left w:w="108" w:type="dxa"/>
            <w:bottom w:w="0" w:type="dxa"/>
            <w:right w:w="108" w:type="dxa"/>
          </w:tblCellMar>
        </w:tblPrEx>
        <w:trPr>
          <w:trHeight w:val="299" w:hRule="atLeast"/>
          <w:jc w:val="center"/>
        </w:trPr>
        <w:tc>
          <w:tcPr>
            <w:tcW w:w="99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不含税总价：</w:t>
            </w:r>
          </w:p>
        </w:tc>
      </w:tr>
      <w:tr>
        <w:tblPrEx>
          <w:tblCellMar>
            <w:top w:w="0" w:type="dxa"/>
            <w:left w:w="108" w:type="dxa"/>
            <w:bottom w:w="0" w:type="dxa"/>
            <w:right w:w="108" w:type="dxa"/>
          </w:tblCellMar>
        </w:tblPrEx>
        <w:trPr>
          <w:trHeight w:val="299" w:hRule="atLeast"/>
          <w:jc w:val="center"/>
        </w:trPr>
        <w:tc>
          <w:tcPr>
            <w:tcW w:w="99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税费（13%）：</w:t>
            </w:r>
          </w:p>
        </w:tc>
      </w:tr>
      <w:tr>
        <w:tblPrEx>
          <w:tblCellMar>
            <w:top w:w="0" w:type="dxa"/>
            <w:left w:w="108" w:type="dxa"/>
            <w:bottom w:w="0" w:type="dxa"/>
            <w:right w:w="108" w:type="dxa"/>
          </w:tblCellMar>
        </w:tblPrEx>
        <w:trPr>
          <w:trHeight w:val="299" w:hRule="atLeast"/>
          <w:jc w:val="center"/>
        </w:trPr>
        <w:tc>
          <w:tcPr>
            <w:tcW w:w="99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含税总价：</w:t>
            </w:r>
          </w:p>
        </w:tc>
      </w:tr>
      <w:tr>
        <w:tblPrEx>
          <w:tblCellMar>
            <w:top w:w="0" w:type="dxa"/>
            <w:left w:w="108" w:type="dxa"/>
            <w:bottom w:w="0" w:type="dxa"/>
            <w:right w:w="108" w:type="dxa"/>
          </w:tblCellMar>
        </w:tblPrEx>
        <w:trPr>
          <w:trHeight w:val="299" w:hRule="atLeast"/>
          <w:jc w:val="center"/>
        </w:trPr>
        <w:tc>
          <w:tcPr>
            <w:tcW w:w="99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含税总价（大写人民币）：</w:t>
            </w:r>
          </w:p>
        </w:tc>
      </w:tr>
      <w:tr>
        <w:tblPrEx>
          <w:tblCellMar>
            <w:top w:w="0" w:type="dxa"/>
            <w:left w:w="108" w:type="dxa"/>
            <w:bottom w:w="0" w:type="dxa"/>
            <w:right w:w="108" w:type="dxa"/>
          </w:tblCellMar>
        </w:tblPrEx>
        <w:trPr>
          <w:trHeight w:val="306" w:hRule="atLeast"/>
          <w:jc w:val="center"/>
        </w:trPr>
        <w:tc>
          <w:tcPr>
            <w:tcW w:w="991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不含税总价（大写人民币）：</w:t>
            </w:r>
          </w:p>
        </w:tc>
      </w:tr>
    </w:tbl>
    <w:p>
      <w:pPr>
        <w:snapToGrid w:val="0"/>
        <w:spacing w:line="360" w:lineRule="auto"/>
        <w:rPr>
          <w:rFonts w:asciiTheme="minorEastAsia" w:hAnsiTheme="minorEastAsia"/>
          <w:color w:val="000000" w:themeColor="text1"/>
          <w:sz w:val="21"/>
          <w:szCs w:val="21"/>
          <w:highlight w:val="none"/>
          <w14:textFill>
            <w14:solidFill>
              <w14:schemeClr w14:val="tx1"/>
            </w14:solidFill>
          </w14:textFill>
        </w:rPr>
      </w:pPr>
      <w:r>
        <w:rPr>
          <w:rFonts w:asciiTheme="minorEastAsia" w:hAnsiTheme="minorEastAsia"/>
          <w:color w:val="000000" w:themeColor="text1"/>
          <w:sz w:val="21"/>
          <w:szCs w:val="21"/>
          <w:highlight w:val="none"/>
          <w14:textFill>
            <w14:solidFill>
              <w14:schemeClr w14:val="tx1"/>
            </w14:solidFill>
          </w14:textFill>
        </w:rPr>
        <w:t>注：</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1、</w:t>
      </w:r>
      <w:r>
        <w:rPr>
          <w:rFonts w:asciiTheme="minorEastAsia" w:hAnsiTheme="minorEastAsia"/>
          <w:color w:val="000000" w:themeColor="text1"/>
          <w:sz w:val="21"/>
          <w:szCs w:val="21"/>
          <w:highlight w:val="none"/>
          <w14:textFill>
            <w14:solidFill>
              <w14:schemeClr w14:val="tx1"/>
            </w14:solidFill>
          </w14:textFill>
        </w:rPr>
        <w:t>报价有效期：</w:t>
      </w:r>
      <w:r>
        <w:rPr>
          <w:rFonts w:hint="eastAsia" w:asciiTheme="minorEastAsia" w:hAnsiTheme="minorEastAsia"/>
          <w:color w:val="000000" w:themeColor="text1"/>
          <w:sz w:val="21"/>
          <w:szCs w:val="21"/>
          <w:highlight w:val="none"/>
          <w14:textFill>
            <w14:solidFill>
              <w14:schemeClr w14:val="tx1"/>
            </w14:solidFill>
          </w14:textFill>
        </w:rPr>
        <w:t>自应答截止日次日起</w:t>
      </w:r>
      <w:r>
        <w:rPr>
          <w:rFonts w:hint="eastAsia" w:asciiTheme="minorEastAsia" w:hAnsiTheme="minorEastAsia"/>
          <w:color w:val="000000" w:themeColor="text1"/>
          <w:sz w:val="21"/>
          <w:szCs w:val="21"/>
          <w:highlight w:val="yellow"/>
          <w:lang w:val="en-US" w:eastAsia="zh-CN"/>
          <w14:textFill>
            <w14:solidFill>
              <w14:schemeClr w14:val="tx1"/>
            </w14:solidFill>
          </w14:textFill>
        </w:rPr>
        <w:t>120</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14:textFill>
            <w14:solidFill>
              <w14:schemeClr w14:val="tx1"/>
            </w14:solidFill>
          </w14:textFill>
        </w:rPr>
        <w:t>2、</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货物类）</w:t>
      </w:r>
      <w:r>
        <w:rPr>
          <w:rFonts w:hint="eastAsia" w:asciiTheme="minorEastAsia" w:hAnsiTheme="minorEastAsia"/>
          <w:color w:val="000000" w:themeColor="text1"/>
          <w:sz w:val="21"/>
          <w:szCs w:val="21"/>
          <w:highlight w:val="none"/>
          <w14:textFill>
            <w14:solidFill>
              <w14:schemeClr w14:val="tx1"/>
            </w14:solidFill>
          </w14:textFill>
        </w:rPr>
        <w:t>交货期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自合同订立之日起</w:t>
      </w:r>
      <w:r>
        <w:rPr>
          <w:rFonts w:hint="eastAsia" w:asciiTheme="minorEastAsia" w:hAnsiTheme="minorEastAsia"/>
          <w:color w:val="000000" w:themeColor="text1"/>
          <w:sz w:val="21"/>
          <w:szCs w:val="21"/>
          <w:highlight w:val="yellow"/>
          <w:lang w:val="en-US" w:eastAsia="zh-CN"/>
          <w14:textFill>
            <w14:solidFill>
              <w14:schemeClr w14:val="tx1"/>
            </w14:solidFill>
          </w14:textFill>
        </w:rPr>
        <w:t>45</w:t>
      </w:r>
      <w:r>
        <w:rPr>
          <w:rFonts w:hint="eastAsia" w:asciiTheme="minorEastAsia" w:hAnsiTheme="minorEastAsia"/>
          <w:color w:val="000000" w:themeColor="text1"/>
          <w:sz w:val="21"/>
          <w:szCs w:val="21"/>
          <w:highlight w:val="yellow"/>
          <w14:textFill>
            <w14:solidFill>
              <w14:schemeClr w14:val="tx1"/>
            </w14:solidFill>
          </w14:textFill>
        </w:rPr>
        <w:t>日</w:t>
      </w:r>
      <w:r>
        <w:rPr>
          <w:rFonts w:hint="eastAsia" w:asciiTheme="minorEastAsia" w:hAnsiTheme="minorEastAsia"/>
          <w:color w:val="000000" w:themeColor="text1"/>
          <w:sz w:val="21"/>
          <w:szCs w:val="21"/>
          <w:highlight w:val="yellow"/>
          <w:lang w:val="en-US" w:eastAsia="zh-CN"/>
          <w14:textFill>
            <w14:solidFill>
              <w14:schemeClr w14:val="tx1"/>
            </w14:solidFill>
          </w14:textFill>
        </w:rPr>
        <w:t>内</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服务类）服务期：</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个日历日</w:t>
      </w: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snapToGrid w:val="0"/>
        <w:spacing w:line="276" w:lineRule="auto"/>
        <w:rPr>
          <w:rFonts w:asciiTheme="minorEastAsia" w:hAnsiTheme="minorEastAsia"/>
          <w:color w:val="000000" w:themeColor="text1"/>
          <w:sz w:val="21"/>
          <w:szCs w:val="21"/>
          <w:highlight w:val="none"/>
          <w14:textFill>
            <w14:solidFill>
              <w14:schemeClr w14:val="tx1"/>
            </w14:solidFill>
          </w14:textFill>
        </w:rPr>
      </w:pPr>
      <w:r>
        <w:rPr>
          <w:rFonts w:hint="eastAsia" w:asciiTheme="minorEastAsia" w:hAnsi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工程类）服务期：合同签订之日起</w:t>
      </w:r>
      <w:r>
        <w:rPr>
          <w:rFonts w:asciiTheme="minorEastAsia" w:hAnsiTheme="minorEastAsia"/>
          <w:color w:val="000000" w:themeColor="text1"/>
          <w:sz w:val="21"/>
          <w:szCs w:val="21"/>
          <w:highlight w:val="none"/>
          <w14:textFill>
            <w14:solidFill>
              <w14:schemeClr w14:val="tx1"/>
            </w14:solidFill>
          </w14:textFill>
        </w:rPr>
        <w:t>**</w:t>
      </w:r>
      <w:r>
        <w:rPr>
          <w:rFonts w:hint="eastAsia" w:asciiTheme="minorEastAsia" w:hAnsiTheme="minorEastAsia"/>
          <w:color w:val="000000" w:themeColor="text1"/>
          <w:sz w:val="21"/>
          <w:szCs w:val="21"/>
          <w:highlight w:val="none"/>
          <w:lang w:val="en-US" w:eastAsia="zh-CN"/>
          <w14:textFill>
            <w14:solidFill>
              <w14:schemeClr w14:val="tx1"/>
            </w14:solidFill>
          </w14:textFill>
        </w:rPr>
        <w:t>天内完成，具体开工时间以甲方通知为准。</w:t>
      </w:r>
      <w:r>
        <w:rPr>
          <w:rFonts w:hint="eastAsia" w:asciiTheme="minorEastAsia" w:hAnsiTheme="minorEastAsia"/>
          <w:color w:val="000000" w:themeColor="text1"/>
          <w:sz w:val="21"/>
          <w:szCs w:val="21"/>
          <w:highlight w:val="none"/>
          <w14:textFill>
            <w14:solidFill>
              <w14:schemeClr w14:val="tx1"/>
            </w14:solidFill>
          </w14:textFill>
        </w:rPr>
        <w:t>（请应答人</w:t>
      </w:r>
      <w:r>
        <w:rPr>
          <w:rFonts w:asciiTheme="minorEastAsia" w:hAnsiTheme="minorEastAsia"/>
          <w:color w:val="000000" w:themeColor="text1"/>
          <w:sz w:val="21"/>
          <w:szCs w:val="21"/>
          <w:highlight w:val="none"/>
          <w14:textFill>
            <w14:solidFill>
              <w14:schemeClr w14:val="tx1"/>
            </w14:solidFill>
          </w14:textFill>
        </w:rPr>
        <w:t>响应</w:t>
      </w:r>
      <w:r>
        <w:rPr>
          <w:rFonts w:hint="eastAsia" w:asciiTheme="minorEastAsia" w:hAnsiTheme="minorEastAsia"/>
          <w:color w:val="000000" w:themeColor="text1"/>
          <w:sz w:val="21"/>
          <w:szCs w:val="21"/>
          <w:highlight w:val="none"/>
          <w14:textFill>
            <w14:solidFill>
              <w14:schemeClr w14:val="tx1"/>
            </w14:solidFill>
          </w14:textFill>
        </w:rPr>
        <w:t>）</w:t>
      </w:r>
    </w:p>
    <w:p>
      <w:pPr>
        <w:pStyle w:val="3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asciiTheme="minorEastAsia" w:hAnsiTheme="minorEastAsia" w:eastAsiaTheme="minorEastAsia"/>
          <w:color w:val="000000" w:themeColor="text1"/>
          <w:sz w:val="21"/>
          <w:szCs w:val="21"/>
          <w:highlight w:val="none"/>
          <w14:textFill>
            <w14:solidFill>
              <w14:schemeClr w14:val="tx1"/>
            </w14:solidFill>
          </w14:textFill>
        </w:rPr>
        <w:t>3</w:t>
      </w:r>
      <w:r>
        <w:rPr>
          <w:rFonts w:hint="eastAsia" w:asciiTheme="minorEastAsia" w:hAnsiTheme="minorEastAsia" w:eastAsiaTheme="minorEastAsia"/>
          <w:color w:val="000000" w:themeColor="text1"/>
          <w:sz w:val="21"/>
          <w:szCs w:val="21"/>
          <w:highlight w:val="none"/>
          <w14:textFill>
            <w14:solidFill>
              <w14:schemeClr w14:val="tx1"/>
            </w14:solidFill>
          </w14:textFill>
        </w:rPr>
        <w:t>、以上报价包括：人工费、材料费、设施设备费、管理费、服务费、税费、利润、税金/其它应付款项，报价文件中规定的其它义务/风险/责任有关的费用及一切与履行本</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询比</w:t>
      </w:r>
      <w:r>
        <w:rPr>
          <w:rFonts w:hint="eastAsia" w:asciiTheme="minorEastAsia" w:hAnsiTheme="minorEastAsia" w:eastAsiaTheme="minorEastAsia"/>
          <w:color w:val="000000" w:themeColor="text1"/>
          <w:sz w:val="21"/>
          <w:szCs w:val="21"/>
          <w:highlight w:val="none"/>
          <w14:textFill>
            <w14:solidFill>
              <w14:schemeClr w14:val="tx1"/>
            </w14:solidFill>
          </w14:textFill>
        </w:rPr>
        <w:t>文件有关的于此处未列明的其它所有费用。固定单价在</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询比</w:t>
      </w:r>
      <w:r>
        <w:rPr>
          <w:rFonts w:hint="eastAsia" w:asciiTheme="minorEastAsia" w:hAnsiTheme="minorEastAsia" w:eastAsiaTheme="minorEastAsia"/>
          <w:color w:val="000000" w:themeColor="text1"/>
          <w:sz w:val="21"/>
          <w:szCs w:val="21"/>
          <w:highlight w:val="none"/>
          <w14:textFill>
            <w14:solidFill>
              <w14:schemeClr w14:val="tx1"/>
            </w14:solidFill>
          </w14:textFill>
        </w:rPr>
        <w:t>有效期和其必要的延长期内是固定的，不因通货膨胀、利/汇率、税/费变化而作任何调整</w:t>
      </w:r>
      <w:r>
        <w:rPr>
          <w:rFonts w:hint="eastAsia" w:asciiTheme="minorEastAsia" w:hAnsiTheme="minorEastAsia" w:eastAsiaTheme="minorEastAsia"/>
          <w:color w:val="000000" w:themeColor="text1"/>
          <w:sz w:val="21"/>
          <w:szCs w:val="21"/>
          <w:highlight w:val="none"/>
          <w:lang w:eastAsia="zh-CN"/>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响应</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3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4、开具</w:t>
      </w:r>
      <w:r>
        <w:rPr>
          <w:rFonts w:asciiTheme="minorEastAsia" w:hAnsiTheme="minorEastAsia" w:eastAsiaTheme="minorEastAsia"/>
          <w:color w:val="000000" w:themeColor="text1"/>
          <w:sz w:val="21"/>
          <w:szCs w:val="21"/>
          <w:highlight w:val="none"/>
          <w14:textFill>
            <w14:solidFill>
              <w14:schemeClr w14:val="tx1"/>
            </w14:solidFill>
          </w14:textFill>
        </w:rPr>
        <w:t>发票种类：增值税专用发票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增值税普通发票</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其它</w:t>
      </w:r>
      <w:r>
        <w:rPr>
          <w:rFonts w:hint="eastAsia" w:asciiTheme="minorEastAsia" w:hAnsiTheme="minorEastAsia" w:eastAsiaTheme="minorEastAsia"/>
          <w:color w:val="000000" w:themeColor="text1"/>
          <w:sz w:val="21"/>
          <w:szCs w:val="21"/>
          <w:highlight w:val="none"/>
          <w14:textFill>
            <w14:solidFill>
              <w14:schemeClr w14:val="tx1"/>
            </w14:solidFill>
          </w14:textFill>
        </w:rPr>
        <w:t>。（请应答人</w:t>
      </w:r>
      <w:r>
        <w:rPr>
          <w:rFonts w:asciiTheme="minorEastAsia" w:hAnsiTheme="minorEastAsia" w:eastAsiaTheme="minorEastAsia"/>
          <w:color w:val="000000" w:themeColor="text1"/>
          <w:sz w:val="21"/>
          <w:szCs w:val="21"/>
          <w:highlight w:val="none"/>
          <w14:textFill>
            <w14:solidFill>
              <w14:schemeClr w14:val="tx1"/>
            </w14:solidFill>
          </w14:textFill>
        </w:rPr>
        <w:t>如实填写</w:t>
      </w:r>
      <w:r>
        <w:rPr>
          <w:rFonts w:hint="eastAsia" w:asciiTheme="minorEastAsia" w:hAnsiTheme="minorEastAsia" w:eastAsiaTheme="minorEastAsia"/>
          <w:color w:val="000000" w:themeColor="text1"/>
          <w:sz w:val="21"/>
          <w:szCs w:val="21"/>
          <w:highlight w:val="none"/>
          <w14:textFill>
            <w14:solidFill>
              <w14:schemeClr w14:val="tx1"/>
            </w14:solidFill>
          </w14:textFill>
        </w:rPr>
        <w:t>具体</w:t>
      </w:r>
      <w:r>
        <w:rPr>
          <w:rFonts w:asciiTheme="minorEastAsia" w:hAnsiTheme="minorEastAsia" w:eastAsiaTheme="minorEastAsia"/>
          <w:color w:val="000000" w:themeColor="text1"/>
          <w:sz w:val="21"/>
          <w:szCs w:val="21"/>
          <w:highlight w:val="none"/>
          <w14:textFill>
            <w14:solidFill>
              <w14:schemeClr w14:val="tx1"/>
            </w14:solidFill>
          </w14:textFill>
        </w:rPr>
        <w:t>发票种类</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p>
    <w:p>
      <w:pPr>
        <w:pStyle w:val="3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5、其它</w:t>
      </w:r>
      <w:r>
        <w:rPr>
          <w:rFonts w:asciiTheme="minorEastAsia" w:hAnsiTheme="minorEastAsia" w:eastAsiaTheme="minorEastAsia"/>
          <w:color w:val="000000" w:themeColor="text1"/>
          <w:sz w:val="21"/>
          <w:szCs w:val="21"/>
          <w:highlight w:val="none"/>
          <w14:textFill>
            <w14:solidFill>
              <w14:schemeClr w14:val="tx1"/>
            </w14:solidFill>
          </w14:textFill>
        </w:rPr>
        <w:t>。应答人如有其它说明请补充。</w:t>
      </w:r>
    </w:p>
    <w:p>
      <w:pPr>
        <w:pStyle w:val="35"/>
        <w:spacing w:line="276" w:lineRule="auto"/>
        <w:ind w:firstLine="0"/>
        <w:jc w:val="left"/>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lang w:val="en-US" w:eastAsia="zh-CN"/>
          <w14:textFill>
            <w14:solidFill>
              <w14:schemeClr w14:val="tx1"/>
            </w14:solidFill>
          </w14:textFill>
        </w:rPr>
        <w:t>6</w:t>
      </w:r>
      <w:r>
        <w:rPr>
          <w:rFonts w:hint="eastAsia" w:asciiTheme="minorEastAsia" w:hAnsiTheme="minorEastAsia" w:eastAsiaTheme="minorEastAsia"/>
          <w:color w:val="000000" w:themeColor="text1"/>
          <w:sz w:val="21"/>
          <w:szCs w:val="21"/>
          <w:highlight w:val="none"/>
          <w14:textFill>
            <w14:solidFill>
              <w14:schemeClr w14:val="tx1"/>
            </w14:solidFill>
          </w14:textFill>
        </w:rPr>
        <w:t>、应答人商务联系人姓名________电话_______________邮箱_______________</w:t>
      </w:r>
    </w:p>
    <w:p>
      <w:pPr>
        <w:pStyle w:val="35"/>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报价单位</w:t>
      </w:r>
      <w:r>
        <w:rPr>
          <w:rFonts w:asciiTheme="minorEastAsia" w:hAnsiTheme="minorEastAsia" w:eastAsiaTheme="minorEastAsia"/>
          <w:color w:val="000000" w:themeColor="text1"/>
          <w:sz w:val="21"/>
          <w:szCs w:val="21"/>
          <w:highlight w:val="none"/>
          <w14:textFill>
            <w14:solidFill>
              <w14:schemeClr w14:val="tx1"/>
            </w14:solidFill>
          </w14:textFill>
        </w:rPr>
        <w:t>名称：***</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auto"/>
          <w:sz w:val="21"/>
          <w:szCs w:val="21"/>
          <w:highlight w:val="none"/>
          <w:lang w:val="en-US" w:eastAsia="zh-CN"/>
        </w:rPr>
        <w:t>加</w:t>
      </w:r>
      <w:r>
        <w:rPr>
          <w:rFonts w:hint="eastAsia" w:asciiTheme="minorEastAsia" w:hAnsiTheme="minorEastAsia" w:eastAsiaTheme="minorEastAsia"/>
          <w:color w:val="auto"/>
          <w:sz w:val="21"/>
          <w:szCs w:val="21"/>
          <w:highlight w:val="none"/>
        </w:rPr>
        <w:t>盖</w:t>
      </w:r>
      <w:r>
        <w:rPr>
          <w:rFonts w:asciiTheme="minorEastAsia" w:hAnsiTheme="minorEastAsia" w:eastAsiaTheme="minorEastAsia"/>
          <w:color w:val="auto"/>
          <w:sz w:val="21"/>
          <w:szCs w:val="21"/>
          <w:highlight w:val="none"/>
        </w:rPr>
        <w:t>公章</w:t>
      </w:r>
      <w:r>
        <w:rPr>
          <w:rFonts w:hint="eastAsia" w:asciiTheme="minorEastAsia" w:hAnsiTheme="minorEastAsia" w:eastAsiaTheme="minorEastAsia"/>
          <w:color w:val="auto"/>
          <w:sz w:val="21"/>
          <w:szCs w:val="21"/>
          <w:highlight w:val="none"/>
        </w:rPr>
        <w:t>）</w:t>
      </w:r>
    </w:p>
    <w:p>
      <w:pPr>
        <w:pStyle w:val="35"/>
        <w:spacing w:line="360" w:lineRule="auto"/>
        <w:ind w:right="840" w:firstLine="0"/>
        <w:jc w:val="right"/>
        <w:rPr>
          <w:rFonts w:hint="eastAsia" w:asciiTheme="minorEastAsia" w:hAnsiTheme="minorEastAsia" w:eastAsiaTheme="minorEastAsia"/>
          <w:color w:val="000000" w:themeColor="text1"/>
          <w:sz w:val="21"/>
          <w:szCs w:val="21"/>
          <w:highlight w:val="none"/>
          <w14:textFill>
            <w14:solidFill>
              <w14:schemeClr w14:val="tx1"/>
            </w14:solidFill>
          </w14:textFill>
        </w:rPr>
      </w:pPr>
      <w:r>
        <w:rPr>
          <w:rFonts w:hint="eastAsia" w:ascii="仿宋" w:hAnsi="仿宋" w:eastAsia="仿宋" w:cs="仿宋"/>
          <w:bCs/>
          <w:color w:val="auto"/>
          <w:sz w:val="21"/>
          <w:szCs w:val="21"/>
          <w:highlight w:val="none"/>
          <w:lang w:eastAsia="zh-CN"/>
        </w:rPr>
        <w:t>法定代表人（单位负责人）或其委托代理人签字：</w:t>
      </w:r>
    </w:p>
    <w:p>
      <w:pPr>
        <w:pStyle w:val="35"/>
        <w:spacing w:line="360" w:lineRule="auto"/>
        <w:ind w:right="560" w:firstLine="4830" w:firstLineChars="2300"/>
        <w:rPr>
          <w:rFonts w:asciiTheme="minorEastAsia" w:hAnsiTheme="minorEastAsia" w:eastAsiaTheme="minorEastAsia"/>
          <w:color w:val="000000" w:themeColor="text1"/>
          <w:sz w:val="21"/>
          <w:szCs w:val="21"/>
          <w:highlight w:val="none"/>
          <w14:textFill>
            <w14:solidFill>
              <w14:schemeClr w14:val="tx1"/>
            </w14:solidFill>
          </w14:textFill>
        </w:rPr>
      </w:pPr>
      <w:r>
        <w:rPr>
          <w:rFonts w:hint="eastAsia" w:asciiTheme="minorEastAsia" w:hAnsiTheme="minorEastAsia" w:eastAsiaTheme="minorEastAsia"/>
          <w:color w:val="000000" w:themeColor="text1"/>
          <w:sz w:val="21"/>
          <w:szCs w:val="21"/>
          <w:highlight w:val="none"/>
          <w14:textFill>
            <w14:solidFill>
              <w14:schemeClr w14:val="tx1"/>
            </w14:solidFill>
          </w14:textFill>
        </w:rPr>
        <w:t>报价日期</w:t>
      </w:r>
      <w:r>
        <w:rPr>
          <w:rFonts w:asciiTheme="minorEastAsia" w:hAnsiTheme="minorEastAsia" w:eastAsiaTheme="minorEastAsia"/>
          <w:color w:val="000000" w:themeColor="text1"/>
          <w:sz w:val="21"/>
          <w:szCs w:val="21"/>
          <w:highlight w:val="none"/>
          <w14:textFill>
            <w14:solidFill>
              <w14:schemeClr w14:val="tx1"/>
            </w14:solidFill>
          </w14:textFill>
        </w:rPr>
        <w:t>：</w:t>
      </w:r>
      <w:r>
        <w:rPr>
          <w:rFonts w:hint="eastAsia" w:asciiTheme="minorEastAsia" w:hAnsiTheme="minorEastAsia" w:eastAsiaTheme="minorEastAsia"/>
          <w:color w:val="000000" w:themeColor="text1"/>
          <w:sz w:val="21"/>
          <w:szCs w:val="21"/>
          <w:highlight w:val="none"/>
          <w14:textFill>
            <w14:solidFill>
              <w14:schemeClr w14:val="tx1"/>
            </w14:solidFill>
          </w14:textFill>
        </w:rPr>
        <w:t>*</w:t>
      </w:r>
      <w:r>
        <w:rPr>
          <w:rFonts w:asciiTheme="minorEastAsia" w:hAnsiTheme="minorEastAsia" w:eastAsiaTheme="minorEastAsia"/>
          <w:color w:val="000000" w:themeColor="text1"/>
          <w:sz w:val="21"/>
          <w:szCs w:val="21"/>
          <w:highlight w:val="none"/>
          <w14:textFill>
            <w14:solidFill>
              <w14:schemeClr w14:val="tx1"/>
            </w14:solidFill>
          </w14:textFill>
        </w:rPr>
        <w:t>***年**月**日</w:t>
      </w:r>
    </w:p>
    <w:p>
      <w:pPr>
        <w:pStyle w:val="3"/>
        <w:ind w:firstLine="0" w:firstLineChars="0"/>
        <w:rPr>
          <w:lang w:val="en-US" w:eastAsia="zh-CN"/>
        </w:rPr>
      </w:pP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Noto Sans CJK DemiLight">
    <w:altName w:val="宋体"/>
    <w:panose1 w:val="00000000000000000000"/>
    <w:charset w:val="86"/>
    <w:family w:val="swiss"/>
    <w:pitch w:val="default"/>
    <w:sig w:usb0="00000000" w:usb1="00000000" w:usb2="00000016" w:usb3="00000000" w:csb0="002E0107"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Garamond">
    <w:altName w:val="PMingLiU-ExtB"/>
    <w:panose1 w:val="02020404030301010803"/>
    <w:charset w:val="00"/>
    <w:family w:val="roman"/>
    <w:pitch w:val="default"/>
    <w:sig w:usb0="00000000" w:usb1="00000000" w:usb2="00000000" w:usb3="00000000" w:csb0="0000009F" w:csb1="DFD70000"/>
  </w:font>
  <w:font w:name="新宋体-18030">
    <w:altName w:val="微软雅黑"/>
    <w:panose1 w:val="00000000000000000000"/>
    <w:charset w:val="86"/>
    <w:family w:val="modern"/>
    <w:pitch w:val="default"/>
    <w:sig w:usb0="00000000" w:usb1="00000000" w:usb2="000A005E" w:usb3="00000000" w:csb0="00040001"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firstLine="4216" w:firstLineChars="2000"/>
      <w:rPr>
        <w:lang w:val="zh-CN"/>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393A7"/>
    <w:multiLevelType w:val="singleLevel"/>
    <w:tmpl w:val="A62393A7"/>
    <w:lvl w:ilvl="0" w:tentative="0">
      <w:start w:val="1"/>
      <w:numFmt w:val="decimal"/>
      <w:suff w:val="space"/>
      <w:lvlText w:val="%1."/>
      <w:lvlJc w:val="left"/>
    </w:lvl>
  </w:abstractNum>
  <w:abstractNum w:abstractNumId="1">
    <w:nsid w:val="F51E834A"/>
    <w:multiLevelType w:val="singleLevel"/>
    <w:tmpl w:val="F51E834A"/>
    <w:lvl w:ilvl="0" w:tentative="0">
      <w:start w:val="5"/>
      <w:numFmt w:val="decimal"/>
      <w:suff w:val="nothing"/>
      <w:lvlText w:val="%1）"/>
      <w:lvlJc w:val="left"/>
    </w:lvl>
  </w:abstractNum>
  <w:abstractNum w:abstractNumId="2">
    <w:nsid w:val="00F8F7AE"/>
    <w:multiLevelType w:val="singleLevel"/>
    <w:tmpl w:val="00F8F7AE"/>
    <w:lvl w:ilvl="0" w:tentative="0">
      <w:start w:val="1"/>
      <w:numFmt w:val="decimal"/>
      <w:suff w:val="nothing"/>
      <w:lvlText w:val="%1、"/>
      <w:lvlJc w:val="left"/>
    </w:lvl>
  </w:abstractNum>
  <w:abstractNum w:abstractNumId="3">
    <w:nsid w:val="0ECB3DC2"/>
    <w:multiLevelType w:val="multilevel"/>
    <w:tmpl w:val="0ECB3DC2"/>
    <w:lvl w:ilvl="0" w:tentative="0">
      <w:start w:val="1"/>
      <w:numFmt w:val="decimal"/>
      <w:lvlText w:val="10.%1"/>
      <w:lvlJc w:val="left"/>
      <w:pPr>
        <w:ind w:left="418" w:hanging="420"/>
      </w:pPr>
      <w:rPr>
        <w:rFonts w:hint="default" w:ascii="Times New Roman" w:hAnsi="Times New Roman" w:cs="Times New Roman"/>
        <w:b w:val="0"/>
        <w:i w:val="0"/>
        <w:color w:val="auto"/>
        <w:sz w:val="24"/>
        <w:szCs w:val="24"/>
      </w:rPr>
    </w:lvl>
    <w:lvl w:ilvl="1" w:tentative="0">
      <w:start w:val="1"/>
      <w:numFmt w:val="decimal"/>
      <w:lvlText w:val="(%2)"/>
      <w:lvlJc w:val="left"/>
      <w:pPr>
        <w:ind w:left="808" w:hanging="390"/>
      </w:pPr>
      <w:rPr>
        <w:rFonts w:hint="default"/>
      </w:rPr>
    </w:lvl>
    <w:lvl w:ilvl="2" w:tentative="0">
      <w:start w:val="1"/>
      <w:numFmt w:val="lowerRoman"/>
      <w:lvlText w:val="%3."/>
      <w:lvlJc w:val="right"/>
      <w:pPr>
        <w:ind w:left="1258" w:hanging="420"/>
      </w:pPr>
    </w:lvl>
    <w:lvl w:ilvl="3" w:tentative="0">
      <w:start w:val="1"/>
      <w:numFmt w:val="decimal"/>
      <w:lvlText w:val="%4."/>
      <w:lvlJc w:val="left"/>
      <w:pPr>
        <w:ind w:left="1678" w:hanging="420"/>
      </w:pPr>
    </w:lvl>
    <w:lvl w:ilvl="4" w:tentative="0">
      <w:start w:val="1"/>
      <w:numFmt w:val="lowerLetter"/>
      <w:lvlText w:val="%5)"/>
      <w:lvlJc w:val="left"/>
      <w:pPr>
        <w:ind w:left="2098" w:hanging="420"/>
      </w:pPr>
    </w:lvl>
    <w:lvl w:ilvl="5" w:tentative="0">
      <w:start w:val="1"/>
      <w:numFmt w:val="lowerRoman"/>
      <w:lvlText w:val="%6."/>
      <w:lvlJc w:val="right"/>
      <w:pPr>
        <w:ind w:left="2518" w:hanging="420"/>
      </w:pPr>
    </w:lvl>
    <w:lvl w:ilvl="6" w:tentative="0">
      <w:start w:val="1"/>
      <w:numFmt w:val="decimal"/>
      <w:lvlText w:val="%7."/>
      <w:lvlJc w:val="left"/>
      <w:pPr>
        <w:ind w:left="2938" w:hanging="420"/>
      </w:pPr>
    </w:lvl>
    <w:lvl w:ilvl="7" w:tentative="0">
      <w:start w:val="1"/>
      <w:numFmt w:val="lowerLetter"/>
      <w:lvlText w:val="%8)"/>
      <w:lvlJc w:val="left"/>
      <w:pPr>
        <w:ind w:left="3358" w:hanging="420"/>
      </w:pPr>
    </w:lvl>
    <w:lvl w:ilvl="8" w:tentative="0">
      <w:start w:val="1"/>
      <w:numFmt w:val="lowerRoman"/>
      <w:lvlText w:val="%9."/>
      <w:lvlJc w:val="right"/>
      <w:pPr>
        <w:ind w:left="3778" w:hanging="420"/>
      </w:pPr>
    </w:lvl>
  </w:abstractNum>
  <w:abstractNum w:abstractNumId="4">
    <w:nsid w:val="111D4901"/>
    <w:multiLevelType w:val="multilevel"/>
    <w:tmpl w:val="111D4901"/>
    <w:lvl w:ilvl="0" w:tentative="0">
      <w:start w:val="1"/>
      <w:numFmt w:val="decimal"/>
      <w:lvlText w:val="12.%1"/>
      <w:lvlJc w:val="left"/>
      <w:pPr>
        <w:ind w:left="420" w:hanging="420"/>
      </w:pPr>
      <w:rPr>
        <w:rFonts w:hint="default" w:ascii="Times New Roman" w:hAnsi="Times New Roman" w:cs="Times New Roman"/>
        <w:b w:val="0"/>
        <w:i w:val="0"/>
        <w:color w:val="auto"/>
        <w:sz w:val="24"/>
        <w:szCs w:val="24"/>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1594051"/>
    <w:multiLevelType w:val="multilevel"/>
    <w:tmpl w:val="11594051"/>
    <w:lvl w:ilvl="0" w:tentative="0">
      <w:start w:val="1"/>
      <w:numFmt w:val="decimal"/>
      <w:lvlText w:val="5.%1"/>
      <w:lvlJc w:val="left"/>
      <w:pPr>
        <w:ind w:left="420" w:hanging="420"/>
      </w:pPr>
      <w:rPr>
        <w:rFonts w:hint="eastAsia"/>
        <w:b w:val="0"/>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13AE254C"/>
    <w:multiLevelType w:val="multilevel"/>
    <w:tmpl w:val="13AE254C"/>
    <w:lvl w:ilvl="0" w:tentative="0">
      <w:start w:val="1"/>
      <w:numFmt w:val="decimal"/>
      <w:lvlText w:val="8.%1"/>
      <w:lvlJc w:val="left"/>
      <w:pPr>
        <w:ind w:left="704" w:hanging="420"/>
      </w:pPr>
      <w:rPr>
        <w:rFonts w:hint="eastAsia"/>
        <w:b w:val="0"/>
        <w:i w:val="0"/>
        <w:color w:val="auto"/>
        <w:sz w:val="24"/>
        <w:szCs w:val="24"/>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abstractNum w:abstractNumId="7">
    <w:nsid w:val="18324A0E"/>
    <w:multiLevelType w:val="singleLevel"/>
    <w:tmpl w:val="18324A0E"/>
    <w:lvl w:ilvl="0" w:tentative="0">
      <w:start w:val="1"/>
      <w:numFmt w:val="decimal"/>
      <w:suff w:val="nothing"/>
      <w:lvlText w:val="%1、"/>
      <w:lvlJc w:val="left"/>
    </w:lvl>
  </w:abstractNum>
  <w:abstractNum w:abstractNumId="8">
    <w:nsid w:val="187E4373"/>
    <w:multiLevelType w:val="multilevel"/>
    <w:tmpl w:val="187E4373"/>
    <w:lvl w:ilvl="0" w:tentative="0">
      <w:start w:val="1"/>
      <w:numFmt w:val="decimal"/>
      <w:lvlText w:val="19.%1"/>
      <w:lvlJc w:val="left"/>
      <w:pPr>
        <w:ind w:left="420" w:hanging="420"/>
      </w:pPr>
      <w:rPr>
        <w:rFonts w:hint="eastAsia"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20673A34"/>
    <w:multiLevelType w:val="multilevel"/>
    <w:tmpl w:val="20673A34"/>
    <w:lvl w:ilvl="0" w:tentative="0">
      <w:start w:val="1"/>
      <w:numFmt w:val="decimal"/>
      <w:lvlText w:val="9.%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20CD20B2"/>
    <w:multiLevelType w:val="multilevel"/>
    <w:tmpl w:val="20CD20B2"/>
    <w:lvl w:ilvl="0" w:tentative="0">
      <w:start w:val="1"/>
      <w:numFmt w:val="decimal"/>
      <w:pStyle w:val="4"/>
      <w:lvlText w:val="%1"/>
      <w:lvlJc w:val="left"/>
      <w:pPr>
        <w:ind w:left="0" w:firstLine="0"/>
      </w:pPr>
      <w:rPr>
        <w:rFonts w:hint="default" w:ascii="Times New Roman" w:hAnsi="Times New Roman" w:eastAsia="黑体" w:cs="Times New Roman"/>
        <w:color w:val="000000"/>
      </w:rPr>
    </w:lvl>
    <w:lvl w:ilvl="1" w:tentative="0">
      <w:start w:val="1"/>
      <w:numFmt w:val="decimal"/>
      <w:lvlText w:val="%1.%2"/>
      <w:lvlJc w:val="left"/>
      <w:pPr>
        <w:ind w:left="-31" w:firstLine="315"/>
      </w:pPr>
      <w:rPr>
        <w:rFonts w:hint="default" w:ascii="Times New Roman" w:hAnsi="Times New Roman" w:eastAsia="黑体" w:cs="Times New Roman"/>
        <w:b w:val="0"/>
        <w:bCs w:val="0"/>
        <w:i w:val="0"/>
        <w:iCs w:val="0"/>
        <w:caps w:val="0"/>
        <w:smallCaps w:val="0"/>
        <w:strike w:val="0"/>
        <w:dstrike w:val="0"/>
        <w:snapToGrid w:val="0"/>
        <w:vanish w:val="0"/>
        <w:color w:val="000000"/>
        <w:spacing w:val="0"/>
        <w:w w:val="0"/>
        <w:kern w:val="0"/>
        <w:position w:val="0"/>
        <w:sz w:val="24"/>
        <w:szCs w:val="24"/>
        <w:u w:val="none" w:color="000000"/>
        <w:shd w:val="clear" w:color="000000" w:fill="000000"/>
        <w:vertAlign w:val="baseline"/>
        <w:lang w:val="zh-CN" w:eastAsia="zh-CN" w:bidi="zh-CN"/>
      </w:rPr>
    </w:lvl>
    <w:lvl w:ilvl="2" w:tentative="0">
      <w:start w:val="1"/>
      <w:numFmt w:val="decimal"/>
      <w:lvlText w:val="%1.%2.%3"/>
      <w:lvlJc w:val="left"/>
      <w:pPr>
        <w:ind w:left="-142" w:firstLine="0"/>
      </w:pPr>
      <w:rPr>
        <w:rFonts w:hint="default" w:ascii="Times New Roman" w:hAnsi="Times New Roman" w:eastAsia="黑体" w:cs="Times New Roman"/>
        <w:b w:val="0"/>
        <w:bCs w:val="0"/>
        <w:i w:val="0"/>
        <w:iCs w:val="0"/>
        <w:caps w:val="0"/>
        <w:smallCaps w:val="0"/>
        <w:strike w:val="0"/>
        <w:dstrike w:val="0"/>
        <w:snapToGrid w:val="0"/>
        <w:vanish w:val="0"/>
        <w:color w:val="000000"/>
        <w:spacing w:val="0"/>
        <w:w w:val="0"/>
        <w:kern w:val="0"/>
        <w:position w:val="0"/>
        <w:sz w:val="24"/>
        <w:szCs w:val="24"/>
        <w:u w:val="none" w:color="000000"/>
        <w:shd w:val="clear" w:color="000000" w:fill="000000"/>
        <w:vertAlign w:val="baseline"/>
        <w:lang w:val="zh-CN" w:eastAsia="zh-CN" w:bidi="zh-CN"/>
      </w:rPr>
    </w:lvl>
    <w:lvl w:ilvl="3" w:tentative="0">
      <w:start w:val="1"/>
      <w:numFmt w:val="decimal"/>
      <w:lvlText w:val="%1.%2.%3.%4."/>
      <w:lvlJc w:val="left"/>
      <w:pPr>
        <w:ind w:left="-37" w:firstLine="0"/>
      </w:pPr>
      <w:rPr>
        <w:rFonts w:hint="eastAsia" w:ascii="黑体" w:hAnsi="黑体" w:eastAsia="黑体"/>
      </w:rPr>
    </w:lvl>
    <w:lvl w:ilvl="4" w:tentative="0">
      <w:start w:val="1"/>
      <w:numFmt w:val="decimal"/>
      <w:lvlText w:val="%1.%2.%3.%4.%5."/>
      <w:lvlJc w:val="left"/>
      <w:pPr>
        <w:ind w:left="-142" w:firstLine="0"/>
      </w:pPr>
      <w:rPr>
        <w:rFonts w:hint="eastAsia"/>
      </w:rPr>
    </w:lvl>
    <w:lvl w:ilvl="5" w:tentative="0">
      <w:start w:val="1"/>
      <w:numFmt w:val="decimal"/>
      <w:lvlText w:val="%1.%2.%3.%4.%5.%6."/>
      <w:lvlJc w:val="left"/>
      <w:pPr>
        <w:ind w:left="-142" w:firstLine="0"/>
      </w:pPr>
      <w:rPr>
        <w:rFonts w:hint="eastAsia"/>
      </w:rPr>
    </w:lvl>
    <w:lvl w:ilvl="6" w:tentative="0">
      <w:start w:val="1"/>
      <w:numFmt w:val="decimal"/>
      <w:lvlText w:val="%1.%2.%3.%4.%5.%6.%7."/>
      <w:lvlJc w:val="left"/>
      <w:pPr>
        <w:ind w:left="-142" w:firstLine="0"/>
      </w:pPr>
      <w:rPr>
        <w:rFonts w:hint="eastAsia"/>
      </w:rPr>
    </w:lvl>
    <w:lvl w:ilvl="7" w:tentative="0">
      <w:start w:val="1"/>
      <w:numFmt w:val="decimal"/>
      <w:lvlText w:val="%1.%2.%3.%4.%5.%6.%7.%8."/>
      <w:lvlJc w:val="left"/>
      <w:pPr>
        <w:ind w:left="-142" w:firstLine="0"/>
      </w:pPr>
      <w:rPr>
        <w:rFonts w:hint="eastAsia"/>
      </w:rPr>
    </w:lvl>
    <w:lvl w:ilvl="8" w:tentative="0">
      <w:start w:val="1"/>
      <w:numFmt w:val="decimal"/>
      <w:lvlText w:val="%1.%2.%3.%4.%5.%6.%7.%8.%9."/>
      <w:lvlJc w:val="left"/>
      <w:pPr>
        <w:ind w:left="-142" w:firstLine="0"/>
      </w:pPr>
      <w:rPr>
        <w:rFonts w:hint="eastAsia"/>
      </w:rPr>
    </w:lvl>
  </w:abstractNum>
  <w:abstractNum w:abstractNumId="11">
    <w:nsid w:val="213F27C5"/>
    <w:multiLevelType w:val="multilevel"/>
    <w:tmpl w:val="213F27C5"/>
    <w:lvl w:ilvl="0" w:tentative="0">
      <w:start w:val="1"/>
      <w:numFmt w:val="decimal"/>
      <w:lvlText w:val="(%1)"/>
      <w:lvlJc w:val="left"/>
      <w:pPr>
        <w:ind w:left="987" w:hanging="420"/>
      </w:pPr>
      <w:rPr>
        <w:rFonts w:hint="default" w:cs="Times New Roman"/>
        <w:b w:val="0"/>
        <w:i w:val="0"/>
        <w:color w:val="auto"/>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12">
    <w:nsid w:val="22030A0D"/>
    <w:multiLevelType w:val="multilevel"/>
    <w:tmpl w:val="22030A0D"/>
    <w:lvl w:ilvl="0" w:tentative="0">
      <w:start w:val="1"/>
      <w:numFmt w:val="decimal"/>
      <w:lvlText w:val="14.%1"/>
      <w:lvlJc w:val="left"/>
      <w:pPr>
        <w:ind w:left="420" w:hanging="420"/>
      </w:pPr>
      <w:rPr>
        <w:rFonts w:hint="default" w:ascii="Times New Roman" w:hAnsi="Times New Roman" w:cs="Times New Roman"/>
        <w:b w:val="0"/>
        <w:i w:val="0"/>
        <w:color w:val="auto"/>
        <w:sz w:val="24"/>
        <w:szCs w:val="24"/>
        <w:lang w:eastAsia="zh-C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288C4446"/>
    <w:multiLevelType w:val="multilevel"/>
    <w:tmpl w:val="288C4446"/>
    <w:lvl w:ilvl="0" w:tentative="0">
      <w:start w:val="1"/>
      <w:numFmt w:val="decimal"/>
      <w:lvlText w:val="11.%1"/>
      <w:lvlJc w:val="left"/>
      <w:pPr>
        <w:tabs>
          <w:tab w:val="left" w:pos="1860"/>
        </w:tabs>
        <w:ind w:left="1860" w:hanging="420"/>
      </w:pPr>
      <w:rPr>
        <w:rFonts w:hint="default" w:ascii="Times New Roman" w:hAnsi="Times New Roman" w:cs="Times New Roman"/>
        <w:b w:val="0"/>
        <w:i w:val="0"/>
        <w:color w:val="auto"/>
        <w:sz w:val="24"/>
        <w:szCs w:val="24"/>
        <w:lang w:eastAsia="zh-CN"/>
      </w:rPr>
    </w:lvl>
    <w:lvl w:ilvl="1" w:tentative="0">
      <w:start w:val="1"/>
      <w:numFmt w:val="decimal"/>
      <w:lvlText w:val="(%2)"/>
      <w:lvlJc w:val="left"/>
      <w:pPr>
        <w:tabs>
          <w:tab w:val="left" w:pos="840"/>
        </w:tabs>
        <w:ind w:left="840" w:hanging="420"/>
      </w:pPr>
      <w:rPr>
        <w:rFonts w:ascii="Times New Roman" w:hAnsi="宋体" w:eastAsia="宋体" w:cs="Times New Roman"/>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2DC64C40"/>
    <w:multiLevelType w:val="multilevel"/>
    <w:tmpl w:val="2DC64C40"/>
    <w:lvl w:ilvl="0" w:tentative="0">
      <w:start w:val="1"/>
      <w:numFmt w:val="chineseCountingThousand"/>
      <w:lvlText w:val="第%1条"/>
      <w:lvlJc w:val="left"/>
      <w:pPr>
        <w:ind w:left="1697" w:hanging="420"/>
      </w:pPr>
      <w:rPr>
        <w:rFonts w:hint="eastAsia"/>
        <w:i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DE306F5"/>
    <w:multiLevelType w:val="multilevel"/>
    <w:tmpl w:val="2DE306F5"/>
    <w:lvl w:ilvl="0" w:tentative="0">
      <w:start w:val="1"/>
      <w:numFmt w:val="bullet"/>
      <w:lvlText w:val=""/>
      <w:lvlJc w:val="left"/>
      <w:pPr>
        <w:ind w:left="1060" w:hanging="420"/>
      </w:pPr>
      <w:rPr>
        <w:rFonts w:hint="default" w:ascii="Wingdings" w:hAnsi="Wingdings"/>
      </w:rPr>
    </w:lvl>
    <w:lvl w:ilvl="1" w:tentative="0">
      <w:start w:val="1"/>
      <w:numFmt w:val="bullet"/>
      <w:lvlText w:val=""/>
      <w:lvlJc w:val="left"/>
      <w:pPr>
        <w:ind w:left="1480" w:hanging="420"/>
      </w:pPr>
      <w:rPr>
        <w:rFonts w:hint="default" w:ascii="Wingdings" w:hAnsi="Wingdings"/>
      </w:rPr>
    </w:lvl>
    <w:lvl w:ilvl="2" w:tentative="0">
      <w:start w:val="1"/>
      <w:numFmt w:val="bullet"/>
      <w:lvlText w:val=""/>
      <w:lvlJc w:val="left"/>
      <w:pPr>
        <w:ind w:left="1900" w:hanging="420"/>
      </w:pPr>
      <w:rPr>
        <w:rFonts w:hint="default" w:ascii="Wingdings" w:hAnsi="Wingdings"/>
      </w:rPr>
    </w:lvl>
    <w:lvl w:ilvl="3" w:tentative="0">
      <w:start w:val="1"/>
      <w:numFmt w:val="bullet"/>
      <w:lvlText w:val=""/>
      <w:lvlJc w:val="left"/>
      <w:pPr>
        <w:ind w:left="2320" w:hanging="420"/>
      </w:pPr>
      <w:rPr>
        <w:rFonts w:hint="default" w:ascii="Wingdings" w:hAnsi="Wingdings"/>
      </w:rPr>
    </w:lvl>
    <w:lvl w:ilvl="4" w:tentative="0">
      <w:start w:val="1"/>
      <w:numFmt w:val="bullet"/>
      <w:lvlText w:val=""/>
      <w:lvlJc w:val="left"/>
      <w:pPr>
        <w:ind w:left="2740" w:hanging="420"/>
      </w:pPr>
      <w:rPr>
        <w:rFonts w:hint="default" w:ascii="Wingdings" w:hAnsi="Wingdings"/>
      </w:rPr>
    </w:lvl>
    <w:lvl w:ilvl="5" w:tentative="0">
      <w:start w:val="1"/>
      <w:numFmt w:val="bullet"/>
      <w:lvlText w:val=""/>
      <w:lvlJc w:val="left"/>
      <w:pPr>
        <w:ind w:left="3160" w:hanging="420"/>
      </w:pPr>
      <w:rPr>
        <w:rFonts w:hint="default" w:ascii="Wingdings" w:hAnsi="Wingdings"/>
      </w:rPr>
    </w:lvl>
    <w:lvl w:ilvl="6" w:tentative="0">
      <w:start w:val="1"/>
      <w:numFmt w:val="bullet"/>
      <w:lvlText w:val=""/>
      <w:lvlJc w:val="left"/>
      <w:pPr>
        <w:ind w:left="3580" w:hanging="420"/>
      </w:pPr>
      <w:rPr>
        <w:rFonts w:hint="default" w:ascii="Wingdings" w:hAnsi="Wingdings"/>
      </w:rPr>
    </w:lvl>
    <w:lvl w:ilvl="7" w:tentative="0">
      <w:start w:val="1"/>
      <w:numFmt w:val="bullet"/>
      <w:lvlText w:val=""/>
      <w:lvlJc w:val="left"/>
      <w:pPr>
        <w:ind w:left="4000" w:hanging="420"/>
      </w:pPr>
      <w:rPr>
        <w:rFonts w:hint="default" w:ascii="Wingdings" w:hAnsi="Wingdings"/>
      </w:rPr>
    </w:lvl>
    <w:lvl w:ilvl="8" w:tentative="0">
      <w:start w:val="1"/>
      <w:numFmt w:val="bullet"/>
      <w:lvlText w:val=""/>
      <w:lvlJc w:val="left"/>
      <w:pPr>
        <w:ind w:left="4420" w:hanging="420"/>
      </w:pPr>
      <w:rPr>
        <w:rFonts w:hint="default" w:ascii="Wingdings" w:hAnsi="Wingdings"/>
      </w:rPr>
    </w:lvl>
  </w:abstractNum>
  <w:abstractNum w:abstractNumId="16">
    <w:nsid w:val="2E967B86"/>
    <w:multiLevelType w:val="multilevel"/>
    <w:tmpl w:val="2E967B86"/>
    <w:lvl w:ilvl="0" w:tentative="0">
      <w:start w:val="1"/>
      <w:numFmt w:val="decimal"/>
      <w:lvlText w:val="7.%1"/>
      <w:lvlJc w:val="left"/>
      <w:pPr>
        <w:tabs>
          <w:tab w:val="left" w:pos="1860"/>
        </w:tabs>
        <w:ind w:left="1860" w:hanging="420"/>
      </w:pPr>
      <w:rPr>
        <w:rFonts w:hint="default" w:ascii="Times New Roman" w:hAnsi="Times New Roman" w:cs="Times New Roman"/>
        <w:b w:val="0"/>
        <w:bCs w:val="0"/>
        <w:i w:val="0"/>
        <w:iCs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344619A6"/>
    <w:multiLevelType w:val="multilevel"/>
    <w:tmpl w:val="344619A6"/>
    <w:lvl w:ilvl="0" w:tentative="0">
      <w:start w:val="1"/>
      <w:numFmt w:val="decimal"/>
      <w:lvlText w:val="18.%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6BF286B"/>
    <w:multiLevelType w:val="singleLevel"/>
    <w:tmpl w:val="36BF286B"/>
    <w:lvl w:ilvl="0" w:tentative="0">
      <w:start w:val="1"/>
      <w:numFmt w:val="decimal"/>
      <w:suff w:val="nothing"/>
      <w:lvlText w:val="%1、"/>
      <w:lvlJc w:val="left"/>
    </w:lvl>
  </w:abstractNum>
  <w:abstractNum w:abstractNumId="19">
    <w:nsid w:val="37BB4534"/>
    <w:multiLevelType w:val="multilevel"/>
    <w:tmpl w:val="37BB4534"/>
    <w:lvl w:ilvl="0" w:tentative="0">
      <w:start w:val="1"/>
      <w:numFmt w:val="decimal"/>
      <w:lvlText w:val="(%1)"/>
      <w:lvlJc w:val="left"/>
      <w:pPr>
        <w:ind w:left="1068" w:hanging="420"/>
      </w:pPr>
      <w:rPr>
        <w:rFonts w:hint="eastAsia" w:ascii="Times New Roman" w:hAnsi="Times New Roman" w:eastAsia="宋体" w:cs="Times New Roman"/>
      </w:rPr>
    </w:lvl>
    <w:lvl w:ilvl="1" w:tentative="0">
      <w:start w:val="1"/>
      <w:numFmt w:val="decimal"/>
      <w:lvlText w:val="(%2)"/>
      <w:lvlJc w:val="left"/>
      <w:pPr>
        <w:ind w:left="1488" w:hanging="420"/>
      </w:pPr>
      <w:rPr>
        <w:rFonts w:hint="eastAsia" w:ascii="Times New Roman" w:hAnsi="Times New Roman" w:eastAsia="宋体" w:cs="Times New Roman"/>
      </w:rPr>
    </w:lvl>
    <w:lvl w:ilvl="2" w:tentative="0">
      <w:start w:val="1"/>
      <w:numFmt w:val="lowerRoman"/>
      <w:lvlText w:val="%3."/>
      <w:lvlJc w:val="right"/>
      <w:pPr>
        <w:ind w:left="1908" w:hanging="420"/>
      </w:pPr>
    </w:lvl>
    <w:lvl w:ilvl="3" w:tentative="0">
      <w:start w:val="1"/>
      <w:numFmt w:val="decimal"/>
      <w:lvlText w:val="%4."/>
      <w:lvlJc w:val="left"/>
      <w:pPr>
        <w:ind w:left="2328" w:hanging="420"/>
      </w:pPr>
    </w:lvl>
    <w:lvl w:ilvl="4" w:tentative="0">
      <w:start w:val="1"/>
      <w:numFmt w:val="lowerLetter"/>
      <w:lvlText w:val="%5)"/>
      <w:lvlJc w:val="left"/>
      <w:pPr>
        <w:ind w:left="2748" w:hanging="420"/>
      </w:pPr>
    </w:lvl>
    <w:lvl w:ilvl="5" w:tentative="0">
      <w:start w:val="1"/>
      <w:numFmt w:val="lowerRoman"/>
      <w:lvlText w:val="%6."/>
      <w:lvlJc w:val="right"/>
      <w:pPr>
        <w:ind w:left="3168" w:hanging="420"/>
      </w:pPr>
    </w:lvl>
    <w:lvl w:ilvl="6" w:tentative="0">
      <w:start w:val="1"/>
      <w:numFmt w:val="decimal"/>
      <w:lvlText w:val="%7."/>
      <w:lvlJc w:val="left"/>
      <w:pPr>
        <w:ind w:left="3588" w:hanging="420"/>
      </w:pPr>
    </w:lvl>
    <w:lvl w:ilvl="7" w:tentative="0">
      <w:start w:val="1"/>
      <w:numFmt w:val="lowerLetter"/>
      <w:lvlText w:val="%8)"/>
      <w:lvlJc w:val="left"/>
      <w:pPr>
        <w:ind w:left="4008" w:hanging="420"/>
      </w:pPr>
    </w:lvl>
    <w:lvl w:ilvl="8" w:tentative="0">
      <w:start w:val="1"/>
      <w:numFmt w:val="lowerRoman"/>
      <w:lvlText w:val="%9."/>
      <w:lvlJc w:val="right"/>
      <w:pPr>
        <w:ind w:left="4428" w:hanging="420"/>
      </w:pPr>
    </w:lvl>
  </w:abstractNum>
  <w:abstractNum w:abstractNumId="20">
    <w:nsid w:val="3B6E3992"/>
    <w:multiLevelType w:val="multilevel"/>
    <w:tmpl w:val="3B6E3992"/>
    <w:lvl w:ilvl="0" w:tentative="0">
      <w:start w:val="1"/>
      <w:numFmt w:val="decimal"/>
      <w:lvlText w:val="16.%1"/>
      <w:lvlJc w:val="left"/>
      <w:pPr>
        <w:ind w:left="84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1">
    <w:nsid w:val="3CD40402"/>
    <w:multiLevelType w:val="singleLevel"/>
    <w:tmpl w:val="3CD40402"/>
    <w:lvl w:ilvl="0" w:tentative="0">
      <w:start w:val="1"/>
      <w:numFmt w:val="chineseCounting"/>
      <w:suff w:val="nothing"/>
      <w:lvlText w:val="%1、"/>
      <w:lvlJc w:val="left"/>
      <w:pPr>
        <w:ind w:left="210"/>
      </w:pPr>
      <w:rPr>
        <w:rFonts w:hint="eastAsia"/>
      </w:rPr>
    </w:lvl>
  </w:abstractNum>
  <w:abstractNum w:abstractNumId="22">
    <w:nsid w:val="3EB85368"/>
    <w:multiLevelType w:val="multilevel"/>
    <w:tmpl w:val="3EB85368"/>
    <w:lvl w:ilvl="0" w:tentative="0">
      <w:start w:val="1"/>
      <w:numFmt w:val="decimal"/>
      <w:lvlText w:val="1.%1"/>
      <w:lvlJc w:val="left"/>
      <w:pPr>
        <w:tabs>
          <w:tab w:val="left" w:pos="2278"/>
        </w:tabs>
        <w:ind w:left="2278" w:hanging="420"/>
      </w:pPr>
      <w:rPr>
        <w:rFonts w:hint="eastAsia"/>
        <w:color w:val="auto"/>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3">
    <w:nsid w:val="3FC80A62"/>
    <w:multiLevelType w:val="multilevel"/>
    <w:tmpl w:val="3FC80A62"/>
    <w:lvl w:ilvl="0" w:tentative="0">
      <w:start w:val="1"/>
      <w:numFmt w:val="decimal"/>
      <w:lvlText w:val="4.%1"/>
      <w:lvlJc w:val="left"/>
      <w:pPr>
        <w:tabs>
          <w:tab w:val="left" w:pos="562"/>
        </w:tabs>
        <w:ind w:left="562" w:hanging="420"/>
      </w:pPr>
      <w:rPr>
        <w:rFonts w:hint="eastAsia"/>
        <w:b w:val="0"/>
        <w:i w:val="0"/>
        <w:color w:val="auto"/>
        <w:sz w:val="24"/>
        <w:szCs w:val="24"/>
      </w:rPr>
    </w:lvl>
    <w:lvl w:ilvl="1" w:tentative="0">
      <w:start w:val="1"/>
      <w:numFmt w:val="decimal"/>
      <w:lvlText w:val="(%2)"/>
      <w:lvlJc w:val="left"/>
      <w:pPr>
        <w:tabs>
          <w:tab w:val="left" w:pos="-140"/>
        </w:tabs>
        <w:ind w:left="154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40B6C9A8"/>
    <w:multiLevelType w:val="singleLevel"/>
    <w:tmpl w:val="40B6C9A8"/>
    <w:lvl w:ilvl="0" w:tentative="0">
      <w:start w:val="1"/>
      <w:numFmt w:val="decimal"/>
      <w:suff w:val="nothing"/>
      <w:lvlText w:val="%1、"/>
      <w:lvlJc w:val="left"/>
      <w:pPr>
        <w:ind w:left="-140"/>
      </w:pPr>
    </w:lvl>
  </w:abstractNum>
  <w:abstractNum w:abstractNumId="25">
    <w:nsid w:val="40C5160D"/>
    <w:multiLevelType w:val="multilevel"/>
    <w:tmpl w:val="40C5160D"/>
    <w:lvl w:ilvl="0" w:tentative="0">
      <w:start w:val="1"/>
      <w:numFmt w:val="decimal"/>
      <w:lvlText w:val="(%1)"/>
      <w:lvlJc w:val="left"/>
      <w:pPr>
        <w:ind w:left="988" w:hanging="420"/>
      </w:pPr>
      <w:rPr>
        <w:rFonts w:hint="eastAsia"/>
        <w:b w:val="0"/>
        <w:color w:val="auto"/>
      </w:rPr>
    </w:lvl>
    <w:lvl w:ilvl="1" w:tentative="0">
      <w:start w:val="1"/>
      <w:numFmt w:val="lowerLetter"/>
      <w:lvlText w:val="%2)"/>
      <w:lvlJc w:val="left"/>
      <w:pPr>
        <w:ind w:left="1408" w:hanging="420"/>
      </w:pPr>
    </w:lvl>
    <w:lvl w:ilvl="2" w:tentative="0">
      <w:start w:val="1"/>
      <w:numFmt w:val="lowerRoman"/>
      <w:lvlText w:val="%3."/>
      <w:lvlJc w:val="right"/>
      <w:pPr>
        <w:ind w:left="1828" w:hanging="420"/>
      </w:pPr>
    </w:lvl>
    <w:lvl w:ilvl="3" w:tentative="0">
      <w:start w:val="1"/>
      <w:numFmt w:val="decimal"/>
      <w:lvlText w:val="%4."/>
      <w:lvlJc w:val="left"/>
      <w:pPr>
        <w:ind w:left="2248" w:hanging="420"/>
      </w:pPr>
    </w:lvl>
    <w:lvl w:ilvl="4" w:tentative="0">
      <w:start w:val="1"/>
      <w:numFmt w:val="lowerLetter"/>
      <w:lvlText w:val="%5)"/>
      <w:lvlJc w:val="left"/>
      <w:pPr>
        <w:ind w:left="2668" w:hanging="420"/>
      </w:pPr>
    </w:lvl>
    <w:lvl w:ilvl="5" w:tentative="0">
      <w:start w:val="1"/>
      <w:numFmt w:val="lowerRoman"/>
      <w:lvlText w:val="%6."/>
      <w:lvlJc w:val="right"/>
      <w:pPr>
        <w:ind w:left="3088" w:hanging="420"/>
      </w:pPr>
    </w:lvl>
    <w:lvl w:ilvl="6" w:tentative="0">
      <w:start w:val="1"/>
      <w:numFmt w:val="decimal"/>
      <w:lvlText w:val="%7."/>
      <w:lvlJc w:val="left"/>
      <w:pPr>
        <w:ind w:left="3508" w:hanging="420"/>
      </w:pPr>
    </w:lvl>
    <w:lvl w:ilvl="7" w:tentative="0">
      <w:start w:val="1"/>
      <w:numFmt w:val="lowerLetter"/>
      <w:lvlText w:val="%8)"/>
      <w:lvlJc w:val="left"/>
      <w:pPr>
        <w:ind w:left="3928" w:hanging="420"/>
      </w:pPr>
    </w:lvl>
    <w:lvl w:ilvl="8" w:tentative="0">
      <w:start w:val="1"/>
      <w:numFmt w:val="lowerRoman"/>
      <w:lvlText w:val="%9."/>
      <w:lvlJc w:val="right"/>
      <w:pPr>
        <w:ind w:left="4348" w:hanging="420"/>
      </w:pPr>
    </w:lvl>
  </w:abstractNum>
  <w:abstractNum w:abstractNumId="26">
    <w:nsid w:val="490B6D34"/>
    <w:multiLevelType w:val="multilevel"/>
    <w:tmpl w:val="490B6D34"/>
    <w:lvl w:ilvl="0" w:tentative="0">
      <w:start w:val="1"/>
      <w:numFmt w:val="decimal"/>
      <w:lvlText w:val="15.%1"/>
      <w:lvlJc w:val="left"/>
      <w:pPr>
        <w:ind w:left="420" w:hanging="420"/>
      </w:pPr>
      <w:rPr>
        <w:rFonts w:hint="default" w:ascii="Times New Roman" w:hAnsi="Times New Roman" w:cs="Times New Roman"/>
        <w:b w:val="0"/>
        <w:i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4C4253E0"/>
    <w:multiLevelType w:val="multilevel"/>
    <w:tmpl w:val="4C4253E0"/>
    <w:lvl w:ilvl="0" w:tentative="0">
      <w:start w:val="1"/>
      <w:numFmt w:val="decimal"/>
      <w:lvlText w:val="(%1)"/>
      <w:lvlJc w:val="left"/>
      <w:pPr>
        <w:ind w:left="420" w:hanging="420"/>
      </w:pPr>
      <w:rPr>
        <w:rFonts w:hint="eastAsia" w:ascii="Times New Roman" w:hAnsi="Times New Roman" w:eastAsia="宋体" w:cs="Times New Roman"/>
      </w:rPr>
    </w:lvl>
    <w:lvl w:ilvl="1" w:tentative="0">
      <w:start w:val="1"/>
      <w:numFmt w:val="decimal"/>
      <w:lvlText w:val="(%2)"/>
      <w:lvlJc w:val="left"/>
      <w:pPr>
        <w:ind w:left="840" w:hanging="420"/>
      </w:pPr>
      <w:rPr>
        <w:rFonts w:hint="default" w:ascii="Times New Roman" w:hAnsi="Times New Roman" w:cs="Times New Roman"/>
        <w:b w:val="0"/>
        <w:i w:val="0"/>
        <w:color w:val="auto"/>
        <w:spacing w:val="0"/>
        <w:kern w:val="2"/>
        <w:sz w:val="24"/>
        <w:szCs w:val="24"/>
        <w:u w:val="none"/>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4EEC7676"/>
    <w:multiLevelType w:val="multilevel"/>
    <w:tmpl w:val="4EEC7676"/>
    <w:lvl w:ilvl="0" w:tentative="0">
      <w:start w:val="1"/>
      <w:numFmt w:val="decimal"/>
      <w:lvlText w:val="13.%1."/>
      <w:lvlJc w:val="left"/>
      <w:pPr>
        <w:tabs>
          <w:tab w:val="left" w:pos="3681"/>
        </w:tabs>
        <w:ind w:left="3681" w:hanging="420"/>
      </w:pPr>
      <w:rPr>
        <w:rFonts w:hint="default" w:ascii="Times New Roman" w:hAnsi="Times New Roman" w:cs="Times New Roman"/>
        <w:b w:val="0"/>
        <w:i w:val="0"/>
        <w:color w:val="auto"/>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9">
    <w:nsid w:val="4EF0BFE9"/>
    <w:multiLevelType w:val="singleLevel"/>
    <w:tmpl w:val="4EF0BFE9"/>
    <w:lvl w:ilvl="0" w:tentative="0">
      <w:start w:val="1"/>
      <w:numFmt w:val="decimal"/>
      <w:suff w:val="nothing"/>
      <w:lvlText w:val="%1、"/>
      <w:lvlJc w:val="left"/>
    </w:lvl>
  </w:abstractNum>
  <w:abstractNum w:abstractNumId="30">
    <w:nsid w:val="4F2A4C79"/>
    <w:multiLevelType w:val="multilevel"/>
    <w:tmpl w:val="4F2A4C79"/>
    <w:lvl w:ilvl="0" w:tentative="0">
      <w:start w:val="1"/>
      <w:numFmt w:val="decimal"/>
      <w:lvlText w:val="17.%1"/>
      <w:lvlJc w:val="left"/>
      <w:pPr>
        <w:ind w:left="1126" w:hanging="420"/>
      </w:pPr>
      <w:rPr>
        <w:rFonts w:hint="eastAsia" w:cs="Times New Roman"/>
        <w:b w:val="0"/>
        <w:color w:val="auto"/>
        <w:sz w:val="24"/>
        <w:szCs w:val="21"/>
      </w:rPr>
    </w:lvl>
    <w:lvl w:ilvl="1" w:tentative="0">
      <w:start w:val="1"/>
      <w:numFmt w:val="lowerLetter"/>
      <w:lvlText w:val="%2)"/>
      <w:lvlJc w:val="left"/>
      <w:pPr>
        <w:ind w:left="1546" w:hanging="420"/>
      </w:pPr>
    </w:lvl>
    <w:lvl w:ilvl="2" w:tentative="0">
      <w:start w:val="1"/>
      <w:numFmt w:val="lowerRoman"/>
      <w:lvlText w:val="%3."/>
      <w:lvlJc w:val="right"/>
      <w:pPr>
        <w:ind w:left="1966" w:hanging="420"/>
      </w:pPr>
    </w:lvl>
    <w:lvl w:ilvl="3" w:tentative="0">
      <w:start w:val="1"/>
      <w:numFmt w:val="decimal"/>
      <w:lvlText w:val="%4."/>
      <w:lvlJc w:val="left"/>
      <w:pPr>
        <w:ind w:left="2386" w:hanging="420"/>
      </w:pPr>
    </w:lvl>
    <w:lvl w:ilvl="4" w:tentative="0">
      <w:start w:val="1"/>
      <w:numFmt w:val="lowerLetter"/>
      <w:lvlText w:val="%5)"/>
      <w:lvlJc w:val="left"/>
      <w:pPr>
        <w:ind w:left="2806" w:hanging="420"/>
      </w:pPr>
    </w:lvl>
    <w:lvl w:ilvl="5" w:tentative="0">
      <w:start w:val="1"/>
      <w:numFmt w:val="lowerRoman"/>
      <w:lvlText w:val="%6."/>
      <w:lvlJc w:val="right"/>
      <w:pPr>
        <w:ind w:left="3226" w:hanging="420"/>
      </w:pPr>
    </w:lvl>
    <w:lvl w:ilvl="6" w:tentative="0">
      <w:start w:val="1"/>
      <w:numFmt w:val="decimal"/>
      <w:lvlText w:val="%7."/>
      <w:lvlJc w:val="left"/>
      <w:pPr>
        <w:ind w:left="3646" w:hanging="420"/>
      </w:pPr>
    </w:lvl>
    <w:lvl w:ilvl="7" w:tentative="0">
      <w:start w:val="1"/>
      <w:numFmt w:val="lowerLetter"/>
      <w:lvlText w:val="%8)"/>
      <w:lvlJc w:val="left"/>
      <w:pPr>
        <w:ind w:left="4066" w:hanging="420"/>
      </w:pPr>
    </w:lvl>
    <w:lvl w:ilvl="8" w:tentative="0">
      <w:start w:val="1"/>
      <w:numFmt w:val="lowerRoman"/>
      <w:lvlText w:val="%9."/>
      <w:lvlJc w:val="right"/>
      <w:pPr>
        <w:ind w:left="4486" w:hanging="420"/>
      </w:pPr>
    </w:lvl>
  </w:abstractNum>
  <w:abstractNum w:abstractNumId="31">
    <w:nsid w:val="56791D3E"/>
    <w:multiLevelType w:val="multilevel"/>
    <w:tmpl w:val="56791D3E"/>
    <w:lvl w:ilvl="0" w:tentative="0">
      <w:start w:val="1"/>
      <w:numFmt w:val="decimal"/>
      <w:lvlText w:val="(%1)"/>
      <w:lvlJc w:val="left"/>
      <w:pPr>
        <w:tabs>
          <w:tab w:val="left" w:pos="840"/>
        </w:tabs>
        <w:ind w:left="840" w:hanging="420"/>
      </w:pPr>
      <w:rPr>
        <w:rFonts w:ascii="Times New Roman" w:hAnsi="宋体" w:eastAsia="宋体" w:cs="Times New Roman"/>
      </w:rPr>
    </w:lvl>
    <w:lvl w:ilvl="1" w:tentative="0">
      <w:start w:val="1"/>
      <w:numFmt w:val="lowerLetter"/>
      <w:lvlText w:val="%2)"/>
      <w:lvlJc w:val="left"/>
      <w:pPr>
        <w:tabs>
          <w:tab w:val="left" w:pos="360"/>
        </w:tabs>
        <w:ind w:left="360" w:hanging="420"/>
      </w:pPr>
    </w:lvl>
    <w:lvl w:ilvl="2" w:tentative="0">
      <w:start w:val="1"/>
      <w:numFmt w:val="lowerRoman"/>
      <w:lvlText w:val="%3."/>
      <w:lvlJc w:val="right"/>
      <w:pPr>
        <w:tabs>
          <w:tab w:val="left" w:pos="780"/>
        </w:tabs>
        <w:ind w:left="780" w:hanging="420"/>
      </w:pPr>
    </w:lvl>
    <w:lvl w:ilvl="3" w:tentative="0">
      <w:start w:val="1"/>
      <w:numFmt w:val="decimal"/>
      <w:lvlText w:val="%4."/>
      <w:lvlJc w:val="left"/>
      <w:pPr>
        <w:tabs>
          <w:tab w:val="left" w:pos="1200"/>
        </w:tabs>
        <w:ind w:left="1200" w:hanging="420"/>
      </w:pPr>
    </w:lvl>
    <w:lvl w:ilvl="4" w:tentative="0">
      <w:start w:val="1"/>
      <w:numFmt w:val="lowerLetter"/>
      <w:lvlText w:val="%5)"/>
      <w:lvlJc w:val="left"/>
      <w:pPr>
        <w:tabs>
          <w:tab w:val="left" w:pos="1620"/>
        </w:tabs>
        <w:ind w:left="1620" w:hanging="420"/>
      </w:pPr>
    </w:lvl>
    <w:lvl w:ilvl="5" w:tentative="0">
      <w:start w:val="1"/>
      <w:numFmt w:val="lowerRoman"/>
      <w:lvlText w:val="%6."/>
      <w:lvlJc w:val="right"/>
      <w:pPr>
        <w:tabs>
          <w:tab w:val="left" w:pos="2040"/>
        </w:tabs>
        <w:ind w:left="2040" w:hanging="420"/>
      </w:pPr>
    </w:lvl>
    <w:lvl w:ilvl="6" w:tentative="0">
      <w:start w:val="1"/>
      <w:numFmt w:val="decimal"/>
      <w:lvlText w:val="%7."/>
      <w:lvlJc w:val="left"/>
      <w:pPr>
        <w:tabs>
          <w:tab w:val="left" w:pos="2460"/>
        </w:tabs>
        <w:ind w:left="2460" w:hanging="420"/>
      </w:pPr>
    </w:lvl>
    <w:lvl w:ilvl="7" w:tentative="0">
      <w:start w:val="1"/>
      <w:numFmt w:val="lowerLetter"/>
      <w:lvlText w:val="%8)"/>
      <w:lvlJc w:val="left"/>
      <w:pPr>
        <w:tabs>
          <w:tab w:val="left" w:pos="2880"/>
        </w:tabs>
        <w:ind w:left="2880" w:hanging="420"/>
      </w:pPr>
    </w:lvl>
    <w:lvl w:ilvl="8" w:tentative="0">
      <w:start w:val="1"/>
      <w:numFmt w:val="lowerRoman"/>
      <w:lvlText w:val="%9."/>
      <w:lvlJc w:val="right"/>
      <w:pPr>
        <w:tabs>
          <w:tab w:val="left" w:pos="3300"/>
        </w:tabs>
        <w:ind w:left="3300" w:hanging="420"/>
      </w:pPr>
    </w:lvl>
  </w:abstractNum>
  <w:abstractNum w:abstractNumId="32">
    <w:nsid w:val="5D5607AE"/>
    <w:multiLevelType w:val="multilevel"/>
    <w:tmpl w:val="5D5607AE"/>
    <w:lvl w:ilvl="0" w:tentative="0">
      <w:start w:val="1"/>
      <w:numFmt w:val="decimal"/>
      <w:lvlText w:val="2.%1"/>
      <w:lvlJc w:val="left"/>
      <w:pPr>
        <w:tabs>
          <w:tab w:val="left" w:pos="840"/>
        </w:tabs>
        <w:ind w:left="840" w:hanging="420"/>
      </w:pPr>
      <w:rPr>
        <w:rFonts w:hint="default" w:ascii="Times New Roman" w:hAnsi="Times New Roman" w:cs="Times New Roman"/>
      </w:rPr>
    </w:lvl>
    <w:lvl w:ilvl="1" w:tentative="0">
      <w:start w:val="1"/>
      <w:numFmt w:val="decimal"/>
      <w:lvlText w:val="(%2)"/>
      <w:lvlJc w:val="left"/>
      <w:pPr>
        <w:tabs>
          <w:tab w:val="left" w:pos="-560"/>
        </w:tabs>
        <w:ind w:left="1125" w:hanging="1125"/>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3">
    <w:nsid w:val="61694D6C"/>
    <w:multiLevelType w:val="singleLevel"/>
    <w:tmpl w:val="61694D6C"/>
    <w:lvl w:ilvl="0" w:tentative="0">
      <w:start w:val="1"/>
      <w:numFmt w:val="decimal"/>
      <w:suff w:val="nothing"/>
      <w:lvlText w:val="%1、"/>
      <w:lvlJc w:val="left"/>
    </w:lvl>
  </w:abstractNum>
  <w:abstractNum w:abstractNumId="34">
    <w:nsid w:val="69B179D7"/>
    <w:multiLevelType w:val="multilevel"/>
    <w:tmpl w:val="69B179D7"/>
    <w:lvl w:ilvl="0" w:tentative="0">
      <w:start w:val="1"/>
      <w:numFmt w:val="decimalFullWidth"/>
      <w:lvlText w:val="%1、"/>
      <w:lvlJc w:val="left"/>
      <w:pPr>
        <w:tabs>
          <w:tab w:val="left" w:pos="420"/>
        </w:tabs>
        <w:ind w:left="420" w:hanging="4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5">
    <w:nsid w:val="6CB93CF0"/>
    <w:multiLevelType w:val="multilevel"/>
    <w:tmpl w:val="6CB93CF0"/>
    <w:lvl w:ilvl="0" w:tentative="0">
      <w:start w:val="3"/>
      <w:numFmt w:val="none"/>
      <w:lvlText w:val="6"/>
      <w:lvlJc w:val="left"/>
      <w:pPr>
        <w:tabs>
          <w:tab w:val="left" w:pos="420"/>
        </w:tabs>
        <w:ind w:left="420" w:hanging="420"/>
      </w:pPr>
      <w:rPr>
        <w:rFonts w:hint="eastAsia"/>
      </w:rPr>
    </w:lvl>
    <w:lvl w:ilvl="1" w:tentative="0">
      <w:start w:val="1"/>
      <w:numFmt w:val="decimal"/>
      <w:lvlText w:val="20.%2"/>
      <w:lvlJc w:val="left"/>
      <w:pPr>
        <w:tabs>
          <w:tab w:val="left" w:pos="720"/>
        </w:tabs>
        <w:ind w:left="720" w:hanging="720"/>
      </w:pPr>
      <w:rPr>
        <w:rFonts w:hint="default" w:ascii="Times New Roman" w:hAnsi="Times New Roman" w:eastAsia="宋体" w:cs="Times New Roman"/>
        <w:b w:val="0"/>
        <w:i w:val="0"/>
        <w:color w:val="auto"/>
        <w:sz w:val="24"/>
        <w:szCs w:val="21"/>
        <w:lang w:val="en-US"/>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440"/>
        </w:tabs>
        <w:ind w:left="1440" w:hanging="1440"/>
      </w:pPr>
      <w:rPr>
        <w:rFonts w:hint="eastAsia"/>
      </w:rPr>
    </w:lvl>
    <w:lvl w:ilvl="5" w:tentative="0">
      <w:start w:val="1"/>
      <w:numFmt w:val="decimal"/>
      <w:lvlText w:val="%1.%2.%3.%4.%5.%6"/>
      <w:lvlJc w:val="left"/>
      <w:pPr>
        <w:tabs>
          <w:tab w:val="left" w:pos="1800"/>
        </w:tabs>
        <w:ind w:left="1800" w:hanging="1800"/>
      </w:pPr>
      <w:rPr>
        <w:rFonts w:hint="eastAsia"/>
      </w:rPr>
    </w:lvl>
    <w:lvl w:ilvl="6" w:tentative="0">
      <w:start w:val="1"/>
      <w:numFmt w:val="decimal"/>
      <w:lvlText w:val="%1.%2.%3.%4.%5.%6.%7"/>
      <w:lvlJc w:val="left"/>
      <w:pPr>
        <w:tabs>
          <w:tab w:val="left" w:pos="2160"/>
        </w:tabs>
        <w:ind w:left="2160" w:hanging="2160"/>
      </w:pPr>
      <w:rPr>
        <w:rFonts w:hint="eastAsia"/>
      </w:rPr>
    </w:lvl>
    <w:lvl w:ilvl="7" w:tentative="0">
      <w:start w:val="1"/>
      <w:numFmt w:val="decimal"/>
      <w:lvlText w:val="%1.%2.%3.%4.%5.%6.%7.%8"/>
      <w:lvlJc w:val="left"/>
      <w:pPr>
        <w:tabs>
          <w:tab w:val="left" w:pos="2160"/>
        </w:tabs>
        <w:ind w:left="2160" w:hanging="2160"/>
      </w:pPr>
      <w:rPr>
        <w:rFonts w:hint="eastAsia"/>
      </w:rPr>
    </w:lvl>
    <w:lvl w:ilvl="8" w:tentative="0">
      <w:start w:val="1"/>
      <w:numFmt w:val="decimal"/>
      <w:lvlText w:val="%1.%2.%3.%4.%5.%6.%7.%8.%9"/>
      <w:lvlJc w:val="left"/>
      <w:pPr>
        <w:tabs>
          <w:tab w:val="left" w:pos="2520"/>
        </w:tabs>
        <w:ind w:left="2520" w:hanging="2520"/>
      </w:pPr>
      <w:rPr>
        <w:rFonts w:hint="eastAsia"/>
      </w:rPr>
    </w:lvl>
  </w:abstractNum>
  <w:abstractNum w:abstractNumId="36">
    <w:nsid w:val="78E83899"/>
    <w:multiLevelType w:val="multilevel"/>
    <w:tmpl w:val="78E83899"/>
    <w:lvl w:ilvl="0" w:tentative="0">
      <w:start w:val="14"/>
      <w:numFmt w:val="decimal"/>
      <w:lvlText w:val="%1."/>
      <w:lvlJc w:val="left"/>
      <w:pPr>
        <w:tabs>
          <w:tab w:val="left" w:pos="0"/>
        </w:tabs>
        <w:ind w:left="810" w:hanging="810"/>
      </w:pPr>
      <w:rPr>
        <w:rFonts w:hint="default"/>
      </w:rPr>
    </w:lvl>
    <w:lvl w:ilvl="1" w:tentative="0">
      <w:start w:val="1"/>
      <w:numFmt w:val="decimal"/>
      <w:lvlText w:val="21.%2"/>
      <w:lvlJc w:val="left"/>
      <w:pPr>
        <w:tabs>
          <w:tab w:val="left" w:pos="0"/>
        </w:tabs>
        <w:ind w:left="810" w:hanging="810"/>
      </w:pPr>
      <w:rPr>
        <w:rFonts w:hint="default" w:ascii="Times New Roman" w:hAnsi="Times New Roman" w:eastAsia="宋体" w:cs="Times New Roman"/>
        <w:b w:val="0"/>
        <w:i w:val="0"/>
        <w:color w:val="auto"/>
        <w:sz w:val="24"/>
        <w:szCs w:val="21"/>
        <w:lang w:val="en-US"/>
      </w:rPr>
    </w:lvl>
    <w:lvl w:ilvl="2" w:tentative="0">
      <w:start w:val="1"/>
      <w:numFmt w:val="decimal"/>
      <w:lvlText w:val="%1.%2、%3."/>
      <w:lvlJc w:val="left"/>
      <w:pPr>
        <w:tabs>
          <w:tab w:val="left" w:pos="0"/>
        </w:tabs>
        <w:ind w:left="1080" w:hanging="1080"/>
      </w:pPr>
      <w:rPr>
        <w:rFonts w:hint="default"/>
      </w:rPr>
    </w:lvl>
    <w:lvl w:ilvl="3" w:tentative="0">
      <w:start w:val="1"/>
      <w:numFmt w:val="decimal"/>
      <w:lvlText w:val="%1.%2、%3.%4."/>
      <w:lvlJc w:val="left"/>
      <w:pPr>
        <w:tabs>
          <w:tab w:val="left" w:pos="0"/>
        </w:tabs>
        <w:ind w:left="1080" w:hanging="1080"/>
      </w:pPr>
      <w:rPr>
        <w:rFonts w:hint="default"/>
      </w:rPr>
    </w:lvl>
    <w:lvl w:ilvl="4" w:tentative="0">
      <w:start w:val="1"/>
      <w:numFmt w:val="decimal"/>
      <w:lvlText w:val="%1.%2、%3.%4.%5."/>
      <w:lvlJc w:val="left"/>
      <w:pPr>
        <w:tabs>
          <w:tab w:val="left" w:pos="0"/>
        </w:tabs>
        <w:ind w:left="1440" w:hanging="1440"/>
      </w:pPr>
      <w:rPr>
        <w:rFonts w:hint="default"/>
      </w:rPr>
    </w:lvl>
    <w:lvl w:ilvl="5" w:tentative="0">
      <w:start w:val="1"/>
      <w:numFmt w:val="decimal"/>
      <w:lvlText w:val="%1.%2、%3.%4.%5.%6."/>
      <w:lvlJc w:val="left"/>
      <w:pPr>
        <w:tabs>
          <w:tab w:val="left" w:pos="0"/>
        </w:tabs>
        <w:ind w:left="1800" w:hanging="1800"/>
      </w:pPr>
      <w:rPr>
        <w:rFonts w:hint="default"/>
      </w:rPr>
    </w:lvl>
    <w:lvl w:ilvl="6" w:tentative="0">
      <w:start w:val="1"/>
      <w:numFmt w:val="decimal"/>
      <w:lvlText w:val="%1.%2、%3.%4.%5.%6.%7."/>
      <w:lvlJc w:val="left"/>
      <w:pPr>
        <w:tabs>
          <w:tab w:val="left" w:pos="0"/>
        </w:tabs>
        <w:ind w:left="1800" w:hanging="1800"/>
      </w:pPr>
      <w:rPr>
        <w:rFonts w:hint="default"/>
      </w:rPr>
    </w:lvl>
    <w:lvl w:ilvl="7" w:tentative="0">
      <w:start w:val="1"/>
      <w:numFmt w:val="decimal"/>
      <w:lvlText w:val="%1.%2、%3.%4.%5.%6.%7.%8."/>
      <w:lvlJc w:val="left"/>
      <w:pPr>
        <w:tabs>
          <w:tab w:val="left" w:pos="0"/>
        </w:tabs>
        <w:ind w:left="2160" w:hanging="2160"/>
      </w:pPr>
      <w:rPr>
        <w:rFonts w:hint="default"/>
      </w:rPr>
    </w:lvl>
    <w:lvl w:ilvl="8" w:tentative="0">
      <w:start w:val="1"/>
      <w:numFmt w:val="decimal"/>
      <w:lvlText w:val="%1.%2、%3.%4.%5.%6.%7.%8.%9."/>
      <w:lvlJc w:val="left"/>
      <w:pPr>
        <w:tabs>
          <w:tab w:val="left" w:pos="0"/>
        </w:tabs>
        <w:ind w:left="2160" w:hanging="2160"/>
      </w:pPr>
      <w:rPr>
        <w:rFonts w:hint="default"/>
      </w:rPr>
    </w:lvl>
  </w:abstractNum>
  <w:abstractNum w:abstractNumId="37">
    <w:nsid w:val="7C367DBC"/>
    <w:multiLevelType w:val="multilevel"/>
    <w:tmpl w:val="7C367DBC"/>
    <w:lvl w:ilvl="0" w:tentative="0">
      <w:start w:val="1"/>
      <w:numFmt w:val="decimal"/>
      <w:lvlText w:val="（%1）"/>
      <w:lvlJc w:val="left"/>
      <w:pPr>
        <w:ind w:left="1287" w:hanging="720"/>
      </w:pPr>
      <w:rPr>
        <w:rFonts w:hint="default"/>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abstractNum w:abstractNumId="38">
    <w:nsid w:val="7C6A4F85"/>
    <w:multiLevelType w:val="multilevel"/>
    <w:tmpl w:val="7C6A4F85"/>
    <w:lvl w:ilvl="0" w:tentative="0">
      <w:start w:val="1"/>
      <w:numFmt w:val="decimal"/>
      <w:lvlText w:val="6.%1"/>
      <w:lvlJc w:val="left"/>
      <w:pPr>
        <w:ind w:left="420" w:hanging="420"/>
      </w:pPr>
      <w:rPr>
        <w:rFonts w:hint="eastAsia"/>
        <w:b w:val="0"/>
        <w:color w:val="auto"/>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7ECC3C6B"/>
    <w:multiLevelType w:val="multilevel"/>
    <w:tmpl w:val="7ECC3C6B"/>
    <w:lvl w:ilvl="0" w:tentative="0">
      <w:start w:val="1"/>
      <w:numFmt w:val="decimal"/>
      <w:lvlText w:val="3.%1"/>
      <w:lvlJc w:val="left"/>
      <w:pPr>
        <w:ind w:left="420" w:hanging="420"/>
      </w:pPr>
      <w:rPr>
        <w:rFonts w:hint="default" w:ascii="Times New Roman" w:hAnsi="Times New Roman" w:cs="Times New Roman"/>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0"/>
  </w:num>
  <w:num w:numId="2">
    <w:abstractNumId w:val="0"/>
  </w:num>
  <w:num w:numId="3">
    <w:abstractNumId w:val="29"/>
  </w:num>
  <w:num w:numId="4">
    <w:abstractNumId w:val="18"/>
  </w:num>
  <w:num w:numId="5">
    <w:abstractNumId w:val="21"/>
  </w:num>
  <w:num w:numId="6">
    <w:abstractNumId w:val="2"/>
  </w:num>
  <w:num w:numId="7">
    <w:abstractNumId w:val="1"/>
  </w:num>
  <w:num w:numId="8">
    <w:abstractNumId w:val="15"/>
  </w:num>
  <w:num w:numId="9">
    <w:abstractNumId w:val="14"/>
  </w:num>
  <w:num w:numId="10">
    <w:abstractNumId w:val="22"/>
  </w:num>
  <w:num w:numId="11">
    <w:abstractNumId w:val="32"/>
  </w:num>
  <w:num w:numId="12">
    <w:abstractNumId w:val="39"/>
  </w:num>
  <w:num w:numId="13">
    <w:abstractNumId w:val="11"/>
  </w:num>
  <w:num w:numId="14">
    <w:abstractNumId w:val="23"/>
  </w:num>
  <w:num w:numId="15">
    <w:abstractNumId w:val="25"/>
  </w:num>
  <w:num w:numId="16">
    <w:abstractNumId w:val="37"/>
  </w:num>
  <w:num w:numId="17">
    <w:abstractNumId w:val="5"/>
  </w:num>
  <w:num w:numId="18">
    <w:abstractNumId w:val="38"/>
  </w:num>
  <w:num w:numId="19">
    <w:abstractNumId w:val="16"/>
  </w:num>
  <w:num w:numId="20">
    <w:abstractNumId w:val="6"/>
  </w:num>
  <w:num w:numId="21">
    <w:abstractNumId w:val="9"/>
  </w:num>
  <w:num w:numId="22">
    <w:abstractNumId w:val="3"/>
  </w:num>
  <w:num w:numId="23">
    <w:abstractNumId w:val="13"/>
  </w:num>
  <w:num w:numId="24">
    <w:abstractNumId w:val="4"/>
  </w:num>
  <w:num w:numId="25">
    <w:abstractNumId w:val="27"/>
  </w:num>
  <w:num w:numId="26">
    <w:abstractNumId w:val="28"/>
  </w:num>
  <w:num w:numId="27">
    <w:abstractNumId w:val="31"/>
  </w:num>
  <w:num w:numId="28">
    <w:abstractNumId w:val="12"/>
  </w:num>
  <w:num w:numId="29">
    <w:abstractNumId w:val="26"/>
  </w:num>
  <w:num w:numId="30">
    <w:abstractNumId w:val="20"/>
  </w:num>
  <w:num w:numId="31">
    <w:abstractNumId w:val="30"/>
  </w:num>
  <w:num w:numId="32">
    <w:abstractNumId w:val="17"/>
  </w:num>
  <w:num w:numId="33">
    <w:abstractNumId w:val="8"/>
  </w:num>
  <w:num w:numId="34">
    <w:abstractNumId w:val="19"/>
  </w:num>
  <w:num w:numId="35">
    <w:abstractNumId w:val="35"/>
  </w:num>
  <w:num w:numId="36">
    <w:abstractNumId w:val="36"/>
  </w:num>
  <w:num w:numId="37">
    <w:abstractNumId w:val="24"/>
  </w:num>
  <w:num w:numId="38">
    <w:abstractNumId w:val="7"/>
  </w:num>
  <w:num w:numId="39">
    <w:abstractNumId w:val="33"/>
  </w:num>
  <w:num w:numId="40">
    <w:abstractNumId w:val="3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liuxl62">
    <w15:presenceInfo w15:providerId="None" w15:userId="liuxl6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VkNjI1N2Y2Zjg3ZGJkOWUyYWI5OTMxZTU0MzRmMjcifQ=="/>
  </w:docVars>
  <w:rsids>
    <w:rsidRoot w:val="004E3E2C"/>
    <w:rsid w:val="00026570"/>
    <w:rsid w:val="000338BA"/>
    <w:rsid w:val="000700B5"/>
    <w:rsid w:val="00087D76"/>
    <w:rsid w:val="00087F3D"/>
    <w:rsid w:val="000B1A0B"/>
    <w:rsid w:val="000B4F8A"/>
    <w:rsid w:val="000C4A61"/>
    <w:rsid w:val="000C4F62"/>
    <w:rsid w:val="000D1916"/>
    <w:rsid w:val="000E6039"/>
    <w:rsid w:val="00106163"/>
    <w:rsid w:val="00107ED5"/>
    <w:rsid w:val="00130596"/>
    <w:rsid w:val="0017120C"/>
    <w:rsid w:val="0017672C"/>
    <w:rsid w:val="00187256"/>
    <w:rsid w:val="001A73DF"/>
    <w:rsid w:val="001B0353"/>
    <w:rsid w:val="001B2B24"/>
    <w:rsid w:val="001D3F51"/>
    <w:rsid w:val="001E3AE4"/>
    <w:rsid w:val="001E4ADB"/>
    <w:rsid w:val="001F3EC5"/>
    <w:rsid w:val="002153A5"/>
    <w:rsid w:val="00225A93"/>
    <w:rsid w:val="00291FD3"/>
    <w:rsid w:val="002D2F52"/>
    <w:rsid w:val="00353A51"/>
    <w:rsid w:val="0036207E"/>
    <w:rsid w:val="003645C3"/>
    <w:rsid w:val="0036478D"/>
    <w:rsid w:val="00397854"/>
    <w:rsid w:val="003D0290"/>
    <w:rsid w:val="003D1AF0"/>
    <w:rsid w:val="003D3312"/>
    <w:rsid w:val="003E288B"/>
    <w:rsid w:val="003E4139"/>
    <w:rsid w:val="00403946"/>
    <w:rsid w:val="004157FC"/>
    <w:rsid w:val="004163F1"/>
    <w:rsid w:val="00424390"/>
    <w:rsid w:val="00450F51"/>
    <w:rsid w:val="00475A66"/>
    <w:rsid w:val="00477194"/>
    <w:rsid w:val="00482D8A"/>
    <w:rsid w:val="004859AF"/>
    <w:rsid w:val="004A66B6"/>
    <w:rsid w:val="004A77F2"/>
    <w:rsid w:val="004B60BC"/>
    <w:rsid w:val="004E3E2C"/>
    <w:rsid w:val="00513A7E"/>
    <w:rsid w:val="005145DD"/>
    <w:rsid w:val="00520CE4"/>
    <w:rsid w:val="0056144E"/>
    <w:rsid w:val="0058462C"/>
    <w:rsid w:val="00584D2E"/>
    <w:rsid w:val="00595133"/>
    <w:rsid w:val="005E0DBF"/>
    <w:rsid w:val="006534FA"/>
    <w:rsid w:val="00665C6E"/>
    <w:rsid w:val="006C2C6C"/>
    <w:rsid w:val="006E0EDE"/>
    <w:rsid w:val="006F618D"/>
    <w:rsid w:val="007476AB"/>
    <w:rsid w:val="00783C45"/>
    <w:rsid w:val="00785B28"/>
    <w:rsid w:val="007A2364"/>
    <w:rsid w:val="007B52C4"/>
    <w:rsid w:val="007B6404"/>
    <w:rsid w:val="007C2509"/>
    <w:rsid w:val="007E6710"/>
    <w:rsid w:val="007F01FE"/>
    <w:rsid w:val="008379ED"/>
    <w:rsid w:val="0085693A"/>
    <w:rsid w:val="008A6326"/>
    <w:rsid w:val="008B6CF2"/>
    <w:rsid w:val="0091771A"/>
    <w:rsid w:val="00936C9E"/>
    <w:rsid w:val="00940CFE"/>
    <w:rsid w:val="009471B4"/>
    <w:rsid w:val="009B0C32"/>
    <w:rsid w:val="009B4EA0"/>
    <w:rsid w:val="009C2191"/>
    <w:rsid w:val="009D6BC6"/>
    <w:rsid w:val="009E0253"/>
    <w:rsid w:val="009F0FA9"/>
    <w:rsid w:val="00A140D2"/>
    <w:rsid w:val="00A17E44"/>
    <w:rsid w:val="00A217AE"/>
    <w:rsid w:val="00A2290E"/>
    <w:rsid w:val="00A26202"/>
    <w:rsid w:val="00A306CE"/>
    <w:rsid w:val="00A4114C"/>
    <w:rsid w:val="00A9406F"/>
    <w:rsid w:val="00A94AE5"/>
    <w:rsid w:val="00A94CAC"/>
    <w:rsid w:val="00AA16F7"/>
    <w:rsid w:val="00AA483E"/>
    <w:rsid w:val="00AD6733"/>
    <w:rsid w:val="00AE0883"/>
    <w:rsid w:val="00AF6BBC"/>
    <w:rsid w:val="00B2206F"/>
    <w:rsid w:val="00B4682F"/>
    <w:rsid w:val="00B52410"/>
    <w:rsid w:val="00B621FF"/>
    <w:rsid w:val="00B65809"/>
    <w:rsid w:val="00B840C9"/>
    <w:rsid w:val="00BB5A4A"/>
    <w:rsid w:val="00C21648"/>
    <w:rsid w:val="00C70724"/>
    <w:rsid w:val="00CB3C62"/>
    <w:rsid w:val="00CB6556"/>
    <w:rsid w:val="00CD58F7"/>
    <w:rsid w:val="00CE75F6"/>
    <w:rsid w:val="00D2171E"/>
    <w:rsid w:val="00D2579F"/>
    <w:rsid w:val="00D37AE4"/>
    <w:rsid w:val="00D56376"/>
    <w:rsid w:val="00D56F82"/>
    <w:rsid w:val="00D721A9"/>
    <w:rsid w:val="00D866AC"/>
    <w:rsid w:val="00D940E3"/>
    <w:rsid w:val="00DB0291"/>
    <w:rsid w:val="00DF4A0E"/>
    <w:rsid w:val="00E011E8"/>
    <w:rsid w:val="00E15A0A"/>
    <w:rsid w:val="00E16229"/>
    <w:rsid w:val="00E21AB8"/>
    <w:rsid w:val="00E302A3"/>
    <w:rsid w:val="00E328B1"/>
    <w:rsid w:val="00E40E1C"/>
    <w:rsid w:val="00E42666"/>
    <w:rsid w:val="00E83304"/>
    <w:rsid w:val="00E8558C"/>
    <w:rsid w:val="00EB30DE"/>
    <w:rsid w:val="00EE638D"/>
    <w:rsid w:val="00F24C99"/>
    <w:rsid w:val="00F30FF5"/>
    <w:rsid w:val="00F332BC"/>
    <w:rsid w:val="00F45266"/>
    <w:rsid w:val="00F51B54"/>
    <w:rsid w:val="00FB7F69"/>
    <w:rsid w:val="00FF071E"/>
    <w:rsid w:val="00FF122F"/>
    <w:rsid w:val="013C06BC"/>
    <w:rsid w:val="014341E8"/>
    <w:rsid w:val="017967AC"/>
    <w:rsid w:val="01B97ACA"/>
    <w:rsid w:val="01BB351E"/>
    <w:rsid w:val="01C7618F"/>
    <w:rsid w:val="02293695"/>
    <w:rsid w:val="027E3B30"/>
    <w:rsid w:val="028C0922"/>
    <w:rsid w:val="02987ACD"/>
    <w:rsid w:val="031B4CE9"/>
    <w:rsid w:val="032F103F"/>
    <w:rsid w:val="034D72B2"/>
    <w:rsid w:val="036B136E"/>
    <w:rsid w:val="03A64228"/>
    <w:rsid w:val="03C549C8"/>
    <w:rsid w:val="03D77C7B"/>
    <w:rsid w:val="040C6E91"/>
    <w:rsid w:val="042158E1"/>
    <w:rsid w:val="0441765D"/>
    <w:rsid w:val="0442138C"/>
    <w:rsid w:val="04DB0285"/>
    <w:rsid w:val="04EE495B"/>
    <w:rsid w:val="056D40E2"/>
    <w:rsid w:val="05800AA3"/>
    <w:rsid w:val="059B46A8"/>
    <w:rsid w:val="064D75C2"/>
    <w:rsid w:val="06A00E6B"/>
    <w:rsid w:val="06A478F6"/>
    <w:rsid w:val="06B37D6B"/>
    <w:rsid w:val="06C41C49"/>
    <w:rsid w:val="06E556B2"/>
    <w:rsid w:val="073A2498"/>
    <w:rsid w:val="07794418"/>
    <w:rsid w:val="08112BD9"/>
    <w:rsid w:val="087F37FD"/>
    <w:rsid w:val="08A40D88"/>
    <w:rsid w:val="08D65666"/>
    <w:rsid w:val="095A50FC"/>
    <w:rsid w:val="0971670A"/>
    <w:rsid w:val="098E03C7"/>
    <w:rsid w:val="09B7349E"/>
    <w:rsid w:val="09F2269B"/>
    <w:rsid w:val="0A6F0775"/>
    <w:rsid w:val="0A915AEA"/>
    <w:rsid w:val="0A9671D9"/>
    <w:rsid w:val="0AEB188B"/>
    <w:rsid w:val="0B29724A"/>
    <w:rsid w:val="0B424B58"/>
    <w:rsid w:val="0B4266BB"/>
    <w:rsid w:val="0B531E35"/>
    <w:rsid w:val="0B853D11"/>
    <w:rsid w:val="0BAC01B4"/>
    <w:rsid w:val="0BFD0F44"/>
    <w:rsid w:val="0C281202"/>
    <w:rsid w:val="0C3A03CD"/>
    <w:rsid w:val="0C434FF4"/>
    <w:rsid w:val="0C443CCA"/>
    <w:rsid w:val="0CAB2C38"/>
    <w:rsid w:val="0CBD2ABF"/>
    <w:rsid w:val="0CEE32B2"/>
    <w:rsid w:val="0CFF776B"/>
    <w:rsid w:val="0D007BE0"/>
    <w:rsid w:val="0D026C09"/>
    <w:rsid w:val="0D2F3ECE"/>
    <w:rsid w:val="0D36577E"/>
    <w:rsid w:val="0D714258"/>
    <w:rsid w:val="0DF513F2"/>
    <w:rsid w:val="0EA20611"/>
    <w:rsid w:val="0EA44750"/>
    <w:rsid w:val="0EB219BC"/>
    <w:rsid w:val="0F2D3164"/>
    <w:rsid w:val="0F9D740E"/>
    <w:rsid w:val="0FAA4E26"/>
    <w:rsid w:val="0FD329CD"/>
    <w:rsid w:val="0FE442C8"/>
    <w:rsid w:val="0FF05B46"/>
    <w:rsid w:val="104E637E"/>
    <w:rsid w:val="10DC2046"/>
    <w:rsid w:val="110474F8"/>
    <w:rsid w:val="11263BFE"/>
    <w:rsid w:val="1151606A"/>
    <w:rsid w:val="116358B9"/>
    <w:rsid w:val="11A3156D"/>
    <w:rsid w:val="11C80560"/>
    <w:rsid w:val="11D51CD2"/>
    <w:rsid w:val="12404210"/>
    <w:rsid w:val="125A61FD"/>
    <w:rsid w:val="12CD4474"/>
    <w:rsid w:val="12D573EB"/>
    <w:rsid w:val="12DE0F4D"/>
    <w:rsid w:val="12F13DE0"/>
    <w:rsid w:val="131A51CB"/>
    <w:rsid w:val="136F1811"/>
    <w:rsid w:val="13991974"/>
    <w:rsid w:val="13A574D6"/>
    <w:rsid w:val="13AB3552"/>
    <w:rsid w:val="13EB3669"/>
    <w:rsid w:val="14586F29"/>
    <w:rsid w:val="148A193E"/>
    <w:rsid w:val="14962BF2"/>
    <w:rsid w:val="14B74989"/>
    <w:rsid w:val="14DE5C60"/>
    <w:rsid w:val="14F74019"/>
    <w:rsid w:val="15112F23"/>
    <w:rsid w:val="15560646"/>
    <w:rsid w:val="15875F52"/>
    <w:rsid w:val="158A0FC2"/>
    <w:rsid w:val="15A54611"/>
    <w:rsid w:val="15F97AE2"/>
    <w:rsid w:val="160D2A82"/>
    <w:rsid w:val="1658087C"/>
    <w:rsid w:val="166D1831"/>
    <w:rsid w:val="16705FBC"/>
    <w:rsid w:val="17070711"/>
    <w:rsid w:val="170B0129"/>
    <w:rsid w:val="170E5D6F"/>
    <w:rsid w:val="17270097"/>
    <w:rsid w:val="173E0430"/>
    <w:rsid w:val="176F1C9F"/>
    <w:rsid w:val="178E0C16"/>
    <w:rsid w:val="17D76195"/>
    <w:rsid w:val="180531A8"/>
    <w:rsid w:val="1839700F"/>
    <w:rsid w:val="18706007"/>
    <w:rsid w:val="1940737B"/>
    <w:rsid w:val="19820A7A"/>
    <w:rsid w:val="19BE1AAB"/>
    <w:rsid w:val="1A182DF0"/>
    <w:rsid w:val="1AF347C3"/>
    <w:rsid w:val="1B1501FB"/>
    <w:rsid w:val="1B5929C7"/>
    <w:rsid w:val="1BF931D7"/>
    <w:rsid w:val="1C097081"/>
    <w:rsid w:val="1C293FA8"/>
    <w:rsid w:val="1C4F5EF0"/>
    <w:rsid w:val="1C84048A"/>
    <w:rsid w:val="1C910538"/>
    <w:rsid w:val="1CC02D2D"/>
    <w:rsid w:val="1CE41371"/>
    <w:rsid w:val="1CED1F3C"/>
    <w:rsid w:val="1D0A0D0C"/>
    <w:rsid w:val="1D2F5DEB"/>
    <w:rsid w:val="1D506145"/>
    <w:rsid w:val="1D9045A5"/>
    <w:rsid w:val="1DD763E7"/>
    <w:rsid w:val="1DF64775"/>
    <w:rsid w:val="1DFB16B0"/>
    <w:rsid w:val="1E7A4FD0"/>
    <w:rsid w:val="1E8349E3"/>
    <w:rsid w:val="1E846C1E"/>
    <w:rsid w:val="1ECB3888"/>
    <w:rsid w:val="1ED61050"/>
    <w:rsid w:val="1F0307F1"/>
    <w:rsid w:val="1F0C773E"/>
    <w:rsid w:val="1F171B42"/>
    <w:rsid w:val="1F1B2614"/>
    <w:rsid w:val="1F510B7E"/>
    <w:rsid w:val="1F6751CA"/>
    <w:rsid w:val="1F731332"/>
    <w:rsid w:val="1FCA53B9"/>
    <w:rsid w:val="1FE03C26"/>
    <w:rsid w:val="20047027"/>
    <w:rsid w:val="20084B31"/>
    <w:rsid w:val="20B34A6E"/>
    <w:rsid w:val="20DA7F0E"/>
    <w:rsid w:val="210015CD"/>
    <w:rsid w:val="21374CB3"/>
    <w:rsid w:val="21990B89"/>
    <w:rsid w:val="21B454D9"/>
    <w:rsid w:val="21F62A9A"/>
    <w:rsid w:val="2258523D"/>
    <w:rsid w:val="227C146B"/>
    <w:rsid w:val="22B7139F"/>
    <w:rsid w:val="2363459D"/>
    <w:rsid w:val="23792D2F"/>
    <w:rsid w:val="23C7232D"/>
    <w:rsid w:val="240B77AE"/>
    <w:rsid w:val="2416236F"/>
    <w:rsid w:val="24587C1A"/>
    <w:rsid w:val="24780B22"/>
    <w:rsid w:val="24AF5796"/>
    <w:rsid w:val="24E77DFA"/>
    <w:rsid w:val="2535609A"/>
    <w:rsid w:val="255911D5"/>
    <w:rsid w:val="256F40F8"/>
    <w:rsid w:val="25A75231"/>
    <w:rsid w:val="25CE1A6E"/>
    <w:rsid w:val="25F31B81"/>
    <w:rsid w:val="27344C9E"/>
    <w:rsid w:val="27582E99"/>
    <w:rsid w:val="2768684B"/>
    <w:rsid w:val="277E732D"/>
    <w:rsid w:val="27A40D9A"/>
    <w:rsid w:val="27BF12D5"/>
    <w:rsid w:val="27CC15C4"/>
    <w:rsid w:val="27DD40F7"/>
    <w:rsid w:val="28912EC0"/>
    <w:rsid w:val="289E4653"/>
    <w:rsid w:val="289F0B48"/>
    <w:rsid w:val="28CE7583"/>
    <w:rsid w:val="28DA1099"/>
    <w:rsid w:val="290D4A28"/>
    <w:rsid w:val="29452A44"/>
    <w:rsid w:val="295E1CE3"/>
    <w:rsid w:val="2984346A"/>
    <w:rsid w:val="299B3D6C"/>
    <w:rsid w:val="299B568F"/>
    <w:rsid w:val="29BE1D96"/>
    <w:rsid w:val="29C96D75"/>
    <w:rsid w:val="29DB7569"/>
    <w:rsid w:val="2A332146"/>
    <w:rsid w:val="2A692F09"/>
    <w:rsid w:val="2A9F5694"/>
    <w:rsid w:val="2B08706B"/>
    <w:rsid w:val="2B4625A1"/>
    <w:rsid w:val="2BBF67B8"/>
    <w:rsid w:val="2C192C99"/>
    <w:rsid w:val="2C1F0E07"/>
    <w:rsid w:val="2CD163E1"/>
    <w:rsid w:val="2CD62941"/>
    <w:rsid w:val="2CEE1CB2"/>
    <w:rsid w:val="2D082ED1"/>
    <w:rsid w:val="2D127DEF"/>
    <w:rsid w:val="2D311594"/>
    <w:rsid w:val="2D762283"/>
    <w:rsid w:val="2D7E7C14"/>
    <w:rsid w:val="2D9428F5"/>
    <w:rsid w:val="2E136AA5"/>
    <w:rsid w:val="2E1B7152"/>
    <w:rsid w:val="2E494392"/>
    <w:rsid w:val="2EF2591B"/>
    <w:rsid w:val="2F80418D"/>
    <w:rsid w:val="2F9C3DA0"/>
    <w:rsid w:val="2FEC00E5"/>
    <w:rsid w:val="3029536B"/>
    <w:rsid w:val="3029773E"/>
    <w:rsid w:val="30413836"/>
    <w:rsid w:val="305B22C4"/>
    <w:rsid w:val="3062313F"/>
    <w:rsid w:val="309A1A6F"/>
    <w:rsid w:val="30E402A4"/>
    <w:rsid w:val="31293F09"/>
    <w:rsid w:val="314822FB"/>
    <w:rsid w:val="318007EE"/>
    <w:rsid w:val="319D1881"/>
    <w:rsid w:val="31E43428"/>
    <w:rsid w:val="327D3291"/>
    <w:rsid w:val="32B3677D"/>
    <w:rsid w:val="32DF3A9C"/>
    <w:rsid w:val="32E43875"/>
    <w:rsid w:val="33151EAF"/>
    <w:rsid w:val="33512240"/>
    <w:rsid w:val="3375117B"/>
    <w:rsid w:val="33865643"/>
    <w:rsid w:val="33A773CB"/>
    <w:rsid w:val="33B67677"/>
    <w:rsid w:val="33F40DB5"/>
    <w:rsid w:val="34111CBD"/>
    <w:rsid w:val="348D0637"/>
    <w:rsid w:val="35016446"/>
    <w:rsid w:val="353067F3"/>
    <w:rsid w:val="35870F10"/>
    <w:rsid w:val="35C36CBF"/>
    <w:rsid w:val="35C7006A"/>
    <w:rsid w:val="363A6264"/>
    <w:rsid w:val="365C14B7"/>
    <w:rsid w:val="366472A6"/>
    <w:rsid w:val="368A3B58"/>
    <w:rsid w:val="36A838BA"/>
    <w:rsid w:val="36BF0C66"/>
    <w:rsid w:val="36C4093C"/>
    <w:rsid w:val="36C831AB"/>
    <w:rsid w:val="36E8546D"/>
    <w:rsid w:val="370B2985"/>
    <w:rsid w:val="371B55D3"/>
    <w:rsid w:val="3738319B"/>
    <w:rsid w:val="37405D48"/>
    <w:rsid w:val="378F791B"/>
    <w:rsid w:val="379D6FCC"/>
    <w:rsid w:val="37C605A4"/>
    <w:rsid w:val="37F35CB8"/>
    <w:rsid w:val="37F66AB8"/>
    <w:rsid w:val="380F27E4"/>
    <w:rsid w:val="381C4EB2"/>
    <w:rsid w:val="38222326"/>
    <w:rsid w:val="382973F6"/>
    <w:rsid w:val="38453E1F"/>
    <w:rsid w:val="38807B07"/>
    <w:rsid w:val="38D30218"/>
    <w:rsid w:val="38D3488A"/>
    <w:rsid w:val="38E65DE7"/>
    <w:rsid w:val="39504729"/>
    <w:rsid w:val="39676373"/>
    <w:rsid w:val="39761180"/>
    <w:rsid w:val="397C1696"/>
    <w:rsid w:val="39936654"/>
    <w:rsid w:val="39BE3DBD"/>
    <w:rsid w:val="39BF1693"/>
    <w:rsid w:val="39E42A84"/>
    <w:rsid w:val="3A1F750A"/>
    <w:rsid w:val="3A4F4169"/>
    <w:rsid w:val="3A5C7E1C"/>
    <w:rsid w:val="3AAE035C"/>
    <w:rsid w:val="3AB45DE6"/>
    <w:rsid w:val="3AE40F3E"/>
    <w:rsid w:val="3B2A5A3C"/>
    <w:rsid w:val="3B394512"/>
    <w:rsid w:val="3B3E70E9"/>
    <w:rsid w:val="3B720CEE"/>
    <w:rsid w:val="3B9D199D"/>
    <w:rsid w:val="3BA825FE"/>
    <w:rsid w:val="3BBC6ED2"/>
    <w:rsid w:val="3BFA1DF4"/>
    <w:rsid w:val="3C3022CE"/>
    <w:rsid w:val="3C6B58D1"/>
    <w:rsid w:val="3C83314E"/>
    <w:rsid w:val="3C905633"/>
    <w:rsid w:val="3C9C1A33"/>
    <w:rsid w:val="3CA75FD6"/>
    <w:rsid w:val="3CAA02A2"/>
    <w:rsid w:val="3CB74AC6"/>
    <w:rsid w:val="3CBB24EF"/>
    <w:rsid w:val="3CE26DBB"/>
    <w:rsid w:val="3D2D5518"/>
    <w:rsid w:val="3D891903"/>
    <w:rsid w:val="3E4037CC"/>
    <w:rsid w:val="3E615322"/>
    <w:rsid w:val="3E772188"/>
    <w:rsid w:val="3ED008B4"/>
    <w:rsid w:val="3EE111F7"/>
    <w:rsid w:val="3EF30CA8"/>
    <w:rsid w:val="3F1E0693"/>
    <w:rsid w:val="3F316D2F"/>
    <w:rsid w:val="3F476FDD"/>
    <w:rsid w:val="3F9A4869"/>
    <w:rsid w:val="3FA376F7"/>
    <w:rsid w:val="3FA866E1"/>
    <w:rsid w:val="3FBC4A1D"/>
    <w:rsid w:val="3FDD5D2F"/>
    <w:rsid w:val="40422E99"/>
    <w:rsid w:val="408E3CFE"/>
    <w:rsid w:val="40A971B0"/>
    <w:rsid w:val="415972F5"/>
    <w:rsid w:val="41755AFB"/>
    <w:rsid w:val="417E3DFD"/>
    <w:rsid w:val="41B11DA3"/>
    <w:rsid w:val="41BF617C"/>
    <w:rsid w:val="4200243F"/>
    <w:rsid w:val="4279224C"/>
    <w:rsid w:val="42972BCC"/>
    <w:rsid w:val="42C41E24"/>
    <w:rsid w:val="431C1B42"/>
    <w:rsid w:val="43533C20"/>
    <w:rsid w:val="43542786"/>
    <w:rsid w:val="43D2652D"/>
    <w:rsid w:val="44373FFB"/>
    <w:rsid w:val="444075C3"/>
    <w:rsid w:val="444E3F5B"/>
    <w:rsid w:val="445A34E7"/>
    <w:rsid w:val="445C7035"/>
    <w:rsid w:val="44A00541"/>
    <w:rsid w:val="44AD4835"/>
    <w:rsid w:val="452178C6"/>
    <w:rsid w:val="452F4F21"/>
    <w:rsid w:val="46052955"/>
    <w:rsid w:val="461B348E"/>
    <w:rsid w:val="46592F78"/>
    <w:rsid w:val="466E6504"/>
    <w:rsid w:val="46825A59"/>
    <w:rsid w:val="47721B46"/>
    <w:rsid w:val="477259E3"/>
    <w:rsid w:val="484D79E5"/>
    <w:rsid w:val="485211B4"/>
    <w:rsid w:val="485E2C37"/>
    <w:rsid w:val="48B90C6B"/>
    <w:rsid w:val="4916306B"/>
    <w:rsid w:val="498B21B5"/>
    <w:rsid w:val="49B63741"/>
    <w:rsid w:val="49C02B87"/>
    <w:rsid w:val="4A0A6190"/>
    <w:rsid w:val="4A3B3017"/>
    <w:rsid w:val="4AB61CA3"/>
    <w:rsid w:val="4B845CB6"/>
    <w:rsid w:val="4B9E09D4"/>
    <w:rsid w:val="4BA45DBB"/>
    <w:rsid w:val="4BAE4AF4"/>
    <w:rsid w:val="4C5770B6"/>
    <w:rsid w:val="4C5A1839"/>
    <w:rsid w:val="4C7572CD"/>
    <w:rsid w:val="4C8A5D4C"/>
    <w:rsid w:val="4C9F74B1"/>
    <w:rsid w:val="4CED79F8"/>
    <w:rsid w:val="4D05761F"/>
    <w:rsid w:val="4D2E5E14"/>
    <w:rsid w:val="4D9A33DC"/>
    <w:rsid w:val="4DD059E1"/>
    <w:rsid w:val="4DED0341"/>
    <w:rsid w:val="4DFF61F1"/>
    <w:rsid w:val="4E0E49B4"/>
    <w:rsid w:val="4E1A19F6"/>
    <w:rsid w:val="4E294FCA"/>
    <w:rsid w:val="4E456F05"/>
    <w:rsid w:val="4E603CD2"/>
    <w:rsid w:val="4ECA55D0"/>
    <w:rsid w:val="4ECC5CC5"/>
    <w:rsid w:val="4F01352B"/>
    <w:rsid w:val="4F2547B0"/>
    <w:rsid w:val="4F385E88"/>
    <w:rsid w:val="4F9A75BC"/>
    <w:rsid w:val="4FD87D05"/>
    <w:rsid w:val="500C7739"/>
    <w:rsid w:val="50333805"/>
    <w:rsid w:val="50406C68"/>
    <w:rsid w:val="50656FCA"/>
    <w:rsid w:val="50D90CCF"/>
    <w:rsid w:val="512129F0"/>
    <w:rsid w:val="512E4FFA"/>
    <w:rsid w:val="51366100"/>
    <w:rsid w:val="51835AAE"/>
    <w:rsid w:val="51971635"/>
    <w:rsid w:val="51E444D7"/>
    <w:rsid w:val="520363D2"/>
    <w:rsid w:val="52272A53"/>
    <w:rsid w:val="52634E37"/>
    <w:rsid w:val="52B171FA"/>
    <w:rsid w:val="534918B2"/>
    <w:rsid w:val="53D86537"/>
    <w:rsid w:val="540E1365"/>
    <w:rsid w:val="543B525C"/>
    <w:rsid w:val="54956561"/>
    <w:rsid w:val="54AA3DF7"/>
    <w:rsid w:val="54B26C85"/>
    <w:rsid w:val="54B61E08"/>
    <w:rsid w:val="54E84524"/>
    <w:rsid w:val="54F55D2D"/>
    <w:rsid w:val="54FD7A90"/>
    <w:rsid w:val="553A7C2D"/>
    <w:rsid w:val="553C0438"/>
    <w:rsid w:val="556772A4"/>
    <w:rsid w:val="55A84425"/>
    <w:rsid w:val="561D378D"/>
    <w:rsid w:val="56715961"/>
    <w:rsid w:val="56904254"/>
    <w:rsid w:val="56A30136"/>
    <w:rsid w:val="56B77204"/>
    <w:rsid w:val="56F810BD"/>
    <w:rsid w:val="570D617E"/>
    <w:rsid w:val="572A730E"/>
    <w:rsid w:val="577838E9"/>
    <w:rsid w:val="577D7CF3"/>
    <w:rsid w:val="57A84D6C"/>
    <w:rsid w:val="57E47675"/>
    <w:rsid w:val="57EE4CDC"/>
    <w:rsid w:val="57F618E2"/>
    <w:rsid w:val="58311772"/>
    <w:rsid w:val="583D707B"/>
    <w:rsid w:val="590B020F"/>
    <w:rsid w:val="591539B6"/>
    <w:rsid w:val="5938747F"/>
    <w:rsid w:val="59766ED3"/>
    <w:rsid w:val="59B966C3"/>
    <w:rsid w:val="5A3316DD"/>
    <w:rsid w:val="5A3819DA"/>
    <w:rsid w:val="5A5C5ECC"/>
    <w:rsid w:val="5A792FD8"/>
    <w:rsid w:val="5A864044"/>
    <w:rsid w:val="5A873F8B"/>
    <w:rsid w:val="5B355F1A"/>
    <w:rsid w:val="5B5A6CFE"/>
    <w:rsid w:val="5B693109"/>
    <w:rsid w:val="5B896B40"/>
    <w:rsid w:val="5BD55FCE"/>
    <w:rsid w:val="5BD85C58"/>
    <w:rsid w:val="5C227DB6"/>
    <w:rsid w:val="5D192F00"/>
    <w:rsid w:val="5D40278C"/>
    <w:rsid w:val="5D46011A"/>
    <w:rsid w:val="5D65502F"/>
    <w:rsid w:val="5DD06C57"/>
    <w:rsid w:val="5DFB6CB9"/>
    <w:rsid w:val="5E9E2A34"/>
    <w:rsid w:val="5EB757F1"/>
    <w:rsid w:val="5F024FA7"/>
    <w:rsid w:val="5F14140D"/>
    <w:rsid w:val="5F146870"/>
    <w:rsid w:val="5F152C34"/>
    <w:rsid w:val="5F1E6936"/>
    <w:rsid w:val="5F492843"/>
    <w:rsid w:val="5F8A64CA"/>
    <w:rsid w:val="5FC85777"/>
    <w:rsid w:val="5FDD0E56"/>
    <w:rsid w:val="60086C66"/>
    <w:rsid w:val="60595BE0"/>
    <w:rsid w:val="60F40D61"/>
    <w:rsid w:val="611D63FB"/>
    <w:rsid w:val="6124336C"/>
    <w:rsid w:val="6152493E"/>
    <w:rsid w:val="615D075E"/>
    <w:rsid w:val="617270AD"/>
    <w:rsid w:val="61DC3943"/>
    <w:rsid w:val="62115573"/>
    <w:rsid w:val="625A33E9"/>
    <w:rsid w:val="62A80031"/>
    <w:rsid w:val="62CD0FA5"/>
    <w:rsid w:val="62F820BE"/>
    <w:rsid w:val="63AD1E78"/>
    <w:rsid w:val="63AD5092"/>
    <w:rsid w:val="63CA6A17"/>
    <w:rsid w:val="644D2F22"/>
    <w:rsid w:val="648D1ADE"/>
    <w:rsid w:val="64C25323"/>
    <w:rsid w:val="652A05D1"/>
    <w:rsid w:val="65494330"/>
    <w:rsid w:val="656C21CA"/>
    <w:rsid w:val="65A74DD4"/>
    <w:rsid w:val="65C57E73"/>
    <w:rsid w:val="65D51AA7"/>
    <w:rsid w:val="65F81FA5"/>
    <w:rsid w:val="660B1854"/>
    <w:rsid w:val="660E235D"/>
    <w:rsid w:val="661B3639"/>
    <w:rsid w:val="66286A3B"/>
    <w:rsid w:val="665530AA"/>
    <w:rsid w:val="666C3F70"/>
    <w:rsid w:val="667306C5"/>
    <w:rsid w:val="667818A0"/>
    <w:rsid w:val="66BA1B80"/>
    <w:rsid w:val="66C94D5E"/>
    <w:rsid w:val="66F33ADF"/>
    <w:rsid w:val="672F2C0B"/>
    <w:rsid w:val="681C674F"/>
    <w:rsid w:val="68470D8F"/>
    <w:rsid w:val="68836DC3"/>
    <w:rsid w:val="6887648C"/>
    <w:rsid w:val="68EA31C9"/>
    <w:rsid w:val="68FE71CA"/>
    <w:rsid w:val="68FF5939"/>
    <w:rsid w:val="691B4A91"/>
    <w:rsid w:val="69297877"/>
    <w:rsid w:val="692B5915"/>
    <w:rsid w:val="692C6424"/>
    <w:rsid w:val="69352903"/>
    <w:rsid w:val="69AB7968"/>
    <w:rsid w:val="6A0B4089"/>
    <w:rsid w:val="6A1207B2"/>
    <w:rsid w:val="6A9277E6"/>
    <w:rsid w:val="6AD356BF"/>
    <w:rsid w:val="6B33205C"/>
    <w:rsid w:val="6B7C6E48"/>
    <w:rsid w:val="6B9E7527"/>
    <w:rsid w:val="6BEB1B2A"/>
    <w:rsid w:val="6C3D3FC5"/>
    <w:rsid w:val="6C9123E8"/>
    <w:rsid w:val="6CE6394F"/>
    <w:rsid w:val="6CF75DE0"/>
    <w:rsid w:val="6D783D26"/>
    <w:rsid w:val="6DD47186"/>
    <w:rsid w:val="6DEF510F"/>
    <w:rsid w:val="6DF01F33"/>
    <w:rsid w:val="6E146C1B"/>
    <w:rsid w:val="6E6C03DB"/>
    <w:rsid w:val="6E9523F6"/>
    <w:rsid w:val="6ECD0DD4"/>
    <w:rsid w:val="6EF40F46"/>
    <w:rsid w:val="6F3254E8"/>
    <w:rsid w:val="6F5B4BA2"/>
    <w:rsid w:val="6F615273"/>
    <w:rsid w:val="6FEB37AA"/>
    <w:rsid w:val="70457819"/>
    <w:rsid w:val="705120D8"/>
    <w:rsid w:val="70C71D41"/>
    <w:rsid w:val="70F328F1"/>
    <w:rsid w:val="711F0324"/>
    <w:rsid w:val="715E6563"/>
    <w:rsid w:val="71635BDF"/>
    <w:rsid w:val="719E2478"/>
    <w:rsid w:val="723B6A2A"/>
    <w:rsid w:val="724E2F94"/>
    <w:rsid w:val="725620A9"/>
    <w:rsid w:val="72CE6A57"/>
    <w:rsid w:val="730B78D2"/>
    <w:rsid w:val="735F1183"/>
    <w:rsid w:val="73BA3D76"/>
    <w:rsid w:val="73ED7C13"/>
    <w:rsid w:val="745E3FF9"/>
    <w:rsid w:val="747A11FA"/>
    <w:rsid w:val="756E5D28"/>
    <w:rsid w:val="7593678E"/>
    <w:rsid w:val="759D7F32"/>
    <w:rsid w:val="75AF3950"/>
    <w:rsid w:val="76525BE7"/>
    <w:rsid w:val="76A318C9"/>
    <w:rsid w:val="76BF62FB"/>
    <w:rsid w:val="76C259ED"/>
    <w:rsid w:val="76D550BD"/>
    <w:rsid w:val="77161D33"/>
    <w:rsid w:val="77506C1B"/>
    <w:rsid w:val="78CE2547"/>
    <w:rsid w:val="79BB578D"/>
    <w:rsid w:val="79BE47F2"/>
    <w:rsid w:val="79F510CA"/>
    <w:rsid w:val="79FE72AE"/>
    <w:rsid w:val="7A846AC2"/>
    <w:rsid w:val="7ADB0F38"/>
    <w:rsid w:val="7B2909D9"/>
    <w:rsid w:val="7B2A787F"/>
    <w:rsid w:val="7B5876BE"/>
    <w:rsid w:val="7B683207"/>
    <w:rsid w:val="7B850B4A"/>
    <w:rsid w:val="7BBE44BC"/>
    <w:rsid w:val="7BC01697"/>
    <w:rsid w:val="7BC47D5E"/>
    <w:rsid w:val="7C045E06"/>
    <w:rsid w:val="7C1B682B"/>
    <w:rsid w:val="7C541ED1"/>
    <w:rsid w:val="7C7D516C"/>
    <w:rsid w:val="7CBA372B"/>
    <w:rsid w:val="7CBB0FC0"/>
    <w:rsid w:val="7D073BAD"/>
    <w:rsid w:val="7D26110F"/>
    <w:rsid w:val="7D366C7B"/>
    <w:rsid w:val="7D7F0DE3"/>
    <w:rsid w:val="7D961C0E"/>
    <w:rsid w:val="7DBA5E84"/>
    <w:rsid w:val="7DCD3B4B"/>
    <w:rsid w:val="7E094B88"/>
    <w:rsid w:val="7E815898"/>
    <w:rsid w:val="7F43615B"/>
    <w:rsid w:val="7F4A1012"/>
    <w:rsid w:val="7F744FDF"/>
    <w:rsid w:val="7F99329D"/>
    <w:rsid w:val="7FAB0555"/>
    <w:rsid w:val="7FC5755B"/>
    <w:rsid w:val="7FED1F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0"/>
    <w:pPr>
      <w:widowControl w:val="0"/>
      <w:numPr>
        <w:ilvl w:val="0"/>
        <w:numId w:val="1"/>
      </w:numPr>
      <w:spacing w:line="360" w:lineRule="auto"/>
      <w:outlineLvl w:val="0"/>
    </w:pPr>
    <w:rPr>
      <w:rFonts w:ascii="Times New Roman" w:hAnsi="Times New Roman" w:eastAsia="黑体" w:cs="Times New Roman"/>
      <w:bCs/>
      <w:kern w:val="44"/>
      <w:szCs w:val="44"/>
      <w:lang w:val="zh-CN"/>
    </w:rPr>
  </w:style>
  <w:style w:type="paragraph" w:styleId="5">
    <w:name w:val="heading 2"/>
    <w:basedOn w:val="1"/>
    <w:next w:val="1"/>
    <w:semiHidden/>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6">
    <w:name w:val="heading 3"/>
    <w:basedOn w:val="1"/>
    <w:next w:val="1"/>
    <w:unhideWhenUsed/>
    <w:qFormat/>
    <w:uiPriority w:val="9"/>
    <w:pPr>
      <w:keepNext/>
      <w:keepLines/>
      <w:spacing w:before="260" w:after="260" w:line="416" w:lineRule="auto"/>
      <w:outlineLvl w:val="2"/>
    </w:pPr>
    <w:rPr>
      <w:b/>
      <w:bCs/>
      <w:sz w:val="32"/>
      <w:szCs w:val="32"/>
    </w:rPr>
  </w:style>
  <w:style w:type="paragraph" w:styleId="7">
    <w:name w:val="heading 4"/>
    <w:basedOn w:val="1"/>
    <w:next w:val="1"/>
    <w:qFormat/>
    <w:uiPriority w:val="1"/>
    <w:pPr>
      <w:spacing w:before="14"/>
      <w:ind w:left="494"/>
      <w:outlineLvl w:val="3"/>
    </w:pPr>
    <w:rPr>
      <w:rFonts w:ascii="宋体" w:hAnsi="宋体" w:eastAsia="宋体"/>
      <w:sz w:val="28"/>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3"/>
    <w:link w:val="37"/>
    <w:unhideWhenUsed/>
    <w:qFormat/>
    <w:uiPriority w:val="99"/>
    <w:pPr>
      <w:tabs>
        <w:tab w:val="center" w:pos="4153"/>
        <w:tab w:val="right" w:pos="8306"/>
      </w:tabs>
      <w:snapToGrid w:val="0"/>
      <w:jc w:val="left"/>
    </w:pPr>
    <w:rPr>
      <w:sz w:val="18"/>
      <w:szCs w:val="18"/>
    </w:rPr>
  </w:style>
  <w:style w:type="paragraph" w:styleId="3">
    <w:name w:val="Normal Indent"/>
    <w:basedOn w:val="1"/>
    <w:next w:val="1"/>
    <w:qFormat/>
    <w:uiPriority w:val="0"/>
    <w:pPr>
      <w:ind w:firstLine="420" w:firstLineChars="200"/>
    </w:pPr>
    <w:rPr>
      <w:rFonts w:ascii="Times New Roman" w:hAnsi="Times New Roman"/>
      <w:szCs w:val="24"/>
    </w:rPr>
  </w:style>
  <w:style w:type="paragraph" w:styleId="8">
    <w:name w:val="annotation text"/>
    <w:basedOn w:val="1"/>
    <w:link w:val="39"/>
    <w:unhideWhenUsed/>
    <w:qFormat/>
    <w:uiPriority w:val="99"/>
    <w:pPr>
      <w:jc w:val="left"/>
    </w:pPr>
  </w:style>
  <w:style w:type="paragraph" w:styleId="9">
    <w:name w:val="Body Text"/>
    <w:basedOn w:val="1"/>
    <w:next w:val="1"/>
    <w:link w:val="42"/>
    <w:qFormat/>
    <w:uiPriority w:val="1"/>
    <w:pPr>
      <w:spacing w:before="36"/>
      <w:ind w:left="780"/>
      <w:jc w:val="left"/>
    </w:pPr>
    <w:rPr>
      <w:rFonts w:ascii="宋体" w:hAnsi="宋体" w:eastAsia="宋体"/>
      <w:kern w:val="0"/>
      <w:szCs w:val="21"/>
      <w:lang w:eastAsia="en-US"/>
    </w:rPr>
  </w:style>
  <w:style w:type="paragraph" w:styleId="10">
    <w:name w:val="Body Text Indent"/>
    <w:basedOn w:val="1"/>
    <w:next w:val="11"/>
    <w:unhideWhenUsed/>
    <w:qFormat/>
    <w:uiPriority w:val="0"/>
    <w:pPr>
      <w:spacing w:after="120"/>
      <w:ind w:left="420" w:leftChars="200"/>
    </w:pPr>
  </w:style>
  <w:style w:type="paragraph" w:styleId="11">
    <w:name w:val="envelope return"/>
    <w:basedOn w:val="1"/>
    <w:qFormat/>
    <w:uiPriority w:val="0"/>
    <w:pPr>
      <w:snapToGrid w:val="0"/>
    </w:pPr>
    <w:rPr>
      <w:rFonts w:ascii="Arial" w:hAnsi="Arial" w:eastAsia="等线" w:cs="等线"/>
    </w:rPr>
  </w:style>
  <w:style w:type="paragraph" w:styleId="12">
    <w:name w:val="Balloon Text"/>
    <w:basedOn w:val="1"/>
    <w:link w:val="38"/>
    <w:semiHidden/>
    <w:unhideWhenUsed/>
    <w:qFormat/>
    <w:uiPriority w:val="99"/>
    <w:rPr>
      <w:sz w:val="18"/>
      <w:szCs w:val="18"/>
    </w:rPr>
  </w:style>
  <w:style w:type="paragraph" w:styleId="13">
    <w:name w:val="header"/>
    <w:basedOn w:val="1"/>
    <w:link w:val="36"/>
    <w:unhideWhenUsed/>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pPr>
      <w:tabs>
        <w:tab w:val="right" w:leader="dot" w:pos="8608"/>
      </w:tabs>
      <w:spacing w:line="360" w:lineRule="auto"/>
      <w:ind w:firstLine="425" w:firstLineChars="177"/>
    </w:pPr>
  </w:style>
  <w:style w:type="paragraph" w:styleId="15">
    <w:name w:val="Title"/>
    <w:basedOn w:val="1"/>
    <w:qFormat/>
    <w:uiPriority w:val="0"/>
    <w:pPr>
      <w:spacing w:before="240" w:after="60"/>
      <w:jc w:val="center"/>
      <w:outlineLvl w:val="0"/>
    </w:pPr>
    <w:rPr>
      <w:rFonts w:ascii="Arial" w:hAnsi="Arial" w:eastAsia="楷体_GB2312"/>
      <w:b/>
      <w:bCs/>
      <w:sz w:val="32"/>
      <w:szCs w:val="32"/>
    </w:rPr>
  </w:style>
  <w:style w:type="paragraph" w:styleId="16">
    <w:name w:val="annotation subject"/>
    <w:next w:val="8"/>
    <w:unhideWhenUsed/>
    <w:qFormat/>
    <w:uiPriority w:val="0"/>
    <w:pPr>
      <w:widowControl w:val="0"/>
      <w:jc w:val="left"/>
    </w:pPr>
    <w:rPr>
      <w:rFonts w:asciiTheme="minorHAnsi" w:hAnsiTheme="minorHAnsi" w:eastAsiaTheme="minorEastAsia" w:cstheme="minorBidi"/>
      <w:b/>
      <w:bCs/>
      <w:kern w:val="2"/>
      <w:sz w:val="21"/>
      <w:szCs w:val="22"/>
      <w:lang w:val="en-US" w:eastAsia="zh-CN" w:bidi="ar-SA"/>
    </w:rPr>
  </w:style>
  <w:style w:type="paragraph" w:styleId="17">
    <w:name w:val="Body Text First Indent 2"/>
    <w:basedOn w:val="10"/>
    <w:semiHidden/>
    <w:unhideWhenUsed/>
    <w:qFormat/>
    <w:uiPriority w:val="99"/>
    <w:pPr>
      <w:ind w:firstLine="420" w:firstLineChars="200"/>
    </w:pPr>
  </w:style>
  <w:style w:type="table" w:styleId="19">
    <w:name w:val="Table Grid"/>
    <w:basedOn w:val="1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Strong"/>
    <w:basedOn w:val="20"/>
    <w:qFormat/>
    <w:uiPriority w:val="22"/>
  </w:style>
  <w:style w:type="character" w:styleId="22">
    <w:name w:val="FollowedHyperlink"/>
    <w:basedOn w:val="20"/>
    <w:semiHidden/>
    <w:unhideWhenUsed/>
    <w:qFormat/>
    <w:uiPriority w:val="99"/>
    <w:rPr>
      <w:color w:val="333333"/>
      <w:u w:val="none"/>
    </w:rPr>
  </w:style>
  <w:style w:type="character" w:styleId="23">
    <w:name w:val="Emphasis"/>
    <w:basedOn w:val="20"/>
    <w:qFormat/>
    <w:uiPriority w:val="20"/>
  </w:style>
  <w:style w:type="character" w:styleId="24">
    <w:name w:val="HTML Definition"/>
    <w:basedOn w:val="20"/>
    <w:semiHidden/>
    <w:unhideWhenUsed/>
    <w:qFormat/>
    <w:uiPriority w:val="99"/>
  </w:style>
  <w:style w:type="character" w:styleId="25">
    <w:name w:val="HTML Typewriter"/>
    <w:basedOn w:val="20"/>
    <w:semiHidden/>
    <w:unhideWhenUsed/>
    <w:qFormat/>
    <w:uiPriority w:val="99"/>
    <w:rPr>
      <w:rFonts w:hint="default" w:ascii="monospace" w:hAnsi="monospace" w:eastAsia="monospace" w:cs="monospace"/>
      <w:sz w:val="20"/>
    </w:rPr>
  </w:style>
  <w:style w:type="character" w:styleId="26">
    <w:name w:val="HTML Acronym"/>
    <w:basedOn w:val="20"/>
    <w:semiHidden/>
    <w:unhideWhenUsed/>
    <w:qFormat/>
    <w:uiPriority w:val="99"/>
  </w:style>
  <w:style w:type="character" w:styleId="27">
    <w:name w:val="HTML Variable"/>
    <w:basedOn w:val="20"/>
    <w:semiHidden/>
    <w:unhideWhenUsed/>
    <w:qFormat/>
    <w:uiPriority w:val="99"/>
  </w:style>
  <w:style w:type="character" w:styleId="28">
    <w:name w:val="Hyperlink"/>
    <w:basedOn w:val="20"/>
    <w:unhideWhenUsed/>
    <w:qFormat/>
    <w:uiPriority w:val="99"/>
    <w:rPr>
      <w:color w:val="0000FF" w:themeColor="hyperlink"/>
      <w:u w:val="single"/>
      <w14:textFill>
        <w14:solidFill>
          <w14:schemeClr w14:val="hlink"/>
        </w14:solidFill>
      </w14:textFill>
    </w:rPr>
  </w:style>
  <w:style w:type="character" w:styleId="29">
    <w:name w:val="HTML Code"/>
    <w:basedOn w:val="20"/>
    <w:semiHidden/>
    <w:unhideWhenUsed/>
    <w:qFormat/>
    <w:uiPriority w:val="99"/>
    <w:rPr>
      <w:rFonts w:hint="default" w:ascii="monospace" w:hAnsi="monospace" w:eastAsia="monospace" w:cs="monospace"/>
      <w:sz w:val="20"/>
    </w:rPr>
  </w:style>
  <w:style w:type="character" w:styleId="30">
    <w:name w:val="annotation reference"/>
    <w:basedOn w:val="20"/>
    <w:semiHidden/>
    <w:unhideWhenUsed/>
    <w:qFormat/>
    <w:uiPriority w:val="99"/>
    <w:rPr>
      <w:sz w:val="21"/>
      <w:szCs w:val="21"/>
    </w:rPr>
  </w:style>
  <w:style w:type="character" w:styleId="31">
    <w:name w:val="HTML Cite"/>
    <w:basedOn w:val="20"/>
    <w:semiHidden/>
    <w:unhideWhenUsed/>
    <w:qFormat/>
    <w:uiPriority w:val="99"/>
  </w:style>
  <w:style w:type="character" w:styleId="32">
    <w:name w:val="HTML Keyboard"/>
    <w:basedOn w:val="20"/>
    <w:semiHidden/>
    <w:unhideWhenUsed/>
    <w:qFormat/>
    <w:uiPriority w:val="99"/>
    <w:rPr>
      <w:rFonts w:hint="default" w:ascii="monospace" w:hAnsi="monospace" w:eastAsia="monospace" w:cs="monospace"/>
      <w:sz w:val="20"/>
    </w:rPr>
  </w:style>
  <w:style w:type="character" w:styleId="33">
    <w:name w:val="HTML Sample"/>
    <w:basedOn w:val="20"/>
    <w:semiHidden/>
    <w:unhideWhenUsed/>
    <w:qFormat/>
    <w:uiPriority w:val="99"/>
    <w:rPr>
      <w:rFonts w:ascii="monospace" w:hAnsi="monospace" w:eastAsia="monospace" w:cs="monospace"/>
    </w:rPr>
  </w:style>
  <w:style w:type="paragraph" w:customStyle="1" w:styleId="34">
    <w:name w:val="书目1"/>
    <w:basedOn w:val="1"/>
    <w:next w:val="1"/>
    <w:unhideWhenUsed/>
    <w:qFormat/>
    <w:uiPriority w:val="37"/>
  </w:style>
  <w:style w:type="paragraph" w:styleId="35">
    <w:name w:val="List Paragraph"/>
    <w:basedOn w:val="1"/>
    <w:qFormat/>
    <w:uiPriority w:val="34"/>
    <w:pPr>
      <w:widowControl/>
      <w:ind w:firstLine="420"/>
    </w:pPr>
    <w:rPr>
      <w:rFonts w:ascii="Calibri" w:hAnsi="Calibri" w:eastAsia="宋体" w:cs="Calibri"/>
      <w:kern w:val="0"/>
      <w:szCs w:val="21"/>
    </w:rPr>
  </w:style>
  <w:style w:type="character" w:customStyle="1" w:styleId="36">
    <w:name w:val="页眉 字符"/>
    <w:basedOn w:val="20"/>
    <w:link w:val="13"/>
    <w:qFormat/>
    <w:uiPriority w:val="0"/>
    <w:rPr>
      <w:sz w:val="18"/>
      <w:szCs w:val="18"/>
    </w:rPr>
  </w:style>
  <w:style w:type="character" w:customStyle="1" w:styleId="37">
    <w:name w:val="页脚 字符"/>
    <w:basedOn w:val="20"/>
    <w:link w:val="2"/>
    <w:qFormat/>
    <w:uiPriority w:val="99"/>
    <w:rPr>
      <w:sz w:val="18"/>
      <w:szCs w:val="18"/>
    </w:rPr>
  </w:style>
  <w:style w:type="character" w:customStyle="1" w:styleId="38">
    <w:name w:val="批注框文本 字符"/>
    <w:basedOn w:val="20"/>
    <w:link w:val="12"/>
    <w:semiHidden/>
    <w:qFormat/>
    <w:uiPriority w:val="99"/>
    <w:rPr>
      <w:sz w:val="18"/>
      <w:szCs w:val="18"/>
    </w:rPr>
  </w:style>
  <w:style w:type="character" w:customStyle="1" w:styleId="39">
    <w:name w:val="批注文字 字符"/>
    <w:basedOn w:val="20"/>
    <w:link w:val="8"/>
    <w:qFormat/>
    <w:uiPriority w:val="99"/>
  </w:style>
  <w:style w:type="paragraph" w:customStyle="1" w:styleId="40">
    <w:name w:val="Table Paragraph"/>
    <w:basedOn w:val="1"/>
    <w:qFormat/>
    <w:uiPriority w:val="0"/>
    <w:pPr>
      <w:jc w:val="left"/>
    </w:pPr>
    <w:rPr>
      <w:kern w:val="0"/>
      <w:sz w:val="22"/>
      <w:lang w:eastAsia="en-US"/>
    </w:rPr>
  </w:style>
  <w:style w:type="paragraph" w:customStyle="1" w:styleId="41">
    <w:name w:val="标题 21"/>
    <w:basedOn w:val="1"/>
    <w:qFormat/>
    <w:uiPriority w:val="0"/>
    <w:pPr>
      <w:ind w:right="5" w:rightChars="5"/>
      <w:jc w:val="left"/>
      <w:outlineLvl w:val="2"/>
    </w:pPr>
    <w:rPr>
      <w:rFonts w:ascii="Noto Sans CJK DemiLight" w:hAnsi="Noto Sans CJK DemiLight" w:eastAsia="Noto Sans CJK DemiLight" w:cs="Times New Roman"/>
      <w:kern w:val="0"/>
      <w:sz w:val="32"/>
      <w:szCs w:val="32"/>
      <w:lang w:eastAsia="en-US"/>
    </w:rPr>
  </w:style>
  <w:style w:type="character" w:customStyle="1" w:styleId="42">
    <w:name w:val="正文文本 字符"/>
    <w:basedOn w:val="20"/>
    <w:link w:val="9"/>
    <w:qFormat/>
    <w:uiPriority w:val="1"/>
    <w:rPr>
      <w:rFonts w:ascii="宋体" w:hAnsi="宋体" w:cstheme="minorBidi"/>
      <w:sz w:val="21"/>
      <w:szCs w:val="21"/>
      <w:lang w:eastAsia="en-US"/>
    </w:rPr>
  </w:style>
  <w:style w:type="character" w:customStyle="1" w:styleId="43">
    <w:name w:val="font41"/>
    <w:basedOn w:val="20"/>
    <w:qFormat/>
    <w:uiPriority w:val="0"/>
    <w:rPr>
      <w:rFonts w:hint="eastAsia" w:ascii="宋体" w:hAnsi="宋体" w:eastAsia="宋体" w:cs="宋体"/>
      <w:color w:val="000000"/>
      <w:sz w:val="21"/>
      <w:szCs w:val="21"/>
      <w:u w:val="none"/>
    </w:rPr>
  </w:style>
  <w:style w:type="character" w:customStyle="1" w:styleId="44">
    <w:name w:val="font31"/>
    <w:basedOn w:val="20"/>
    <w:qFormat/>
    <w:uiPriority w:val="0"/>
    <w:rPr>
      <w:rFonts w:hint="default" w:ascii="Times New Roman" w:hAnsi="Times New Roman" w:cs="Times New Roman"/>
      <w:color w:val="000000"/>
      <w:sz w:val="21"/>
      <w:szCs w:val="21"/>
      <w:u w:val="none"/>
    </w:rPr>
  </w:style>
  <w:style w:type="paragraph" w:customStyle="1" w:styleId="45">
    <w:name w:val="默认段落字体 Para Char"/>
    <w:basedOn w:val="46"/>
    <w:next w:val="1"/>
    <w:qFormat/>
    <w:uiPriority w:val="0"/>
    <w:pPr>
      <w:widowControl w:val="0"/>
      <w:spacing w:before="80" w:after="80" w:line="360" w:lineRule="auto"/>
      <w:jc w:val="both"/>
    </w:pPr>
    <w:rPr>
      <w:rFonts w:ascii="Calibri" w:hAnsi="Calibri" w:cs="Times New Roman"/>
      <w:kern w:val="2"/>
      <w:szCs w:val="20"/>
    </w:rPr>
  </w:style>
  <w:style w:type="paragraph" w:customStyle="1" w:styleId="46">
    <w:name w:val="Normal_0"/>
    <w:next w:val="45"/>
    <w:qFormat/>
    <w:uiPriority w:val="0"/>
    <w:pPr>
      <w:overflowPunct w:val="0"/>
      <w:autoSpaceDE w:val="0"/>
      <w:autoSpaceDN w:val="0"/>
      <w:adjustRightInd w:val="0"/>
    </w:pPr>
    <w:rPr>
      <w:rFonts w:ascii="Times New Roman" w:hAnsi="Times New Roman" w:eastAsia="宋体" w:cs="Times New Roman"/>
      <w:lang w:val="en-US" w:eastAsia="en-US" w:bidi="ar-SA"/>
    </w:rPr>
  </w:style>
  <w:style w:type="paragraph" w:customStyle="1" w:styleId="47">
    <w:name w:val="正文_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8">
    <w:name w:val="Normal_1"/>
    <w:next w:val="45"/>
    <w:qFormat/>
    <w:uiPriority w:val="0"/>
    <w:rPr>
      <w:rFonts w:ascii="Times New Roman" w:hAnsi="Times New Roman" w:eastAsia="Times New Roman" w:cs="Times New Roman"/>
      <w:sz w:val="24"/>
      <w:szCs w:val="24"/>
    </w:rPr>
  </w:style>
  <w:style w:type="paragraph" w:customStyle="1" w:styleId="49">
    <w:name w:val="标题 22"/>
    <w:qFormat/>
    <w:uiPriority w:val="1"/>
    <w:pPr>
      <w:widowControl w:val="0"/>
      <w:ind w:right="5" w:rightChars="5"/>
      <w:jc w:val="left"/>
      <w:outlineLvl w:val="2"/>
    </w:pPr>
    <w:rPr>
      <w:rFonts w:ascii="Noto Sans CJK DemiLight" w:hAnsi="Noto Sans CJK DemiLight" w:eastAsia="Noto Sans CJK DemiLight" w:cs="Times New Roman"/>
      <w:kern w:val="0"/>
      <w:sz w:val="32"/>
      <w:szCs w:val="32"/>
      <w:lang w:val="en-US" w:eastAsia="en-US" w:bidi="ar-SA"/>
    </w:rPr>
  </w:style>
  <w:style w:type="paragraph" w:customStyle="1" w:styleId="50">
    <w:name w:val="Default"/>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51">
    <w:name w:val="font01"/>
    <w:basedOn w:val="20"/>
    <w:qFormat/>
    <w:uiPriority w:val="0"/>
    <w:rPr>
      <w:rFonts w:hint="eastAsia" w:ascii="宋体" w:hAnsi="宋体" w:eastAsia="宋体" w:cs="宋体"/>
      <w:color w:val="000000"/>
      <w:sz w:val="20"/>
      <w:szCs w:val="20"/>
      <w:u w:val="none"/>
    </w:rPr>
  </w:style>
  <w:style w:type="character" w:customStyle="1" w:styleId="52">
    <w:name w:val="font51"/>
    <w:basedOn w:val="20"/>
    <w:qFormat/>
    <w:uiPriority w:val="0"/>
    <w:rPr>
      <w:rFonts w:hint="eastAsia" w:ascii="宋体" w:hAnsi="宋体" w:eastAsia="宋体" w:cs="宋体"/>
      <w:color w:val="000000"/>
      <w:sz w:val="22"/>
      <w:szCs w:val="22"/>
      <w:u w:val="none"/>
    </w:rPr>
  </w:style>
  <w:style w:type="character" w:customStyle="1" w:styleId="53">
    <w:name w:val="font21"/>
    <w:basedOn w:val="20"/>
    <w:qFormat/>
    <w:uiPriority w:val="0"/>
    <w:rPr>
      <w:rFonts w:hint="eastAsia" w:ascii="宋体" w:hAnsi="宋体" w:eastAsia="宋体" w:cs="宋体"/>
      <w:color w:val="000000"/>
      <w:sz w:val="22"/>
      <w:szCs w:val="22"/>
      <w:u w:val="none"/>
    </w:rPr>
  </w:style>
  <w:style w:type="table" w:customStyle="1" w:styleId="54">
    <w:name w:val="Table Grid_0"/>
    <w:basedOn w:val="18"/>
    <w:qFormat/>
    <w:uiPriority w:val="0"/>
    <w:rPr>
      <w:rFonts w:ascii="Calibri" w:hAnsi="Calibri"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table" w:customStyle="1" w:styleId="55">
    <w:name w:val="Table Grid_1"/>
    <w:basedOn w:val="18"/>
    <w:qFormat/>
    <w:uiPriority w:val="0"/>
    <w:rPr>
      <w:rFonts w:ascii="Times New Roman" w:hAnsi="Times New Roman"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cPr>
      <w:tcBorders>
        <w:top w:val="single" w:color="auto" w:sz="4" w:space="0"/>
        <w:left w:val="single" w:color="auto" w:sz="4" w:space="0"/>
        <w:bottom w:val="single" w:color="auto" w:sz="4" w:space="0"/>
        <w:right w:val="single" w:color="auto" w:sz="4" w:space="0"/>
      </w:tcBorders>
    </w:tcPr>
  </w:style>
  <w:style w:type="character" w:customStyle="1" w:styleId="56">
    <w:name w:val="font11"/>
    <w:basedOn w:val="2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2.bin"/><Relationship Id="rId8" Type="http://schemas.openxmlformats.org/officeDocument/2006/relationships/image" Target="media/image2.wmf"/><Relationship Id="rId7" Type="http://schemas.openxmlformats.org/officeDocument/2006/relationships/oleObject" Target="embeddings/oleObject1.bin"/><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microsoft.com/office/2011/relationships/people" Target="people.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oleObject" Target="embeddings/oleObject4.bin"/><Relationship Id="rId11" Type="http://schemas.openxmlformats.org/officeDocument/2006/relationships/oleObject" Target="embeddings/oleObject3.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61</Pages>
  <Words>5298</Words>
  <Characters>5513</Characters>
  <Lines>115</Lines>
  <Paragraphs>32</Paragraphs>
  <TotalTime>3</TotalTime>
  <ScaleCrop>false</ScaleCrop>
  <LinksUpToDate>false</LinksUpToDate>
  <CharactersWithSpaces>5679</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2022-10-06T13:54:00Z</dcterms:created>
  <dc:creator>李津</dc:creator>
  <cp:lastModifiedBy>ZBTJZHLIUNA</cp:lastModifiedBy>
  <cp:lastPrinted>2025-07-07T05:58:00Z</cp:lastPrinted>
  <dcterms:modified xsi:type="dcterms:W3CDTF">2025-11-20T08:18:13Z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5B16B535E7164981BAED50ECA38DC101</vt:lpwstr>
  </property>
  <property fmtid="{D5CDD505-2E9C-101B-9397-08002B2CF9AE}" pid="4" name="KSOTemplateDocerSaveRecord">
    <vt:lpwstr>eyJoZGlkIjoiYTY1MWQ0NTY4YjkxNTFjNzVlMGJiODVhNjk2MGRmZTUiLCJ1c2VySWQiOiI2MjAxNzkxMzQifQ==</vt:lpwstr>
  </property>
</Properties>
</file>