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240" w:beforeLines="100" w:after="120" w:afterLines="50" w:line="360" w:lineRule="auto"/>
        <w:outlineLvl w:val="1"/>
        <w:rPr>
          <w:rFonts w:ascii="黑体" w:hAnsi="黑体" w:eastAsia="黑体"/>
          <w:color w:val="FF0000"/>
          <w:sz w:val="24"/>
          <w:szCs w:val="24"/>
          <w:highlight w:val="none"/>
        </w:rPr>
      </w:pPr>
      <w:bookmarkStart w:id="0" w:name="_GoBack"/>
      <w:r>
        <w:rPr>
          <w:rFonts w:hint="eastAsia" w:ascii="黑体" w:hAnsi="黑体" w:eastAsia="黑体"/>
          <w:color w:val="FF0000"/>
          <w:sz w:val="24"/>
          <w:szCs w:val="24"/>
          <w:highlight w:val="none"/>
        </w:rPr>
        <w:t>附件7</w:t>
      </w:r>
      <w:r>
        <w:rPr>
          <w:rFonts w:ascii="黑体" w:hAnsi="黑体" w:eastAsia="黑体"/>
          <w:color w:val="FF0000"/>
          <w:sz w:val="24"/>
          <w:szCs w:val="24"/>
          <w:highlight w:val="none"/>
        </w:rPr>
        <w:t xml:space="preserve"> </w:t>
      </w:r>
      <w:r>
        <w:rPr>
          <w:rFonts w:hint="eastAsia" w:ascii="黑体" w:hAnsi="黑体" w:eastAsia="黑体"/>
          <w:color w:val="FF0000"/>
          <w:sz w:val="24"/>
          <w:szCs w:val="24"/>
          <w:highlight w:val="none"/>
        </w:rPr>
        <w:t>供应商违法违规处罚标准</w:t>
      </w:r>
    </w:p>
    <w:bookmarkEnd w:id="0"/>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5465"/>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000" w:type="pct"/>
            <w:gridSpan w:val="3"/>
            <w:shd w:val="clear" w:color="auto" w:fill="auto"/>
            <w:vAlign w:val="center"/>
          </w:tcPr>
          <w:p>
            <w:pPr>
              <w:widowControl/>
              <w:jc w:val="left"/>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一、违法、违规供应商处理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6" w:type="pct"/>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1928" w:type="pct"/>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违规类型</w:t>
            </w:r>
          </w:p>
        </w:tc>
        <w:tc>
          <w:tcPr>
            <w:tcW w:w="2744" w:type="pct"/>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提供虚假材料（资质文件、业绩、财务状况、书面承诺等）进行供应商注册、资格审查或参与采购项目。</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为达到不正当目的相互恶意串通，包括与采购人，代理机构或供应商之间串通。</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根据影响程度，对供应商给予“禁用两年”或“长期禁用”处理；</w:t>
            </w:r>
          </w:p>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3</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向采购交易所涉及的相关方或能产生实际影响的相关方行贿。</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4</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在采购结果公布之前，违法违规获得非公开评标信息，或采取不正当手段妨碍、排挤其他供应商投标或中标的，证据确凿。</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5</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ascii="宋体" w:hAnsi="宋体" w:cs="宋体"/>
                <w:color w:val="000000" w:themeColor="text1"/>
                <w:kern w:val="0"/>
                <w:sz w:val="22"/>
                <w:szCs w:val="21"/>
                <w14:textFill>
                  <w14:solidFill>
                    <w14:schemeClr w14:val="tx1"/>
                  </w14:solidFill>
                </w14:textFill>
              </w:rPr>
              <w:softHyphen/>
            </w:r>
            <w:r>
              <w:rPr>
                <w:rFonts w:hint="eastAsia" w:ascii="宋体" w:hAnsi="宋体" w:cs="宋体"/>
                <w:color w:val="000000" w:themeColor="text1"/>
                <w:kern w:val="0"/>
                <w:sz w:val="22"/>
                <w:szCs w:val="21"/>
                <w14:textFill>
                  <w14:solidFill>
                    <w14:schemeClr w14:val="tx1"/>
                  </w14:solidFill>
                </w14:textFill>
              </w:rPr>
              <w:t>投标截止后撤销投标文件的，以及在中标公示或公告阶段，中标候选人放弃中标资格。</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6</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获取中标资格或成交资格拒绝签订合同。</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7</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不遵守招投标相关纪律或工作要求：如在开标、评标现场无理取闹，违反招投标程序,不遵守招投标秩序等情形。</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8</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无事实依据对采购过程、采购结果或供应商处理结果进行乱投诉、举报的缠诉、滥诉行为。</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9</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擅自变更、不按照合同规定履行或者擅自终止合同。</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10</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11</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假冒其他厂家品牌，提供伪劣商品、以假乱真弄虚作假。</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12</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出现供给不足（即“短斤少两”行为）。</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13</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提供虚假进度报告。</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14</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违反规定将中标项目或合同转让、转包、分包。</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15</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未经同意拖延完工、交货日期，延缓执行合同的期限。</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16</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拒绝中国海油管理部门的监督检查或不如实反映情况、提供材料。</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17</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18</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拒绝履行售后服务义务并拒绝协商解决的情况，及其他因供应商的原因导致中国海油受损，并拒绝协商解决和赔偿责任的情况。</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19</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所提供的产品存在严重质量问题，影响安全生产或对工程建设造成实质性影响。</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根据专业机构调查结论，对供应商</w:t>
            </w:r>
            <w:r>
              <w:rPr>
                <w:rFonts w:ascii="宋体" w:hAnsi="宋体"/>
                <w:sz w:val="22"/>
                <w:szCs w:val="21"/>
              </w:rPr>
              <w:t>或</w:t>
            </w:r>
            <w:r>
              <w:rPr>
                <w:rFonts w:hint="eastAsia" w:ascii="宋体" w:hAnsi="宋体"/>
                <w:sz w:val="22"/>
                <w:szCs w:val="21"/>
              </w:rPr>
              <w:t>相关</w:t>
            </w:r>
            <w:r>
              <w:rPr>
                <w:rFonts w:ascii="宋体" w:hAnsi="宋体"/>
                <w:sz w:val="22"/>
                <w:szCs w:val="21"/>
              </w:rPr>
              <w:t>品类</w:t>
            </w:r>
            <w:r>
              <w:rPr>
                <w:rFonts w:hint="eastAsia" w:ascii="宋体" w:hAnsi="宋体" w:cs="宋体"/>
                <w:color w:val="000000" w:themeColor="text1"/>
                <w:kern w:val="0"/>
                <w:sz w:val="22"/>
                <w:szCs w:val="21"/>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20</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提供的产品/服务出现安全隐患，且拒绝整改或整改不及时、不到位。</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21</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未经许可，对外披露中国海油商业秘密信息。</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22</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由于供应商的原因，与中国海油及所属单位产生法律诉讼。</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ascii="宋体" w:hAnsi="宋体" w:cs="宋体"/>
                <w:color w:val="000000" w:themeColor="text1"/>
                <w:kern w:val="0"/>
                <w:sz w:val="22"/>
                <w:szCs w:val="21"/>
                <w14:textFill>
                  <w14:solidFill>
                    <w14:schemeClr w14:val="tx1"/>
                  </w14:solidFill>
                </w14:textFill>
              </w:rPr>
              <w:t>23</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olor w:val="000000" w:themeColor="text1"/>
                <w:sz w:val="22"/>
                <w:szCs w:val="21"/>
                <w14:textFill>
                  <w14:solidFill>
                    <w14:schemeClr w14:val="tx1"/>
                  </w14:solidFill>
                </w14:textFill>
              </w:rPr>
              <w:t>发生“一般A级”及以上安全事故且负主要责任的供应商。</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24</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25</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在承揽的中国海油业务中，存在拖欠农民工工资行为的。</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26</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对存在其他不当行为可能给中国海油带来风险。</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27</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其他违反国家法律法规及集团公司规章制度的行为，包括国家、审计、纪检监察、巡视等函件反映问题。</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由工程与物装部组织相关管理部门及所属单位，对供应商问题性质及业务实际情况判定，进行相应处理。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00" w:type="pct"/>
            <w:gridSpan w:val="3"/>
            <w:shd w:val="clear" w:color="auto" w:fill="auto"/>
            <w:vAlign w:val="center"/>
          </w:tcPr>
          <w:p>
            <w:pPr>
              <w:widowControl/>
              <w:jc w:val="left"/>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二、经营状况异常供应商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3"/>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对经营状况异常供应商给予“无固定期禁用”处理，直至其经营风险被解除。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gridSpan w:val="3"/>
            <w:shd w:val="clear" w:color="auto" w:fill="auto"/>
            <w:vAlign w:val="center"/>
          </w:tcPr>
          <w:p>
            <w:pPr>
              <w:widowControl/>
              <w:jc w:val="left"/>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三、考核不合格供应商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对考核不合格供应商，允许供应商按要求整改，整改期间暂停使用，整改后仍不能通过审核的，对考核不合格的品类给予“禁用一年”处理。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000" w:type="pct"/>
            <w:gridSpan w:val="3"/>
            <w:shd w:val="clear" w:color="auto" w:fill="auto"/>
            <w:vAlign w:val="center"/>
          </w:tcPr>
          <w:p>
            <w:pPr>
              <w:widowControl/>
              <w:jc w:val="left"/>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四、关联关系供应商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ascii="宋体" w:hAnsi="宋体" w:cs="宋体"/>
                <w:color w:val="000000" w:themeColor="text1"/>
                <w:kern w:val="0"/>
                <w:sz w:val="22"/>
                <w:szCs w:val="21"/>
                <w14:textFill>
                  <w14:solidFill>
                    <w14:schemeClr w14:val="tx1"/>
                  </w14:solidFill>
                </w14:textFill>
              </w:rPr>
              <w:t>1</w:t>
            </w:r>
          </w:p>
        </w:tc>
        <w:tc>
          <w:tcPr>
            <w:tcW w:w="4673" w:type="pct"/>
            <w:gridSpan w:val="2"/>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根据《招标投标法实施条例》第三十四条款规定，在招标</w:t>
            </w:r>
            <w:r>
              <w:rPr>
                <w:rFonts w:ascii="宋体" w:hAnsi="宋体" w:cs="宋体"/>
                <w:color w:val="000000" w:themeColor="text1"/>
                <w:kern w:val="0"/>
                <w:sz w:val="22"/>
                <w:szCs w:val="21"/>
                <w14:textFill>
                  <w14:solidFill>
                    <w14:schemeClr w14:val="tx1"/>
                  </w14:solidFill>
                </w14:textFill>
              </w:rPr>
              <w:t>/采购文件中明确“投标人与本招标项目其他投标人不得存在控股关系或管理关系、单位负责人为同一人”的相应条款，并作为评标/评审的否决项</w:t>
            </w:r>
            <w:r>
              <w:rPr>
                <w:rFonts w:hint="eastAsia" w:ascii="宋体" w:hAnsi="宋体" w:cs="宋体"/>
                <w:color w:val="000000" w:themeColor="text1"/>
                <w:kern w:val="0"/>
                <w:sz w:val="22"/>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ascii="宋体" w:hAnsi="宋体" w:cs="宋体"/>
                <w:color w:val="000000" w:themeColor="text1"/>
                <w:kern w:val="0"/>
                <w:sz w:val="22"/>
                <w:szCs w:val="21"/>
                <w14:textFill>
                  <w14:solidFill>
                    <w14:schemeClr w14:val="tx1"/>
                  </w14:solidFill>
                </w14:textFill>
              </w:rPr>
              <w:t>2</w:t>
            </w:r>
          </w:p>
        </w:tc>
        <w:tc>
          <w:tcPr>
            <w:tcW w:w="4673" w:type="pct"/>
            <w:gridSpan w:val="2"/>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要求供应商参与招标</w:t>
            </w:r>
            <w:r>
              <w:rPr>
                <w:rFonts w:ascii="宋体" w:hAnsi="宋体" w:cs="宋体"/>
                <w:color w:val="000000" w:themeColor="text1"/>
                <w:kern w:val="0"/>
                <w:sz w:val="22"/>
                <w:szCs w:val="21"/>
                <w14:textFill>
                  <w14:solidFill>
                    <w14:schemeClr w14:val="tx1"/>
                  </w14:solidFill>
                </w14:textFill>
              </w:rPr>
              <w:t>/采购活动时签署《承诺书》，并附上供应商的公司章程或其他能够体现出资人、股东信息的法定文件，作为评标/评审时的依据</w:t>
            </w:r>
            <w:r>
              <w:rPr>
                <w:rFonts w:hint="eastAsia" w:ascii="宋体" w:hAnsi="宋体" w:cs="宋体"/>
                <w:color w:val="000000" w:themeColor="text1"/>
                <w:kern w:val="0"/>
                <w:sz w:val="22"/>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ascii="宋体" w:hAnsi="宋体" w:cs="宋体"/>
                <w:color w:val="000000" w:themeColor="text1"/>
                <w:kern w:val="0"/>
                <w:sz w:val="22"/>
                <w:szCs w:val="21"/>
                <w14:textFill>
                  <w14:solidFill>
                    <w14:schemeClr w14:val="tx1"/>
                  </w14:solidFill>
                </w14:textFill>
              </w:rPr>
              <w:t>3</w:t>
            </w:r>
          </w:p>
        </w:tc>
        <w:tc>
          <w:tcPr>
            <w:tcW w:w="4673" w:type="pct"/>
            <w:gridSpan w:val="2"/>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在非公开采购项目中，在确定被邀请的供应商名单前，要对供应商的单位负责人、股东情况等进行核实，严禁邀请“存在控股关系或管理关系、单位负责人为同一人、同一自然人同时持有两家公司非公开上市股份”情形的关联关系供应商同时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ascii="宋体" w:hAnsi="宋体" w:cs="宋体"/>
                <w:color w:val="000000" w:themeColor="text1"/>
                <w:kern w:val="0"/>
                <w:sz w:val="22"/>
                <w:szCs w:val="21"/>
                <w14:textFill>
                  <w14:solidFill>
                    <w14:schemeClr w14:val="tx1"/>
                  </w14:solidFill>
                </w14:textFill>
              </w:rPr>
              <w:t>4</w:t>
            </w:r>
          </w:p>
        </w:tc>
        <w:tc>
          <w:tcPr>
            <w:tcW w:w="4673" w:type="pct"/>
            <w:gridSpan w:val="2"/>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在结果公示阶段，对涉及关联关系的供应商共同参与竞争的相关异议或投诉要进行调查，对发现违反招投标法《招标投标法实施条例》第三十四条款规定的中标方，取消其中标资格，对发现存在围标、串标情形的投标人或供应商要严肃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00" w:type="pct"/>
            <w:gridSpan w:val="3"/>
            <w:shd w:val="clear" w:color="auto" w:fill="auto"/>
            <w:vAlign w:val="center"/>
          </w:tcPr>
          <w:p>
            <w:pPr>
              <w:widowControl/>
              <w:jc w:val="left"/>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五、政府通报查处供应商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5000" w:type="pct"/>
            <w:gridSpan w:val="3"/>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对政府通报查处供应商，如国家机关对供应商有具体明确处理意见的，按其意见处理；如无明确处理意见的，可参考供应商违规违法情节进行处理。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3"/>
            <w:shd w:val="clear" w:color="auto" w:fill="auto"/>
            <w:vAlign w:val="center"/>
          </w:tcPr>
          <w:p>
            <w:pPr>
              <w:widowControl/>
              <w:jc w:val="left"/>
              <w:rPr>
                <w:rFonts w:ascii="黑体" w:hAnsi="黑体" w:eastAsia="黑体" w:cs="宋体"/>
                <w:color w:val="000000" w:themeColor="text1"/>
                <w:kern w:val="0"/>
                <w:sz w:val="24"/>
                <w14:textFill>
                  <w14:solidFill>
                    <w14:schemeClr w14:val="tx1"/>
                  </w14:solidFill>
                </w14:textFill>
              </w:rPr>
            </w:pPr>
            <w:r>
              <w:rPr>
                <w:rFonts w:hint="eastAsia" w:ascii="黑体" w:hAnsi="黑体" w:eastAsia="黑体" w:cs="宋体"/>
                <w:color w:val="000000" w:themeColor="text1"/>
                <w:kern w:val="0"/>
                <w:sz w:val="24"/>
                <w14:textFill>
                  <w14:solidFill>
                    <w14:schemeClr w14:val="tx1"/>
                  </w14:solidFill>
                </w14:textFill>
              </w:rPr>
              <w:t>六、禁业限制供应商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3"/>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对员工主动申报、或供应商主动报告的禁业限制供应商，且未发现利用中国海油人员的职务之便牟取不正当利益情形，依照集团公司相关规定对供应商及其下属分公司、全资子公司和控股公司进行以下处理：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26" w:type="pct"/>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1928" w:type="pct"/>
            <w:shd w:val="clear" w:color="auto" w:fill="auto"/>
            <w:vAlign w:val="center"/>
          </w:tcPr>
          <w:p>
            <w:pPr>
              <w:widowControl/>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禁业限制的类型</w:t>
            </w:r>
          </w:p>
        </w:tc>
        <w:tc>
          <w:tcPr>
            <w:tcW w:w="2744" w:type="pct"/>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存在中国海油员工投资或持股情形的供应商。</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对供应商给予“无固定期禁用”处理。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聘请中国海油员工在其任职或兼职的非国有企业性质供应商。</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对供应商给予“无固定期禁用”处理。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3</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存在离职、退休的中国海油领导人员投资或持股情形的供应商，如领导人员离职、退休时间未满三年。</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对供应商给予“无固定期禁用”处理，禁用的最长期限为领导人员离职、退休满三年。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4</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聘请中国海油离职或退休未满三年的领导人员担任高级职务的非国有性质企业供应商。</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对供应商给予“无固定期禁用”处理，禁用的最长期限为领导人员离职、退休满三年。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5</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存在中国海油在职员工亲属注册公司（或企业、个体工商户）、持有非上市股权等情形的供应商。</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对供应商给予“无固定期禁用”处理。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6" w:type="pct"/>
            <w:shd w:val="clear" w:color="auto" w:fill="auto"/>
            <w:vAlign w:val="center"/>
          </w:tcPr>
          <w:p>
            <w:pPr>
              <w:widowControl/>
              <w:jc w:val="center"/>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6</w:t>
            </w:r>
          </w:p>
        </w:tc>
        <w:tc>
          <w:tcPr>
            <w:tcW w:w="1928"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聘请中国海油在职领导人员亲属担任高级职务的非国有企业性质供应商。</w:t>
            </w:r>
          </w:p>
        </w:tc>
        <w:tc>
          <w:tcPr>
            <w:tcW w:w="2744" w:type="pct"/>
            <w:shd w:val="clear" w:color="auto" w:fill="auto"/>
            <w:vAlign w:val="center"/>
          </w:tcPr>
          <w:p>
            <w:pPr>
              <w:widowControl/>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对供应商给予 “无固定期禁用”处理。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40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2024-09-24T06:48:20Z</dcterms:created>
  <dc:creator>weiyang</dc:creator>
  <cp:lastModifiedBy>weiyang</cp:lastModifiedBy>
  <dcterms:modified xsi:type="dcterms:W3CDTF">2024-09-24T06:48:48Z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9B4029A8BBD146A58B65AC4F6ADA4E7D</vt:lpwstr>
  </property>
</Properties>
</file>