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8"/>
          <w:szCs w:val="36"/>
          <w:highlight w:val="none"/>
          <w:lang w:val="en-US" w:eastAsia="zh-CN"/>
        </w:rPr>
      </w:pPr>
      <w:r>
        <w:rPr>
          <w:rFonts w:hint="eastAsia"/>
          <w:sz w:val="28"/>
          <w:szCs w:val="36"/>
          <w:highlight w:val="none"/>
          <w:lang w:val="en-US" w:eastAsia="zh-CN"/>
        </w:rPr>
        <w:t>附件2：</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2"/>
          <w:szCs w:val="28"/>
          <w:highlight w:val="none"/>
          <w:lang w:val="en-US" w:eastAsia="zh-CN"/>
        </w:rPr>
      </w:pPr>
      <w:r>
        <w:rPr>
          <w:rFonts w:hint="eastAsia"/>
          <w:sz w:val="40"/>
          <w:szCs w:val="48"/>
          <w:highlight w:val="none"/>
          <w:lang w:val="en-US" w:eastAsia="zh-CN"/>
        </w:rPr>
        <w:t>供应商交货注意事项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2"/>
          <w:szCs w:val="28"/>
          <w:highlight w:val="none"/>
          <w:lang w:val="en-US" w:eastAsia="zh-CN"/>
        </w:rPr>
      </w:pPr>
      <w:r>
        <w:rPr>
          <w:rFonts w:hint="eastAsia"/>
          <w:sz w:val="22"/>
          <w:szCs w:val="28"/>
          <w:highlight w:val="none"/>
          <w:lang w:val="en-US" w:eastAsia="zh-CN"/>
        </w:rPr>
        <w:t>油服供应商：</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2"/>
          <w:szCs w:val="28"/>
          <w:highlight w:val="none"/>
          <w:lang w:val="en-US" w:eastAsia="zh-CN"/>
        </w:rPr>
      </w:pPr>
      <w:r>
        <w:rPr>
          <w:rFonts w:hint="eastAsia"/>
          <w:sz w:val="22"/>
          <w:szCs w:val="28"/>
          <w:highlight w:val="none"/>
          <w:lang w:val="en-US" w:eastAsia="zh-CN"/>
        </w:rPr>
        <w:t>你好！</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2"/>
          <w:szCs w:val="28"/>
          <w:highlight w:val="none"/>
          <w:lang w:val="en-US" w:eastAsia="zh-CN"/>
        </w:rPr>
      </w:pPr>
      <w:r>
        <w:rPr>
          <w:rFonts w:hint="eastAsia"/>
          <w:sz w:val="22"/>
          <w:szCs w:val="28"/>
          <w:highlight w:val="none"/>
          <w:lang w:val="en-US" w:eastAsia="zh-CN"/>
        </w:rPr>
        <w:t>为提升油服到库物资验收时效，规范验收申请提交、验收资料准备、物资包装、到库验收等流程，特与贵司沟通如下，请在后续交货时按照以下要求执行。</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5" w:leftChars="0" w:hanging="425" w:firstLineChars="0"/>
        <w:textAlignment w:val="auto"/>
        <w:rPr>
          <w:rFonts w:hint="eastAsia"/>
          <w:sz w:val="22"/>
          <w:szCs w:val="28"/>
          <w:highlight w:val="none"/>
          <w:lang w:val="en-US" w:eastAsia="zh-CN"/>
        </w:rPr>
      </w:pPr>
      <w:r>
        <w:rPr>
          <w:rFonts w:hint="eastAsia"/>
          <w:sz w:val="22"/>
          <w:szCs w:val="28"/>
          <w:highlight w:val="none"/>
          <w:lang w:val="en-US" w:eastAsia="zh-CN"/>
        </w:rPr>
        <w:t>交货前1-2天联系需求单位（合同执行单位）联系人，发送送货申请，通知交货事宜，如未通知我方，自行发货，库房未收到验收组织申请（由需求单位联系人发给库房），到货物资会被拒收。该合同（订单）交货联系人信息如下：</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1151"/>
        <w:gridCol w:w="966"/>
        <w:gridCol w:w="904"/>
        <w:gridCol w:w="954"/>
        <w:gridCol w:w="966"/>
        <w:gridCol w:w="966"/>
        <w:gridCol w:w="966"/>
        <w:gridCol w:w="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99" w:type="dxa"/>
          </w:tcPr>
          <w:p>
            <w:pPr>
              <w:numPr>
                <w:ilvl w:val="0"/>
                <w:numId w:val="0"/>
              </w:numPr>
              <w:rPr>
                <w:rFonts w:hint="default"/>
                <w:sz w:val="18"/>
                <w:szCs w:val="18"/>
                <w:highlight w:val="none"/>
                <w:vertAlign w:val="baseline"/>
                <w:lang w:val="en-US" w:eastAsia="zh-CN"/>
              </w:rPr>
            </w:pPr>
            <w:r>
              <w:rPr>
                <w:rFonts w:hint="eastAsia"/>
                <w:sz w:val="18"/>
                <w:szCs w:val="18"/>
                <w:highlight w:val="none"/>
                <w:vertAlign w:val="baseline"/>
                <w:lang w:val="en-US" w:eastAsia="zh-CN"/>
              </w:rPr>
              <w:t>序号</w:t>
            </w:r>
          </w:p>
        </w:tc>
        <w:tc>
          <w:tcPr>
            <w:tcW w:w="1151" w:type="dxa"/>
          </w:tcPr>
          <w:p>
            <w:pPr>
              <w:numPr>
                <w:ilvl w:val="0"/>
                <w:numId w:val="0"/>
              </w:numPr>
              <w:rPr>
                <w:rFonts w:hint="default"/>
                <w:sz w:val="18"/>
                <w:szCs w:val="18"/>
                <w:highlight w:val="none"/>
                <w:vertAlign w:val="baseline"/>
                <w:lang w:val="en-US" w:eastAsia="zh-CN"/>
              </w:rPr>
            </w:pPr>
            <w:r>
              <w:rPr>
                <w:rFonts w:hint="eastAsia"/>
                <w:sz w:val="18"/>
                <w:szCs w:val="18"/>
                <w:highlight w:val="none"/>
                <w:vertAlign w:val="baseline"/>
                <w:lang w:val="en-US" w:eastAsia="zh-CN"/>
              </w:rPr>
              <w:t>采购订单号</w:t>
            </w:r>
          </w:p>
        </w:tc>
        <w:tc>
          <w:tcPr>
            <w:tcW w:w="966" w:type="dxa"/>
          </w:tcPr>
          <w:p>
            <w:pPr>
              <w:numPr>
                <w:ilvl w:val="0"/>
                <w:numId w:val="0"/>
              </w:numPr>
              <w:rPr>
                <w:rFonts w:hint="default"/>
                <w:sz w:val="18"/>
                <w:szCs w:val="18"/>
                <w:highlight w:val="none"/>
                <w:vertAlign w:val="baseline"/>
                <w:lang w:val="en-US" w:eastAsia="zh-CN"/>
              </w:rPr>
            </w:pPr>
            <w:r>
              <w:rPr>
                <w:rFonts w:hint="eastAsia"/>
                <w:sz w:val="18"/>
                <w:szCs w:val="18"/>
                <w:highlight w:val="none"/>
                <w:vertAlign w:val="baseline"/>
                <w:lang w:val="en-US" w:eastAsia="zh-CN"/>
              </w:rPr>
              <w:t>需求单位</w:t>
            </w:r>
          </w:p>
        </w:tc>
        <w:tc>
          <w:tcPr>
            <w:tcW w:w="904" w:type="dxa"/>
          </w:tcPr>
          <w:p>
            <w:pPr>
              <w:numPr>
                <w:ilvl w:val="0"/>
                <w:numId w:val="0"/>
              </w:numPr>
              <w:rPr>
                <w:rFonts w:hint="default"/>
                <w:sz w:val="18"/>
                <w:szCs w:val="18"/>
                <w:highlight w:val="none"/>
                <w:vertAlign w:val="baseline"/>
                <w:lang w:val="en-US" w:eastAsia="zh-CN"/>
              </w:rPr>
            </w:pPr>
            <w:r>
              <w:rPr>
                <w:rFonts w:hint="eastAsia"/>
                <w:sz w:val="18"/>
                <w:szCs w:val="18"/>
                <w:highlight w:val="none"/>
                <w:vertAlign w:val="baseline"/>
                <w:lang w:val="en-US" w:eastAsia="zh-CN"/>
              </w:rPr>
              <w:t>联系人1</w:t>
            </w:r>
          </w:p>
        </w:tc>
        <w:tc>
          <w:tcPr>
            <w:tcW w:w="954" w:type="dxa"/>
          </w:tcPr>
          <w:p>
            <w:pPr>
              <w:numPr>
                <w:ilvl w:val="0"/>
                <w:numId w:val="0"/>
              </w:numPr>
              <w:rPr>
                <w:rFonts w:hint="default"/>
                <w:sz w:val="18"/>
                <w:szCs w:val="18"/>
                <w:highlight w:val="none"/>
                <w:vertAlign w:val="baseline"/>
                <w:lang w:val="en-US" w:eastAsia="zh-CN"/>
              </w:rPr>
            </w:pPr>
            <w:r>
              <w:rPr>
                <w:rFonts w:hint="eastAsia"/>
                <w:sz w:val="18"/>
                <w:szCs w:val="18"/>
                <w:highlight w:val="none"/>
                <w:vertAlign w:val="baseline"/>
                <w:lang w:val="en-US" w:eastAsia="zh-CN"/>
              </w:rPr>
              <w:t>电话</w:t>
            </w:r>
          </w:p>
        </w:tc>
        <w:tc>
          <w:tcPr>
            <w:tcW w:w="966" w:type="dxa"/>
          </w:tcPr>
          <w:p>
            <w:pPr>
              <w:numPr>
                <w:ilvl w:val="0"/>
                <w:numId w:val="0"/>
              </w:numPr>
              <w:rPr>
                <w:rFonts w:hint="default"/>
                <w:sz w:val="18"/>
                <w:szCs w:val="18"/>
                <w:highlight w:val="none"/>
                <w:vertAlign w:val="baseline"/>
                <w:lang w:val="en-US" w:eastAsia="zh-CN"/>
              </w:rPr>
            </w:pPr>
            <w:r>
              <w:rPr>
                <w:rFonts w:hint="eastAsia"/>
                <w:sz w:val="18"/>
                <w:szCs w:val="18"/>
                <w:highlight w:val="none"/>
                <w:vertAlign w:val="baseline"/>
                <w:lang w:val="en-US" w:eastAsia="zh-CN"/>
              </w:rPr>
              <w:t>邮箱</w:t>
            </w:r>
          </w:p>
        </w:tc>
        <w:tc>
          <w:tcPr>
            <w:tcW w:w="966" w:type="dxa"/>
            <w:vAlign w:val="top"/>
          </w:tcPr>
          <w:p>
            <w:pPr>
              <w:numPr>
                <w:ilvl w:val="0"/>
                <w:numId w:val="0"/>
              </w:numPr>
              <w:ind w:left="0" w:leftChars="0" w:firstLine="0" w:firstLineChars="0"/>
              <w:rPr>
                <w:rFonts w:hint="eastAsia"/>
                <w:sz w:val="18"/>
                <w:szCs w:val="18"/>
                <w:highlight w:val="none"/>
                <w:vertAlign w:val="baseline"/>
                <w:lang w:val="en-US" w:eastAsia="zh-CN"/>
              </w:rPr>
            </w:pPr>
            <w:r>
              <w:rPr>
                <w:rFonts w:hint="eastAsia"/>
                <w:sz w:val="18"/>
                <w:szCs w:val="18"/>
                <w:highlight w:val="none"/>
                <w:vertAlign w:val="baseline"/>
                <w:lang w:val="en-US" w:eastAsia="zh-CN"/>
              </w:rPr>
              <w:t>联系人2</w:t>
            </w:r>
          </w:p>
        </w:tc>
        <w:tc>
          <w:tcPr>
            <w:tcW w:w="966" w:type="dxa"/>
            <w:vAlign w:val="top"/>
          </w:tcPr>
          <w:p>
            <w:pPr>
              <w:numPr>
                <w:ilvl w:val="0"/>
                <w:numId w:val="0"/>
              </w:numPr>
              <w:ind w:left="0" w:leftChars="0" w:firstLine="0" w:firstLineChars="0"/>
              <w:rPr>
                <w:rFonts w:hint="eastAsia"/>
                <w:sz w:val="18"/>
                <w:szCs w:val="18"/>
                <w:highlight w:val="none"/>
                <w:vertAlign w:val="baseline"/>
                <w:lang w:val="en-US" w:eastAsia="zh-CN"/>
              </w:rPr>
            </w:pPr>
            <w:r>
              <w:rPr>
                <w:rFonts w:hint="eastAsia"/>
                <w:sz w:val="18"/>
                <w:szCs w:val="18"/>
                <w:highlight w:val="none"/>
                <w:vertAlign w:val="baseline"/>
                <w:lang w:val="en-US" w:eastAsia="zh-CN"/>
              </w:rPr>
              <w:t>电话</w:t>
            </w:r>
          </w:p>
        </w:tc>
        <w:tc>
          <w:tcPr>
            <w:tcW w:w="966" w:type="dxa"/>
            <w:vAlign w:val="top"/>
          </w:tcPr>
          <w:p>
            <w:pPr>
              <w:numPr>
                <w:ilvl w:val="0"/>
                <w:numId w:val="0"/>
              </w:numPr>
              <w:ind w:left="0" w:leftChars="0" w:firstLine="0" w:firstLineChars="0"/>
              <w:rPr>
                <w:rFonts w:hint="eastAsia"/>
                <w:sz w:val="18"/>
                <w:szCs w:val="18"/>
                <w:highlight w:val="none"/>
                <w:vertAlign w:val="baseline"/>
                <w:lang w:val="en-US" w:eastAsia="zh-CN"/>
              </w:rPr>
            </w:pPr>
            <w:r>
              <w:rPr>
                <w:rFonts w:hint="eastAsia"/>
                <w:sz w:val="18"/>
                <w:szCs w:val="18"/>
                <w:highlight w:val="none"/>
                <w:vertAlign w:val="baseline"/>
                <w:lang w:val="en-US" w:eastAsia="zh-CN"/>
              </w:rPr>
              <w:t>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599" w:type="dxa"/>
          </w:tcPr>
          <w:p>
            <w:pPr>
              <w:numPr>
                <w:ilvl w:val="0"/>
                <w:numId w:val="0"/>
              </w:numPr>
              <w:rPr>
                <w:rFonts w:hint="default"/>
                <w:sz w:val="22"/>
                <w:szCs w:val="28"/>
                <w:highlight w:val="none"/>
                <w:vertAlign w:val="baseline"/>
                <w:lang w:val="en-US" w:eastAsia="zh-CN"/>
              </w:rPr>
            </w:pPr>
          </w:p>
        </w:tc>
        <w:tc>
          <w:tcPr>
            <w:tcW w:w="1151" w:type="dxa"/>
          </w:tcPr>
          <w:p>
            <w:pPr>
              <w:numPr>
                <w:ilvl w:val="0"/>
                <w:numId w:val="0"/>
              </w:numPr>
              <w:rPr>
                <w:rFonts w:hint="eastAsia"/>
                <w:sz w:val="22"/>
                <w:szCs w:val="28"/>
                <w:highlight w:val="none"/>
                <w:vertAlign w:val="baseline"/>
                <w:lang w:val="en-US" w:eastAsia="zh-CN"/>
              </w:rPr>
            </w:pPr>
          </w:p>
        </w:tc>
        <w:tc>
          <w:tcPr>
            <w:tcW w:w="966" w:type="dxa"/>
          </w:tcPr>
          <w:p>
            <w:pPr>
              <w:numPr>
                <w:ilvl w:val="0"/>
                <w:numId w:val="0"/>
              </w:numPr>
              <w:rPr>
                <w:rFonts w:hint="eastAsia"/>
                <w:sz w:val="22"/>
                <w:szCs w:val="28"/>
                <w:highlight w:val="none"/>
                <w:vertAlign w:val="baseline"/>
                <w:lang w:val="en-US" w:eastAsia="zh-CN"/>
              </w:rPr>
            </w:pPr>
          </w:p>
        </w:tc>
        <w:tc>
          <w:tcPr>
            <w:tcW w:w="904" w:type="dxa"/>
          </w:tcPr>
          <w:p>
            <w:pPr>
              <w:numPr>
                <w:ilvl w:val="0"/>
                <w:numId w:val="0"/>
              </w:numPr>
              <w:rPr>
                <w:rFonts w:hint="eastAsia"/>
                <w:sz w:val="22"/>
                <w:szCs w:val="28"/>
                <w:highlight w:val="none"/>
                <w:vertAlign w:val="baseline"/>
                <w:lang w:val="en-US" w:eastAsia="zh-CN"/>
              </w:rPr>
            </w:pPr>
          </w:p>
        </w:tc>
        <w:tc>
          <w:tcPr>
            <w:tcW w:w="954" w:type="dxa"/>
          </w:tcPr>
          <w:p>
            <w:pPr>
              <w:numPr>
                <w:ilvl w:val="0"/>
                <w:numId w:val="0"/>
              </w:numPr>
              <w:rPr>
                <w:rFonts w:hint="eastAsia"/>
                <w:sz w:val="22"/>
                <w:szCs w:val="28"/>
                <w:highlight w:val="none"/>
                <w:vertAlign w:val="baseline"/>
                <w:lang w:val="en-US" w:eastAsia="zh-CN"/>
              </w:rPr>
            </w:pPr>
          </w:p>
        </w:tc>
        <w:tc>
          <w:tcPr>
            <w:tcW w:w="966" w:type="dxa"/>
          </w:tcPr>
          <w:p>
            <w:pPr>
              <w:numPr>
                <w:ilvl w:val="0"/>
                <w:numId w:val="0"/>
              </w:numPr>
              <w:rPr>
                <w:rFonts w:hint="eastAsia"/>
                <w:sz w:val="22"/>
                <w:szCs w:val="28"/>
                <w:highlight w:val="none"/>
                <w:vertAlign w:val="baseline"/>
                <w:lang w:val="en-US" w:eastAsia="zh-CN"/>
              </w:rPr>
            </w:pPr>
          </w:p>
        </w:tc>
        <w:tc>
          <w:tcPr>
            <w:tcW w:w="966" w:type="dxa"/>
          </w:tcPr>
          <w:p>
            <w:pPr>
              <w:numPr>
                <w:ilvl w:val="0"/>
                <w:numId w:val="0"/>
              </w:numPr>
              <w:rPr>
                <w:rFonts w:hint="eastAsia"/>
                <w:sz w:val="22"/>
                <w:szCs w:val="28"/>
                <w:highlight w:val="none"/>
                <w:vertAlign w:val="baseline"/>
                <w:lang w:val="en-US" w:eastAsia="zh-CN"/>
              </w:rPr>
            </w:pPr>
          </w:p>
        </w:tc>
        <w:tc>
          <w:tcPr>
            <w:tcW w:w="966" w:type="dxa"/>
          </w:tcPr>
          <w:p>
            <w:pPr>
              <w:numPr>
                <w:ilvl w:val="0"/>
                <w:numId w:val="0"/>
              </w:numPr>
              <w:rPr>
                <w:rFonts w:hint="eastAsia"/>
                <w:sz w:val="22"/>
                <w:szCs w:val="28"/>
                <w:highlight w:val="none"/>
                <w:vertAlign w:val="baseline"/>
                <w:lang w:val="en-US" w:eastAsia="zh-CN"/>
              </w:rPr>
            </w:pPr>
          </w:p>
        </w:tc>
        <w:tc>
          <w:tcPr>
            <w:tcW w:w="966" w:type="dxa"/>
          </w:tcPr>
          <w:p>
            <w:pPr>
              <w:numPr>
                <w:ilvl w:val="0"/>
                <w:numId w:val="0"/>
              </w:numPr>
              <w:rPr>
                <w:rFonts w:hint="eastAsia"/>
                <w:sz w:val="22"/>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99" w:type="dxa"/>
          </w:tcPr>
          <w:p>
            <w:pPr>
              <w:numPr>
                <w:ilvl w:val="0"/>
                <w:numId w:val="0"/>
              </w:numPr>
              <w:rPr>
                <w:rFonts w:hint="eastAsia"/>
                <w:sz w:val="22"/>
                <w:szCs w:val="28"/>
                <w:highlight w:val="none"/>
                <w:vertAlign w:val="baseline"/>
                <w:lang w:val="en-US" w:eastAsia="zh-CN"/>
              </w:rPr>
            </w:pPr>
          </w:p>
        </w:tc>
        <w:tc>
          <w:tcPr>
            <w:tcW w:w="1151" w:type="dxa"/>
          </w:tcPr>
          <w:p>
            <w:pPr>
              <w:numPr>
                <w:ilvl w:val="0"/>
                <w:numId w:val="0"/>
              </w:numPr>
              <w:rPr>
                <w:rFonts w:hint="eastAsia"/>
                <w:sz w:val="22"/>
                <w:szCs w:val="28"/>
                <w:highlight w:val="none"/>
                <w:vertAlign w:val="baseline"/>
                <w:lang w:val="en-US" w:eastAsia="zh-CN"/>
              </w:rPr>
            </w:pPr>
          </w:p>
        </w:tc>
        <w:tc>
          <w:tcPr>
            <w:tcW w:w="966" w:type="dxa"/>
          </w:tcPr>
          <w:p>
            <w:pPr>
              <w:numPr>
                <w:ilvl w:val="0"/>
                <w:numId w:val="0"/>
              </w:numPr>
              <w:rPr>
                <w:rFonts w:hint="eastAsia"/>
                <w:sz w:val="22"/>
                <w:szCs w:val="28"/>
                <w:highlight w:val="none"/>
                <w:vertAlign w:val="baseline"/>
                <w:lang w:val="en-US" w:eastAsia="zh-CN"/>
              </w:rPr>
            </w:pPr>
          </w:p>
        </w:tc>
        <w:tc>
          <w:tcPr>
            <w:tcW w:w="904" w:type="dxa"/>
          </w:tcPr>
          <w:p>
            <w:pPr>
              <w:numPr>
                <w:ilvl w:val="0"/>
                <w:numId w:val="0"/>
              </w:numPr>
              <w:rPr>
                <w:rFonts w:hint="eastAsia"/>
                <w:sz w:val="22"/>
                <w:szCs w:val="28"/>
                <w:highlight w:val="none"/>
                <w:vertAlign w:val="baseline"/>
                <w:lang w:val="en-US" w:eastAsia="zh-CN"/>
              </w:rPr>
            </w:pPr>
          </w:p>
        </w:tc>
        <w:tc>
          <w:tcPr>
            <w:tcW w:w="954" w:type="dxa"/>
          </w:tcPr>
          <w:p>
            <w:pPr>
              <w:numPr>
                <w:ilvl w:val="0"/>
                <w:numId w:val="0"/>
              </w:numPr>
              <w:rPr>
                <w:rFonts w:hint="eastAsia"/>
                <w:sz w:val="22"/>
                <w:szCs w:val="28"/>
                <w:highlight w:val="none"/>
                <w:vertAlign w:val="baseline"/>
                <w:lang w:val="en-US" w:eastAsia="zh-CN"/>
              </w:rPr>
            </w:pPr>
          </w:p>
        </w:tc>
        <w:tc>
          <w:tcPr>
            <w:tcW w:w="966" w:type="dxa"/>
          </w:tcPr>
          <w:p>
            <w:pPr>
              <w:numPr>
                <w:ilvl w:val="0"/>
                <w:numId w:val="0"/>
              </w:numPr>
              <w:rPr>
                <w:rFonts w:hint="eastAsia"/>
                <w:sz w:val="22"/>
                <w:szCs w:val="28"/>
                <w:highlight w:val="none"/>
                <w:vertAlign w:val="baseline"/>
                <w:lang w:val="en-US" w:eastAsia="zh-CN"/>
              </w:rPr>
            </w:pPr>
          </w:p>
        </w:tc>
        <w:tc>
          <w:tcPr>
            <w:tcW w:w="966" w:type="dxa"/>
          </w:tcPr>
          <w:p>
            <w:pPr>
              <w:numPr>
                <w:ilvl w:val="0"/>
                <w:numId w:val="0"/>
              </w:numPr>
              <w:rPr>
                <w:rFonts w:hint="eastAsia"/>
                <w:sz w:val="22"/>
                <w:szCs w:val="28"/>
                <w:highlight w:val="none"/>
                <w:vertAlign w:val="baseline"/>
                <w:lang w:val="en-US" w:eastAsia="zh-CN"/>
              </w:rPr>
            </w:pPr>
          </w:p>
        </w:tc>
        <w:tc>
          <w:tcPr>
            <w:tcW w:w="966" w:type="dxa"/>
          </w:tcPr>
          <w:p>
            <w:pPr>
              <w:numPr>
                <w:ilvl w:val="0"/>
                <w:numId w:val="0"/>
              </w:numPr>
              <w:rPr>
                <w:rFonts w:hint="eastAsia"/>
                <w:sz w:val="22"/>
                <w:szCs w:val="28"/>
                <w:highlight w:val="none"/>
                <w:vertAlign w:val="baseline"/>
                <w:lang w:val="en-US" w:eastAsia="zh-CN"/>
              </w:rPr>
            </w:pPr>
          </w:p>
        </w:tc>
        <w:tc>
          <w:tcPr>
            <w:tcW w:w="966" w:type="dxa"/>
          </w:tcPr>
          <w:p>
            <w:pPr>
              <w:numPr>
                <w:ilvl w:val="0"/>
                <w:numId w:val="0"/>
              </w:numPr>
              <w:rPr>
                <w:rFonts w:hint="eastAsia"/>
                <w:sz w:val="22"/>
                <w:szCs w:val="2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99" w:type="dxa"/>
          </w:tcPr>
          <w:p>
            <w:pPr>
              <w:numPr>
                <w:ilvl w:val="0"/>
                <w:numId w:val="0"/>
              </w:numPr>
              <w:rPr>
                <w:rFonts w:hint="eastAsia"/>
                <w:sz w:val="22"/>
                <w:szCs w:val="28"/>
                <w:highlight w:val="none"/>
                <w:vertAlign w:val="baseline"/>
                <w:lang w:val="en-US" w:eastAsia="zh-CN"/>
              </w:rPr>
            </w:pPr>
          </w:p>
        </w:tc>
        <w:tc>
          <w:tcPr>
            <w:tcW w:w="1151" w:type="dxa"/>
          </w:tcPr>
          <w:p>
            <w:pPr>
              <w:numPr>
                <w:ilvl w:val="0"/>
                <w:numId w:val="0"/>
              </w:numPr>
              <w:rPr>
                <w:rFonts w:hint="eastAsia"/>
                <w:sz w:val="22"/>
                <w:szCs w:val="28"/>
                <w:highlight w:val="none"/>
                <w:vertAlign w:val="baseline"/>
                <w:lang w:val="en-US" w:eastAsia="zh-CN"/>
              </w:rPr>
            </w:pPr>
          </w:p>
        </w:tc>
        <w:tc>
          <w:tcPr>
            <w:tcW w:w="966" w:type="dxa"/>
          </w:tcPr>
          <w:p>
            <w:pPr>
              <w:numPr>
                <w:ilvl w:val="0"/>
                <w:numId w:val="0"/>
              </w:numPr>
              <w:rPr>
                <w:rFonts w:hint="eastAsia"/>
                <w:sz w:val="22"/>
                <w:szCs w:val="28"/>
                <w:highlight w:val="none"/>
                <w:vertAlign w:val="baseline"/>
                <w:lang w:val="en-US" w:eastAsia="zh-CN"/>
              </w:rPr>
            </w:pPr>
          </w:p>
        </w:tc>
        <w:tc>
          <w:tcPr>
            <w:tcW w:w="904" w:type="dxa"/>
          </w:tcPr>
          <w:p>
            <w:pPr>
              <w:numPr>
                <w:ilvl w:val="0"/>
                <w:numId w:val="0"/>
              </w:numPr>
              <w:rPr>
                <w:rFonts w:hint="eastAsia"/>
                <w:sz w:val="22"/>
                <w:szCs w:val="28"/>
                <w:highlight w:val="none"/>
                <w:vertAlign w:val="baseline"/>
                <w:lang w:val="en-US" w:eastAsia="zh-CN"/>
              </w:rPr>
            </w:pPr>
          </w:p>
        </w:tc>
        <w:tc>
          <w:tcPr>
            <w:tcW w:w="954" w:type="dxa"/>
          </w:tcPr>
          <w:p>
            <w:pPr>
              <w:numPr>
                <w:ilvl w:val="0"/>
                <w:numId w:val="0"/>
              </w:numPr>
              <w:rPr>
                <w:rFonts w:hint="eastAsia"/>
                <w:sz w:val="22"/>
                <w:szCs w:val="28"/>
                <w:highlight w:val="none"/>
                <w:vertAlign w:val="baseline"/>
                <w:lang w:val="en-US" w:eastAsia="zh-CN"/>
              </w:rPr>
            </w:pPr>
          </w:p>
        </w:tc>
        <w:tc>
          <w:tcPr>
            <w:tcW w:w="966" w:type="dxa"/>
          </w:tcPr>
          <w:p>
            <w:pPr>
              <w:numPr>
                <w:ilvl w:val="0"/>
                <w:numId w:val="0"/>
              </w:numPr>
              <w:rPr>
                <w:rFonts w:hint="eastAsia"/>
                <w:sz w:val="22"/>
                <w:szCs w:val="28"/>
                <w:highlight w:val="none"/>
                <w:vertAlign w:val="baseline"/>
                <w:lang w:val="en-US" w:eastAsia="zh-CN"/>
              </w:rPr>
            </w:pPr>
          </w:p>
        </w:tc>
        <w:tc>
          <w:tcPr>
            <w:tcW w:w="966" w:type="dxa"/>
          </w:tcPr>
          <w:p>
            <w:pPr>
              <w:numPr>
                <w:ilvl w:val="0"/>
                <w:numId w:val="0"/>
              </w:numPr>
              <w:rPr>
                <w:rFonts w:hint="eastAsia"/>
                <w:sz w:val="22"/>
                <w:szCs w:val="28"/>
                <w:highlight w:val="none"/>
                <w:vertAlign w:val="baseline"/>
                <w:lang w:val="en-US" w:eastAsia="zh-CN"/>
              </w:rPr>
            </w:pPr>
          </w:p>
        </w:tc>
        <w:tc>
          <w:tcPr>
            <w:tcW w:w="966" w:type="dxa"/>
          </w:tcPr>
          <w:p>
            <w:pPr>
              <w:numPr>
                <w:ilvl w:val="0"/>
                <w:numId w:val="0"/>
              </w:numPr>
              <w:rPr>
                <w:rFonts w:hint="eastAsia"/>
                <w:sz w:val="22"/>
                <w:szCs w:val="28"/>
                <w:highlight w:val="none"/>
                <w:vertAlign w:val="baseline"/>
                <w:lang w:val="en-US" w:eastAsia="zh-CN"/>
              </w:rPr>
            </w:pPr>
          </w:p>
        </w:tc>
        <w:tc>
          <w:tcPr>
            <w:tcW w:w="966" w:type="dxa"/>
          </w:tcPr>
          <w:p>
            <w:pPr>
              <w:numPr>
                <w:ilvl w:val="0"/>
                <w:numId w:val="0"/>
              </w:numPr>
              <w:rPr>
                <w:rFonts w:hint="eastAsia"/>
                <w:sz w:val="22"/>
                <w:szCs w:val="28"/>
                <w:highlight w:val="none"/>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63" w:firstLineChars="300"/>
        <w:textAlignment w:val="auto"/>
        <w:rPr>
          <w:rFonts w:hint="eastAsia"/>
          <w:b/>
          <w:bCs/>
          <w:color w:val="FF0000"/>
          <w:sz w:val="22"/>
          <w:szCs w:val="28"/>
          <w:highlight w:val="none"/>
          <w:lang w:val="en-US" w:eastAsia="zh-CN"/>
        </w:rPr>
      </w:pPr>
      <w:r>
        <w:rPr>
          <w:rFonts w:hint="eastAsia"/>
          <w:b/>
          <w:bCs/>
          <w:color w:val="FF0000"/>
          <w:sz w:val="22"/>
          <w:szCs w:val="28"/>
          <w:highlight w:val="none"/>
          <w:lang w:val="en-US" w:eastAsia="zh-CN"/>
        </w:rPr>
        <w:t>请注意：上述要求很重要，一定要关注！</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5" w:leftChars="0" w:hanging="425" w:firstLineChars="0"/>
        <w:textAlignment w:val="auto"/>
        <w:rPr>
          <w:rFonts w:hint="eastAsia"/>
          <w:b/>
          <w:bCs/>
          <w:color w:val="FF0000"/>
          <w:sz w:val="22"/>
          <w:szCs w:val="28"/>
          <w:highlight w:val="none"/>
          <w:lang w:val="en-US" w:eastAsia="zh-CN"/>
        </w:rPr>
      </w:pPr>
      <w:r>
        <w:rPr>
          <w:rFonts w:hint="eastAsia"/>
          <w:sz w:val="22"/>
          <w:szCs w:val="28"/>
          <w:highlight w:val="none"/>
          <w:lang w:val="en-US" w:eastAsia="zh-CN"/>
        </w:rPr>
        <w:t>发送送货申请时，提交《送货验收通知表》，同时附带验收资料（至少包括验收交接单、明细表，ERP采购订单，可以提交沟通准备），验收资料需在交货前准备好，资料随货交库房。验收资料正确与否，对现场验收影响很大，如果验收资料有问题，需要沟通、修改，影响验收时效。</w:t>
      </w:r>
      <w:r>
        <w:rPr>
          <w:rFonts w:hint="eastAsia"/>
          <w:b/>
          <w:bCs/>
          <w:color w:val="FF0000"/>
          <w:sz w:val="22"/>
          <w:szCs w:val="28"/>
          <w:highlight w:val="none"/>
          <w:lang w:val="en-US" w:eastAsia="zh-CN"/>
        </w:rPr>
        <w:t>验收资料的填写比较关键，现场的验收问题多集中在验收资料上。一是要信息填写正确，格式合乎规范，二是要注意《物资交接明细表》中的物资规格型号信息、实物上的信息与ERP订单中的信息一致，如果出现信息不一致的情形，请与经办人核实，让其提供正确的（带型号升级备注等信息的）ERP订单，按照正确的订单进行验收，或在交货时提供合同附件清单以供验证。</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5" w:leftChars="0" w:hanging="425" w:firstLineChars="0"/>
        <w:textAlignment w:val="auto"/>
        <w:rPr>
          <w:rFonts w:hint="eastAsia"/>
          <w:sz w:val="22"/>
          <w:szCs w:val="28"/>
          <w:highlight w:val="none"/>
          <w:lang w:val="en-US" w:eastAsia="zh-CN"/>
        </w:rPr>
      </w:pPr>
      <w:r>
        <w:rPr>
          <w:rFonts w:hint="eastAsia"/>
          <w:sz w:val="22"/>
          <w:szCs w:val="28"/>
          <w:highlight w:val="none"/>
          <w:lang w:val="en-US" w:eastAsia="zh-CN"/>
        </w:rPr>
        <w:t>到库物资的证书、包装等要求，请参考附件《物资到库交货指南》，按照指南要求进行送货。</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5" w:leftChars="0" w:hanging="425" w:firstLineChars="0"/>
        <w:textAlignment w:val="auto"/>
        <w:rPr>
          <w:rFonts w:hint="eastAsia"/>
          <w:sz w:val="22"/>
          <w:szCs w:val="28"/>
          <w:highlight w:val="none"/>
          <w:lang w:val="en-US" w:eastAsia="zh-CN"/>
        </w:rPr>
      </w:pPr>
      <w:r>
        <w:rPr>
          <w:rFonts w:hint="eastAsia"/>
          <w:sz w:val="22"/>
          <w:szCs w:val="28"/>
          <w:highlight w:val="none"/>
          <w:lang w:val="en-US" w:eastAsia="zh-CN"/>
        </w:rPr>
        <w:t>请仔细阅读以上要求及附件《物资到库交货指南》，并将该要求及时传达给贵司负责发货的人员。</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2"/>
          <w:szCs w:val="28"/>
          <w:highlight w:val="none"/>
          <w:lang w:val="en-US" w:eastAsia="zh-CN"/>
        </w:rPr>
      </w:pPr>
      <w:r>
        <w:rPr>
          <w:rFonts w:hint="eastAsia"/>
          <w:sz w:val="22"/>
          <w:szCs w:val="28"/>
          <w:highlight w:val="none"/>
          <w:lang w:val="en-US" w:eastAsia="zh-CN"/>
        </w:rPr>
        <w:t>感谢贵司对油服验收工作的支持与理解，如有疑问，可随时与我方沟通。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36"/>
          <w:szCs w:val="36"/>
          <w:highlight w:val="none"/>
          <w:lang w:val="en-US" w:eastAsia="zh-CN"/>
        </w:rPr>
      </w:pPr>
      <w:r>
        <w:rPr>
          <w:rFonts w:hint="eastAsia"/>
          <w:sz w:val="22"/>
          <w:szCs w:val="28"/>
          <w:highlight w:val="none"/>
          <w:lang w:val="en-US" w:eastAsia="zh-CN"/>
        </w:rPr>
        <w:t>谢谢！</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sz w:val="18"/>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sz w:val="18"/>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b/>
          <w:bCs/>
          <w:sz w:val="22"/>
          <w:szCs w:val="28"/>
          <w:highlight w:val="none"/>
          <w:lang w:val="en-US" w:eastAsia="zh-CN"/>
        </w:rPr>
      </w:pPr>
      <w:r>
        <w:rPr>
          <w:rFonts w:hint="eastAsia"/>
          <w:b/>
          <w:bCs/>
          <w:sz w:val="22"/>
          <w:szCs w:val="28"/>
          <w:highlight w:val="none"/>
          <w:lang w:val="en-US" w:eastAsia="zh-CN"/>
        </w:rPr>
        <w:t>Ps. 关于库区现场收货、验收流程的解释说明：</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2"/>
          <w:szCs w:val="28"/>
          <w:highlight w:val="none"/>
          <w:lang w:val="en-US" w:eastAsia="zh-CN"/>
        </w:rPr>
      </w:pPr>
      <w:r>
        <w:rPr>
          <w:rFonts w:hint="eastAsia"/>
          <w:sz w:val="22"/>
          <w:szCs w:val="28"/>
          <w:highlight w:val="none"/>
          <w:lang w:val="en-US" w:eastAsia="zh-CN"/>
        </w:rPr>
        <w:t>贵司送货人员（包括物流人员）如果不需要带回签字版验收资料，可以卸下物资后，我方在送货单签字后即完成送货。</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2"/>
          <w:szCs w:val="28"/>
          <w:highlight w:val="none"/>
          <w:lang w:val="en-US" w:eastAsia="zh-CN"/>
        </w:rPr>
      </w:pPr>
      <w:r>
        <w:rPr>
          <w:rFonts w:hint="eastAsia"/>
          <w:sz w:val="22"/>
          <w:szCs w:val="28"/>
          <w:highlight w:val="none"/>
          <w:lang w:val="en-US" w:eastAsia="zh-CN"/>
        </w:rPr>
        <w:t>如果送货人员（包括物流人员）需要现场带回签字版验收资料，验收需要时间：</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2"/>
          <w:szCs w:val="28"/>
          <w:highlight w:val="none"/>
          <w:lang w:val="en-US" w:eastAsia="zh-CN"/>
        </w:rPr>
      </w:pPr>
      <w:r>
        <w:rPr>
          <w:rFonts w:hint="eastAsia"/>
          <w:sz w:val="22"/>
          <w:szCs w:val="28"/>
          <w:highlight w:val="none"/>
          <w:lang w:val="en-US" w:eastAsia="zh-CN"/>
        </w:rPr>
        <w:t>1、等待时间及验收时间。</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2"/>
          <w:szCs w:val="28"/>
          <w:highlight w:val="none"/>
          <w:lang w:val="en-US" w:eastAsia="zh-CN"/>
        </w:rPr>
      </w:pPr>
      <w:r>
        <w:rPr>
          <w:rFonts w:hint="eastAsia"/>
          <w:sz w:val="22"/>
          <w:szCs w:val="28"/>
          <w:highlight w:val="none"/>
          <w:lang w:val="en-US" w:eastAsia="zh-CN"/>
        </w:rPr>
        <w:t>2、如果是专业配件，需要需求单位参与验收，相应会增加验收时间。</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sz w:val="22"/>
          <w:szCs w:val="28"/>
          <w:highlight w:val="none"/>
          <w:lang w:val="en-US" w:eastAsia="zh-CN"/>
        </w:rPr>
      </w:pPr>
      <w:r>
        <w:rPr>
          <w:rFonts w:hint="eastAsia"/>
          <w:sz w:val="22"/>
          <w:szCs w:val="28"/>
          <w:highlight w:val="none"/>
          <w:lang w:val="en-US" w:eastAsia="zh-CN"/>
        </w:rPr>
        <w:t>3、对于需求单位参与验收同时需求比较急切的物资，在分中心库房完成初验后，可以先把物资送往需求单位场地进行验收，这样可以加快验收时效。我方库房会告知送货人员下一个验收地点及联系人。</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sz w:val="22"/>
          <w:szCs w:val="28"/>
          <w:highlight w:val="none"/>
          <w:lang w:val="en-US" w:eastAsia="zh-CN"/>
        </w:rPr>
      </w:pPr>
      <w:r>
        <w:rPr>
          <w:rFonts w:hint="eastAsia"/>
          <w:sz w:val="22"/>
          <w:szCs w:val="28"/>
          <w:highlight w:val="none"/>
          <w:lang w:val="en-US" w:eastAsia="zh-CN"/>
        </w:rPr>
        <w:t>4、如果确实需要验收资料，送货人员无法在现场等待，贵司可以在验收资料上备注邮箱，以便验收完成后进行发送。</w:t>
      </w:r>
    </w:p>
    <w:p>
      <w:pPr>
        <w:widowControl w:val="0"/>
        <w:numPr>
          <w:ilvl w:val="0"/>
          <w:numId w:val="0"/>
        </w:numPr>
        <w:jc w:val="both"/>
        <w:rPr>
          <w:rFonts w:hint="eastAsia"/>
          <w:b/>
          <w:bCs/>
          <w:sz w:val="24"/>
          <w:szCs w:val="24"/>
          <w:highlight w:val="none"/>
          <w:lang w:val="en-US" w:eastAsia="zh-CN"/>
        </w:rPr>
        <w:sectPr>
          <w:pgSz w:w="11906" w:h="16838"/>
          <w:pgMar w:top="1440" w:right="1800" w:bottom="1440" w:left="1800" w:header="851" w:footer="992" w:gutter="0"/>
          <w:cols w:space="425" w:num="1"/>
          <w:docGrid w:type="lines" w:linePitch="312" w:charSpace="0"/>
        </w:sectPr>
      </w:pPr>
    </w:p>
    <w:p>
      <w:pPr>
        <w:widowControl w:val="0"/>
        <w:numPr>
          <w:ilvl w:val="0"/>
          <w:numId w:val="0"/>
        </w:numPr>
        <w:jc w:val="both"/>
        <w:rPr>
          <w:rFonts w:hint="eastAsia"/>
          <w:b/>
          <w:bCs/>
          <w:sz w:val="24"/>
          <w:szCs w:val="24"/>
          <w:highlight w:val="none"/>
          <w:lang w:val="en-US" w:eastAsia="zh-CN"/>
        </w:rPr>
      </w:pPr>
    </w:p>
    <w:p>
      <w:pPr>
        <w:widowControl w:val="0"/>
        <w:numPr>
          <w:ilvl w:val="0"/>
          <w:numId w:val="0"/>
        </w:numPr>
        <w:jc w:val="both"/>
        <w:rPr>
          <w:rFonts w:hint="eastAsia"/>
          <w:b/>
          <w:bCs/>
          <w:sz w:val="24"/>
          <w:szCs w:val="24"/>
          <w:highlight w:val="none"/>
          <w:lang w:val="en-US" w:eastAsia="zh-CN"/>
        </w:rPr>
      </w:pPr>
      <w:r>
        <w:rPr>
          <w:rFonts w:hint="eastAsia"/>
          <w:b/>
          <w:bCs/>
          <w:sz w:val="24"/>
          <w:szCs w:val="24"/>
          <w:highlight w:val="none"/>
          <w:lang w:val="en-US" w:eastAsia="zh-CN"/>
        </w:rPr>
        <w:t>附件：</w:t>
      </w:r>
    </w:p>
    <w:p>
      <w:pPr>
        <w:jc w:val="center"/>
        <w:rPr>
          <w:rFonts w:ascii="微软雅黑" w:hAnsi="微软雅黑" w:eastAsia="微软雅黑"/>
          <w:sz w:val="28"/>
          <w:szCs w:val="36"/>
          <w:highlight w:val="none"/>
        </w:rPr>
      </w:pPr>
      <w:r>
        <w:rPr>
          <w:rFonts w:hint="eastAsia" w:ascii="微软雅黑" w:hAnsi="微软雅黑" w:eastAsia="微软雅黑"/>
          <w:sz w:val="28"/>
          <w:szCs w:val="36"/>
          <w:highlight w:val="none"/>
        </w:rPr>
        <w:t>物资到库交货指南</w:t>
      </w:r>
    </w:p>
    <w:p>
      <w:pPr>
        <w:snapToGrid w:val="0"/>
        <w:rPr>
          <w:szCs w:val="21"/>
          <w:highlight w:val="none"/>
        </w:rPr>
      </w:pPr>
      <w:r>
        <w:rPr>
          <w:rFonts w:hint="eastAsia"/>
          <w:szCs w:val="21"/>
          <w:highlight w:val="none"/>
        </w:rPr>
        <w:t>尊敬的中海油服供应商：</w:t>
      </w:r>
    </w:p>
    <w:p>
      <w:pPr>
        <w:snapToGrid w:val="0"/>
        <w:ind w:firstLine="420" w:firstLineChars="200"/>
        <w:rPr>
          <w:szCs w:val="21"/>
          <w:highlight w:val="none"/>
        </w:rPr>
      </w:pPr>
      <w:r>
        <w:rPr>
          <w:rFonts w:hint="eastAsia"/>
          <w:szCs w:val="21"/>
          <w:highlight w:val="none"/>
        </w:rPr>
        <w:t>为保证物资到库时的验收时效，采办共享中心天津分中心制定此指南，自2</w:t>
      </w:r>
      <w:r>
        <w:rPr>
          <w:szCs w:val="21"/>
          <w:highlight w:val="none"/>
        </w:rPr>
        <w:t>020</w:t>
      </w:r>
      <w:r>
        <w:rPr>
          <w:rFonts w:hint="eastAsia"/>
          <w:szCs w:val="21"/>
          <w:highlight w:val="none"/>
        </w:rPr>
        <w:t>年1</w:t>
      </w:r>
      <w:r>
        <w:rPr>
          <w:szCs w:val="21"/>
          <w:highlight w:val="none"/>
        </w:rPr>
        <w:t>2</w:t>
      </w:r>
      <w:r>
        <w:rPr>
          <w:rFonts w:hint="eastAsia"/>
          <w:szCs w:val="21"/>
          <w:highlight w:val="none"/>
        </w:rPr>
        <w:t>月1日起实施，请</w:t>
      </w:r>
      <w:r>
        <w:rPr>
          <w:rFonts w:hint="eastAsia"/>
          <w:szCs w:val="21"/>
          <w:highlight w:val="none"/>
          <w:lang w:val="en-US" w:eastAsia="zh-CN"/>
        </w:rPr>
        <w:t>仔细阅读，并</w:t>
      </w:r>
      <w:r>
        <w:rPr>
          <w:rFonts w:hint="eastAsia"/>
          <w:szCs w:val="21"/>
          <w:highlight w:val="none"/>
        </w:rPr>
        <w:t>遵照执行。发生不符合下述条款之一的，我方有权不予验收。该指南所列内容纳入供应商履约能力评审范围。</w:t>
      </w:r>
    </w:p>
    <w:p>
      <w:pPr>
        <w:pStyle w:val="5"/>
        <w:numPr>
          <w:ilvl w:val="0"/>
          <w:numId w:val="2"/>
        </w:numPr>
        <w:snapToGrid w:val="0"/>
        <w:ind w:left="851" w:hanging="424" w:firstLineChars="0"/>
        <w:rPr>
          <w:szCs w:val="21"/>
          <w:highlight w:val="none"/>
        </w:rPr>
      </w:pPr>
      <w:r>
        <w:rPr>
          <w:rFonts w:hint="eastAsia"/>
          <w:szCs w:val="21"/>
          <w:highlight w:val="none"/>
        </w:rPr>
        <w:t>送货前1</w:t>
      </w:r>
      <w:r>
        <w:rPr>
          <w:szCs w:val="21"/>
          <w:highlight w:val="none"/>
        </w:rPr>
        <w:t>-2</w:t>
      </w:r>
      <w:r>
        <w:rPr>
          <w:rFonts w:hint="eastAsia"/>
          <w:szCs w:val="21"/>
          <w:highlight w:val="none"/>
        </w:rPr>
        <w:t>天提报</w:t>
      </w:r>
      <w:r>
        <w:rPr>
          <w:rFonts w:hint="eastAsia"/>
          <w:b/>
          <w:szCs w:val="21"/>
          <w:highlight w:val="none"/>
          <w:u w:val="single"/>
        </w:rPr>
        <w:t>《订单送货验收通知表》</w:t>
      </w:r>
      <w:r>
        <w:rPr>
          <w:rFonts w:hint="eastAsia"/>
          <w:szCs w:val="21"/>
          <w:highlight w:val="none"/>
        </w:rPr>
        <w:t>，由</w:t>
      </w:r>
      <w:r>
        <w:rPr>
          <w:rFonts w:hint="eastAsia"/>
          <w:szCs w:val="21"/>
          <w:highlight w:val="none"/>
          <w:lang w:val="en-US" w:eastAsia="zh-CN"/>
        </w:rPr>
        <w:t>合同执行单位</w:t>
      </w:r>
      <w:r>
        <w:rPr>
          <w:rFonts w:hint="eastAsia"/>
          <w:szCs w:val="21"/>
          <w:highlight w:val="none"/>
        </w:rPr>
        <w:t>（</w:t>
      </w:r>
      <w:r>
        <w:rPr>
          <w:rFonts w:hint="eastAsia"/>
          <w:szCs w:val="21"/>
          <w:highlight w:val="none"/>
          <w:lang w:val="en-US" w:eastAsia="zh-CN"/>
        </w:rPr>
        <w:t>联系人</w:t>
      </w:r>
      <w:r>
        <w:rPr>
          <w:rFonts w:hint="eastAsia"/>
          <w:szCs w:val="21"/>
          <w:highlight w:val="none"/>
        </w:rPr>
        <w:t>）邮件通知物资仓储部验收组</w:t>
      </w:r>
      <w:r>
        <w:rPr>
          <w:rFonts w:hint="eastAsia"/>
          <w:szCs w:val="21"/>
          <w:highlight w:val="none"/>
          <w:lang w:eastAsia="zh-CN"/>
        </w:rPr>
        <w:t>（</w:t>
      </w:r>
      <w:r>
        <w:rPr>
          <w:rFonts w:hint="eastAsia"/>
          <w:b/>
          <w:szCs w:val="21"/>
          <w:highlight w:val="none"/>
          <w:u w:val="single"/>
          <w:lang w:val="en-US" w:eastAsia="zh-CN"/>
        </w:rPr>
        <w:t>及提供对应验收资料</w:t>
      </w:r>
      <w:r>
        <w:rPr>
          <w:rFonts w:hint="eastAsia"/>
          <w:szCs w:val="21"/>
          <w:highlight w:val="none"/>
          <w:lang w:eastAsia="zh-CN"/>
        </w:rPr>
        <w:t>）</w:t>
      </w:r>
      <w:r>
        <w:rPr>
          <w:rFonts w:hint="eastAsia"/>
          <w:szCs w:val="21"/>
          <w:highlight w:val="none"/>
        </w:rPr>
        <w:t>并抄送需求单位。通知表信息应准确、完整。</w:t>
      </w:r>
    </w:p>
    <w:p>
      <w:pPr>
        <w:pStyle w:val="5"/>
        <w:numPr>
          <w:ilvl w:val="0"/>
          <w:numId w:val="2"/>
        </w:numPr>
        <w:snapToGrid w:val="0"/>
        <w:ind w:left="851" w:hanging="424" w:firstLineChars="0"/>
        <w:rPr>
          <w:szCs w:val="21"/>
          <w:highlight w:val="none"/>
        </w:rPr>
      </w:pPr>
      <w:r>
        <w:rPr>
          <w:rFonts w:hint="eastAsia"/>
          <w:szCs w:val="21"/>
          <w:highlight w:val="none"/>
        </w:rPr>
        <w:t>交货时应确保验收单据齐全。</w:t>
      </w:r>
    </w:p>
    <w:p>
      <w:pPr>
        <w:pStyle w:val="5"/>
        <w:snapToGrid w:val="0"/>
        <w:ind w:left="851" w:firstLine="0" w:firstLineChars="0"/>
        <w:rPr>
          <w:szCs w:val="21"/>
          <w:highlight w:val="none"/>
        </w:rPr>
      </w:pPr>
      <w:r>
        <w:rPr>
          <w:rFonts w:hint="eastAsia"/>
          <w:szCs w:val="21"/>
          <w:highlight w:val="none"/>
        </w:rPr>
        <w:t>物资交接验收单、物资交接明细表、采购订单</w:t>
      </w:r>
      <w:r>
        <w:rPr>
          <w:rFonts w:hint="eastAsia"/>
          <w:b/>
          <w:szCs w:val="21"/>
          <w:highlight w:val="none"/>
          <w:u w:val="single"/>
        </w:rPr>
        <w:t>三单缺一不可</w:t>
      </w:r>
      <w:r>
        <w:rPr>
          <w:rFonts w:hint="eastAsia"/>
          <w:b/>
          <w:szCs w:val="21"/>
          <w:highlight w:val="none"/>
          <w:u w:val="single"/>
          <w:lang w:eastAsia="zh-CN"/>
        </w:rPr>
        <w:t>（</w:t>
      </w:r>
      <w:r>
        <w:rPr>
          <w:rFonts w:hint="eastAsia"/>
          <w:b/>
          <w:szCs w:val="21"/>
          <w:highlight w:val="none"/>
          <w:u w:val="single"/>
          <w:lang w:val="en-US" w:eastAsia="zh-CN"/>
        </w:rPr>
        <w:t>至少2份，建议3份</w:t>
      </w:r>
      <w:r>
        <w:rPr>
          <w:rFonts w:hint="eastAsia"/>
          <w:b/>
          <w:szCs w:val="21"/>
          <w:highlight w:val="none"/>
          <w:u w:val="single"/>
          <w:lang w:eastAsia="zh-CN"/>
        </w:rPr>
        <w:t>）</w:t>
      </w:r>
      <w:r>
        <w:rPr>
          <w:rFonts w:hint="eastAsia"/>
          <w:szCs w:val="21"/>
          <w:highlight w:val="none"/>
        </w:rPr>
        <w:t>。</w:t>
      </w:r>
    </w:p>
    <w:p>
      <w:pPr>
        <w:pStyle w:val="5"/>
        <w:snapToGrid w:val="0"/>
        <w:ind w:left="851" w:firstLine="0" w:firstLineChars="0"/>
        <w:rPr>
          <w:szCs w:val="21"/>
          <w:highlight w:val="none"/>
        </w:rPr>
      </w:pPr>
      <w:r>
        <w:rPr>
          <w:rFonts w:hint="eastAsia"/>
          <w:szCs w:val="21"/>
          <w:highlight w:val="none"/>
        </w:rPr>
        <w:t>公章加盖</w:t>
      </w:r>
      <w:r>
        <w:rPr>
          <w:rFonts w:hint="eastAsia"/>
          <w:szCs w:val="21"/>
          <w:highlight w:val="none"/>
          <w:lang w:eastAsia="zh-CN"/>
        </w:rPr>
        <w:t>（</w:t>
      </w:r>
      <w:r>
        <w:rPr>
          <w:rFonts w:hint="eastAsia"/>
          <w:szCs w:val="21"/>
          <w:highlight w:val="none"/>
          <w:lang w:val="en-US" w:eastAsia="zh-CN"/>
        </w:rPr>
        <w:t>或签字</w:t>
      </w:r>
      <w:r>
        <w:rPr>
          <w:rFonts w:hint="eastAsia"/>
          <w:szCs w:val="21"/>
          <w:highlight w:val="none"/>
          <w:lang w:eastAsia="zh-CN"/>
        </w:rPr>
        <w:t>）</w:t>
      </w:r>
      <w:r>
        <w:rPr>
          <w:rFonts w:hint="eastAsia"/>
          <w:szCs w:val="21"/>
          <w:highlight w:val="none"/>
        </w:rPr>
        <w:t>等应</w:t>
      </w:r>
      <w:r>
        <w:rPr>
          <w:rFonts w:hint="eastAsia"/>
          <w:b/>
          <w:szCs w:val="21"/>
          <w:highlight w:val="none"/>
          <w:u w:val="single"/>
        </w:rPr>
        <w:t>规范</w:t>
      </w:r>
      <w:r>
        <w:rPr>
          <w:rFonts w:hint="eastAsia"/>
          <w:szCs w:val="21"/>
          <w:highlight w:val="none"/>
        </w:rPr>
        <w:t>。</w:t>
      </w:r>
    </w:p>
    <w:p>
      <w:pPr>
        <w:pStyle w:val="5"/>
        <w:numPr>
          <w:ilvl w:val="0"/>
          <w:numId w:val="2"/>
        </w:numPr>
        <w:snapToGrid w:val="0"/>
        <w:ind w:left="851" w:hanging="424" w:firstLineChars="0"/>
        <w:rPr>
          <w:szCs w:val="21"/>
          <w:highlight w:val="none"/>
        </w:rPr>
      </w:pPr>
      <w:r>
        <w:rPr>
          <w:rFonts w:hint="eastAsia"/>
          <w:szCs w:val="21"/>
          <w:highlight w:val="none"/>
        </w:rPr>
        <w:t>物资交接验收单、物资交接明细表应填写</w:t>
      </w:r>
      <w:r>
        <w:rPr>
          <w:rFonts w:hint="eastAsia"/>
          <w:b/>
          <w:szCs w:val="21"/>
          <w:highlight w:val="none"/>
          <w:u w:val="single"/>
        </w:rPr>
        <w:t>齐全</w:t>
      </w:r>
      <w:r>
        <w:rPr>
          <w:rFonts w:hint="eastAsia"/>
          <w:szCs w:val="21"/>
          <w:highlight w:val="none"/>
        </w:rPr>
        <w:t>，信息准确。</w:t>
      </w:r>
    </w:p>
    <w:p>
      <w:pPr>
        <w:pStyle w:val="5"/>
        <w:snapToGrid w:val="0"/>
        <w:ind w:left="851" w:firstLine="0" w:firstLineChars="0"/>
        <w:rPr>
          <w:szCs w:val="21"/>
          <w:highlight w:val="none"/>
        </w:rPr>
      </w:pPr>
      <w:r>
        <w:rPr>
          <w:rFonts w:hint="eastAsia"/>
          <w:szCs w:val="21"/>
          <w:highlight w:val="none"/>
        </w:rPr>
        <w:t>物资交接明细表内容应与订单一致，每个行项目应</w:t>
      </w:r>
      <w:r>
        <w:rPr>
          <w:rFonts w:hint="eastAsia"/>
          <w:b/>
          <w:szCs w:val="21"/>
          <w:highlight w:val="none"/>
          <w:u w:val="single"/>
        </w:rPr>
        <w:t>备注对应的订单序号</w:t>
      </w:r>
      <w:r>
        <w:rPr>
          <w:rFonts w:hint="eastAsia"/>
          <w:szCs w:val="21"/>
          <w:highlight w:val="none"/>
        </w:rPr>
        <w:t>，用料单位信息无误。</w:t>
      </w:r>
    </w:p>
    <w:p>
      <w:pPr>
        <w:pStyle w:val="5"/>
        <w:snapToGrid w:val="0"/>
        <w:ind w:left="851" w:firstLine="0" w:firstLineChars="0"/>
        <w:rPr>
          <w:szCs w:val="21"/>
          <w:highlight w:val="none"/>
        </w:rPr>
      </w:pPr>
      <w:r>
        <w:rPr>
          <w:rFonts w:hint="eastAsia"/>
          <w:szCs w:val="21"/>
          <w:highlight w:val="none"/>
        </w:rPr>
        <w:t>物资交接验收单中的采购项数/件数应按照采购订单实际信息填写，到货项数/件数应按照物资交接明细表的实际到货信息填写。</w:t>
      </w:r>
    </w:p>
    <w:p>
      <w:pPr>
        <w:pStyle w:val="5"/>
        <w:numPr>
          <w:ilvl w:val="0"/>
          <w:numId w:val="2"/>
        </w:numPr>
        <w:snapToGrid w:val="0"/>
        <w:ind w:left="851" w:hanging="424" w:firstLineChars="0"/>
        <w:rPr>
          <w:szCs w:val="21"/>
          <w:highlight w:val="none"/>
        </w:rPr>
      </w:pPr>
      <w:r>
        <w:rPr>
          <w:rFonts w:hint="eastAsia"/>
          <w:szCs w:val="21"/>
          <w:highlight w:val="none"/>
        </w:rPr>
        <w:t>合同约定提供</w:t>
      </w:r>
      <w:r>
        <w:rPr>
          <w:rFonts w:hint="eastAsia"/>
          <w:b/>
          <w:szCs w:val="21"/>
          <w:highlight w:val="none"/>
          <w:u w:val="single"/>
        </w:rPr>
        <w:t>重要证书</w:t>
      </w:r>
      <w:r>
        <w:rPr>
          <w:rFonts w:hint="eastAsia"/>
          <w:szCs w:val="21"/>
          <w:highlight w:val="none"/>
        </w:rPr>
        <w:t>的（第三方证书），如防爆证、CCS证书等，应提供原件、复印件，随物资验收单据原件一并提供。</w:t>
      </w:r>
    </w:p>
    <w:p>
      <w:pPr>
        <w:pStyle w:val="5"/>
        <w:snapToGrid w:val="0"/>
        <w:ind w:left="851" w:firstLine="0" w:firstLineChars="0"/>
        <w:rPr>
          <w:szCs w:val="21"/>
          <w:highlight w:val="none"/>
        </w:rPr>
      </w:pPr>
      <w:r>
        <w:rPr>
          <w:rFonts w:hint="eastAsia"/>
          <w:szCs w:val="21"/>
          <w:highlight w:val="none"/>
        </w:rPr>
        <w:t>多个作业单元（指单个平台或船舶）共用一份证书原件的，需提供对应数量的复印件。</w:t>
      </w:r>
    </w:p>
    <w:p>
      <w:pPr>
        <w:pStyle w:val="5"/>
        <w:snapToGrid w:val="0"/>
        <w:ind w:left="851" w:firstLine="0" w:firstLineChars="0"/>
        <w:rPr>
          <w:rFonts w:hint="eastAsia"/>
          <w:szCs w:val="21"/>
          <w:highlight w:val="none"/>
        </w:rPr>
      </w:pPr>
      <w:r>
        <w:rPr>
          <w:rFonts w:hint="eastAsia"/>
          <w:szCs w:val="21"/>
          <w:highlight w:val="none"/>
        </w:rPr>
        <w:t>验收单据、证书等资料送达时间</w:t>
      </w:r>
      <w:r>
        <w:rPr>
          <w:rFonts w:hint="eastAsia"/>
          <w:b/>
          <w:szCs w:val="21"/>
          <w:highlight w:val="none"/>
          <w:u w:val="single"/>
        </w:rPr>
        <w:t>不能迟于</w:t>
      </w:r>
      <w:r>
        <w:rPr>
          <w:rFonts w:hint="eastAsia"/>
          <w:szCs w:val="21"/>
          <w:highlight w:val="none"/>
        </w:rPr>
        <w:t>货物到库时间。</w:t>
      </w:r>
    </w:p>
    <w:p>
      <w:pPr>
        <w:pStyle w:val="5"/>
        <w:snapToGrid w:val="0"/>
        <w:ind w:left="851" w:firstLine="0" w:firstLineChars="0"/>
        <w:rPr>
          <w:rFonts w:hint="default" w:eastAsiaTheme="minorEastAsia"/>
          <w:szCs w:val="21"/>
          <w:highlight w:val="yellow"/>
          <w:lang w:val="en-US" w:eastAsia="zh-CN"/>
        </w:rPr>
      </w:pPr>
      <w:r>
        <w:rPr>
          <w:rFonts w:hint="eastAsia"/>
          <w:szCs w:val="21"/>
          <w:highlight w:val="none"/>
          <w:lang w:val="en-US" w:eastAsia="zh-CN"/>
        </w:rPr>
        <w:t>如</w:t>
      </w:r>
      <w:r>
        <w:rPr>
          <w:rFonts w:hint="eastAsia"/>
          <w:b/>
          <w:szCs w:val="21"/>
          <w:highlight w:val="yellow"/>
          <w:u w:val="single"/>
        </w:rPr>
        <w:t>重要证书</w:t>
      </w:r>
      <w:r>
        <w:rPr>
          <w:rFonts w:hint="eastAsia"/>
          <w:b/>
          <w:szCs w:val="21"/>
          <w:highlight w:val="yellow"/>
          <w:u w:val="single"/>
          <w:lang w:val="en-US" w:eastAsia="zh-CN"/>
        </w:rPr>
        <w:t>不能随货送达，必须附带与需求单位提前沟通的相关证据。</w:t>
      </w:r>
    </w:p>
    <w:p>
      <w:pPr>
        <w:pStyle w:val="5"/>
        <w:numPr>
          <w:ilvl w:val="0"/>
          <w:numId w:val="2"/>
        </w:numPr>
        <w:snapToGrid w:val="0"/>
        <w:ind w:left="851" w:hanging="424" w:firstLineChars="0"/>
        <w:rPr>
          <w:szCs w:val="21"/>
          <w:highlight w:val="none"/>
        </w:rPr>
      </w:pPr>
      <w:r>
        <w:rPr>
          <w:rFonts w:hint="eastAsia"/>
          <w:szCs w:val="21"/>
          <w:highlight w:val="none"/>
        </w:rPr>
        <w:t>到库物资应确保品牌、规格型号、数量等</w:t>
      </w:r>
      <w:r>
        <w:rPr>
          <w:rFonts w:hint="eastAsia"/>
          <w:b/>
          <w:szCs w:val="21"/>
          <w:highlight w:val="none"/>
          <w:u w:val="single"/>
        </w:rPr>
        <w:t>信息与采购订单一致</w:t>
      </w:r>
      <w:r>
        <w:rPr>
          <w:rFonts w:hint="eastAsia"/>
          <w:szCs w:val="21"/>
          <w:highlight w:val="none"/>
        </w:rPr>
        <w:t>。</w:t>
      </w:r>
    </w:p>
    <w:p>
      <w:pPr>
        <w:pStyle w:val="5"/>
        <w:snapToGrid w:val="0"/>
        <w:ind w:left="851" w:firstLine="0" w:firstLineChars="0"/>
        <w:rPr>
          <w:szCs w:val="21"/>
          <w:highlight w:val="none"/>
        </w:rPr>
      </w:pPr>
      <w:r>
        <w:rPr>
          <w:rFonts w:hint="eastAsia"/>
          <w:szCs w:val="21"/>
          <w:highlight w:val="none"/>
        </w:rPr>
        <w:t>因合同另有约定的替代型号，未及时更正验收资料致使到库实物、验收单据、订单信息不匹配的，应核对后与我方采办品类工程师（经办人）沟通，修正并完善资料，确保各验收单据与实物相符。</w:t>
      </w:r>
    </w:p>
    <w:p>
      <w:pPr>
        <w:pStyle w:val="5"/>
        <w:numPr>
          <w:ilvl w:val="0"/>
          <w:numId w:val="2"/>
        </w:numPr>
        <w:snapToGrid w:val="0"/>
        <w:ind w:left="851" w:hanging="424" w:firstLineChars="0"/>
        <w:rPr>
          <w:szCs w:val="21"/>
          <w:highlight w:val="none"/>
        </w:rPr>
      </w:pPr>
      <w:r>
        <w:rPr>
          <w:rFonts w:hint="eastAsia"/>
          <w:szCs w:val="21"/>
          <w:highlight w:val="none"/>
        </w:rPr>
        <w:t>物资包装时应按照每个作业单元（指单个平台或船舶）</w:t>
      </w:r>
      <w:r>
        <w:rPr>
          <w:rFonts w:hint="eastAsia"/>
          <w:b/>
          <w:szCs w:val="21"/>
          <w:highlight w:val="none"/>
          <w:u w:val="single"/>
        </w:rPr>
        <w:t>各自分装</w:t>
      </w:r>
      <w:r>
        <w:rPr>
          <w:rFonts w:hint="eastAsia"/>
          <w:szCs w:val="21"/>
          <w:highlight w:val="none"/>
        </w:rPr>
        <w:t>，同时应在</w:t>
      </w:r>
      <w:r>
        <w:rPr>
          <w:rFonts w:hint="eastAsia"/>
          <w:b/>
          <w:bCs/>
          <w:szCs w:val="21"/>
          <w:highlight w:val="none"/>
          <w:u w:val="single"/>
        </w:rPr>
        <w:t>包装外附有</w:t>
      </w:r>
      <w:r>
        <w:rPr>
          <w:rFonts w:hint="eastAsia"/>
          <w:szCs w:val="21"/>
          <w:highlight w:val="none"/>
        </w:rPr>
        <w:t>此包装内的物资明细，确保每个包装内物资与所附明细一致。</w:t>
      </w:r>
    </w:p>
    <w:p>
      <w:pPr>
        <w:pStyle w:val="5"/>
        <w:numPr>
          <w:ilvl w:val="0"/>
          <w:numId w:val="2"/>
        </w:numPr>
        <w:snapToGrid w:val="0"/>
        <w:ind w:left="851" w:hanging="424" w:firstLineChars="0"/>
        <w:rPr>
          <w:szCs w:val="21"/>
          <w:highlight w:val="none"/>
        </w:rPr>
      </w:pPr>
      <w:r>
        <w:rPr>
          <w:rFonts w:hint="eastAsia"/>
          <w:szCs w:val="21"/>
          <w:highlight w:val="none"/>
        </w:rPr>
        <w:t>物资到库时应确保</w:t>
      </w:r>
      <w:r>
        <w:rPr>
          <w:rFonts w:hint="eastAsia"/>
          <w:b/>
          <w:szCs w:val="21"/>
          <w:highlight w:val="none"/>
          <w:u w:val="single"/>
        </w:rPr>
        <w:t>包装</w:t>
      </w:r>
      <w:r>
        <w:rPr>
          <w:rFonts w:hint="eastAsia"/>
          <w:szCs w:val="21"/>
          <w:highlight w:val="none"/>
        </w:rPr>
        <w:t>坚固、完好无损，符合合同约定，满足装卸条件。</w:t>
      </w:r>
    </w:p>
    <w:p>
      <w:pPr>
        <w:pStyle w:val="5"/>
        <w:snapToGrid w:val="0"/>
        <w:ind w:left="851" w:firstLine="0" w:firstLineChars="0"/>
        <w:rPr>
          <w:szCs w:val="21"/>
          <w:highlight w:val="none"/>
        </w:rPr>
      </w:pPr>
      <w:r>
        <w:rPr>
          <w:rFonts w:hint="eastAsia"/>
          <w:szCs w:val="21"/>
          <w:highlight w:val="none"/>
        </w:rPr>
        <w:t>大件货物（体积、重量）应带有足够强度的支架或垫木等。</w:t>
      </w:r>
    </w:p>
    <w:p>
      <w:pPr>
        <w:pStyle w:val="5"/>
        <w:snapToGrid w:val="0"/>
        <w:ind w:left="851" w:firstLine="0" w:firstLineChars="0"/>
        <w:rPr>
          <w:szCs w:val="21"/>
          <w:highlight w:val="none"/>
        </w:rPr>
      </w:pPr>
      <w:r>
        <w:rPr>
          <w:rFonts w:hint="eastAsia"/>
          <w:szCs w:val="21"/>
          <w:highlight w:val="none"/>
        </w:rPr>
        <w:t>涉及原厂家保修的物资应保持原厂密封。</w:t>
      </w:r>
    </w:p>
    <w:p>
      <w:pPr>
        <w:pStyle w:val="5"/>
        <w:snapToGrid w:val="0"/>
        <w:ind w:left="851" w:firstLine="0" w:firstLineChars="0"/>
        <w:rPr>
          <w:szCs w:val="21"/>
          <w:highlight w:val="none"/>
        </w:rPr>
      </w:pPr>
      <w:r>
        <w:rPr>
          <w:rFonts w:hint="eastAsia"/>
          <w:szCs w:val="21"/>
          <w:highlight w:val="none"/>
        </w:rPr>
        <w:t>严禁危险货物与普通货物混装。</w:t>
      </w:r>
    </w:p>
    <w:p>
      <w:pPr>
        <w:pStyle w:val="5"/>
        <w:numPr>
          <w:ilvl w:val="0"/>
          <w:numId w:val="2"/>
        </w:numPr>
        <w:snapToGrid w:val="0"/>
        <w:ind w:left="851" w:hanging="424" w:firstLineChars="0"/>
        <w:rPr>
          <w:szCs w:val="21"/>
          <w:highlight w:val="none"/>
        </w:rPr>
      </w:pPr>
      <w:r>
        <w:rPr>
          <w:rFonts w:hint="eastAsia"/>
          <w:szCs w:val="21"/>
          <w:highlight w:val="none"/>
        </w:rPr>
        <w:t>供应商应按照合同约定或需求单位的要求</w:t>
      </w:r>
      <w:r>
        <w:rPr>
          <w:rFonts w:hint="eastAsia"/>
          <w:b/>
          <w:szCs w:val="21"/>
          <w:highlight w:val="none"/>
          <w:u w:val="single"/>
        </w:rPr>
        <w:t>按期送货</w:t>
      </w:r>
      <w:r>
        <w:rPr>
          <w:rFonts w:hint="eastAsia"/>
          <w:szCs w:val="21"/>
          <w:highlight w:val="none"/>
        </w:rPr>
        <w:t>，</w:t>
      </w:r>
      <w:r>
        <w:rPr>
          <w:rFonts w:hint="eastAsia"/>
          <w:b/>
          <w:szCs w:val="21"/>
          <w:highlight w:val="none"/>
          <w:u w:val="single"/>
        </w:rPr>
        <w:t>不得擅自分批送货</w:t>
      </w:r>
      <w:r>
        <w:rPr>
          <w:rFonts w:hint="eastAsia"/>
          <w:szCs w:val="21"/>
          <w:highlight w:val="none"/>
        </w:rPr>
        <w:t>。</w:t>
      </w:r>
    </w:p>
    <w:p>
      <w:pPr>
        <w:pStyle w:val="5"/>
        <w:snapToGrid w:val="0"/>
        <w:ind w:left="851" w:firstLine="0" w:firstLineChars="0"/>
        <w:rPr>
          <w:szCs w:val="21"/>
          <w:highlight w:val="none"/>
        </w:rPr>
      </w:pPr>
      <w:r>
        <w:rPr>
          <w:rFonts w:hint="eastAsia"/>
          <w:szCs w:val="21"/>
          <w:highlight w:val="none"/>
        </w:rPr>
        <w:t>分批交货的，物资交接明细表信息应与交付实物保持一致（不应包括本次未到货的信息），并按照订单序号准确反映此次到货物资的项数信息。</w:t>
      </w:r>
    </w:p>
    <w:p>
      <w:pPr>
        <w:pStyle w:val="5"/>
        <w:numPr>
          <w:ilvl w:val="0"/>
          <w:numId w:val="2"/>
        </w:numPr>
        <w:snapToGrid w:val="0"/>
        <w:ind w:left="851" w:hanging="424" w:firstLineChars="0"/>
        <w:rPr>
          <w:szCs w:val="21"/>
          <w:highlight w:val="none"/>
        </w:rPr>
      </w:pPr>
      <w:r>
        <w:rPr>
          <w:rFonts w:hint="eastAsia"/>
          <w:szCs w:val="21"/>
          <w:highlight w:val="none"/>
        </w:rPr>
        <w:t>通过</w:t>
      </w:r>
      <w:r>
        <w:rPr>
          <w:rFonts w:hint="eastAsia"/>
          <w:b/>
          <w:szCs w:val="21"/>
          <w:highlight w:val="none"/>
          <w:u w:val="single"/>
        </w:rPr>
        <w:t>第三方物流送货</w:t>
      </w:r>
      <w:r>
        <w:rPr>
          <w:rFonts w:hint="eastAsia"/>
          <w:szCs w:val="21"/>
          <w:highlight w:val="none"/>
        </w:rPr>
        <w:t>的，按照以上要求执行。同时，供应商应保证物流人员或另安排人员配合验收组现场验收。</w:t>
      </w:r>
    </w:p>
    <w:p>
      <w:pPr>
        <w:pStyle w:val="5"/>
        <w:snapToGrid w:val="0"/>
        <w:ind w:left="851" w:firstLine="0" w:firstLineChars="0"/>
        <w:rPr>
          <w:szCs w:val="21"/>
          <w:highlight w:val="none"/>
        </w:rPr>
      </w:pPr>
      <w:r>
        <w:rPr>
          <w:rFonts w:hint="eastAsia"/>
          <w:szCs w:val="21"/>
          <w:highlight w:val="none"/>
        </w:rPr>
        <w:t>无论何种形式，供应商应认可最终验收结果。</w:t>
      </w:r>
    </w:p>
    <w:p>
      <w:pPr>
        <w:pStyle w:val="5"/>
        <w:snapToGrid w:val="0"/>
        <w:ind w:left="851" w:firstLine="0" w:firstLineChars="0"/>
        <w:rPr>
          <w:szCs w:val="21"/>
          <w:highlight w:val="none"/>
        </w:rPr>
      </w:pPr>
      <w:r>
        <w:rPr>
          <w:rFonts w:hint="eastAsia"/>
          <w:szCs w:val="21"/>
          <w:highlight w:val="none"/>
        </w:rPr>
        <w:t>若出于信息保密原因，验收单据等资料可通过快递等方式寄送，但送达时间不能迟于货物到库时间。</w:t>
      </w:r>
    </w:p>
    <w:p>
      <w:pPr>
        <w:snapToGrid w:val="0"/>
        <w:ind w:firstLine="420" w:firstLineChars="200"/>
        <w:rPr>
          <w:szCs w:val="21"/>
          <w:highlight w:val="none"/>
        </w:rPr>
      </w:pPr>
      <w:r>
        <w:rPr>
          <w:rFonts w:hint="eastAsia"/>
          <w:szCs w:val="21"/>
          <w:highlight w:val="none"/>
        </w:rPr>
        <w:t>1</w:t>
      </w:r>
      <w:r>
        <w:rPr>
          <w:szCs w:val="21"/>
          <w:highlight w:val="none"/>
        </w:rPr>
        <w:t>0</w:t>
      </w:r>
      <w:r>
        <w:rPr>
          <w:rFonts w:hint="eastAsia"/>
          <w:szCs w:val="21"/>
          <w:highlight w:val="none"/>
        </w:rPr>
        <w:t>、地址及联系方式：</w:t>
      </w:r>
    </w:p>
    <w:p>
      <w:pPr>
        <w:pStyle w:val="5"/>
        <w:snapToGrid w:val="0"/>
        <w:ind w:left="851" w:firstLine="0" w:firstLineChars="0"/>
        <w:rPr>
          <w:szCs w:val="21"/>
        </w:rPr>
      </w:pPr>
      <w:r>
        <w:rPr>
          <w:rFonts w:hint="eastAsia"/>
          <w:szCs w:val="21"/>
        </w:rPr>
        <w:t>1）东沽库区：天津市滨海新区东沽石油北路与钻井路交口采办共享中心天津分中心物资验收组收。电话：0</w:t>
      </w:r>
      <w:r>
        <w:rPr>
          <w:szCs w:val="21"/>
          <w:highlight w:val="none"/>
        </w:rPr>
        <w:t>22</w:t>
      </w:r>
      <w:r>
        <w:rPr>
          <w:rFonts w:hint="eastAsia"/>
          <w:szCs w:val="21"/>
          <w:highlight w:val="none"/>
        </w:rPr>
        <w:t>-59553402</w:t>
      </w:r>
      <w:r>
        <w:rPr>
          <w:rFonts w:hint="eastAsia"/>
          <w:szCs w:val="21"/>
          <w:highlight w:val="none"/>
          <w:lang w:val="en-US" w:eastAsia="zh-CN"/>
        </w:rPr>
        <w:t>、59553403、59551141、59551148</w:t>
      </w:r>
      <w:r>
        <w:rPr>
          <w:rFonts w:hint="eastAsia"/>
          <w:szCs w:val="21"/>
          <w:highlight w:val="none"/>
        </w:rPr>
        <w:t>。</w:t>
      </w:r>
    </w:p>
    <w:p>
      <w:pPr>
        <w:pStyle w:val="5"/>
        <w:snapToGrid w:val="0"/>
        <w:ind w:left="851" w:firstLine="0" w:firstLineChars="0"/>
        <w:rPr>
          <w:szCs w:val="21"/>
          <w:highlight w:val="none"/>
        </w:rPr>
      </w:pPr>
      <w:r>
        <w:rPr>
          <w:rFonts w:hint="eastAsia"/>
          <w:szCs w:val="21"/>
        </w:rPr>
        <w:t>2）产业园7#库区：</w:t>
      </w:r>
      <w:r>
        <w:rPr>
          <w:rFonts w:hint="eastAsia"/>
          <w:szCs w:val="21"/>
          <w:highlight w:val="none"/>
        </w:rPr>
        <w:t>天津市滨海新区海洋高新区西中环与港城大道交口西南侧普洛斯物流仓库园区</w:t>
      </w:r>
      <w:r>
        <w:rPr>
          <w:rFonts w:hint="eastAsia"/>
          <w:szCs w:val="21"/>
          <w:highlight w:val="none"/>
          <w:lang w:val="en-US" w:eastAsia="zh-CN"/>
        </w:rPr>
        <w:t>B-1库房</w:t>
      </w:r>
      <w:r>
        <w:rPr>
          <w:rFonts w:hint="eastAsia"/>
          <w:szCs w:val="21"/>
          <w:highlight w:val="none"/>
        </w:rPr>
        <w:t>B07库房验收组收。电话：022-59551186。</w:t>
      </w:r>
    </w:p>
    <w:p>
      <w:pPr>
        <w:ind w:left="2730" w:leftChars="400" w:hanging="1890" w:hangingChars="900"/>
        <w:rPr>
          <w:sz w:val="20"/>
          <w:szCs w:val="21"/>
          <w:highlight w:val="none"/>
        </w:rPr>
      </w:pPr>
      <w:r>
        <w:rPr>
          <w:rFonts w:hint="eastAsia"/>
          <w:szCs w:val="21"/>
        </w:rPr>
        <w:t>3）港区8#库区：天津市滨海新区港区东四路供应4#门B</w:t>
      </w:r>
      <w:r>
        <w:rPr>
          <w:szCs w:val="21"/>
        </w:rPr>
        <w:t>08</w:t>
      </w:r>
      <w:r>
        <w:rPr>
          <w:rFonts w:hint="eastAsia"/>
          <w:szCs w:val="21"/>
        </w:rPr>
        <w:t>库房验收组收。电话：</w:t>
      </w:r>
      <w:r>
        <w:rPr>
          <w:rFonts w:hint="eastAsia"/>
          <w:szCs w:val="21"/>
          <w:highlight w:val="none"/>
        </w:rPr>
        <w:t>022-59553412。</w:t>
      </w:r>
      <w:r>
        <w:rPr>
          <w:rFonts w:hint="eastAsia"/>
          <w:sz w:val="20"/>
          <w:szCs w:val="21"/>
          <w:highlight w:val="none"/>
        </w:rPr>
        <w:t>-------------------------------------------------------------------------------------------------</w:t>
      </w:r>
    </w:p>
    <w:p>
      <w:pPr>
        <w:spacing w:line="240" w:lineRule="atLeast"/>
        <w:jc w:val="center"/>
        <w:rPr>
          <w:rFonts w:ascii="黑体" w:hAnsi="黑体" w:eastAsia="黑体"/>
          <w:sz w:val="24"/>
          <w:szCs w:val="24"/>
          <w:highlight w:val="none"/>
        </w:rPr>
      </w:pPr>
      <w:r>
        <w:rPr>
          <w:rFonts w:hint="eastAsia" w:ascii="黑体" w:hAnsi="黑体" w:eastAsia="黑体"/>
          <w:sz w:val="24"/>
          <w:szCs w:val="24"/>
          <w:highlight w:val="none"/>
        </w:rPr>
        <w:t>供应商回执</w:t>
      </w:r>
    </w:p>
    <w:p>
      <w:pPr>
        <w:spacing w:line="240" w:lineRule="atLeast"/>
        <w:jc w:val="center"/>
        <w:rPr>
          <w:rFonts w:ascii="黑体" w:hAnsi="黑体" w:eastAsia="黑体"/>
          <w:sz w:val="24"/>
          <w:szCs w:val="24"/>
          <w:highlight w:val="none"/>
        </w:rPr>
      </w:pPr>
    </w:p>
    <w:p>
      <w:pPr>
        <w:spacing w:line="240" w:lineRule="atLeast"/>
        <w:rPr>
          <w:szCs w:val="21"/>
          <w:highlight w:val="none"/>
        </w:rPr>
      </w:pPr>
      <w:r>
        <w:rPr>
          <w:rFonts w:hint="eastAsia"/>
          <w:szCs w:val="21"/>
          <w:highlight w:val="none"/>
        </w:rPr>
        <w:t>供应商名称（公章）：</w:t>
      </w:r>
      <w:r>
        <w:rPr>
          <w:szCs w:val="21"/>
          <w:highlight w:val="none"/>
        </w:rPr>
        <w:t xml:space="preserve"> </w:t>
      </w:r>
      <w:r>
        <w:rPr>
          <w:szCs w:val="21"/>
          <w:highlight w:val="none"/>
          <w:u w:val="single"/>
        </w:rPr>
        <w:t xml:space="preserve">                          </w:t>
      </w:r>
      <w:r>
        <w:rPr>
          <w:rFonts w:hint="eastAsia"/>
          <w:szCs w:val="21"/>
          <w:highlight w:val="none"/>
          <w:u w:val="single"/>
        </w:rPr>
        <w:t xml:space="preserve">      </w:t>
      </w:r>
      <w:r>
        <w:rPr>
          <w:rFonts w:hint="eastAsia"/>
          <w:szCs w:val="21"/>
          <w:highlight w:val="none"/>
        </w:rPr>
        <w:t>，已认真阅读并知晓以上内容，遵照执行。</w:t>
      </w:r>
    </w:p>
    <w:p>
      <w:pPr>
        <w:spacing w:line="240" w:lineRule="atLeast"/>
        <w:rPr>
          <w:szCs w:val="21"/>
          <w:highlight w:val="none"/>
        </w:rPr>
      </w:pPr>
    </w:p>
    <w:p>
      <w:pPr>
        <w:spacing w:line="240" w:lineRule="atLeast"/>
        <w:rPr>
          <w:szCs w:val="21"/>
          <w:highlight w:val="none"/>
        </w:rPr>
      </w:pPr>
      <w:r>
        <w:rPr>
          <w:rFonts w:hint="eastAsia"/>
          <w:szCs w:val="21"/>
          <w:highlight w:val="none"/>
        </w:rPr>
        <w:t xml:space="preserve">供应商签字：                  </w:t>
      </w:r>
    </w:p>
    <w:p>
      <w:pPr>
        <w:spacing w:line="240" w:lineRule="atLeast"/>
        <w:rPr>
          <w:szCs w:val="21"/>
          <w:highlight w:val="none"/>
        </w:rPr>
      </w:pPr>
    </w:p>
    <w:p>
      <w:pPr>
        <w:spacing w:line="240" w:lineRule="atLeast"/>
        <w:rPr>
          <w:szCs w:val="21"/>
          <w:highlight w:val="none"/>
        </w:rPr>
      </w:pPr>
      <w:r>
        <w:rPr>
          <w:rFonts w:hint="eastAsia"/>
          <w:szCs w:val="21"/>
          <w:highlight w:val="none"/>
        </w:rPr>
        <w:t>联系电话：</w:t>
      </w:r>
    </w:p>
    <w:p>
      <w:pPr>
        <w:widowControl w:val="0"/>
        <w:numPr>
          <w:ilvl w:val="0"/>
          <w:numId w:val="0"/>
        </w:numPr>
        <w:jc w:val="both"/>
        <w:rPr>
          <w:rFonts w:hint="default"/>
          <w:b/>
          <w:bCs/>
          <w:sz w:val="24"/>
          <w:szCs w:val="24"/>
          <w:highlight w:val="none"/>
          <w:lang w:val="en-US" w:eastAsia="zh-CN"/>
        </w:rPr>
      </w:pPr>
    </w:p>
    <w:p>
      <w:pPr>
        <w:rPr>
          <w:rFonts w:hint="default"/>
          <w:b/>
          <w:bCs/>
          <w:sz w:val="24"/>
          <w:szCs w:val="24"/>
          <w:highlight w:val="none"/>
          <w:lang w:val="en-US" w:eastAsia="zh-CN"/>
        </w:rPr>
        <w:sectPr>
          <w:pgSz w:w="11906" w:h="16838"/>
          <w:pgMar w:top="873" w:right="669" w:bottom="873" w:left="669" w:header="851" w:footer="992" w:gutter="0"/>
          <w:cols w:space="0" w:num="1"/>
          <w:rtlGutter w:val="0"/>
          <w:docGrid w:type="lines" w:linePitch="312" w:charSpace="0"/>
        </w:sectPr>
      </w:pPr>
    </w:p>
    <w:p>
      <w:pPr>
        <w:widowControl w:val="0"/>
        <w:numPr>
          <w:ilvl w:val="0"/>
          <w:numId w:val="0"/>
        </w:numPr>
        <w:jc w:val="both"/>
        <w:rPr>
          <w:rFonts w:hint="default"/>
          <w:b/>
          <w:bCs/>
          <w:sz w:val="24"/>
          <w:szCs w:val="24"/>
          <w:highlight w:val="none"/>
          <w:lang w:val="en-US" w:eastAsia="zh-CN"/>
        </w:rPr>
      </w:pPr>
    </w:p>
    <w:p>
      <w:pPr>
        <w:widowControl w:val="0"/>
        <w:numPr>
          <w:ilvl w:val="0"/>
          <w:numId w:val="0"/>
        </w:numPr>
        <w:jc w:val="both"/>
        <w:rPr>
          <w:rFonts w:hint="eastAsia"/>
          <w:b/>
          <w:bCs/>
          <w:sz w:val="24"/>
          <w:szCs w:val="24"/>
          <w:highlight w:val="none"/>
          <w:lang w:val="en-US" w:eastAsia="zh-CN"/>
        </w:rPr>
      </w:pPr>
      <w:r>
        <w:rPr>
          <w:rFonts w:hint="eastAsia"/>
          <w:b/>
          <w:bCs/>
          <w:sz w:val="24"/>
          <w:szCs w:val="24"/>
          <w:highlight w:val="none"/>
          <w:lang w:val="en-US" w:eastAsia="zh-CN"/>
        </w:rPr>
        <w:t>附件：</w:t>
      </w:r>
    </w:p>
    <w:tbl>
      <w:tblPr>
        <w:tblStyle w:val="2"/>
        <w:tblW w:w="152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6"/>
        <w:gridCol w:w="457"/>
        <w:gridCol w:w="712"/>
        <w:gridCol w:w="467"/>
        <w:gridCol w:w="738"/>
        <w:gridCol w:w="850"/>
        <w:gridCol w:w="812"/>
        <w:gridCol w:w="700"/>
        <w:gridCol w:w="750"/>
        <w:gridCol w:w="588"/>
        <w:gridCol w:w="712"/>
        <w:gridCol w:w="625"/>
        <w:gridCol w:w="1150"/>
        <w:gridCol w:w="1375"/>
        <w:gridCol w:w="700"/>
        <w:gridCol w:w="1288"/>
        <w:gridCol w:w="1121"/>
        <w:gridCol w:w="17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5215" w:type="dxa"/>
            <w:gridSpan w:val="18"/>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送货验收通知表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序号</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订单号</w:t>
            </w: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采办员（经办人）</w:t>
            </w: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事业部</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用料单位</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供应商</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联系电话</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实际到货    项数/件数</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订单交货日期</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实际到货日期</w:t>
            </w: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交货地点</w:t>
            </w:r>
          </w:p>
        </w:tc>
        <w:tc>
          <w:tcPr>
            <w:tcW w:w="6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是/否到齐</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是/否有大件物资需要装卸（是否需要吊车）</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送货方式</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包装件数</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正本资料投递方式</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合同约定的第三方证书信息</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等线" w:hAnsi="等线" w:eastAsia="等线" w:cs="等线"/>
                <w:i w:val="0"/>
                <w:iCs w:val="0"/>
                <w:color w:val="000000"/>
                <w:sz w:val="24"/>
                <w:szCs w:val="24"/>
                <w:highlight w:val="none"/>
                <w:u w:val="none"/>
              </w:rPr>
            </w:pPr>
            <w:r>
              <w:rPr>
                <w:rFonts w:hint="eastAsia" w:ascii="等线" w:hAnsi="等线" w:eastAsia="等线" w:cs="等线"/>
                <w:i w:val="0"/>
                <w:iCs w:val="0"/>
                <w:color w:val="000000"/>
                <w:kern w:val="0"/>
                <w:sz w:val="15"/>
                <w:szCs w:val="15"/>
                <w:highlight w:val="none"/>
                <w:u w:val="none"/>
                <w:lang w:val="en-US" w:eastAsia="zh-CN" w:bidi="ar"/>
              </w:rPr>
              <w:t>□零担物流配送</w:t>
            </w:r>
            <w:r>
              <w:rPr>
                <w:rFonts w:hint="eastAsia" w:ascii="等线" w:hAnsi="等线" w:eastAsia="等线" w:cs="等线"/>
                <w:i w:val="0"/>
                <w:iCs w:val="0"/>
                <w:color w:val="000000"/>
                <w:kern w:val="0"/>
                <w:sz w:val="15"/>
                <w:szCs w:val="15"/>
                <w:highlight w:val="none"/>
                <w:u w:val="none"/>
                <w:lang w:val="en-US" w:eastAsia="zh-CN" w:bidi="ar"/>
              </w:rPr>
              <w:br w:type="textWrapping"/>
            </w:r>
            <w:r>
              <w:rPr>
                <w:rFonts w:hint="eastAsia" w:ascii="等线" w:hAnsi="等线" w:eastAsia="等线" w:cs="等线"/>
                <w:i w:val="0"/>
                <w:iCs w:val="0"/>
                <w:color w:val="000000"/>
                <w:kern w:val="0"/>
                <w:sz w:val="15"/>
                <w:szCs w:val="15"/>
                <w:highlight w:val="none"/>
                <w:u w:val="none"/>
                <w:lang w:val="en-US" w:eastAsia="zh-CN" w:bidi="ar"/>
              </w:rPr>
              <w:t>□快递配送</w:t>
            </w:r>
            <w:r>
              <w:rPr>
                <w:rFonts w:hint="eastAsia" w:ascii="等线" w:hAnsi="等线" w:eastAsia="等线" w:cs="等线"/>
                <w:i w:val="0"/>
                <w:iCs w:val="0"/>
                <w:color w:val="000000"/>
                <w:kern w:val="0"/>
                <w:sz w:val="15"/>
                <w:szCs w:val="15"/>
                <w:highlight w:val="none"/>
                <w:u w:val="none"/>
                <w:lang w:val="en-US" w:eastAsia="zh-CN" w:bidi="ar"/>
              </w:rPr>
              <w:br w:type="textWrapping"/>
            </w:r>
            <w:r>
              <w:rPr>
                <w:rFonts w:hint="eastAsia" w:ascii="等线" w:hAnsi="等线" w:eastAsia="等线" w:cs="等线"/>
                <w:i w:val="0"/>
                <w:iCs w:val="0"/>
                <w:color w:val="000000"/>
                <w:kern w:val="0"/>
                <w:sz w:val="15"/>
                <w:szCs w:val="15"/>
                <w:highlight w:val="none"/>
                <w:u w:val="none"/>
                <w:lang w:val="en-US" w:eastAsia="zh-CN" w:bidi="ar"/>
              </w:rPr>
              <w:t>□自送</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等线" w:hAnsi="等线" w:eastAsia="等线" w:cs="等线"/>
                <w:i w:val="0"/>
                <w:iCs w:val="0"/>
                <w:color w:val="000000"/>
                <w:sz w:val="24"/>
                <w:szCs w:val="24"/>
                <w:highlight w:val="none"/>
                <w:u w:val="none"/>
              </w:rPr>
            </w:pPr>
            <w:r>
              <w:rPr>
                <w:rFonts w:hint="eastAsia" w:ascii="等线" w:hAnsi="等线" w:eastAsia="等线" w:cs="等线"/>
                <w:i w:val="0"/>
                <w:iCs w:val="0"/>
                <w:color w:val="000000"/>
                <w:kern w:val="0"/>
                <w:sz w:val="15"/>
                <w:szCs w:val="15"/>
                <w:highlight w:val="none"/>
                <w:u w:val="none"/>
                <w:lang w:val="en-US" w:eastAsia="zh-CN" w:bidi="ar"/>
              </w:rPr>
              <w:t>□随货送达（包装内）</w:t>
            </w:r>
            <w:r>
              <w:rPr>
                <w:rFonts w:hint="eastAsia" w:ascii="等线" w:hAnsi="等线" w:eastAsia="等线" w:cs="等线"/>
                <w:i w:val="0"/>
                <w:iCs w:val="0"/>
                <w:color w:val="000000"/>
                <w:kern w:val="0"/>
                <w:sz w:val="15"/>
                <w:szCs w:val="15"/>
                <w:highlight w:val="none"/>
                <w:u w:val="none"/>
                <w:lang w:val="en-US" w:eastAsia="zh-CN" w:bidi="ar"/>
              </w:rPr>
              <w:br w:type="textWrapping"/>
            </w:r>
            <w:r>
              <w:rPr>
                <w:rFonts w:hint="eastAsia" w:ascii="等线" w:hAnsi="等线" w:eastAsia="等线" w:cs="等线"/>
                <w:i w:val="0"/>
                <w:iCs w:val="0"/>
                <w:color w:val="000000"/>
                <w:kern w:val="0"/>
                <w:sz w:val="15"/>
                <w:szCs w:val="15"/>
                <w:highlight w:val="none"/>
                <w:u w:val="none"/>
                <w:lang w:val="en-US" w:eastAsia="zh-CN" w:bidi="ar"/>
              </w:rPr>
              <w:t>□随货送达（由物流人员代交）</w:t>
            </w:r>
            <w:r>
              <w:rPr>
                <w:rFonts w:hint="eastAsia" w:ascii="等线" w:hAnsi="等线" w:eastAsia="等线" w:cs="等线"/>
                <w:i w:val="0"/>
                <w:iCs w:val="0"/>
                <w:color w:val="000000"/>
                <w:kern w:val="0"/>
                <w:sz w:val="15"/>
                <w:szCs w:val="15"/>
                <w:highlight w:val="none"/>
                <w:u w:val="none"/>
                <w:lang w:val="en-US" w:eastAsia="zh-CN" w:bidi="ar"/>
              </w:rPr>
              <w:br w:type="textWrapping"/>
            </w:r>
            <w:r>
              <w:rPr>
                <w:rFonts w:hint="eastAsia" w:ascii="等线" w:hAnsi="等线" w:eastAsia="等线" w:cs="等线"/>
                <w:i w:val="0"/>
                <w:iCs w:val="0"/>
                <w:color w:val="000000"/>
                <w:kern w:val="0"/>
                <w:sz w:val="15"/>
                <w:szCs w:val="15"/>
                <w:highlight w:val="none"/>
                <w:u w:val="none"/>
                <w:lang w:val="en-US" w:eastAsia="zh-CN" w:bidi="ar"/>
              </w:rPr>
              <w:t>□单独邮寄</w:t>
            </w:r>
            <w:r>
              <w:rPr>
                <w:rFonts w:hint="eastAsia" w:ascii="等线" w:hAnsi="等线" w:eastAsia="等线" w:cs="等线"/>
                <w:i w:val="0"/>
                <w:iCs w:val="0"/>
                <w:color w:val="000000"/>
                <w:kern w:val="0"/>
                <w:sz w:val="15"/>
                <w:szCs w:val="15"/>
                <w:highlight w:val="none"/>
                <w:u w:val="none"/>
                <w:lang w:val="en-US" w:eastAsia="zh-CN" w:bidi="ar"/>
              </w:rPr>
              <w:br w:type="textWrapping"/>
            </w:r>
            <w:r>
              <w:rPr>
                <w:rFonts w:hint="eastAsia" w:ascii="等线" w:hAnsi="等线" w:eastAsia="等线" w:cs="等线"/>
                <w:i w:val="0"/>
                <w:iCs w:val="0"/>
                <w:color w:val="000000"/>
                <w:kern w:val="0"/>
                <w:sz w:val="15"/>
                <w:szCs w:val="15"/>
                <w:highlight w:val="none"/>
                <w:u w:val="none"/>
                <w:lang w:val="en-US" w:eastAsia="zh-CN" w:bidi="ar"/>
              </w:rPr>
              <w:t>□直接送达</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等线" w:hAnsi="等线" w:eastAsia="等线" w:cs="等线"/>
                <w:i w:val="0"/>
                <w:iCs w:val="0"/>
                <w:color w:val="000000"/>
                <w:sz w:val="24"/>
                <w:szCs w:val="24"/>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15"/>
                <w:szCs w:val="15"/>
                <w:highlight w:val="none"/>
                <w:u w:val="none"/>
                <w:lang w:val="en-US" w:eastAsia="zh-CN" w:bidi="ar"/>
              </w:rPr>
              <w:t>请提供物流快递单号及资料邮寄快递单号（如有），如果是随货放在包装箱内，需要说明在哪个包装箱内，放在何处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r>
    </w:tbl>
    <w:p>
      <w:pPr>
        <w:widowControl w:val="0"/>
        <w:numPr>
          <w:ilvl w:val="0"/>
          <w:numId w:val="0"/>
        </w:numPr>
        <w:jc w:val="both"/>
        <w:rPr>
          <w:rFonts w:hint="default"/>
          <w:b/>
          <w:bCs/>
          <w:sz w:val="24"/>
          <w:szCs w:val="24"/>
          <w:highlight w:val="none"/>
          <w:lang w:val="en-US" w:eastAsia="zh-CN"/>
        </w:rPr>
      </w:pPr>
    </w:p>
    <w:sectPr>
      <w:pgSz w:w="16838" w:h="11906" w:orient="landscape"/>
      <w:pgMar w:top="669" w:right="873" w:bottom="669" w:left="87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C52944"/>
    <w:multiLevelType w:val="singleLevel"/>
    <w:tmpl w:val="B9C52944"/>
    <w:lvl w:ilvl="0" w:tentative="0">
      <w:start w:val="1"/>
      <w:numFmt w:val="decimal"/>
      <w:lvlText w:val="%1."/>
      <w:lvlJc w:val="left"/>
      <w:pPr>
        <w:ind w:left="425" w:hanging="425"/>
      </w:pPr>
      <w:rPr>
        <w:rFonts w:hint="default"/>
        <w:b w:val="0"/>
        <w:bCs w:val="0"/>
        <w:color w:val="auto"/>
      </w:rPr>
    </w:lvl>
  </w:abstractNum>
  <w:abstractNum w:abstractNumId="1">
    <w:nsid w:val="2F4D5B53"/>
    <w:multiLevelType w:val="multilevel"/>
    <w:tmpl w:val="2F4D5B53"/>
    <w:lvl w:ilvl="0" w:tentative="0">
      <w:start w:val="1"/>
      <w:numFmt w:val="decimal"/>
      <w:lvlText w:val="%1、"/>
      <w:lvlJc w:val="left"/>
      <w:pPr>
        <w:ind w:left="1134" w:hanging="624"/>
      </w:pPr>
      <w:rPr>
        <w:rFonts w:hint="default"/>
      </w:rPr>
    </w:lvl>
    <w:lvl w:ilvl="1" w:tentative="0">
      <w:start w:val="1"/>
      <w:numFmt w:val="lowerLetter"/>
      <w:lvlText w:val="%2)"/>
      <w:lvlJc w:val="left"/>
      <w:pPr>
        <w:ind w:left="1395" w:hanging="420"/>
      </w:pPr>
    </w:lvl>
    <w:lvl w:ilvl="2" w:tentative="0">
      <w:start w:val="1"/>
      <w:numFmt w:val="lowerRoman"/>
      <w:lvlText w:val="%3."/>
      <w:lvlJc w:val="right"/>
      <w:pPr>
        <w:ind w:left="1815" w:hanging="420"/>
      </w:pPr>
    </w:lvl>
    <w:lvl w:ilvl="3" w:tentative="0">
      <w:start w:val="1"/>
      <w:numFmt w:val="decimal"/>
      <w:lvlText w:val="%4."/>
      <w:lvlJc w:val="left"/>
      <w:pPr>
        <w:ind w:left="2235" w:hanging="420"/>
      </w:pPr>
    </w:lvl>
    <w:lvl w:ilvl="4" w:tentative="0">
      <w:start w:val="1"/>
      <w:numFmt w:val="lowerLetter"/>
      <w:lvlText w:val="%5)"/>
      <w:lvlJc w:val="left"/>
      <w:pPr>
        <w:ind w:left="2655" w:hanging="420"/>
      </w:pPr>
    </w:lvl>
    <w:lvl w:ilvl="5" w:tentative="0">
      <w:start w:val="1"/>
      <w:numFmt w:val="lowerRoman"/>
      <w:lvlText w:val="%6."/>
      <w:lvlJc w:val="right"/>
      <w:pPr>
        <w:ind w:left="3075" w:hanging="420"/>
      </w:pPr>
    </w:lvl>
    <w:lvl w:ilvl="6" w:tentative="0">
      <w:start w:val="1"/>
      <w:numFmt w:val="decimal"/>
      <w:lvlText w:val="%7."/>
      <w:lvlJc w:val="left"/>
      <w:pPr>
        <w:ind w:left="3495" w:hanging="420"/>
      </w:pPr>
    </w:lvl>
    <w:lvl w:ilvl="7" w:tentative="0">
      <w:start w:val="1"/>
      <w:numFmt w:val="lowerLetter"/>
      <w:lvlText w:val="%8)"/>
      <w:lvlJc w:val="left"/>
      <w:pPr>
        <w:ind w:left="3915" w:hanging="420"/>
      </w:pPr>
    </w:lvl>
    <w:lvl w:ilvl="8" w:tentative="0">
      <w:start w:val="1"/>
      <w:numFmt w:val="lowerRoman"/>
      <w:lvlText w:val="%9."/>
      <w:lvlJc w:val="right"/>
      <w:pPr>
        <w:ind w:left="433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D361F"/>
    <w:rsid w:val="01874B10"/>
    <w:rsid w:val="018C5850"/>
    <w:rsid w:val="03345B12"/>
    <w:rsid w:val="06812341"/>
    <w:rsid w:val="0737795B"/>
    <w:rsid w:val="08EB4EA1"/>
    <w:rsid w:val="0AE8212C"/>
    <w:rsid w:val="0AFC3C93"/>
    <w:rsid w:val="0B5C0336"/>
    <w:rsid w:val="0C0E65B2"/>
    <w:rsid w:val="1149506D"/>
    <w:rsid w:val="1936121C"/>
    <w:rsid w:val="19AE0CB3"/>
    <w:rsid w:val="19FD2FB1"/>
    <w:rsid w:val="1A3A2E16"/>
    <w:rsid w:val="1A6516DC"/>
    <w:rsid w:val="1B0C7C49"/>
    <w:rsid w:val="1B6F5412"/>
    <w:rsid w:val="1F2D3BB3"/>
    <w:rsid w:val="1FD06C40"/>
    <w:rsid w:val="206C2341"/>
    <w:rsid w:val="217B7008"/>
    <w:rsid w:val="23D51059"/>
    <w:rsid w:val="264C3087"/>
    <w:rsid w:val="26E718E0"/>
    <w:rsid w:val="28187A54"/>
    <w:rsid w:val="28334986"/>
    <w:rsid w:val="28AD3A9C"/>
    <w:rsid w:val="28D716CB"/>
    <w:rsid w:val="2A6F1BE7"/>
    <w:rsid w:val="30EF65B5"/>
    <w:rsid w:val="31923356"/>
    <w:rsid w:val="31DB1D80"/>
    <w:rsid w:val="32663166"/>
    <w:rsid w:val="34AF74EB"/>
    <w:rsid w:val="36D41B01"/>
    <w:rsid w:val="37556BD7"/>
    <w:rsid w:val="39BC4DC8"/>
    <w:rsid w:val="39F56226"/>
    <w:rsid w:val="3A916DA7"/>
    <w:rsid w:val="3B197FD8"/>
    <w:rsid w:val="3F397CC7"/>
    <w:rsid w:val="405D218C"/>
    <w:rsid w:val="417933B5"/>
    <w:rsid w:val="41B65345"/>
    <w:rsid w:val="43104E14"/>
    <w:rsid w:val="43904D57"/>
    <w:rsid w:val="441C404D"/>
    <w:rsid w:val="4508520C"/>
    <w:rsid w:val="45333815"/>
    <w:rsid w:val="45375398"/>
    <w:rsid w:val="481E6C78"/>
    <w:rsid w:val="48605F4B"/>
    <w:rsid w:val="48A636CB"/>
    <w:rsid w:val="49496A9F"/>
    <w:rsid w:val="4A24555A"/>
    <w:rsid w:val="4ABC3BAC"/>
    <w:rsid w:val="5010610B"/>
    <w:rsid w:val="505E15EE"/>
    <w:rsid w:val="51CA4B61"/>
    <w:rsid w:val="52141582"/>
    <w:rsid w:val="550E3B1C"/>
    <w:rsid w:val="55CF2A02"/>
    <w:rsid w:val="57391A61"/>
    <w:rsid w:val="59F649CF"/>
    <w:rsid w:val="5D1D34D1"/>
    <w:rsid w:val="5F192012"/>
    <w:rsid w:val="604E460D"/>
    <w:rsid w:val="624F75D6"/>
    <w:rsid w:val="628041A1"/>
    <w:rsid w:val="63105496"/>
    <w:rsid w:val="64BF6BA6"/>
    <w:rsid w:val="64CF1BF3"/>
    <w:rsid w:val="65694370"/>
    <w:rsid w:val="66BC2B4E"/>
    <w:rsid w:val="677E77F2"/>
    <w:rsid w:val="696077C1"/>
    <w:rsid w:val="69950BC7"/>
    <w:rsid w:val="6A183573"/>
    <w:rsid w:val="6BB62F00"/>
    <w:rsid w:val="6C6C779B"/>
    <w:rsid w:val="6CB85D8F"/>
    <w:rsid w:val="703277A2"/>
    <w:rsid w:val="70E86DEE"/>
    <w:rsid w:val="71896839"/>
    <w:rsid w:val="72601E03"/>
    <w:rsid w:val="75576E7A"/>
    <w:rsid w:val="788013A0"/>
    <w:rsid w:val="794013BD"/>
    <w:rsid w:val="79F572FB"/>
    <w:rsid w:val="7A9B1A9D"/>
    <w:rsid w:val="7AAD7310"/>
    <w:rsid w:val="7BDE156A"/>
    <w:rsid w:val="7C287DC6"/>
    <w:rsid w:val="7FC83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6</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2023-10-20T01:26:00Z</dcterms:created>
  <dc:creator>fanht</dc:creator>
  <cp:lastModifiedBy>fanht</cp:lastModifiedBy>
  <dcterms:modified xsi:type="dcterms:W3CDTF">2025-08-25T00:55:13Z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7398997375E14124A2D7FC5F65A3DBDA</vt:lpwstr>
  </property>
</Properties>
</file>